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2645" w14:textId="77777777" w:rsidR="00DA75A0" w:rsidRPr="006C09BD" w:rsidRDefault="00551CF0" w:rsidP="009E60BE">
      <w:pPr>
        <w:pStyle w:val="BodyA"/>
        <w:widowControl w:val="0"/>
        <w:spacing w:before="120" w:after="120" w:line="360" w:lineRule="auto"/>
        <w:rPr>
          <w:rFonts w:cs="Arial"/>
          <w:b/>
          <w:bCs/>
          <w:sz w:val="28"/>
          <w:szCs w:val="28"/>
          <w:lang w:val="en-GB"/>
        </w:rPr>
      </w:pPr>
      <w:r w:rsidRPr="006C09BD">
        <w:rPr>
          <w:rFonts w:cs="Arial"/>
          <w:b/>
          <w:bCs/>
          <w:sz w:val="28"/>
          <w:szCs w:val="28"/>
          <w:lang w:val="en-GB"/>
        </w:rPr>
        <w:t>Title</w:t>
      </w:r>
    </w:p>
    <w:p w14:paraId="7CD3BC11" w14:textId="1AA192E7" w:rsidR="0050292B" w:rsidRPr="006C09BD" w:rsidRDefault="003E6374" w:rsidP="009E60BE">
      <w:pPr>
        <w:pStyle w:val="BodyA"/>
        <w:widowControl w:val="0"/>
        <w:spacing w:before="120" w:after="120" w:line="360" w:lineRule="auto"/>
        <w:rPr>
          <w:rFonts w:cs="Arial"/>
          <w:b/>
          <w:bCs/>
          <w:lang w:val="en-GB"/>
        </w:rPr>
      </w:pPr>
      <w:r w:rsidRPr="006C09BD">
        <w:rPr>
          <w:rFonts w:cs="Arial"/>
          <w:b/>
          <w:bCs/>
          <w:lang w:val="en-GB"/>
        </w:rPr>
        <w:t>Avoiding routine gastric residual volume measurement in neonatal critical care (The</w:t>
      </w:r>
      <w:r w:rsidR="008809AC">
        <w:rPr>
          <w:rFonts w:cs="Arial"/>
          <w:b/>
          <w:bCs/>
          <w:lang w:val="en-GB"/>
        </w:rPr>
        <w:t xml:space="preserve"> </w:t>
      </w:r>
      <w:r w:rsidRPr="006C09BD">
        <w:rPr>
          <w:rFonts w:cs="Arial"/>
          <w:b/>
          <w:bCs/>
          <w:lang w:val="en-GB"/>
        </w:rPr>
        <w:t>neoGASTRIC</w:t>
      </w:r>
      <w:r w:rsidR="008809AC">
        <w:rPr>
          <w:rFonts w:cs="Arial"/>
          <w:b/>
          <w:bCs/>
          <w:lang w:val="en-GB"/>
        </w:rPr>
        <w:t xml:space="preserve"> </w:t>
      </w:r>
      <w:r w:rsidRPr="006C09BD">
        <w:rPr>
          <w:rFonts w:cs="Arial"/>
          <w:b/>
          <w:bCs/>
          <w:lang w:val="en-GB"/>
        </w:rPr>
        <w:t>trial): study protocol for</w:t>
      </w:r>
      <w:r w:rsidR="006A6A33" w:rsidRPr="006C09BD">
        <w:rPr>
          <w:rFonts w:cs="Arial"/>
          <w:b/>
          <w:bCs/>
          <w:lang w:val="en-GB"/>
        </w:rPr>
        <w:t xml:space="preserve"> a</w:t>
      </w:r>
      <w:r w:rsidRPr="006C09BD">
        <w:rPr>
          <w:rFonts w:cs="Arial"/>
          <w:b/>
          <w:bCs/>
          <w:lang w:val="en-GB"/>
        </w:rPr>
        <w:t xml:space="preserve"> multi-centre</w:t>
      </w:r>
      <w:r w:rsidR="006A6A33" w:rsidRPr="006C09BD">
        <w:rPr>
          <w:rFonts w:cs="Arial"/>
          <w:b/>
          <w:bCs/>
          <w:lang w:val="en-GB"/>
        </w:rPr>
        <w:t xml:space="preserve">, </w:t>
      </w:r>
      <w:r w:rsidRPr="006C09BD">
        <w:rPr>
          <w:rFonts w:cs="Arial"/>
          <w:b/>
          <w:bCs/>
          <w:lang w:val="en-GB"/>
        </w:rPr>
        <w:t>unblinded, randomised</w:t>
      </w:r>
      <w:r w:rsidR="00944C61" w:rsidRPr="006C09BD">
        <w:rPr>
          <w:rFonts w:cs="Arial"/>
          <w:b/>
          <w:bCs/>
          <w:lang w:val="en-GB"/>
        </w:rPr>
        <w:t>,</w:t>
      </w:r>
      <w:r w:rsidRPr="006C09BD">
        <w:rPr>
          <w:rFonts w:cs="Arial"/>
          <w:b/>
          <w:bCs/>
          <w:lang w:val="en-GB"/>
        </w:rPr>
        <w:t xml:space="preserve"> controlled trial</w:t>
      </w:r>
      <w:r w:rsidR="006A6A33" w:rsidRPr="006C09BD">
        <w:rPr>
          <w:rFonts w:cs="Arial"/>
          <w:b/>
          <w:bCs/>
          <w:lang w:val="en-GB"/>
        </w:rPr>
        <w:t>.</w:t>
      </w:r>
    </w:p>
    <w:p w14:paraId="61E2D1C8" w14:textId="77777777" w:rsidR="0050292B" w:rsidRPr="006C09BD" w:rsidRDefault="0050292B" w:rsidP="006C4F0C">
      <w:pPr>
        <w:pStyle w:val="BodyA"/>
        <w:widowControl w:val="0"/>
        <w:spacing w:line="360" w:lineRule="auto"/>
        <w:rPr>
          <w:rFonts w:cs="Arial"/>
          <w:b/>
          <w:bCs/>
          <w:lang w:val="en-GB"/>
        </w:rPr>
      </w:pPr>
    </w:p>
    <w:p w14:paraId="5596DE5D" w14:textId="4BBA56BE" w:rsidR="0050292B" w:rsidRPr="006C09BD" w:rsidRDefault="00551CF0" w:rsidP="006C4F0C">
      <w:pPr>
        <w:pStyle w:val="BodyA"/>
        <w:widowControl w:val="0"/>
        <w:spacing w:line="360" w:lineRule="auto"/>
        <w:rPr>
          <w:rFonts w:cs="Arial"/>
          <w:b/>
          <w:bCs/>
          <w:lang w:val="en-GB"/>
        </w:rPr>
      </w:pPr>
      <w:r w:rsidRPr="006C09BD">
        <w:rPr>
          <w:rFonts w:cs="Arial"/>
          <w:b/>
          <w:bCs/>
          <w:sz w:val="28"/>
          <w:szCs w:val="28"/>
          <w:lang w:val="en-GB"/>
        </w:rPr>
        <w:t>Name</w:t>
      </w:r>
      <w:r w:rsidR="00AE2304" w:rsidRPr="006C09BD">
        <w:rPr>
          <w:rFonts w:cs="Arial"/>
          <w:b/>
          <w:bCs/>
          <w:sz w:val="28"/>
          <w:szCs w:val="28"/>
          <w:lang w:val="en-GB"/>
        </w:rPr>
        <w:t xml:space="preserve">s </w:t>
      </w:r>
      <w:r w:rsidR="00E056EC" w:rsidRPr="006C09BD">
        <w:rPr>
          <w:rFonts w:cs="Arial"/>
          <w:b/>
          <w:bCs/>
          <w:sz w:val="28"/>
          <w:szCs w:val="28"/>
          <w:lang w:val="en-GB"/>
        </w:rPr>
        <w:t xml:space="preserve">of </w:t>
      </w:r>
      <w:r w:rsidRPr="006C09BD">
        <w:rPr>
          <w:rFonts w:cs="Arial"/>
          <w:b/>
          <w:bCs/>
          <w:sz w:val="28"/>
          <w:szCs w:val="28"/>
          <w:lang w:val="en-GB"/>
        </w:rPr>
        <w:t>protocol contributors</w:t>
      </w:r>
    </w:p>
    <w:p w14:paraId="6038449E" w14:textId="61BC9F41" w:rsidR="0050292B" w:rsidRPr="00780E6F" w:rsidRDefault="007679CE" w:rsidP="00780E6F">
      <w:pPr>
        <w:pStyle w:val="BodyA"/>
        <w:widowControl w:val="0"/>
        <w:spacing w:before="120" w:after="120" w:line="360" w:lineRule="auto"/>
        <w:rPr>
          <w:rFonts w:cs="Arial"/>
          <w:lang w:val="en-GB"/>
        </w:rPr>
      </w:pPr>
      <w:r w:rsidRPr="006C09BD">
        <w:rPr>
          <w:rFonts w:cs="Arial"/>
          <w:lang w:val="en-GB"/>
        </w:rPr>
        <w:t>Eliz</w:t>
      </w:r>
      <w:r w:rsidR="00C552C8" w:rsidRPr="006C09BD">
        <w:rPr>
          <w:rFonts w:cs="Arial"/>
          <w:lang w:val="en-GB"/>
        </w:rPr>
        <w:t>a</w:t>
      </w:r>
      <w:r w:rsidRPr="006C09BD">
        <w:rPr>
          <w:rFonts w:cs="Arial"/>
          <w:lang w:val="en-GB"/>
        </w:rPr>
        <w:t>beth Nuthall</w:t>
      </w:r>
      <w:r w:rsidR="00780E6F">
        <w:rPr>
          <w:rFonts w:cs="Arial"/>
          <w:vertAlign w:val="superscript"/>
          <w:lang w:val="en-GB"/>
        </w:rPr>
        <w:t>1</w:t>
      </w:r>
      <w:r w:rsidRPr="006C09BD">
        <w:rPr>
          <w:rFonts w:cs="Arial"/>
          <w:lang w:val="en-GB"/>
        </w:rPr>
        <w:t>, Amy Rodriquez</w:t>
      </w:r>
      <w:r w:rsidR="00780E6F">
        <w:rPr>
          <w:rFonts w:cs="Arial"/>
          <w:vertAlign w:val="superscript"/>
          <w:lang w:val="en-GB"/>
        </w:rPr>
        <w:t>2</w:t>
      </w:r>
      <w:r w:rsidRPr="006C09BD">
        <w:rPr>
          <w:rFonts w:cs="Arial"/>
          <w:lang w:val="en-GB"/>
        </w:rPr>
        <w:t xml:space="preserve">, </w:t>
      </w:r>
      <w:r w:rsidR="00066C4E" w:rsidRPr="006C09BD">
        <w:rPr>
          <w:rFonts w:cs="Arial"/>
          <w:lang w:val="en-GB"/>
        </w:rPr>
        <w:t>Iza Andrzejewksa</w:t>
      </w:r>
      <w:r w:rsidR="00780E6F">
        <w:rPr>
          <w:rFonts w:cs="Arial"/>
          <w:vertAlign w:val="superscript"/>
          <w:lang w:val="en-GB"/>
        </w:rPr>
        <w:t>3</w:t>
      </w:r>
      <w:r w:rsidR="00066C4E" w:rsidRPr="006C09BD">
        <w:rPr>
          <w:rFonts w:cs="Arial"/>
          <w:lang w:val="en-GB"/>
        </w:rPr>
        <w:t>, Zainab Aslam</w:t>
      </w:r>
      <w:r w:rsidR="00780E6F">
        <w:rPr>
          <w:rFonts w:cs="Arial"/>
          <w:vertAlign w:val="superscript"/>
          <w:lang w:val="en-GB"/>
        </w:rPr>
        <w:t>1</w:t>
      </w:r>
      <w:r w:rsidR="00066C4E" w:rsidRPr="006C09BD">
        <w:rPr>
          <w:rFonts w:cs="Arial"/>
          <w:lang w:val="en-GB"/>
        </w:rPr>
        <w:t>, Cheryl Battersby</w:t>
      </w:r>
      <w:r w:rsidR="00780E6F">
        <w:rPr>
          <w:rFonts w:cs="Arial"/>
          <w:vertAlign w:val="superscript"/>
          <w:lang w:val="en-GB"/>
        </w:rPr>
        <w:t>4</w:t>
      </w:r>
      <w:r w:rsidR="00066C4E" w:rsidRPr="006C09BD">
        <w:rPr>
          <w:rFonts w:cs="Arial"/>
          <w:lang w:val="en-GB"/>
        </w:rPr>
        <w:t xml:space="preserve">, </w:t>
      </w:r>
      <w:r w:rsidR="003D66D0" w:rsidRPr="006C09BD">
        <w:rPr>
          <w:lang w:val="en-GB"/>
        </w:rPr>
        <w:t>Catherine Beesley</w:t>
      </w:r>
      <w:r w:rsidR="00780E6F" w:rsidRPr="00780E6F">
        <w:rPr>
          <w:vertAlign w:val="superscript"/>
          <w:lang w:val="en-GB"/>
        </w:rPr>
        <w:t>5</w:t>
      </w:r>
      <w:r w:rsidR="003D66D0" w:rsidRPr="006C09BD">
        <w:rPr>
          <w:rFonts w:cs="Arial"/>
          <w:lang w:val="en-GB"/>
        </w:rPr>
        <w:t xml:space="preserve">, </w:t>
      </w:r>
      <w:r w:rsidR="00066C4E" w:rsidRPr="006C09BD">
        <w:rPr>
          <w:rFonts w:cs="Arial"/>
          <w:lang w:val="en-GB"/>
        </w:rPr>
        <w:t>Christina Cole</w:t>
      </w:r>
      <w:r w:rsidR="00780E6F">
        <w:rPr>
          <w:rFonts w:cs="Arial"/>
          <w:vertAlign w:val="superscript"/>
          <w:lang w:val="en-GB"/>
        </w:rPr>
        <w:t>1</w:t>
      </w:r>
      <w:r w:rsidR="00066C4E" w:rsidRPr="006C09BD">
        <w:rPr>
          <w:rFonts w:cs="Arial"/>
          <w:lang w:val="en-GB"/>
        </w:rPr>
        <w:t>, Helen Campbell</w:t>
      </w:r>
      <w:r w:rsidR="00780E6F">
        <w:rPr>
          <w:rFonts w:cs="Arial"/>
          <w:vertAlign w:val="superscript"/>
          <w:lang w:val="en-GB"/>
        </w:rPr>
        <w:t>1</w:t>
      </w:r>
      <w:r w:rsidR="00066C4E" w:rsidRPr="006C09BD">
        <w:rPr>
          <w:rFonts w:cs="Arial"/>
          <w:lang w:val="en-GB"/>
        </w:rPr>
        <w:t>,</w:t>
      </w:r>
      <w:r w:rsidR="00BF4010" w:rsidRPr="006C09BD">
        <w:rPr>
          <w:rFonts w:cs="Arial"/>
          <w:lang w:val="en-GB"/>
        </w:rPr>
        <w:t xml:space="preserve"> </w:t>
      </w:r>
      <w:r w:rsidR="00BF4010" w:rsidRPr="006C09BD">
        <w:rPr>
          <w:lang w:val="en-GB"/>
        </w:rPr>
        <w:t>Kim Dalziel</w:t>
      </w:r>
      <w:r w:rsidR="00780E6F" w:rsidRPr="00780E6F">
        <w:rPr>
          <w:vertAlign w:val="superscript"/>
          <w:lang w:val="en-GB"/>
        </w:rPr>
        <w:t>6</w:t>
      </w:r>
      <w:r w:rsidR="007A46D6">
        <w:rPr>
          <w:lang w:val="en-GB"/>
        </w:rPr>
        <w:t>,</w:t>
      </w:r>
      <w:r w:rsidR="00066C4E" w:rsidRPr="006C09BD">
        <w:rPr>
          <w:rFonts w:cs="Arial"/>
          <w:lang w:val="en-GB"/>
        </w:rPr>
        <w:t xml:space="preserve"> Jon Dorling</w:t>
      </w:r>
      <w:r w:rsidR="00780E6F">
        <w:rPr>
          <w:rFonts w:cs="Arial"/>
          <w:vertAlign w:val="superscript"/>
          <w:lang w:val="en-GB"/>
        </w:rPr>
        <w:t>7</w:t>
      </w:r>
      <w:r w:rsidR="00066C4E" w:rsidRPr="006C09BD">
        <w:rPr>
          <w:rFonts w:cs="Arial"/>
          <w:lang w:val="en-GB"/>
        </w:rPr>
        <w:t xml:space="preserve">, </w:t>
      </w:r>
      <w:r w:rsidR="008E781E" w:rsidRPr="006C09BD">
        <w:rPr>
          <w:rFonts w:cs="Arial"/>
          <w:lang w:val="en-GB"/>
        </w:rPr>
        <w:t>Alan Downs</w:t>
      </w:r>
      <w:r w:rsidR="00780E6F">
        <w:rPr>
          <w:rFonts w:cs="Arial"/>
          <w:vertAlign w:val="superscript"/>
          <w:lang w:val="en-GB"/>
        </w:rPr>
        <w:t>1</w:t>
      </w:r>
      <w:r w:rsidR="008E781E" w:rsidRPr="006C09BD">
        <w:rPr>
          <w:rFonts w:cs="Arial"/>
          <w:lang w:val="en-GB"/>
        </w:rPr>
        <w:t xml:space="preserve">, </w:t>
      </w:r>
      <w:r w:rsidR="00066C4E" w:rsidRPr="006C09BD">
        <w:rPr>
          <w:rFonts w:cs="Arial"/>
          <w:lang w:val="en-GB"/>
        </w:rPr>
        <w:t>Peter G Davis</w:t>
      </w:r>
      <w:r w:rsidR="00780E6F">
        <w:rPr>
          <w:rFonts w:cs="Arial"/>
          <w:vertAlign w:val="superscript"/>
          <w:lang w:val="en-GB"/>
        </w:rPr>
        <w:t>8</w:t>
      </w:r>
      <w:r w:rsidR="00066C4E" w:rsidRPr="006C09BD">
        <w:rPr>
          <w:rFonts w:cs="Arial"/>
          <w:lang w:val="en-GB"/>
        </w:rPr>
        <w:t>, Zoe Daskalopoulou</w:t>
      </w:r>
      <w:r w:rsidR="00780E6F" w:rsidRPr="00780E6F">
        <w:rPr>
          <w:rFonts w:cs="Arial"/>
          <w:vertAlign w:val="superscript"/>
          <w:lang w:val="en-GB"/>
        </w:rPr>
        <w:t>1</w:t>
      </w:r>
      <w:r w:rsidR="00066C4E" w:rsidRPr="006C09BD">
        <w:rPr>
          <w:rFonts w:cs="Arial"/>
          <w:lang w:val="en-GB"/>
        </w:rPr>
        <w:t>, Amanda Forster</w:t>
      </w:r>
      <w:r w:rsidR="00780E6F" w:rsidRPr="00780E6F">
        <w:rPr>
          <w:rFonts w:cs="Arial"/>
          <w:vertAlign w:val="superscript"/>
          <w:lang w:val="en-GB"/>
        </w:rPr>
        <w:t>9</w:t>
      </w:r>
      <w:r w:rsidR="00066C4E" w:rsidRPr="006C09BD">
        <w:rPr>
          <w:rFonts w:cs="Arial"/>
          <w:lang w:val="en-GB"/>
        </w:rPr>
        <w:t>, Michaela Graham-Travis</w:t>
      </w:r>
      <w:r w:rsidR="00780E6F">
        <w:rPr>
          <w:rFonts w:cs="Arial"/>
          <w:vertAlign w:val="superscript"/>
          <w:lang w:val="en-GB"/>
        </w:rPr>
        <w:t>1</w:t>
      </w:r>
      <w:r w:rsidR="00066C4E" w:rsidRPr="006C09BD">
        <w:rPr>
          <w:rFonts w:cs="Arial"/>
          <w:lang w:val="en-GB"/>
        </w:rPr>
        <w:t xml:space="preserve">, </w:t>
      </w:r>
      <w:r w:rsidR="00492EA9" w:rsidRPr="006C09BD">
        <w:rPr>
          <w:rFonts w:cs="Arial"/>
          <w:lang w:val="en-GB"/>
        </w:rPr>
        <w:t>Nigel</w:t>
      </w:r>
      <w:r w:rsidR="001F4287">
        <w:rPr>
          <w:rFonts w:cs="Arial"/>
          <w:lang w:val="en-GB"/>
        </w:rPr>
        <w:t xml:space="preserve"> J</w:t>
      </w:r>
      <w:r w:rsidR="00492EA9" w:rsidRPr="006C09BD">
        <w:rPr>
          <w:rFonts w:cs="Arial"/>
          <w:lang w:val="en-GB"/>
        </w:rPr>
        <w:t xml:space="preserve"> Hall</w:t>
      </w:r>
      <w:r w:rsidR="00492EA9" w:rsidRPr="00492EA9">
        <w:rPr>
          <w:rFonts w:cs="Arial"/>
          <w:vertAlign w:val="superscript"/>
          <w:lang w:val="en-GB"/>
        </w:rPr>
        <w:t>10</w:t>
      </w:r>
      <w:r w:rsidR="00492EA9">
        <w:rPr>
          <w:rFonts w:cs="Arial"/>
          <w:lang w:val="en-GB"/>
        </w:rPr>
        <w:t xml:space="preserve">, </w:t>
      </w:r>
      <w:r w:rsidR="00066C4E" w:rsidRPr="006C09BD">
        <w:rPr>
          <w:rFonts w:cs="Arial"/>
          <w:lang w:val="en-GB"/>
        </w:rPr>
        <w:t>Marie Hubbard</w:t>
      </w:r>
      <w:r w:rsidR="00492EA9">
        <w:rPr>
          <w:rFonts w:cs="Arial"/>
          <w:vertAlign w:val="superscript"/>
          <w:lang w:val="en-GB"/>
        </w:rPr>
        <w:t>11</w:t>
      </w:r>
      <w:r w:rsidR="00066C4E" w:rsidRPr="006C09BD">
        <w:rPr>
          <w:rFonts w:cs="Arial"/>
          <w:lang w:val="en-GB"/>
        </w:rPr>
        <w:t>, Madeleine Hurd</w:t>
      </w:r>
      <w:r w:rsidR="00492EA9">
        <w:rPr>
          <w:rFonts w:cs="Arial"/>
          <w:vertAlign w:val="superscript"/>
          <w:lang w:val="en-GB"/>
        </w:rPr>
        <w:t>1</w:t>
      </w:r>
      <w:r w:rsidR="00066C4E" w:rsidRPr="006C09BD">
        <w:rPr>
          <w:rFonts w:cs="Arial"/>
          <w:lang w:val="en-GB"/>
        </w:rPr>
        <w:t>, Pollyanna Hardy</w:t>
      </w:r>
      <w:r w:rsidR="00492EA9">
        <w:rPr>
          <w:rFonts w:cs="Arial"/>
          <w:vertAlign w:val="superscript"/>
          <w:lang w:val="en-GB"/>
        </w:rPr>
        <w:t>1</w:t>
      </w:r>
      <w:r w:rsidR="00066C4E" w:rsidRPr="006C09BD">
        <w:rPr>
          <w:rFonts w:cs="Arial"/>
          <w:lang w:val="en-GB"/>
        </w:rPr>
        <w:t>, Rod Hunt</w:t>
      </w:r>
      <w:r w:rsidR="00492EA9">
        <w:rPr>
          <w:rFonts w:cs="Arial"/>
          <w:vertAlign w:val="superscript"/>
          <w:lang w:val="en-GB"/>
        </w:rPr>
        <w:t>12</w:t>
      </w:r>
      <w:r w:rsidR="00066C4E" w:rsidRPr="006C09BD">
        <w:rPr>
          <w:rFonts w:cs="Arial"/>
          <w:lang w:val="en-GB"/>
        </w:rPr>
        <w:t>, Ann Kennedy</w:t>
      </w:r>
      <w:r w:rsidR="00492EA9">
        <w:rPr>
          <w:rFonts w:cs="Arial"/>
          <w:vertAlign w:val="superscript"/>
          <w:lang w:val="en-GB"/>
        </w:rPr>
        <w:t>1</w:t>
      </w:r>
      <w:r w:rsidR="00066C4E" w:rsidRPr="006C09BD">
        <w:rPr>
          <w:rFonts w:cs="Arial"/>
          <w:lang w:val="en-GB"/>
        </w:rPr>
        <w:t>, And</w:t>
      </w:r>
      <w:r w:rsidR="009136F5" w:rsidRPr="006C09BD">
        <w:rPr>
          <w:rFonts w:cs="Arial"/>
          <w:lang w:val="en-GB"/>
        </w:rPr>
        <w:t>rew</w:t>
      </w:r>
      <w:r w:rsidR="00066C4E" w:rsidRPr="006C09BD">
        <w:rPr>
          <w:rFonts w:cs="Arial"/>
          <w:lang w:val="en-GB"/>
        </w:rPr>
        <w:t xml:space="preserve"> King</w:t>
      </w:r>
      <w:r w:rsidR="00492EA9">
        <w:rPr>
          <w:rFonts w:cs="Arial"/>
          <w:vertAlign w:val="superscript"/>
          <w:lang w:val="en-GB"/>
        </w:rPr>
        <w:t>1</w:t>
      </w:r>
      <w:r w:rsidR="00066C4E" w:rsidRPr="006C09BD">
        <w:rPr>
          <w:rFonts w:cs="Arial"/>
          <w:lang w:val="en-GB"/>
        </w:rPr>
        <w:t>, Louise Linsell</w:t>
      </w:r>
      <w:r w:rsidR="00492EA9">
        <w:rPr>
          <w:rFonts w:cs="Arial"/>
          <w:vertAlign w:val="superscript"/>
          <w:lang w:val="en-GB"/>
        </w:rPr>
        <w:t>13</w:t>
      </w:r>
      <w:r w:rsidR="00066C4E" w:rsidRPr="006C09BD">
        <w:rPr>
          <w:rFonts w:cs="Arial"/>
          <w:lang w:val="en-GB"/>
        </w:rPr>
        <w:t xml:space="preserve">, Brett </w:t>
      </w:r>
      <w:r w:rsidR="00944C61" w:rsidRPr="006C09BD">
        <w:rPr>
          <w:rFonts w:cs="Arial"/>
          <w:lang w:val="en-GB"/>
        </w:rPr>
        <w:t xml:space="preserve">J </w:t>
      </w:r>
      <w:r w:rsidR="00066C4E" w:rsidRPr="006C09BD">
        <w:rPr>
          <w:rFonts w:cs="Arial"/>
          <w:lang w:val="en-GB"/>
        </w:rPr>
        <w:t>Manley</w:t>
      </w:r>
      <w:r w:rsidR="00492EA9" w:rsidRPr="00492EA9">
        <w:rPr>
          <w:rFonts w:cs="Arial"/>
          <w:sz w:val="18"/>
          <w:szCs w:val="18"/>
          <w:vertAlign w:val="superscript"/>
          <w:lang w:val="en-GB"/>
        </w:rPr>
        <w:t>14</w:t>
      </w:r>
      <w:r w:rsidR="00066C4E" w:rsidRPr="006C09BD">
        <w:rPr>
          <w:rFonts w:cs="Arial"/>
          <w:lang w:val="en-GB"/>
        </w:rPr>
        <w:t>, David Murray</w:t>
      </w:r>
      <w:r w:rsidR="00492EA9">
        <w:rPr>
          <w:rFonts w:cs="Arial"/>
          <w:vertAlign w:val="superscript"/>
          <w:lang w:val="en-GB"/>
        </w:rPr>
        <w:t>1</w:t>
      </w:r>
      <w:r w:rsidR="00066C4E" w:rsidRPr="006C09BD">
        <w:rPr>
          <w:rFonts w:cs="Arial"/>
          <w:lang w:val="en-GB"/>
        </w:rPr>
        <w:t xml:space="preserve">, </w:t>
      </w:r>
      <w:r w:rsidR="00B04869" w:rsidRPr="006C09BD">
        <w:rPr>
          <w:rFonts w:cs="Arial"/>
          <w:lang w:val="en-GB"/>
        </w:rPr>
        <w:t>Tracy K Mitchell</w:t>
      </w:r>
      <w:r w:rsidR="00492EA9">
        <w:rPr>
          <w:rFonts w:cs="Arial"/>
          <w:vertAlign w:val="superscript"/>
          <w:lang w:val="en-GB"/>
        </w:rPr>
        <w:t>15</w:t>
      </w:r>
      <w:r w:rsidR="00B04869" w:rsidRPr="006C09BD">
        <w:rPr>
          <w:rFonts w:cs="Arial"/>
          <w:lang w:val="en-GB"/>
        </w:rPr>
        <w:t>,</w:t>
      </w:r>
      <w:r w:rsidR="00066C4E" w:rsidRPr="006C09BD">
        <w:rPr>
          <w:rFonts w:cs="Arial"/>
          <w:lang w:val="en-GB"/>
        </w:rPr>
        <w:t xml:space="preserve"> </w:t>
      </w:r>
      <w:r w:rsidR="00B04869" w:rsidRPr="006C09BD">
        <w:rPr>
          <w:rFonts w:cs="Arial"/>
          <w:lang w:val="en-GB"/>
        </w:rPr>
        <w:t>Heather O’Connor</w:t>
      </w:r>
      <w:r w:rsidR="00492EA9">
        <w:rPr>
          <w:rFonts w:cs="Arial"/>
          <w:vertAlign w:val="superscript"/>
          <w:lang w:val="en-GB"/>
        </w:rPr>
        <w:t>1</w:t>
      </w:r>
      <w:r w:rsidR="00B04869" w:rsidRPr="006C09BD">
        <w:rPr>
          <w:rFonts w:cs="Arial"/>
          <w:lang w:val="en-GB"/>
        </w:rPr>
        <w:t>, Shalini Ojha</w:t>
      </w:r>
      <w:r w:rsidR="00492EA9" w:rsidRPr="00492EA9">
        <w:rPr>
          <w:rFonts w:cs="Arial"/>
          <w:vertAlign w:val="superscript"/>
          <w:lang w:val="en-GB"/>
        </w:rPr>
        <w:t>16</w:t>
      </w:r>
      <w:r w:rsidR="00B04869" w:rsidRPr="006C09BD">
        <w:rPr>
          <w:rFonts w:cs="Arial"/>
          <w:lang w:val="en-GB"/>
        </w:rPr>
        <w:t>, Charles C Roehr</w:t>
      </w:r>
      <w:r w:rsidR="00492EA9" w:rsidRPr="00492EA9">
        <w:rPr>
          <w:rFonts w:cs="Arial"/>
          <w:vertAlign w:val="superscript"/>
          <w:lang w:val="en-GB"/>
        </w:rPr>
        <w:t>1,</w:t>
      </w:r>
      <w:r w:rsidR="00492EA9">
        <w:rPr>
          <w:rFonts w:cs="Arial"/>
          <w:vertAlign w:val="superscript"/>
          <w:lang w:val="en-GB"/>
        </w:rPr>
        <w:t>17</w:t>
      </w:r>
      <w:r w:rsidR="00B04869" w:rsidRPr="006C09BD">
        <w:rPr>
          <w:rFonts w:cs="Arial"/>
          <w:lang w:val="en-GB"/>
        </w:rPr>
        <w:t>, Oliver Rivero-Arias</w:t>
      </w:r>
      <w:r w:rsidR="00492EA9">
        <w:rPr>
          <w:rFonts w:cs="Arial"/>
          <w:vertAlign w:val="superscript"/>
          <w:lang w:val="en-GB"/>
        </w:rPr>
        <w:t>1</w:t>
      </w:r>
      <w:r w:rsidR="00B04869" w:rsidRPr="006C09BD">
        <w:rPr>
          <w:rFonts w:cs="Arial"/>
          <w:lang w:val="en-GB"/>
        </w:rPr>
        <w:t>, Kayleigh Stanbury</w:t>
      </w:r>
      <w:r w:rsidR="00492EA9" w:rsidRPr="00492EA9">
        <w:rPr>
          <w:rFonts w:cs="Arial"/>
          <w:vertAlign w:val="superscript"/>
          <w:lang w:val="en-GB"/>
        </w:rPr>
        <w:t>1</w:t>
      </w:r>
      <w:r w:rsidR="005371A3" w:rsidRPr="006C09BD">
        <w:rPr>
          <w:rFonts w:cs="Arial"/>
          <w:lang w:val="en-GB"/>
        </w:rPr>
        <w:t>,</w:t>
      </w:r>
      <w:r w:rsidR="003D66D0" w:rsidRPr="006C09BD">
        <w:rPr>
          <w:rFonts w:cs="Arial"/>
          <w:lang w:val="en-GB"/>
        </w:rPr>
        <w:t xml:space="preserve"> </w:t>
      </w:r>
      <w:r w:rsidR="003D66D0" w:rsidRPr="006C09BD">
        <w:rPr>
          <w:lang w:val="en-GB"/>
        </w:rPr>
        <w:t>Jacqueline Taylor</w:t>
      </w:r>
      <w:r w:rsidR="00492EA9">
        <w:rPr>
          <w:vertAlign w:val="superscript"/>
          <w:lang w:val="en-GB"/>
        </w:rPr>
        <w:t>2</w:t>
      </w:r>
      <w:r w:rsidR="003D66D0" w:rsidRPr="006C09BD">
        <w:rPr>
          <w:lang w:val="en-GB"/>
        </w:rPr>
        <w:t>,</w:t>
      </w:r>
      <w:r w:rsidR="005371A3" w:rsidRPr="006C09BD">
        <w:rPr>
          <w:rFonts w:cs="Arial"/>
          <w:lang w:val="en-GB"/>
        </w:rPr>
        <w:t xml:space="preserve"> </w:t>
      </w:r>
      <w:r w:rsidR="00B04869" w:rsidRPr="006C09BD">
        <w:rPr>
          <w:rFonts w:cs="Arial"/>
          <w:lang w:val="en-GB"/>
        </w:rPr>
        <w:t>Lyvonne Tume</w:t>
      </w:r>
      <w:r w:rsidR="00492EA9">
        <w:rPr>
          <w:rFonts w:cs="Arial"/>
          <w:vertAlign w:val="superscript"/>
          <w:lang w:val="en-GB"/>
        </w:rPr>
        <w:t>18</w:t>
      </w:r>
      <w:r w:rsidR="00B04869" w:rsidRPr="006C09BD">
        <w:rPr>
          <w:rFonts w:cs="Arial"/>
          <w:lang w:val="en-GB"/>
        </w:rPr>
        <w:t>,</w:t>
      </w:r>
      <w:r w:rsidR="005371A3" w:rsidRPr="006C09BD">
        <w:rPr>
          <w:rFonts w:cs="Arial"/>
          <w:lang w:val="en-GB"/>
        </w:rPr>
        <w:t xml:space="preserve"> Richard Welsh</w:t>
      </w:r>
      <w:r w:rsidR="00492EA9">
        <w:rPr>
          <w:rFonts w:cs="Arial"/>
          <w:vertAlign w:val="superscript"/>
          <w:lang w:val="en-GB"/>
        </w:rPr>
        <w:t>1</w:t>
      </w:r>
      <w:r w:rsidR="005371A3" w:rsidRPr="006C09BD">
        <w:rPr>
          <w:rFonts w:cs="Arial"/>
          <w:lang w:val="en-GB"/>
        </w:rPr>
        <w:t>, Joy Wiles</w:t>
      </w:r>
      <w:r w:rsidR="00492EA9">
        <w:rPr>
          <w:rFonts w:cs="Arial"/>
          <w:vertAlign w:val="superscript"/>
          <w:lang w:val="en-GB"/>
        </w:rPr>
        <w:t>1</w:t>
      </w:r>
      <w:r w:rsidR="005371A3" w:rsidRPr="006C09BD">
        <w:rPr>
          <w:rFonts w:cs="Arial"/>
          <w:lang w:val="en-GB"/>
        </w:rPr>
        <w:t>,</w:t>
      </w:r>
      <w:r w:rsidR="00B04869" w:rsidRPr="006C09BD">
        <w:rPr>
          <w:rFonts w:cs="Arial"/>
          <w:lang w:val="en-GB"/>
        </w:rPr>
        <w:t xml:space="preserve"> Kerry Woolfall</w:t>
      </w:r>
      <w:r w:rsidR="00492EA9">
        <w:rPr>
          <w:rFonts w:cs="Arial"/>
          <w:vertAlign w:val="superscript"/>
          <w:lang w:val="en-GB"/>
        </w:rPr>
        <w:t>15</w:t>
      </w:r>
      <w:r w:rsidR="00B04869" w:rsidRPr="006C09BD">
        <w:rPr>
          <w:rFonts w:cs="Arial"/>
          <w:lang w:val="en-GB"/>
        </w:rPr>
        <w:t>, Lauren Young</w:t>
      </w:r>
      <w:r w:rsidR="00492EA9">
        <w:rPr>
          <w:rFonts w:cs="Arial"/>
          <w:vertAlign w:val="superscript"/>
          <w:lang w:val="en-GB"/>
        </w:rPr>
        <w:t>19</w:t>
      </w:r>
      <w:r w:rsidR="005371A3" w:rsidRPr="006C09BD">
        <w:rPr>
          <w:rFonts w:cs="Arial"/>
          <w:lang w:val="en-GB"/>
        </w:rPr>
        <w:t xml:space="preserve">, </w:t>
      </w:r>
      <w:r w:rsidRPr="006C09BD">
        <w:rPr>
          <w:rFonts w:cs="Arial"/>
          <w:lang w:val="en-GB"/>
        </w:rPr>
        <w:t>Calum Roberts</w:t>
      </w:r>
      <w:r w:rsidR="00492EA9">
        <w:rPr>
          <w:rFonts w:cs="Arial"/>
          <w:vertAlign w:val="superscript"/>
          <w:lang w:val="en-GB"/>
        </w:rPr>
        <w:t>2,20</w:t>
      </w:r>
      <w:r w:rsidRPr="006C09BD">
        <w:rPr>
          <w:rFonts w:cs="Arial"/>
          <w:lang w:val="en-GB"/>
        </w:rPr>
        <w:t>, Chris Gale</w:t>
      </w:r>
      <w:r w:rsidR="00492EA9" w:rsidRPr="00492EA9">
        <w:rPr>
          <w:rFonts w:cs="Arial"/>
          <w:vertAlign w:val="superscript"/>
          <w:lang w:val="en-GB"/>
        </w:rPr>
        <w:t>3,</w:t>
      </w:r>
      <w:r w:rsidR="00492EA9">
        <w:rPr>
          <w:rFonts w:cs="Arial"/>
          <w:vertAlign w:val="superscript"/>
          <w:lang w:val="en-GB"/>
        </w:rPr>
        <w:t>21</w:t>
      </w:r>
      <w:r w:rsidR="007256DD" w:rsidRPr="006C09BD">
        <w:rPr>
          <w:rFonts w:cs="Arial"/>
          <w:lang w:val="en-GB"/>
        </w:rPr>
        <w:t xml:space="preserve"> </w:t>
      </w:r>
      <w:r w:rsidR="003C1309" w:rsidRPr="006C09BD">
        <w:rPr>
          <w:rFonts w:cs="Arial"/>
          <w:lang w:val="en-GB"/>
        </w:rPr>
        <w:t>and</w:t>
      </w:r>
      <w:r w:rsidR="007256DD" w:rsidRPr="006C09BD">
        <w:rPr>
          <w:rFonts w:cs="Arial"/>
          <w:lang w:val="en-GB"/>
        </w:rPr>
        <w:t xml:space="preserve"> </w:t>
      </w:r>
      <w:r w:rsidR="007256DD" w:rsidRPr="006C09BD">
        <w:rPr>
          <w:rFonts w:cs="Arial"/>
          <w:u w:val="single"/>
          <w:lang w:val="en-GB"/>
        </w:rPr>
        <w:t>the neoGASTRIC collaborative group</w:t>
      </w:r>
    </w:p>
    <w:p w14:paraId="4EF1BD41" w14:textId="3505EECB" w:rsidR="00780E6F" w:rsidRDefault="00780E6F">
      <w:pPr>
        <w:pStyle w:val="BodyA"/>
        <w:widowControl w:val="0"/>
        <w:spacing w:line="360" w:lineRule="auto"/>
        <w:rPr>
          <w:rFonts w:cs="Arial"/>
          <w:sz w:val="28"/>
          <w:szCs w:val="28"/>
          <w:vertAlign w:val="superscript"/>
          <w:lang w:val="en-GB"/>
        </w:rPr>
      </w:pPr>
      <w:r>
        <w:rPr>
          <w:rFonts w:cs="Arial"/>
          <w:b/>
          <w:bCs/>
          <w:sz w:val="28"/>
          <w:szCs w:val="28"/>
          <w:lang w:val="en-GB"/>
        </w:rPr>
        <w:t>Authors information</w:t>
      </w:r>
    </w:p>
    <w:p w14:paraId="5D7ABB4A" w14:textId="25AC3696" w:rsidR="00780E6F" w:rsidRPr="00780E6F" w:rsidRDefault="00780E6F" w:rsidP="00780E6F">
      <w:pPr>
        <w:pStyle w:val="BodyA"/>
        <w:widowControl w:val="0"/>
        <w:spacing w:before="120" w:after="120" w:line="360" w:lineRule="auto"/>
        <w:rPr>
          <w:rFonts w:cs="Arial"/>
          <w:lang w:val="en-GB"/>
        </w:rPr>
      </w:pPr>
      <w:r w:rsidRPr="00780E6F">
        <w:rPr>
          <w:rFonts w:cs="Arial"/>
          <w:vertAlign w:val="superscript"/>
          <w:lang w:val="en-GB"/>
        </w:rPr>
        <w:t>1</w:t>
      </w:r>
      <w:r w:rsidRPr="00780E6F">
        <w:rPr>
          <w:rFonts w:cs="Arial"/>
          <w:lang w:val="en-GB"/>
        </w:rPr>
        <w:t xml:space="preserve"> National Perinatal Epidemiology Unit Clinical Trials Unit, Nuffield Department of Population Health, University of Oxford, Old Road Campus, Oxford, UK.</w:t>
      </w:r>
    </w:p>
    <w:p w14:paraId="5AB6E9F0" w14:textId="2B66B36F" w:rsidR="00780E6F" w:rsidRPr="00780E6F" w:rsidRDefault="00780E6F" w:rsidP="00780E6F">
      <w:pPr>
        <w:pStyle w:val="BodyA"/>
        <w:widowControl w:val="0"/>
        <w:spacing w:before="120" w:after="120" w:line="360" w:lineRule="auto"/>
        <w:rPr>
          <w:rFonts w:cs="Arial"/>
          <w:lang w:val="en-GB"/>
        </w:rPr>
      </w:pPr>
      <w:r w:rsidRPr="00780E6F">
        <w:rPr>
          <w:rFonts w:cs="Arial"/>
          <w:vertAlign w:val="superscript"/>
          <w:lang w:val="en-GB"/>
        </w:rPr>
        <w:t>2</w:t>
      </w:r>
      <w:r w:rsidRPr="00780E6F">
        <w:rPr>
          <w:rFonts w:cs="Arial"/>
          <w:lang w:val="en-GB"/>
        </w:rPr>
        <w:t xml:space="preserve"> Monash Newborn, Monash Children’s Hospital, Clayton, Australia. </w:t>
      </w:r>
      <w:r w:rsidR="00492EA9" w:rsidRPr="00492EA9">
        <w:rPr>
          <w:rFonts w:cs="Arial"/>
          <w:lang w:val="en-GB"/>
        </w:rPr>
        <w:t xml:space="preserve">Department of Paediatrics, Monash University, </w:t>
      </w:r>
      <w:r w:rsidR="00E20372" w:rsidRPr="00492EA9">
        <w:rPr>
          <w:rFonts w:cs="Arial"/>
          <w:lang w:val="en-GB"/>
        </w:rPr>
        <w:t>Clayton,</w:t>
      </w:r>
      <w:r w:rsidR="00492EA9" w:rsidRPr="00492EA9">
        <w:rPr>
          <w:rFonts w:cs="Arial"/>
          <w:lang w:val="en-GB"/>
        </w:rPr>
        <w:t xml:space="preserve"> Australia</w:t>
      </w:r>
    </w:p>
    <w:p w14:paraId="2AEE374A" w14:textId="214FB47F" w:rsidR="00780E6F" w:rsidRPr="00780E6F" w:rsidRDefault="00780E6F" w:rsidP="00780E6F">
      <w:pPr>
        <w:pStyle w:val="BodyA"/>
        <w:widowControl w:val="0"/>
        <w:spacing w:before="120" w:after="120" w:line="360" w:lineRule="auto"/>
        <w:rPr>
          <w:rFonts w:cs="Arial"/>
          <w:lang w:val="en-GB"/>
        </w:rPr>
      </w:pPr>
      <w:r w:rsidRPr="00780E6F">
        <w:rPr>
          <w:rFonts w:cs="Arial"/>
          <w:vertAlign w:val="superscript"/>
          <w:lang w:val="en-GB"/>
        </w:rPr>
        <w:t>3</w:t>
      </w:r>
      <w:r w:rsidRPr="00780E6F">
        <w:rPr>
          <w:rFonts w:cs="Arial"/>
          <w:lang w:val="en-GB"/>
        </w:rPr>
        <w:t xml:space="preserve"> Chelsea and Westminster Hospital, Neonatal Intensive Care Unit, London, UK.</w:t>
      </w:r>
    </w:p>
    <w:p w14:paraId="09CC3B90" w14:textId="362640BA" w:rsidR="00780E6F" w:rsidRPr="00780E6F" w:rsidRDefault="00780E6F" w:rsidP="00780E6F">
      <w:pPr>
        <w:pStyle w:val="BodyA"/>
        <w:widowControl w:val="0"/>
        <w:spacing w:before="120" w:after="120" w:line="360" w:lineRule="auto"/>
        <w:rPr>
          <w:rFonts w:cs="Arial"/>
          <w:lang w:val="en-GB"/>
        </w:rPr>
      </w:pPr>
      <w:r w:rsidRPr="001638B0">
        <w:rPr>
          <w:rFonts w:cs="Arial"/>
          <w:vertAlign w:val="superscript"/>
          <w:lang w:val="en-GB"/>
        </w:rPr>
        <w:t>4</w:t>
      </w:r>
      <w:r>
        <w:rPr>
          <w:rFonts w:cs="Arial"/>
          <w:lang w:val="en-GB"/>
        </w:rPr>
        <w:t xml:space="preserve"> </w:t>
      </w:r>
      <w:r w:rsidRPr="00780E6F">
        <w:rPr>
          <w:rFonts w:cs="Arial"/>
          <w:lang w:val="en-GB"/>
        </w:rPr>
        <w:t>Neonatal Medicine, School of Public Health, Faculty of Medicine, Imperial College London, UK.</w:t>
      </w:r>
    </w:p>
    <w:p w14:paraId="2F5881E1" w14:textId="35463D32" w:rsidR="00780E6F" w:rsidRDefault="00780E6F" w:rsidP="00780E6F">
      <w:pPr>
        <w:pStyle w:val="BodyA"/>
        <w:widowControl w:val="0"/>
        <w:spacing w:before="120" w:after="120" w:line="360" w:lineRule="auto"/>
        <w:rPr>
          <w:rFonts w:cs="Arial"/>
          <w:lang w:val="en-GB"/>
        </w:rPr>
      </w:pPr>
      <w:r w:rsidRPr="001638B0">
        <w:rPr>
          <w:rFonts w:cs="Arial"/>
          <w:vertAlign w:val="superscript"/>
          <w:lang w:val="en-GB"/>
        </w:rPr>
        <w:t>5</w:t>
      </w:r>
      <w:r w:rsidRPr="00780E6F">
        <w:rPr>
          <w:rFonts w:cs="Arial"/>
          <w:lang w:val="en-GB"/>
        </w:rPr>
        <w:t xml:space="preserve"> Consumer Advisory Group, NHMRC CRE in Newborn Medicine, Murdoch Children’s Research Institute</w:t>
      </w:r>
      <w:r w:rsidR="00E20372">
        <w:rPr>
          <w:rFonts w:cs="Arial"/>
          <w:lang w:val="en-GB"/>
        </w:rPr>
        <w:t>, Australia</w:t>
      </w:r>
    </w:p>
    <w:p w14:paraId="001DAEDF" w14:textId="62A6642F" w:rsidR="00780E6F" w:rsidRPr="001638B0" w:rsidRDefault="00780E6F" w:rsidP="00780E6F">
      <w:pPr>
        <w:pStyle w:val="BodyA"/>
        <w:widowControl w:val="0"/>
        <w:spacing w:before="120" w:after="120" w:line="360" w:lineRule="auto"/>
        <w:rPr>
          <w:rFonts w:cs="Arial"/>
          <w:lang w:val="en-GB"/>
        </w:rPr>
      </w:pPr>
      <w:r w:rsidRPr="001638B0">
        <w:rPr>
          <w:rFonts w:cs="Arial"/>
          <w:vertAlign w:val="superscript"/>
          <w:lang w:val="en-GB"/>
        </w:rPr>
        <w:t xml:space="preserve">6 </w:t>
      </w:r>
      <w:r w:rsidRPr="001638B0">
        <w:rPr>
          <w:rFonts w:cs="Arial"/>
          <w:lang w:val="en-GB"/>
        </w:rPr>
        <w:t>Health Economics Group, Melbourne School of Population and Global Health, University of Melbourne</w:t>
      </w:r>
      <w:r w:rsidR="00E20372">
        <w:rPr>
          <w:rFonts w:cs="Arial"/>
          <w:lang w:val="en-GB"/>
        </w:rPr>
        <w:t>, Australia</w:t>
      </w:r>
    </w:p>
    <w:p w14:paraId="5F8064F2" w14:textId="3F0C51DA" w:rsidR="00780E6F" w:rsidRPr="001638B0" w:rsidRDefault="00780E6F" w:rsidP="00780E6F">
      <w:pPr>
        <w:pStyle w:val="BodyA"/>
        <w:widowControl w:val="0"/>
        <w:spacing w:before="120" w:after="120" w:line="360" w:lineRule="auto"/>
        <w:rPr>
          <w:rFonts w:cs="Arial"/>
          <w:lang w:val="en-GB"/>
        </w:rPr>
      </w:pPr>
      <w:r w:rsidRPr="001638B0">
        <w:rPr>
          <w:rFonts w:cs="Arial"/>
          <w:vertAlign w:val="superscript"/>
          <w:lang w:val="en-GB"/>
        </w:rPr>
        <w:t>7</w:t>
      </w:r>
      <w:r w:rsidRPr="001638B0">
        <w:rPr>
          <w:rFonts w:cs="Arial"/>
          <w:lang w:val="en-GB"/>
        </w:rPr>
        <w:t xml:space="preserve"> </w:t>
      </w:r>
      <w:r w:rsidR="001358B1">
        <w:rPr>
          <w:rFonts w:cs="Arial"/>
          <w:lang w:val="en-GB"/>
        </w:rPr>
        <w:t xml:space="preserve">University of </w:t>
      </w:r>
      <w:r w:rsidRPr="001638B0">
        <w:rPr>
          <w:rFonts w:cs="Arial"/>
          <w:lang w:val="en-GB"/>
        </w:rPr>
        <w:t>Leeds</w:t>
      </w:r>
      <w:r w:rsidR="001358B1">
        <w:rPr>
          <w:rFonts w:cs="Arial"/>
          <w:lang w:val="en-GB"/>
        </w:rPr>
        <w:t>, UK</w:t>
      </w:r>
    </w:p>
    <w:p w14:paraId="7B68F394" w14:textId="289D4715" w:rsidR="00780E6F" w:rsidRPr="00780E6F" w:rsidRDefault="00780E6F" w:rsidP="00780E6F">
      <w:pPr>
        <w:pStyle w:val="BodyA"/>
        <w:widowControl w:val="0"/>
        <w:spacing w:before="120" w:after="120" w:line="360" w:lineRule="auto"/>
        <w:rPr>
          <w:rFonts w:cs="Arial"/>
          <w:lang w:val="en-GB"/>
        </w:rPr>
      </w:pPr>
      <w:r w:rsidRPr="001638B0">
        <w:rPr>
          <w:rFonts w:cs="Arial"/>
          <w:vertAlign w:val="superscript"/>
          <w:lang w:val="en-GB"/>
        </w:rPr>
        <w:t xml:space="preserve">8 </w:t>
      </w:r>
      <w:r w:rsidRPr="001638B0">
        <w:rPr>
          <w:rFonts w:cs="Arial"/>
          <w:lang w:val="en-GB"/>
        </w:rPr>
        <w:t>The Royal Women’s Hospital, University of Melbourne, Australia</w:t>
      </w:r>
    </w:p>
    <w:p w14:paraId="3FA6A329" w14:textId="3B72131F" w:rsidR="00780E6F" w:rsidRPr="001638B0" w:rsidRDefault="00780E6F" w:rsidP="001638B0">
      <w:pPr>
        <w:pStyle w:val="BodyA"/>
        <w:widowControl w:val="0"/>
        <w:spacing w:before="120" w:after="120" w:line="360" w:lineRule="auto"/>
        <w:rPr>
          <w:rFonts w:cs="Arial"/>
          <w:lang w:val="en-GB"/>
        </w:rPr>
      </w:pPr>
      <w:r w:rsidRPr="001638B0">
        <w:rPr>
          <w:rFonts w:cs="Arial"/>
          <w:vertAlign w:val="superscript"/>
          <w:lang w:val="en-GB"/>
        </w:rPr>
        <w:t xml:space="preserve">9 </w:t>
      </w:r>
      <w:r w:rsidRPr="001638B0">
        <w:rPr>
          <w:rFonts w:cs="Arial"/>
          <w:lang w:val="en-GB"/>
        </w:rPr>
        <w:t>James Cook University Hospital, Middlesbrough</w:t>
      </w:r>
      <w:r w:rsidR="00E20372">
        <w:rPr>
          <w:rFonts w:cs="Arial"/>
          <w:lang w:val="en-GB"/>
        </w:rPr>
        <w:t>, UK</w:t>
      </w:r>
    </w:p>
    <w:p w14:paraId="6336BFAB" w14:textId="77777777"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10</w:t>
      </w:r>
      <w:r w:rsidRPr="001638B0">
        <w:rPr>
          <w:rFonts w:cs="Arial"/>
          <w:lang w:val="en-GB"/>
        </w:rPr>
        <w:t xml:space="preserve"> University Surgery Unit, Faculty of Medicine, University of Southampton, Southampton, UK</w:t>
      </w:r>
    </w:p>
    <w:p w14:paraId="533B24CF" w14:textId="2D898873" w:rsidR="00780E6F"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11</w:t>
      </w:r>
      <w:r w:rsidRPr="001638B0">
        <w:rPr>
          <w:rFonts w:cs="Arial"/>
          <w:lang w:val="en-GB"/>
        </w:rPr>
        <w:t xml:space="preserve"> University Hospitals of Leicester NHS Trust</w:t>
      </w:r>
      <w:r w:rsidR="00E20372">
        <w:rPr>
          <w:rFonts w:cs="Arial"/>
          <w:lang w:val="en-GB"/>
        </w:rPr>
        <w:t>, UK</w:t>
      </w:r>
    </w:p>
    <w:p w14:paraId="07F84D1C" w14:textId="70664A03"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12</w:t>
      </w:r>
      <w:r w:rsidRPr="001638B0">
        <w:rPr>
          <w:rFonts w:cs="Arial"/>
          <w:lang w:val="en-GB"/>
        </w:rPr>
        <w:t xml:space="preserve"> Dept of Paediatrics, Monash University, Melbourne Australia. Dept of Neonatal Medicine, Monash Health</w:t>
      </w:r>
    </w:p>
    <w:p w14:paraId="2ED2D610" w14:textId="735B189A" w:rsidR="00492EA9" w:rsidRPr="001638B0" w:rsidRDefault="00492EA9" w:rsidP="001638B0">
      <w:pPr>
        <w:pStyle w:val="BodyA"/>
        <w:widowControl w:val="0"/>
        <w:spacing w:before="120" w:after="120" w:line="360" w:lineRule="auto"/>
        <w:rPr>
          <w:rFonts w:cs="Arial"/>
          <w:lang w:val="en-GB"/>
        </w:rPr>
      </w:pPr>
      <w:r w:rsidRPr="001638B0">
        <w:rPr>
          <w:rFonts w:cs="Arial"/>
          <w:lang w:val="en-GB"/>
        </w:rPr>
        <w:t>Cerebral Palsy Alliance, University of Sydney</w:t>
      </w:r>
      <w:r w:rsidR="00E20372">
        <w:rPr>
          <w:rFonts w:cs="Arial"/>
          <w:lang w:val="en-GB"/>
        </w:rPr>
        <w:t>, Australia</w:t>
      </w:r>
    </w:p>
    <w:p w14:paraId="68EDB0C4" w14:textId="17C8CED2"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13</w:t>
      </w:r>
      <w:r w:rsidRPr="001638B0">
        <w:rPr>
          <w:rFonts w:cs="Arial"/>
          <w:lang w:val="en-GB"/>
        </w:rPr>
        <w:t xml:space="preserve"> University of Oxford</w:t>
      </w:r>
      <w:r w:rsidR="00E20372">
        <w:rPr>
          <w:rFonts w:cs="Arial"/>
          <w:lang w:val="en-GB"/>
        </w:rPr>
        <w:t>, UK</w:t>
      </w:r>
    </w:p>
    <w:p w14:paraId="701906BD" w14:textId="0CB754CA"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14</w:t>
      </w:r>
      <w:r w:rsidRPr="001638B0">
        <w:rPr>
          <w:rFonts w:cs="Arial"/>
          <w:lang w:val="en-GB"/>
        </w:rPr>
        <w:t xml:space="preserve"> Mercy Perinatal, Mercy Hospital for Women, Melbourne, Australia; Department of Obstetrics and </w:t>
      </w:r>
      <w:r w:rsidRPr="001638B0">
        <w:rPr>
          <w:rFonts w:cs="Arial"/>
          <w:lang w:val="en-GB"/>
        </w:rPr>
        <w:lastRenderedPageBreak/>
        <w:t>Gynaecology, The University of Melbourne, Melbourne, Australia</w:t>
      </w:r>
    </w:p>
    <w:p w14:paraId="169121A2" w14:textId="0DB31686" w:rsidR="00492EA9" w:rsidRPr="00E20372" w:rsidRDefault="00492EA9" w:rsidP="001638B0">
      <w:pPr>
        <w:pStyle w:val="BodyA"/>
        <w:widowControl w:val="0"/>
        <w:spacing w:before="120" w:after="120" w:line="360" w:lineRule="auto"/>
        <w:rPr>
          <w:rFonts w:cs="Arial"/>
          <w:lang w:val="en-GB"/>
        </w:rPr>
      </w:pPr>
      <w:r w:rsidRPr="001638B0">
        <w:rPr>
          <w:rFonts w:cs="Arial"/>
          <w:vertAlign w:val="superscript"/>
          <w:lang w:val="en-GB"/>
        </w:rPr>
        <w:t>15</w:t>
      </w:r>
      <w:r w:rsidRPr="001638B0">
        <w:rPr>
          <w:rFonts w:cs="Arial"/>
          <w:lang w:val="en-GB"/>
        </w:rPr>
        <w:t xml:space="preserve"> Department of Public Health Policy and Systems, University of Liverpool, Liverpool, UK</w:t>
      </w:r>
    </w:p>
    <w:p w14:paraId="770845CB" w14:textId="0D6F4ADE"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16</w:t>
      </w:r>
      <w:r w:rsidRPr="001638B0">
        <w:rPr>
          <w:rFonts w:cs="Arial"/>
          <w:lang w:val="en-GB"/>
        </w:rPr>
        <w:t xml:space="preserve"> </w:t>
      </w:r>
      <w:r w:rsidR="00E20372">
        <w:rPr>
          <w:rFonts w:eastAsia="Times New Roman" w:cs="Arial"/>
          <w:color w:val="212121"/>
        </w:rPr>
        <w:t>University of Nottingham, Nottingham, UK</w:t>
      </w:r>
    </w:p>
    <w:p w14:paraId="53293838" w14:textId="707D4C00"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17</w:t>
      </w:r>
      <w:r w:rsidRPr="001638B0">
        <w:rPr>
          <w:rFonts w:cs="Arial"/>
          <w:lang w:val="en-GB"/>
        </w:rPr>
        <w:t xml:space="preserve"> Faculty of Health and Life Sciences, University of Bristol, Bristol, UK</w:t>
      </w:r>
    </w:p>
    <w:p w14:paraId="11D991A4" w14:textId="6DDC18BF"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18</w:t>
      </w:r>
      <w:r w:rsidRPr="001638B0">
        <w:rPr>
          <w:rFonts w:cs="Arial"/>
          <w:lang w:val="en-GB"/>
        </w:rPr>
        <w:t xml:space="preserve"> Edge Hill University, Ormskirk, Alder Hey Children's NHS FT, Liverpool UK</w:t>
      </w:r>
    </w:p>
    <w:p w14:paraId="2FAE5B7D" w14:textId="2EEF2228"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19</w:t>
      </w:r>
      <w:r w:rsidRPr="001638B0">
        <w:rPr>
          <w:rFonts w:cs="Arial"/>
          <w:lang w:val="en-GB"/>
        </w:rPr>
        <w:t xml:space="preserve"> SSNAP (Support for Sick Newborn and their Parents)</w:t>
      </w:r>
      <w:r w:rsidR="00E20372">
        <w:rPr>
          <w:rFonts w:cs="Arial"/>
          <w:lang w:val="en-GB"/>
        </w:rPr>
        <w:t>, Oxford, UK</w:t>
      </w:r>
    </w:p>
    <w:p w14:paraId="61FC8A30" w14:textId="61D1B871" w:rsidR="00492EA9" w:rsidRPr="001638B0" w:rsidRDefault="00492EA9" w:rsidP="001638B0">
      <w:pPr>
        <w:pStyle w:val="BodyA"/>
        <w:widowControl w:val="0"/>
        <w:spacing w:before="120" w:after="120" w:line="360" w:lineRule="auto"/>
        <w:rPr>
          <w:rFonts w:cs="Arial"/>
          <w:lang w:val="en-GB"/>
        </w:rPr>
      </w:pPr>
      <w:r w:rsidRPr="001638B0">
        <w:rPr>
          <w:rFonts w:cs="Arial"/>
          <w:vertAlign w:val="superscript"/>
          <w:lang w:val="en-GB"/>
        </w:rPr>
        <w:t xml:space="preserve">20 </w:t>
      </w:r>
      <w:r w:rsidRPr="001638B0">
        <w:rPr>
          <w:rFonts w:cs="Arial"/>
          <w:lang w:val="en-GB"/>
        </w:rPr>
        <w:t>The Ritchie Centre, Hudson Institute of Medical Research, Clayton, Australia</w:t>
      </w:r>
    </w:p>
    <w:p w14:paraId="141D8E82" w14:textId="447D8262" w:rsidR="00492EA9" w:rsidRDefault="00492EA9" w:rsidP="001638B0">
      <w:pPr>
        <w:pStyle w:val="BodyA"/>
        <w:widowControl w:val="0"/>
        <w:spacing w:before="120" w:after="120" w:line="360" w:lineRule="auto"/>
        <w:rPr>
          <w:rFonts w:cs="Arial"/>
          <w:lang w:val="en-GB"/>
        </w:rPr>
      </w:pPr>
      <w:r w:rsidRPr="001638B0">
        <w:rPr>
          <w:rFonts w:cs="Arial"/>
          <w:vertAlign w:val="superscript"/>
          <w:lang w:val="en-GB"/>
        </w:rPr>
        <w:t>21</w:t>
      </w:r>
      <w:bookmarkStart w:id="0" w:name="_Hlk211605649"/>
      <w:r w:rsidRPr="001638B0">
        <w:rPr>
          <w:rFonts w:cs="Arial"/>
          <w:lang w:val="en-GB"/>
        </w:rPr>
        <w:t xml:space="preserve"> School of Public Health, Faculty of Medicine, Chelsea and Westminster Campus, Imperial College London, London, UK</w:t>
      </w:r>
      <w:bookmarkEnd w:id="0"/>
    </w:p>
    <w:p w14:paraId="1DFFCFBB" w14:textId="77777777" w:rsidR="001638B0" w:rsidRPr="001638B0" w:rsidRDefault="001638B0" w:rsidP="001638B0">
      <w:pPr>
        <w:pStyle w:val="BodyA"/>
        <w:widowControl w:val="0"/>
        <w:spacing w:before="120" w:after="120" w:line="360" w:lineRule="auto"/>
        <w:rPr>
          <w:rFonts w:cs="Arial"/>
          <w:lang w:val="en-GB"/>
        </w:rPr>
      </w:pPr>
    </w:p>
    <w:p w14:paraId="69AD5A68" w14:textId="7C0F1DC5" w:rsidR="0050292B" w:rsidRDefault="00551CF0">
      <w:pPr>
        <w:pStyle w:val="BodyA"/>
        <w:widowControl w:val="0"/>
        <w:spacing w:line="360" w:lineRule="auto"/>
        <w:rPr>
          <w:rFonts w:cs="Arial"/>
          <w:b/>
          <w:bCs/>
          <w:sz w:val="28"/>
          <w:szCs w:val="28"/>
          <w:lang w:val="en-GB"/>
        </w:rPr>
      </w:pPr>
      <w:r w:rsidRPr="006C09BD">
        <w:rPr>
          <w:rFonts w:cs="Arial"/>
          <w:b/>
          <w:bCs/>
          <w:sz w:val="28"/>
          <w:szCs w:val="28"/>
          <w:lang w:val="en-GB"/>
        </w:rPr>
        <w:t>Abstract</w:t>
      </w:r>
    </w:p>
    <w:p w14:paraId="2C4E1ECC" w14:textId="77777777" w:rsidR="00431CB9" w:rsidRPr="006C09BD" w:rsidRDefault="00431CB9">
      <w:pPr>
        <w:pStyle w:val="BodyA"/>
        <w:widowControl w:val="0"/>
        <w:spacing w:line="360" w:lineRule="auto"/>
        <w:rPr>
          <w:rFonts w:cs="Arial"/>
          <w:color w:val="006600"/>
          <w:u w:color="004C7F"/>
          <w:lang w:val="en-GB"/>
        </w:rPr>
      </w:pPr>
    </w:p>
    <w:p w14:paraId="05CF600A" w14:textId="7E0B4788" w:rsidR="001B5087" w:rsidRPr="006C09BD" w:rsidRDefault="00551CF0">
      <w:pPr>
        <w:pStyle w:val="BodyA"/>
        <w:widowControl w:val="0"/>
        <w:spacing w:line="360" w:lineRule="auto"/>
        <w:rPr>
          <w:rFonts w:cs="Arial"/>
          <w:color w:val="auto"/>
          <w:u w:color="004C7F"/>
          <w:lang w:val="en-GB"/>
        </w:rPr>
      </w:pPr>
      <w:r w:rsidRPr="006C09BD">
        <w:rPr>
          <w:rFonts w:cs="Arial"/>
          <w:b/>
          <w:bCs/>
          <w:u w:color="004C7F"/>
          <w:lang w:val="en-GB"/>
        </w:rPr>
        <w:t>Background</w:t>
      </w:r>
      <w:r w:rsidRPr="006C09BD">
        <w:rPr>
          <w:rFonts w:cs="Arial"/>
          <w:u w:color="004C7F"/>
          <w:lang w:val="en-GB"/>
        </w:rPr>
        <w:t xml:space="preserve">: </w:t>
      </w:r>
      <w:r w:rsidR="00431CB9" w:rsidRPr="006C09BD">
        <w:rPr>
          <w:rFonts w:cs="Arial"/>
          <w:color w:val="auto"/>
          <w:u w:color="004C7F"/>
          <w:lang w:val="en-GB"/>
        </w:rPr>
        <w:t>Routine measurement of gastric residual volumes involves regularly aspirating the entire stomach contents to assess the volume and colour of the aspirate</w:t>
      </w:r>
      <w:r w:rsidR="00E75D18" w:rsidRPr="006C09BD">
        <w:rPr>
          <w:rFonts w:cs="Arial"/>
          <w:color w:val="auto"/>
          <w:u w:color="004C7F"/>
          <w:lang w:val="en-GB"/>
        </w:rPr>
        <w:t xml:space="preserve"> to inform feeding</w:t>
      </w:r>
      <w:r w:rsidR="00944C61" w:rsidRPr="006C09BD">
        <w:rPr>
          <w:rFonts w:cs="Arial"/>
          <w:color w:val="auto"/>
          <w:u w:color="004C7F"/>
          <w:lang w:val="en-GB"/>
        </w:rPr>
        <w:t xml:space="preserve">. This is </w:t>
      </w:r>
      <w:r w:rsidR="00E80650" w:rsidRPr="006C09BD">
        <w:rPr>
          <w:rFonts w:cs="Arial"/>
          <w:color w:val="auto"/>
          <w:u w:color="004C7F"/>
          <w:lang w:val="en-GB"/>
        </w:rPr>
        <w:t>an</w:t>
      </w:r>
      <w:r w:rsidR="00431CB9" w:rsidRPr="006C09BD">
        <w:rPr>
          <w:rFonts w:cs="Arial"/>
          <w:color w:val="auto"/>
          <w:u w:color="004C7F"/>
          <w:lang w:val="en-GB"/>
        </w:rPr>
        <w:t xml:space="preserve"> established practice in many U</w:t>
      </w:r>
      <w:r w:rsidR="00F3385B" w:rsidRPr="006C09BD">
        <w:rPr>
          <w:rFonts w:cs="Arial"/>
          <w:color w:val="auto"/>
          <w:u w:color="004C7F"/>
          <w:lang w:val="en-GB"/>
        </w:rPr>
        <w:t>nited Kingdom</w:t>
      </w:r>
      <w:r w:rsidR="002776A7" w:rsidRPr="006C09BD">
        <w:rPr>
          <w:rFonts w:cs="Arial"/>
          <w:color w:val="auto"/>
          <w:u w:color="004C7F"/>
          <w:lang w:val="en-GB"/>
        </w:rPr>
        <w:t xml:space="preserve"> </w:t>
      </w:r>
      <w:r w:rsidR="00431CB9" w:rsidRPr="006C09BD">
        <w:rPr>
          <w:rFonts w:cs="Arial"/>
          <w:color w:val="auto"/>
          <w:u w:color="004C7F"/>
          <w:lang w:val="en-GB"/>
        </w:rPr>
        <w:t xml:space="preserve">and Australian neonatal units for </w:t>
      </w:r>
      <w:r w:rsidR="00944C61" w:rsidRPr="006C09BD">
        <w:rPr>
          <w:rFonts w:cs="Arial"/>
          <w:color w:val="auto"/>
          <w:u w:color="004C7F"/>
          <w:lang w:val="en-GB"/>
        </w:rPr>
        <w:t xml:space="preserve">preterm </w:t>
      </w:r>
      <w:r w:rsidR="002A35BF" w:rsidRPr="006C09BD">
        <w:rPr>
          <w:rFonts w:cs="Arial"/>
          <w:lang w:val="en-GB"/>
        </w:rPr>
        <w:t>infants</w:t>
      </w:r>
      <w:r w:rsidR="00431CB9" w:rsidRPr="006C09BD">
        <w:rPr>
          <w:rFonts w:cs="Arial"/>
          <w:color w:val="auto"/>
          <w:u w:color="004C7F"/>
          <w:lang w:val="en-GB"/>
        </w:rPr>
        <w:t xml:space="preserve"> receiving gastric tube feeds. The rationale is to assess </w:t>
      </w:r>
      <w:r w:rsidR="00186C1C" w:rsidRPr="006C09BD">
        <w:rPr>
          <w:rFonts w:cs="Arial"/>
          <w:color w:val="auto"/>
          <w:u w:color="004C7F"/>
          <w:lang w:val="en-GB"/>
        </w:rPr>
        <w:t>f</w:t>
      </w:r>
      <w:r w:rsidR="00431CB9" w:rsidRPr="006C09BD">
        <w:rPr>
          <w:rFonts w:cs="Arial"/>
          <w:color w:val="auto"/>
          <w:u w:color="004C7F"/>
          <w:lang w:val="en-GB"/>
        </w:rPr>
        <w:t>eed tolerance and to predict and potentially prevent necroti</w:t>
      </w:r>
      <w:r w:rsidR="007242F4" w:rsidRPr="006C09BD">
        <w:rPr>
          <w:rFonts w:cs="Arial"/>
          <w:color w:val="auto"/>
          <w:u w:color="004C7F"/>
          <w:lang w:val="en-GB"/>
        </w:rPr>
        <w:t>s</w:t>
      </w:r>
      <w:r w:rsidR="00431CB9" w:rsidRPr="006C09BD">
        <w:rPr>
          <w:rFonts w:cs="Arial"/>
          <w:color w:val="auto"/>
          <w:u w:color="004C7F"/>
          <w:lang w:val="en-GB"/>
        </w:rPr>
        <w:t xml:space="preserve">ing enterocolitis, a serious gut condition. </w:t>
      </w:r>
      <w:r w:rsidR="00232018" w:rsidRPr="006C09BD">
        <w:rPr>
          <w:rFonts w:cs="Arial"/>
          <w:u w:color="004C7F"/>
          <w:lang w:val="en-GB"/>
        </w:rPr>
        <w:t xml:space="preserve">Routine measurement of gastric residual volumes may also be associated with adverse outcomes and harm, including delayed achievement of full enteral feeds and longer neonatal unit stay. </w:t>
      </w:r>
      <w:r w:rsidR="00431CB9" w:rsidRPr="006C09BD">
        <w:rPr>
          <w:rFonts w:cs="Arial"/>
          <w:color w:val="auto"/>
          <w:u w:color="004C7F"/>
          <w:lang w:val="en-GB"/>
        </w:rPr>
        <w:t xml:space="preserve">Evidence to support </w:t>
      </w:r>
      <w:r w:rsidR="0015516F" w:rsidRPr="006C09BD">
        <w:rPr>
          <w:rFonts w:cs="Arial"/>
          <w:color w:val="auto"/>
          <w:u w:color="004C7F"/>
          <w:lang w:val="en-GB"/>
        </w:rPr>
        <w:t xml:space="preserve">the </w:t>
      </w:r>
      <w:r w:rsidR="00431CB9" w:rsidRPr="006C09BD">
        <w:rPr>
          <w:rFonts w:cs="Arial"/>
          <w:color w:val="auto"/>
          <w:u w:color="004C7F"/>
          <w:lang w:val="en-GB"/>
        </w:rPr>
        <w:t xml:space="preserve">routine measurement of gastric residuals is poor and previous small trials </w:t>
      </w:r>
      <w:r w:rsidR="00BC08A5" w:rsidRPr="006C09BD">
        <w:rPr>
          <w:rFonts w:cs="Arial"/>
          <w:color w:val="auto"/>
          <w:u w:color="004C7F"/>
          <w:lang w:val="en-GB"/>
        </w:rPr>
        <w:t>have not been</w:t>
      </w:r>
      <w:r w:rsidR="00431CB9" w:rsidRPr="006C09BD">
        <w:rPr>
          <w:rFonts w:cs="Arial"/>
          <w:color w:val="auto"/>
          <w:u w:color="004C7F"/>
          <w:lang w:val="en-GB"/>
        </w:rPr>
        <w:t xml:space="preserve"> generalisable to U</w:t>
      </w:r>
      <w:r w:rsidR="00C17C2A" w:rsidRPr="006C09BD">
        <w:rPr>
          <w:rFonts w:cs="Arial"/>
          <w:color w:val="auto"/>
          <w:u w:color="004C7F"/>
          <w:lang w:val="en-GB"/>
        </w:rPr>
        <w:t>nited Kingdom</w:t>
      </w:r>
      <w:r w:rsidR="00431CB9" w:rsidRPr="006C09BD">
        <w:rPr>
          <w:rFonts w:cs="Arial"/>
          <w:color w:val="auto"/>
          <w:u w:color="004C7F"/>
          <w:lang w:val="en-GB"/>
        </w:rPr>
        <w:t xml:space="preserve"> or Australian neonatal care. </w:t>
      </w:r>
    </w:p>
    <w:p w14:paraId="2CD50C86" w14:textId="77777777" w:rsidR="009048E6" w:rsidRPr="006C09BD" w:rsidRDefault="009048E6">
      <w:pPr>
        <w:pStyle w:val="BodyA"/>
        <w:widowControl w:val="0"/>
        <w:spacing w:line="360" w:lineRule="auto"/>
        <w:rPr>
          <w:rFonts w:cs="Arial"/>
          <w:color w:val="auto"/>
          <w:lang w:val="en-GB"/>
        </w:rPr>
      </w:pPr>
    </w:p>
    <w:p w14:paraId="48206024" w14:textId="77A323DD" w:rsidR="0050292B" w:rsidRPr="006C09BD" w:rsidRDefault="00551CF0">
      <w:pPr>
        <w:pStyle w:val="BodyA"/>
        <w:widowControl w:val="0"/>
        <w:spacing w:line="360" w:lineRule="auto"/>
        <w:rPr>
          <w:rFonts w:cs="Arial"/>
          <w:color w:val="auto"/>
          <w:u w:color="004C7F"/>
          <w:lang w:val="en-GB"/>
        </w:rPr>
      </w:pPr>
      <w:r w:rsidRPr="006C09BD">
        <w:rPr>
          <w:rFonts w:cs="Arial"/>
          <w:b/>
          <w:bCs/>
          <w:u w:color="004C7F"/>
          <w:lang w:val="en-GB"/>
        </w:rPr>
        <w:t>Methods</w:t>
      </w:r>
      <w:r w:rsidRPr="006C09BD">
        <w:rPr>
          <w:rFonts w:cs="Arial"/>
          <w:u w:color="004C7F"/>
          <w:lang w:val="en-GB"/>
        </w:rPr>
        <w:t xml:space="preserve">: </w:t>
      </w:r>
      <w:r w:rsidR="00E75D18" w:rsidRPr="006C09BD">
        <w:rPr>
          <w:rFonts w:cs="Arial"/>
          <w:color w:val="auto"/>
          <w:u w:color="004C7F"/>
          <w:lang w:val="en-GB"/>
        </w:rPr>
        <w:t>The aim of the neoGASTRIC trial is to test whether avoiding routine measurement of gastric residual volumes in preterm</w:t>
      </w:r>
      <w:r w:rsidR="009C2946" w:rsidRPr="006C09BD">
        <w:rPr>
          <w:rFonts w:cs="Arial"/>
          <w:color w:val="auto"/>
          <w:u w:color="004C7F"/>
          <w:lang w:val="en-GB"/>
        </w:rPr>
        <w:t xml:space="preserve"> </w:t>
      </w:r>
      <w:r w:rsidR="002A35BF" w:rsidRPr="006C09BD">
        <w:rPr>
          <w:rFonts w:cs="Arial"/>
          <w:lang w:val="en-GB"/>
        </w:rPr>
        <w:t>infants</w:t>
      </w:r>
      <w:r w:rsidR="00E75D18" w:rsidRPr="006C09BD">
        <w:rPr>
          <w:rFonts w:cs="Arial"/>
          <w:color w:val="auto"/>
          <w:u w:color="004C7F"/>
          <w:lang w:val="en-GB"/>
        </w:rPr>
        <w:t xml:space="preserve"> reduces the time taken for a</w:t>
      </w:r>
      <w:r w:rsidR="00232018" w:rsidRPr="006C09BD">
        <w:rPr>
          <w:rFonts w:cs="Arial"/>
          <w:color w:val="auto"/>
          <w:u w:color="004C7F"/>
          <w:lang w:val="en-GB"/>
        </w:rPr>
        <w:t>n</w:t>
      </w:r>
      <w:r w:rsidR="00E75D18" w:rsidRPr="006C09BD">
        <w:rPr>
          <w:rFonts w:cs="Arial"/>
          <w:color w:val="auto"/>
          <w:u w:color="004C7F"/>
          <w:lang w:val="en-GB"/>
        </w:rPr>
        <w:t xml:space="preserve"> </w:t>
      </w:r>
      <w:r w:rsidR="00865C1B" w:rsidRPr="006C09BD">
        <w:rPr>
          <w:rFonts w:cs="Arial"/>
          <w:color w:val="auto"/>
          <w:u w:color="004C7F"/>
          <w:lang w:val="en-GB"/>
        </w:rPr>
        <w:t>infant</w:t>
      </w:r>
      <w:r w:rsidR="00E75D18" w:rsidRPr="006C09BD">
        <w:rPr>
          <w:rFonts w:cs="Arial"/>
          <w:color w:val="auto"/>
          <w:u w:color="004C7F"/>
          <w:lang w:val="en-GB"/>
        </w:rPr>
        <w:t xml:space="preserve"> to reach full enteral feeds without increasing necrotising enterocolitis. </w:t>
      </w:r>
      <w:r w:rsidR="000648F9" w:rsidRPr="006C09BD">
        <w:rPr>
          <w:rFonts w:cs="Arial"/>
          <w:color w:val="auto"/>
          <w:u w:color="004C7F"/>
          <w:lang w:val="en-GB"/>
        </w:rPr>
        <w:t>n</w:t>
      </w:r>
      <w:r w:rsidR="00E75D18" w:rsidRPr="006C09BD">
        <w:rPr>
          <w:rFonts w:cs="Arial"/>
          <w:color w:val="auto"/>
          <w:u w:color="004C7F"/>
          <w:lang w:val="en-GB"/>
        </w:rPr>
        <w:t xml:space="preserve">eoGASTRIC is an </w:t>
      </w:r>
      <w:r w:rsidR="008B2285" w:rsidRPr="006C09BD">
        <w:rPr>
          <w:rFonts w:cs="Arial"/>
          <w:color w:val="auto"/>
          <w:u w:color="004C7F"/>
          <w:lang w:val="en-GB"/>
        </w:rPr>
        <w:t xml:space="preserve">individually randomised </w:t>
      </w:r>
      <w:r w:rsidR="00CF0CF4" w:rsidRPr="006C09BD">
        <w:rPr>
          <w:rFonts w:cs="Arial"/>
          <w:color w:val="auto"/>
          <w:u w:color="004C7F"/>
          <w:lang w:val="en-GB"/>
        </w:rPr>
        <w:t xml:space="preserve">controlled </w:t>
      </w:r>
      <w:r w:rsidR="008B2285" w:rsidRPr="006C09BD">
        <w:rPr>
          <w:rFonts w:cs="Arial"/>
          <w:color w:val="auto"/>
          <w:u w:color="004C7F"/>
          <w:lang w:val="en-GB"/>
        </w:rPr>
        <w:t>trial</w:t>
      </w:r>
      <w:r w:rsidR="00E75D18" w:rsidRPr="006C09BD">
        <w:rPr>
          <w:rFonts w:cs="Arial"/>
          <w:color w:val="auto"/>
          <w:u w:color="004C7F"/>
          <w:lang w:val="en-GB"/>
        </w:rPr>
        <w:t xml:space="preserve"> in neonatal units in the U</w:t>
      </w:r>
      <w:r w:rsidR="002776A7" w:rsidRPr="006C09BD">
        <w:rPr>
          <w:rFonts w:cs="Arial"/>
          <w:color w:val="auto"/>
          <w:u w:color="004C7F"/>
          <w:lang w:val="en-GB"/>
        </w:rPr>
        <w:t xml:space="preserve">K </w:t>
      </w:r>
      <w:r w:rsidR="00E75D18" w:rsidRPr="006C09BD">
        <w:rPr>
          <w:rFonts w:cs="Arial"/>
          <w:color w:val="auto"/>
          <w:u w:color="004C7F"/>
          <w:lang w:val="en-GB"/>
        </w:rPr>
        <w:t xml:space="preserve">and Australia. </w:t>
      </w:r>
      <w:r w:rsidR="00F3385B" w:rsidRPr="006C09BD">
        <w:rPr>
          <w:rFonts w:cs="Arial"/>
          <w:color w:val="auto"/>
          <w:u w:color="004C7F"/>
          <w:lang w:val="en-GB"/>
        </w:rPr>
        <w:t xml:space="preserve">A target of </w:t>
      </w:r>
      <w:r w:rsidR="00153B33" w:rsidRPr="006C09BD">
        <w:rPr>
          <w:rFonts w:cs="Arial"/>
          <w:color w:val="auto"/>
          <w:u w:color="004C7F"/>
          <w:lang w:val="en-GB"/>
        </w:rPr>
        <w:t>7</w:t>
      </w:r>
      <w:r w:rsidR="0005001D" w:rsidRPr="006C09BD">
        <w:rPr>
          <w:rFonts w:cs="Arial"/>
          <w:color w:val="auto"/>
          <w:u w:color="004C7F"/>
          <w:lang w:val="en-GB"/>
        </w:rPr>
        <w:t>,</w:t>
      </w:r>
      <w:r w:rsidR="00153B33" w:rsidRPr="006C09BD">
        <w:rPr>
          <w:rFonts w:cs="Arial"/>
          <w:color w:val="auto"/>
          <w:u w:color="004C7F"/>
          <w:lang w:val="en-GB"/>
        </w:rPr>
        <w:t xml:space="preserve">040 </w:t>
      </w:r>
      <w:r w:rsidR="002A35BF" w:rsidRPr="006C09BD">
        <w:rPr>
          <w:rFonts w:cs="Arial"/>
          <w:lang w:val="en-GB"/>
        </w:rPr>
        <w:t>infants</w:t>
      </w:r>
      <w:r w:rsidR="00153B33" w:rsidRPr="006C09BD">
        <w:rPr>
          <w:rFonts w:cs="Arial"/>
          <w:color w:val="auto"/>
          <w:u w:color="004C7F"/>
          <w:lang w:val="en-GB"/>
        </w:rPr>
        <w:t xml:space="preserve"> born before 34 weeks</w:t>
      </w:r>
      <w:r w:rsidR="006B211B">
        <w:rPr>
          <w:rFonts w:cs="Arial"/>
          <w:color w:val="auto"/>
          <w:u w:color="004C7F"/>
          <w:lang w:val="en-GB"/>
        </w:rPr>
        <w:t>’</w:t>
      </w:r>
      <w:r w:rsidR="00F3385B" w:rsidRPr="006C09BD">
        <w:rPr>
          <w:rFonts w:cs="Arial"/>
          <w:color w:val="auto"/>
          <w:u w:color="004C7F"/>
          <w:lang w:val="en-GB"/>
        </w:rPr>
        <w:t xml:space="preserve"> gestation</w:t>
      </w:r>
      <w:r w:rsidR="00E75D18" w:rsidRPr="006C09BD">
        <w:rPr>
          <w:rFonts w:cs="Arial"/>
          <w:color w:val="auto"/>
          <w:u w:color="004C7F"/>
          <w:lang w:val="en-GB"/>
        </w:rPr>
        <w:t xml:space="preserve"> will be</w:t>
      </w:r>
      <w:r w:rsidR="00153B33" w:rsidRPr="006C09BD">
        <w:rPr>
          <w:rFonts w:cs="Arial"/>
          <w:color w:val="auto"/>
          <w:u w:color="004C7F"/>
          <w:lang w:val="en-GB"/>
        </w:rPr>
        <w:t xml:space="preserve"> randomly allocated</w:t>
      </w:r>
      <w:r w:rsidR="001E507E" w:rsidRPr="006C09BD">
        <w:rPr>
          <w:rFonts w:cs="Arial"/>
          <w:color w:val="auto"/>
          <w:u w:color="004C7F"/>
          <w:lang w:val="en-GB"/>
        </w:rPr>
        <w:t xml:space="preserve">, prior to </w:t>
      </w:r>
      <w:r w:rsidR="00C16E5B" w:rsidRPr="006C09BD">
        <w:rPr>
          <w:rFonts w:cs="Arial"/>
          <w:color w:val="auto"/>
          <w:u w:color="004C7F"/>
          <w:lang w:val="en-GB"/>
        </w:rPr>
        <w:t xml:space="preserve">receiving </w:t>
      </w:r>
      <w:r w:rsidR="001E507E" w:rsidRPr="006C09BD">
        <w:rPr>
          <w:rFonts w:cs="Arial"/>
          <w:color w:val="auto"/>
          <w:u w:color="004C7F"/>
          <w:lang w:val="en-GB"/>
        </w:rPr>
        <w:t>24 hours of</w:t>
      </w:r>
      <w:r w:rsidR="00445D26" w:rsidRPr="006C09BD">
        <w:rPr>
          <w:rFonts w:cs="Arial"/>
          <w:color w:val="auto"/>
          <w:u w:color="004C7F"/>
          <w:lang w:val="en-GB"/>
        </w:rPr>
        <w:t xml:space="preserve"> enteral</w:t>
      </w:r>
      <w:r w:rsidR="001E507E" w:rsidRPr="006C09BD">
        <w:rPr>
          <w:rFonts w:cs="Arial"/>
          <w:color w:val="auto"/>
          <w:u w:color="004C7F"/>
          <w:lang w:val="en-GB"/>
        </w:rPr>
        <w:t xml:space="preserve"> feeds </w:t>
      </w:r>
      <w:r w:rsidR="0091120B" w:rsidRPr="006C09BD">
        <w:rPr>
          <w:rFonts w:cs="Arial"/>
          <w:color w:val="auto"/>
          <w:u w:color="004C7F"/>
          <w:lang w:val="en-GB"/>
        </w:rPr>
        <w:t>&gt;</w:t>
      </w:r>
      <w:r w:rsidR="001E507E" w:rsidRPr="006C09BD">
        <w:rPr>
          <w:rFonts w:cs="Arial"/>
          <w:color w:val="auto"/>
          <w:u w:color="004C7F"/>
          <w:lang w:val="en-GB"/>
        </w:rPr>
        <w:t>15</w:t>
      </w:r>
      <w:r w:rsidR="000648F9" w:rsidRPr="006C09BD">
        <w:rPr>
          <w:rFonts w:cs="Arial"/>
          <w:color w:val="auto"/>
          <w:u w:color="004C7F"/>
          <w:lang w:val="en-GB"/>
        </w:rPr>
        <w:t xml:space="preserve"> </w:t>
      </w:r>
      <w:r w:rsidR="001E507E" w:rsidRPr="006C09BD">
        <w:rPr>
          <w:rFonts w:cs="Arial"/>
          <w:color w:val="auto"/>
          <w:u w:color="004C7F"/>
          <w:lang w:val="en-GB"/>
        </w:rPr>
        <w:t>m</w:t>
      </w:r>
      <w:r w:rsidR="00445D26" w:rsidRPr="006C09BD">
        <w:rPr>
          <w:rFonts w:cs="Arial"/>
          <w:color w:val="auto"/>
          <w:u w:color="004C7F"/>
          <w:lang w:val="en-GB"/>
        </w:rPr>
        <w:t>l</w:t>
      </w:r>
      <w:r w:rsidR="001E507E" w:rsidRPr="006C09BD">
        <w:rPr>
          <w:rFonts w:cs="Arial"/>
          <w:color w:val="auto"/>
          <w:u w:color="004C7F"/>
          <w:lang w:val="en-GB"/>
        </w:rPr>
        <w:t>/kg/day,</w:t>
      </w:r>
      <w:r w:rsidR="00153B33" w:rsidRPr="006C09BD">
        <w:rPr>
          <w:rFonts w:cs="Arial"/>
          <w:color w:val="auto"/>
          <w:u w:color="004C7F"/>
          <w:lang w:val="en-GB"/>
        </w:rPr>
        <w:t xml:space="preserve"> on a 1:1 basis to </w:t>
      </w:r>
      <w:r w:rsidR="008B2285" w:rsidRPr="006C09BD">
        <w:rPr>
          <w:rFonts w:cs="Arial"/>
          <w:color w:val="auto"/>
          <w:u w:color="004C7F"/>
          <w:lang w:val="en-GB"/>
        </w:rPr>
        <w:t>have no routine gastric residual volumes measured</w:t>
      </w:r>
      <w:r w:rsidR="00445D26" w:rsidRPr="006C09BD">
        <w:rPr>
          <w:rFonts w:cs="Arial"/>
          <w:color w:val="auto"/>
          <w:u w:color="004C7F"/>
          <w:lang w:val="en-GB"/>
        </w:rPr>
        <w:t>,</w:t>
      </w:r>
      <w:r w:rsidR="008B2285" w:rsidRPr="006C09BD">
        <w:rPr>
          <w:rFonts w:cs="Arial"/>
          <w:color w:val="auto"/>
          <w:u w:color="004C7F"/>
          <w:lang w:val="en-GB"/>
        </w:rPr>
        <w:t xml:space="preserve"> or </w:t>
      </w:r>
      <w:r w:rsidR="00445D26" w:rsidRPr="006C09BD">
        <w:rPr>
          <w:rFonts w:cs="Arial"/>
          <w:color w:val="auto"/>
          <w:u w:color="004C7F"/>
          <w:lang w:val="en-GB"/>
        </w:rPr>
        <w:t xml:space="preserve">to </w:t>
      </w:r>
      <w:r w:rsidR="008B2285" w:rsidRPr="006C09BD">
        <w:rPr>
          <w:rFonts w:cs="Arial"/>
          <w:color w:val="auto"/>
          <w:u w:color="004C7F"/>
          <w:lang w:val="en-GB"/>
        </w:rPr>
        <w:t xml:space="preserve">have gastric residual volumes measured </w:t>
      </w:r>
      <w:r w:rsidR="00F3385B" w:rsidRPr="006C09BD">
        <w:rPr>
          <w:rFonts w:cs="Arial"/>
          <w:color w:val="auto"/>
          <w:u w:color="004C7F"/>
          <w:lang w:val="en-GB"/>
        </w:rPr>
        <w:t>routinely</w:t>
      </w:r>
      <w:r w:rsidR="008B2285" w:rsidRPr="006C09BD">
        <w:rPr>
          <w:rFonts w:cs="Arial"/>
          <w:color w:val="auto"/>
          <w:u w:color="004C7F"/>
          <w:lang w:val="en-GB"/>
        </w:rPr>
        <w:t xml:space="preserve">. </w:t>
      </w:r>
      <w:r w:rsidR="00DA3101" w:rsidRPr="006C09BD">
        <w:rPr>
          <w:rFonts w:cs="Arial"/>
          <w:color w:val="auto"/>
          <w:u w:color="004C7F"/>
          <w:lang w:val="en-GB"/>
        </w:rPr>
        <w:t>Opt-out consent will be used</w:t>
      </w:r>
      <w:r w:rsidR="00F3385B" w:rsidRPr="006C09BD">
        <w:rPr>
          <w:rFonts w:cs="Arial"/>
          <w:color w:val="auto"/>
          <w:u w:color="004C7F"/>
          <w:lang w:val="en-GB"/>
        </w:rPr>
        <w:t xml:space="preserve"> with parent and staff views explored as part of an embedded process </w:t>
      </w:r>
      <w:r w:rsidR="00112897" w:rsidRPr="006C09BD">
        <w:rPr>
          <w:rFonts w:cs="Arial"/>
          <w:color w:val="auto"/>
          <w:u w:color="004C7F"/>
          <w:lang w:val="en-GB"/>
        </w:rPr>
        <w:t>evaluation.</w:t>
      </w:r>
      <w:r w:rsidR="00DA3101" w:rsidRPr="006C09BD">
        <w:rPr>
          <w:rFonts w:cs="Arial"/>
          <w:color w:val="auto"/>
          <w:u w:color="004C7F"/>
          <w:lang w:val="en-GB"/>
        </w:rPr>
        <w:t xml:space="preserve"> </w:t>
      </w:r>
      <w:r w:rsidR="00E75D18" w:rsidRPr="006C09BD">
        <w:rPr>
          <w:rFonts w:cs="Arial"/>
          <w:color w:val="auto"/>
          <w:u w:color="004C7F"/>
          <w:lang w:val="en-GB"/>
        </w:rPr>
        <w:t xml:space="preserve">The primary superiority outcome </w:t>
      </w:r>
      <w:r w:rsidR="00445D26" w:rsidRPr="006C09BD">
        <w:rPr>
          <w:rFonts w:cs="Arial"/>
          <w:color w:val="auto"/>
          <w:u w:color="004C7F"/>
          <w:lang w:val="en-GB"/>
        </w:rPr>
        <w:t>is</w:t>
      </w:r>
      <w:r w:rsidR="00E75D18" w:rsidRPr="006C09BD">
        <w:rPr>
          <w:rFonts w:cs="Arial"/>
          <w:color w:val="auto"/>
          <w:u w:color="004C7F"/>
          <w:lang w:val="en-GB"/>
        </w:rPr>
        <w:t xml:space="preserve"> time to reach full milk feeds </w:t>
      </w:r>
      <w:r w:rsidR="003E6374" w:rsidRPr="006C09BD">
        <w:rPr>
          <w:rFonts w:cs="Arial"/>
          <w:color w:val="auto"/>
          <w:u w:color="004C7F"/>
          <w:lang w:val="en-GB"/>
        </w:rPr>
        <w:t>≥</w:t>
      </w:r>
      <w:r w:rsidR="00E75D18" w:rsidRPr="006C09BD">
        <w:rPr>
          <w:rFonts w:cs="Arial"/>
          <w:color w:val="auto"/>
          <w:u w:color="004C7F"/>
          <w:lang w:val="en-GB"/>
        </w:rPr>
        <w:t>145</w:t>
      </w:r>
      <w:r w:rsidR="000648F9" w:rsidRPr="006C09BD">
        <w:rPr>
          <w:rFonts w:cs="Arial"/>
          <w:color w:val="auto"/>
          <w:u w:color="004C7F"/>
          <w:lang w:val="en-GB"/>
        </w:rPr>
        <w:t xml:space="preserve"> </w:t>
      </w:r>
      <w:r w:rsidR="00E75D18" w:rsidRPr="006C09BD">
        <w:rPr>
          <w:rFonts w:cs="Arial"/>
          <w:color w:val="auto"/>
          <w:u w:color="004C7F"/>
          <w:lang w:val="en-GB"/>
        </w:rPr>
        <w:t>ml/kg/day for three consecutive days</w:t>
      </w:r>
      <w:r w:rsidR="00445D26" w:rsidRPr="006C09BD">
        <w:rPr>
          <w:rFonts w:cs="Arial"/>
          <w:color w:val="auto"/>
          <w:u w:color="004C7F"/>
          <w:lang w:val="en-GB"/>
        </w:rPr>
        <w:t xml:space="preserve">. </w:t>
      </w:r>
      <w:r w:rsidR="00E75D18" w:rsidRPr="006C09BD">
        <w:rPr>
          <w:rFonts w:cs="Arial"/>
          <w:color w:val="auto"/>
          <w:u w:color="004C7F"/>
          <w:lang w:val="en-GB"/>
        </w:rPr>
        <w:t xml:space="preserve">Bell’s stage 2 or 3 </w:t>
      </w:r>
      <w:r w:rsidR="00C17C2A" w:rsidRPr="006C09BD">
        <w:rPr>
          <w:rFonts w:cs="Arial"/>
          <w:color w:val="auto"/>
          <w:u w:color="004C7F"/>
          <w:lang w:val="en-GB"/>
        </w:rPr>
        <w:t>necrotising enterocolitis</w:t>
      </w:r>
      <w:r w:rsidR="00E75D18" w:rsidRPr="006C09BD">
        <w:rPr>
          <w:rFonts w:cs="Arial"/>
          <w:color w:val="auto"/>
          <w:u w:color="004C7F"/>
          <w:lang w:val="en-GB"/>
        </w:rPr>
        <w:t xml:space="preserve"> following blinded adjudication will be the key secondary</w:t>
      </w:r>
      <w:r w:rsidR="003E6374" w:rsidRPr="006C09BD">
        <w:rPr>
          <w:rFonts w:cs="Arial"/>
          <w:color w:val="auto"/>
          <w:u w:color="004C7F"/>
          <w:lang w:val="en-GB"/>
        </w:rPr>
        <w:t>,</w:t>
      </w:r>
      <w:r w:rsidR="00E75D18" w:rsidRPr="006C09BD">
        <w:rPr>
          <w:rFonts w:cs="Arial"/>
          <w:color w:val="auto"/>
          <w:u w:color="004C7F"/>
          <w:lang w:val="en-GB"/>
        </w:rPr>
        <w:t xml:space="preserve"> non-inferiority </w:t>
      </w:r>
      <w:r w:rsidR="003E6374" w:rsidRPr="006C09BD">
        <w:rPr>
          <w:rFonts w:cs="Arial"/>
          <w:color w:val="auto"/>
          <w:u w:color="004C7F"/>
          <w:lang w:val="en-GB"/>
        </w:rPr>
        <w:t xml:space="preserve">safety </w:t>
      </w:r>
      <w:r w:rsidR="00E75D18" w:rsidRPr="006C09BD">
        <w:rPr>
          <w:rFonts w:cs="Arial"/>
          <w:color w:val="auto"/>
          <w:u w:color="004C7F"/>
          <w:lang w:val="en-GB"/>
        </w:rPr>
        <w:t xml:space="preserve">outcome. Other neonatal core outcomes </w:t>
      </w:r>
      <w:r w:rsidR="00445D26" w:rsidRPr="006C09BD">
        <w:rPr>
          <w:rFonts w:cs="Arial"/>
          <w:color w:val="auto"/>
          <w:u w:color="004C7F"/>
          <w:lang w:val="en-GB"/>
        </w:rPr>
        <w:t xml:space="preserve">and health care resource use and costs </w:t>
      </w:r>
      <w:r w:rsidR="00281124" w:rsidRPr="006C09BD">
        <w:rPr>
          <w:rFonts w:cs="Arial"/>
          <w:color w:val="auto"/>
          <w:u w:color="004C7F"/>
          <w:lang w:val="en-GB"/>
        </w:rPr>
        <w:t>prior to discharge</w:t>
      </w:r>
      <w:r w:rsidR="00E75D18" w:rsidRPr="006C09BD">
        <w:rPr>
          <w:rFonts w:cs="Arial"/>
          <w:color w:val="auto"/>
          <w:u w:color="004C7F"/>
          <w:lang w:val="en-GB"/>
        </w:rPr>
        <w:t xml:space="preserve"> will be evaluated.</w:t>
      </w:r>
    </w:p>
    <w:p w14:paraId="37BEEAD2" w14:textId="77777777" w:rsidR="008B2285" w:rsidRPr="006C09BD" w:rsidRDefault="008B2285">
      <w:pPr>
        <w:pStyle w:val="BodyA"/>
        <w:widowControl w:val="0"/>
        <w:spacing w:line="360" w:lineRule="auto"/>
        <w:rPr>
          <w:rFonts w:cs="Arial"/>
          <w:color w:val="auto"/>
          <w:u w:color="004C7F"/>
          <w:lang w:val="en-GB"/>
        </w:rPr>
      </w:pPr>
    </w:p>
    <w:p w14:paraId="1D153001" w14:textId="111ACE7A" w:rsidR="0050292B" w:rsidRPr="006C09BD" w:rsidRDefault="00551CF0">
      <w:pPr>
        <w:pStyle w:val="BodyA"/>
        <w:widowControl w:val="0"/>
        <w:spacing w:line="360" w:lineRule="auto"/>
        <w:rPr>
          <w:rFonts w:cs="Arial"/>
          <w:color w:val="auto"/>
          <w:lang w:val="en-GB"/>
        </w:rPr>
      </w:pPr>
      <w:r w:rsidRPr="006C09BD">
        <w:rPr>
          <w:rFonts w:cs="Arial"/>
          <w:b/>
          <w:bCs/>
          <w:u w:color="004C7F"/>
          <w:lang w:val="en-GB"/>
        </w:rPr>
        <w:t>Discussion</w:t>
      </w:r>
      <w:r w:rsidRPr="006C09BD">
        <w:rPr>
          <w:rFonts w:cs="Arial"/>
          <w:u w:color="004C7F"/>
          <w:lang w:val="en-GB"/>
        </w:rPr>
        <w:t xml:space="preserve">: </w:t>
      </w:r>
      <w:r w:rsidR="000648F9" w:rsidRPr="006C09BD">
        <w:rPr>
          <w:rFonts w:cs="Arial"/>
          <w:color w:val="auto"/>
          <w:u w:color="004C7F"/>
          <w:lang w:val="en-GB"/>
        </w:rPr>
        <w:t>n</w:t>
      </w:r>
      <w:r w:rsidR="008B2285" w:rsidRPr="006C09BD">
        <w:rPr>
          <w:rFonts w:cs="Arial"/>
          <w:color w:val="auto"/>
          <w:u w:color="004C7F"/>
          <w:lang w:val="en-GB"/>
        </w:rPr>
        <w:t xml:space="preserve">eoGASTRIC will address a research priority that affects </w:t>
      </w:r>
      <w:r w:rsidR="00445D26" w:rsidRPr="006C09BD">
        <w:rPr>
          <w:rFonts w:cs="Arial"/>
          <w:color w:val="auto"/>
          <w:u w:color="004C7F"/>
          <w:lang w:val="en-GB"/>
        </w:rPr>
        <w:t xml:space="preserve">more than </w:t>
      </w:r>
      <w:r w:rsidR="008B2285" w:rsidRPr="006C09BD">
        <w:rPr>
          <w:rFonts w:cs="Arial"/>
          <w:color w:val="auto"/>
          <w:u w:color="004C7F"/>
          <w:lang w:val="en-GB"/>
        </w:rPr>
        <w:t>20,000</w:t>
      </w:r>
      <w:r w:rsidR="00445D26" w:rsidRPr="006C09BD">
        <w:rPr>
          <w:rFonts w:cs="Arial"/>
          <w:color w:val="auto"/>
          <w:u w:color="004C7F"/>
          <w:lang w:val="en-GB"/>
        </w:rPr>
        <w:t xml:space="preserve"> preterm</w:t>
      </w:r>
      <w:r w:rsidR="008B2285" w:rsidRPr="006C09BD">
        <w:rPr>
          <w:rFonts w:cs="Arial"/>
          <w:color w:val="auto"/>
          <w:u w:color="004C7F"/>
          <w:lang w:val="en-GB"/>
        </w:rPr>
        <w:t xml:space="preserve"> </w:t>
      </w:r>
      <w:r w:rsidR="002A35BF" w:rsidRPr="006C09BD">
        <w:rPr>
          <w:rFonts w:cs="Arial"/>
          <w:lang w:val="en-GB"/>
        </w:rPr>
        <w:t>infants</w:t>
      </w:r>
      <w:r w:rsidR="008B2285" w:rsidRPr="006C09BD">
        <w:rPr>
          <w:rFonts w:cs="Arial"/>
          <w:color w:val="auto"/>
          <w:u w:color="004C7F"/>
          <w:lang w:val="en-GB"/>
        </w:rPr>
        <w:t xml:space="preserve"> in the U</w:t>
      </w:r>
      <w:r w:rsidR="00C17C2A" w:rsidRPr="006C09BD">
        <w:rPr>
          <w:rFonts w:cs="Arial"/>
          <w:color w:val="auto"/>
          <w:u w:color="004C7F"/>
          <w:lang w:val="en-GB"/>
        </w:rPr>
        <w:t>nited Kingdom</w:t>
      </w:r>
      <w:r w:rsidR="008B2285" w:rsidRPr="006C09BD">
        <w:rPr>
          <w:rFonts w:cs="Arial"/>
          <w:color w:val="auto"/>
          <w:u w:color="004C7F"/>
          <w:lang w:val="en-GB"/>
        </w:rPr>
        <w:t xml:space="preserve"> and Australia annually</w:t>
      </w:r>
      <w:r w:rsidR="00445D26" w:rsidRPr="006C09BD">
        <w:rPr>
          <w:rFonts w:cs="Arial"/>
          <w:color w:val="auto"/>
          <w:u w:color="004C7F"/>
          <w:lang w:val="en-GB"/>
        </w:rPr>
        <w:t>. Even</w:t>
      </w:r>
      <w:r w:rsidR="008B2285" w:rsidRPr="006C09BD">
        <w:rPr>
          <w:rFonts w:cs="Arial"/>
          <w:color w:val="auto"/>
          <w:u w:color="004C7F"/>
          <w:lang w:val="en-GB"/>
        </w:rPr>
        <w:t xml:space="preserve"> modest </w:t>
      </w:r>
      <w:r w:rsidR="00186C1C" w:rsidRPr="006C09BD">
        <w:rPr>
          <w:rFonts w:cs="Arial"/>
          <w:color w:val="auto"/>
          <w:u w:color="004C7F"/>
          <w:lang w:val="en-GB"/>
        </w:rPr>
        <w:t xml:space="preserve">improvements </w:t>
      </w:r>
      <w:r w:rsidR="008B2285" w:rsidRPr="006C09BD">
        <w:rPr>
          <w:rFonts w:cs="Arial"/>
          <w:color w:val="auto"/>
          <w:u w:color="004C7F"/>
          <w:lang w:val="en-GB"/>
        </w:rPr>
        <w:t xml:space="preserve">in </w:t>
      </w:r>
      <w:r w:rsidR="00C800DF" w:rsidRPr="006C09BD">
        <w:rPr>
          <w:rFonts w:cs="Arial"/>
          <w:color w:val="auto"/>
          <w:u w:color="004C7F"/>
          <w:lang w:val="en-GB"/>
        </w:rPr>
        <w:t xml:space="preserve">clinical outcomes and </w:t>
      </w:r>
      <w:r w:rsidR="008B2285" w:rsidRPr="006C09BD">
        <w:rPr>
          <w:rFonts w:cs="Arial"/>
          <w:color w:val="auto"/>
          <w:u w:color="004C7F"/>
          <w:lang w:val="en-GB"/>
        </w:rPr>
        <w:t xml:space="preserve">resource use </w:t>
      </w:r>
      <w:r w:rsidR="00445D26" w:rsidRPr="006C09BD">
        <w:rPr>
          <w:rFonts w:cs="Arial"/>
          <w:color w:val="auto"/>
          <w:u w:color="004C7F"/>
          <w:lang w:val="en-GB"/>
        </w:rPr>
        <w:t>could</w:t>
      </w:r>
      <w:r w:rsidR="008B2285" w:rsidRPr="006C09BD">
        <w:rPr>
          <w:rFonts w:cs="Arial"/>
          <w:color w:val="auto"/>
          <w:u w:color="004C7F"/>
          <w:lang w:val="en-GB"/>
        </w:rPr>
        <w:t xml:space="preserve"> result in large clinical benefits and savings</w:t>
      </w:r>
      <w:r w:rsidR="00C800DF" w:rsidRPr="006C09BD">
        <w:rPr>
          <w:rFonts w:cs="Arial"/>
          <w:color w:val="auto"/>
          <w:u w:color="004C7F"/>
          <w:lang w:val="en-GB"/>
        </w:rPr>
        <w:t xml:space="preserve"> </w:t>
      </w:r>
      <w:r w:rsidR="00C800DF" w:rsidRPr="006C09BD">
        <w:rPr>
          <w:rFonts w:cs="Arial"/>
          <w:u w:color="004C7F"/>
          <w:lang w:val="en-GB"/>
        </w:rPr>
        <w:t>at a population level</w:t>
      </w:r>
      <w:r w:rsidR="003B079A" w:rsidRPr="006C09BD">
        <w:rPr>
          <w:rFonts w:cs="Arial"/>
          <w:color w:val="auto"/>
          <w:u w:color="004C7F"/>
          <w:lang w:val="en-GB"/>
        </w:rPr>
        <w:t>.</w:t>
      </w:r>
    </w:p>
    <w:p w14:paraId="50DF518E" w14:textId="77777777" w:rsidR="00862388" w:rsidRPr="006C09BD" w:rsidRDefault="00862388">
      <w:pPr>
        <w:pStyle w:val="BodyA"/>
        <w:widowControl w:val="0"/>
        <w:spacing w:line="360" w:lineRule="auto"/>
        <w:rPr>
          <w:rFonts w:cs="Arial"/>
          <w:b/>
          <w:bCs/>
          <w:u w:color="004C7F"/>
          <w:lang w:val="en-GB"/>
        </w:rPr>
      </w:pPr>
    </w:p>
    <w:p w14:paraId="5BB379E1" w14:textId="08653067" w:rsidR="00121FE0" w:rsidRPr="006C09BD" w:rsidRDefault="00551CF0">
      <w:pPr>
        <w:pStyle w:val="BodyA"/>
        <w:widowControl w:val="0"/>
        <w:spacing w:line="360" w:lineRule="auto"/>
        <w:rPr>
          <w:rFonts w:cs="Arial"/>
          <w:color w:val="auto"/>
          <w:lang w:val="en-GB"/>
        </w:rPr>
      </w:pPr>
      <w:r w:rsidRPr="006C09BD">
        <w:rPr>
          <w:rFonts w:cs="Arial"/>
          <w:b/>
          <w:bCs/>
          <w:u w:color="004C7F"/>
          <w:lang w:val="en-GB"/>
        </w:rPr>
        <w:lastRenderedPageBreak/>
        <w:t>Trial registration</w:t>
      </w:r>
      <w:r w:rsidRPr="006C09BD">
        <w:rPr>
          <w:rFonts w:cs="Arial"/>
          <w:u w:color="004C7F"/>
          <w:lang w:val="en-GB"/>
        </w:rPr>
        <w:t>: </w:t>
      </w:r>
      <w:r w:rsidR="00862388" w:rsidRPr="006C09BD">
        <w:rPr>
          <w:rFonts w:cs="Arial"/>
          <w:u w:color="004C7F"/>
          <w:lang w:val="en-GB"/>
        </w:rPr>
        <w:t>ISRCTN:</w:t>
      </w:r>
      <w:r w:rsidR="00683AB0" w:rsidRPr="006C09BD">
        <w:rPr>
          <w:rFonts w:cs="Arial"/>
          <w:u w:color="004C7F"/>
          <w:lang w:val="en-GB"/>
        </w:rPr>
        <w:t xml:space="preserve"> </w:t>
      </w:r>
      <w:r w:rsidR="00862388" w:rsidRPr="006C09BD">
        <w:rPr>
          <w:rFonts w:cs="Arial"/>
          <w:u w:color="004C7F"/>
          <w:lang w:val="en-GB"/>
        </w:rPr>
        <w:t>16710849</w:t>
      </w:r>
      <w:r w:rsidR="008B2285" w:rsidRPr="006C09BD">
        <w:rPr>
          <w:rFonts w:cs="Arial"/>
          <w:color w:val="auto"/>
          <w:u w:color="004C7F"/>
          <w:lang w:val="en-GB"/>
        </w:rPr>
        <w:t xml:space="preserve">, </w:t>
      </w:r>
      <w:r w:rsidR="00BB5D1E" w:rsidRPr="006C09BD">
        <w:rPr>
          <w:rFonts w:cs="Arial"/>
          <w:color w:val="auto"/>
          <w:u w:color="004C7F"/>
          <w:lang w:val="en-GB"/>
        </w:rPr>
        <w:t xml:space="preserve">prospectively </w:t>
      </w:r>
      <w:r w:rsidR="008B2285" w:rsidRPr="006C09BD">
        <w:rPr>
          <w:rFonts w:cs="Arial"/>
          <w:color w:val="auto"/>
          <w:u w:color="004C7F"/>
          <w:lang w:val="en-GB"/>
        </w:rPr>
        <w:t>r</w:t>
      </w:r>
      <w:r w:rsidR="00683AB0" w:rsidRPr="006C09BD">
        <w:rPr>
          <w:rFonts w:cs="Arial"/>
          <w:color w:val="auto"/>
          <w:u w:color="004C7F"/>
          <w:lang w:val="en-GB"/>
        </w:rPr>
        <w:t xml:space="preserve">egistered </w:t>
      </w:r>
      <w:r w:rsidR="00121FE0" w:rsidRPr="006C09BD">
        <w:rPr>
          <w:rFonts w:cs="Arial"/>
          <w:color w:val="auto"/>
          <w:lang w:val="en-GB"/>
        </w:rPr>
        <w:t>8</w:t>
      </w:r>
      <w:r w:rsidR="00D41C9D" w:rsidRPr="006C09BD">
        <w:rPr>
          <w:rFonts w:cs="Arial"/>
          <w:color w:val="auto"/>
          <w:vertAlign w:val="superscript"/>
          <w:lang w:val="en-GB"/>
        </w:rPr>
        <w:t xml:space="preserve"> </w:t>
      </w:r>
      <w:r w:rsidR="00121FE0" w:rsidRPr="006C09BD">
        <w:rPr>
          <w:rFonts w:cs="Arial"/>
          <w:color w:val="auto"/>
          <w:lang w:val="en-GB"/>
        </w:rPr>
        <w:t xml:space="preserve">February 2023 </w:t>
      </w:r>
      <w:hyperlink r:id="rId8" w:history="1">
        <w:r w:rsidR="00121FE0" w:rsidRPr="006C09BD">
          <w:rPr>
            <w:rStyle w:val="Hyperlink"/>
            <w:rFonts w:cs="Arial"/>
            <w:lang w:val="en-GB"/>
          </w:rPr>
          <w:t>https://www.isrctn.com/ISRCTN16710849</w:t>
        </w:r>
      </w:hyperlink>
    </w:p>
    <w:p w14:paraId="2022E9B0" w14:textId="77777777" w:rsidR="0050292B" w:rsidRPr="006C09BD" w:rsidRDefault="0050292B">
      <w:pPr>
        <w:pStyle w:val="BodyA"/>
        <w:widowControl w:val="0"/>
        <w:spacing w:line="360" w:lineRule="auto"/>
        <w:rPr>
          <w:rFonts w:cs="Arial"/>
          <w:b/>
          <w:bCs/>
          <w:sz w:val="28"/>
          <w:szCs w:val="28"/>
          <w:lang w:val="en-GB"/>
        </w:rPr>
      </w:pPr>
    </w:p>
    <w:p w14:paraId="6382514A" w14:textId="1D29983A" w:rsidR="001B5087" w:rsidRPr="006C09BD" w:rsidRDefault="00551CF0">
      <w:pPr>
        <w:pStyle w:val="BodyA"/>
        <w:widowControl w:val="0"/>
        <w:spacing w:line="360" w:lineRule="auto"/>
        <w:rPr>
          <w:rFonts w:cs="Arial"/>
          <w:lang w:val="en-GB"/>
        </w:rPr>
      </w:pPr>
      <w:r w:rsidRPr="006C09BD">
        <w:rPr>
          <w:rFonts w:cs="Arial"/>
          <w:b/>
          <w:bCs/>
          <w:sz w:val="28"/>
          <w:szCs w:val="28"/>
          <w:lang w:val="en-GB"/>
        </w:rPr>
        <w:t>Keywords</w:t>
      </w:r>
      <w:r w:rsidR="002576B3" w:rsidRPr="00EB4FE8">
        <w:rPr>
          <w:rFonts w:cs="Arial"/>
          <w:sz w:val="28"/>
          <w:szCs w:val="28"/>
          <w:lang w:val="en-GB"/>
        </w:rPr>
        <w:t>:</w:t>
      </w:r>
      <w:r w:rsidR="00121FE0" w:rsidRPr="00EB4FE8">
        <w:rPr>
          <w:rFonts w:cs="Arial"/>
          <w:sz w:val="28"/>
          <w:szCs w:val="28"/>
          <w:lang w:val="en-GB"/>
        </w:rPr>
        <w:t xml:space="preserve"> </w:t>
      </w:r>
      <w:r w:rsidR="00121FE0" w:rsidRPr="006C09BD">
        <w:rPr>
          <w:rFonts w:cs="Arial"/>
          <w:lang w:val="en-GB"/>
        </w:rPr>
        <w:t>I</w:t>
      </w:r>
      <w:r w:rsidR="00467B32" w:rsidRPr="006C09BD">
        <w:rPr>
          <w:rFonts w:cs="Arial"/>
          <w:lang w:val="en-GB"/>
        </w:rPr>
        <w:t>nfant,</w:t>
      </w:r>
      <w:r w:rsidR="00121FE0" w:rsidRPr="006C09BD">
        <w:rPr>
          <w:rFonts w:cs="Arial"/>
          <w:lang w:val="en-GB"/>
        </w:rPr>
        <w:t xml:space="preserve"> preterm,</w:t>
      </w:r>
      <w:r w:rsidR="00467B32" w:rsidRPr="006C09BD">
        <w:rPr>
          <w:rFonts w:cs="Arial"/>
          <w:lang w:val="en-GB"/>
        </w:rPr>
        <w:t xml:space="preserve"> </w:t>
      </w:r>
      <w:r w:rsidR="00C81EF8" w:rsidRPr="006C09BD">
        <w:rPr>
          <w:rFonts w:cs="Arial"/>
          <w:lang w:val="en-GB"/>
        </w:rPr>
        <w:t xml:space="preserve">enteral </w:t>
      </w:r>
      <w:r w:rsidR="001B5087" w:rsidRPr="006C09BD">
        <w:rPr>
          <w:rFonts w:cs="Arial"/>
          <w:lang w:val="en-GB"/>
        </w:rPr>
        <w:t xml:space="preserve">feeding, </w:t>
      </w:r>
      <w:r w:rsidR="002F60E9" w:rsidRPr="006C09BD">
        <w:rPr>
          <w:rFonts w:cs="Arial"/>
          <w:lang w:val="en-GB"/>
        </w:rPr>
        <w:t>gastric residual volume</w:t>
      </w:r>
      <w:r w:rsidR="001B5087" w:rsidRPr="006C09BD">
        <w:rPr>
          <w:rFonts w:cs="Arial"/>
          <w:lang w:val="en-GB"/>
        </w:rPr>
        <w:t>, necrotising enterocolitis</w:t>
      </w:r>
      <w:r w:rsidR="003146B8" w:rsidRPr="006C09BD">
        <w:rPr>
          <w:rFonts w:cs="Arial"/>
          <w:lang w:val="en-GB"/>
        </w:rPr>
        <w:t xml:space="preserve"> (NEC)</w:t>
      </w:r>
      <w:r w:rsidR="005F6F20" w:rsidRPr="006C09BD">
        <w:rPr>
          <w:rFonts w:cs="Arial"/>
          <w:lang w:val="en-GB"/>
        </w:rPr>
        <w:t xml:space="preserve">, neonatal care, randomised controlled trial, </w:t>
      </w:r>
      <w:r w:rsidR="00CE32E3" w:rsidRPr="006C09BD">
        <w:rPr>
          <w:rFonts w:cs="Arial"/>
          <w:lang w:val="en-GB"/>
        </w:rPr>
        <w:t xml:space="preserve">feeding intolerance, </w:t>
      </w:r>
      <w:r w:rsidR="00C81EF8" w:rsidRPr="006C09BD">
        <w:rPr>
          <w:rFonts w:cs="Arial"/>
          <w:lang w:val="en-GB"/>
        </w:rPr>
        <w:t>neonatal nutrition, gastric tube feeds, protocol</w:t>
      </w:r>
    </w:p>
    <w:p w14:paraId="5FC1A1B3" w14:textId="77777777" w:rsidR="002403B3" w:rsidRPr="006C09BD" w:rsidRDefault="002403B3">
      <w:pPr>
        <w:pStyle w:val="BodyA"/>
        <w:widowControl w:val="0"/>
        <w:spacing w:line="360" w:lineRule="auto"/>
        <w:rPr>
          <w:rFonts w:cs="Arial"/>
          <w:lang w:val="en-GB"/>
        </w:rPr>
      </w:pPr>
    </w:p>
    <w:p w14:paraId="33AC3E3A" w14:textId="660C3AAD" w:rsidR="0050292B" w:rsidRPr="006C09BD" w:rsidRDefault="002403B3">
      <w:pPr>
        <w:pStyle w:val="BodyA"/>
        <w:widowControl w:val="0"/>
        <w:spacing w:line="360" w:lineRule="auto"/>
        <w:rPr>
          <w:rFonts w:cs="Arial"/>
          <w:b/>
          <w:bCs/>
          <w:sz w:val="28"/>
          <w:szCs w:val="28"/>
          <w:lang w:val="en-GB"/>
        </w:rPr>
      </w:pPr>
      <w:r w:rsidRPr="006C09BD">
        <w:rPr>
          <w:rFonts w:cs="Arial"/>
          <w:b/>
          <w:bCs/>
          <w:sz w:val="28"/>
          <w:szCs w:val="28"/>
          <w:lang w:val="en-GB"/>
        </w:rPr>
        <w:t>Structured Summary {1b}</w:t>
      </w:r>
    </w:p>
    <w:tbl>
      <w:tblPr>
        <w:tblW w:w="959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270"/>
        <w:gridCol w:w="6322"/>
      </w:tblGrid>
      <w:tr w:rsidR="0050292B" w:rsidRPr="006C09BD" w14:paraId="6CC9EB78" w14:textId="77777777" w:rsidTr="002576B3">
        <w:trPr>
          <w:trHeight w:val="680"/>
        </w:trPr>
        <w:tc>
          <w:tcPr>
            <w:tcW w:w="3270" w:type="dxa"/>
            <w:tcBorders>
              <w:top w:val="single" w:sz="16"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43D25894" w14:textId="0FC81618" w:rsidR="0050292B" w:rsidRPr="006C09BD" w:rsidRDefault="00B10A76" w:rsidP="009E60BE">
            <w:pPr>
              <w:pStyle w:val="FreeForm"/>
              <w:spacing w:before="120" w:after="120" w:line="360" w:lineRule="auto"/>
              <w:rPr>
                <w:rFonts w:ascii="Arial" w:hAnsi="Arial" w:cs="Arial"/>
                <w:lang w:val="en-GB"/>
              </w:rPr>
            </w:pPr>
            <w:r w:rsidRPr="006C09BD">
              <w:rPr>
                <w:rFonts w:ascii="Arial" w:hAnsi="Arial" w:cs="Arial"/>
                <w:sz w:val="20"/>
                <w:szCs w:val="20"/>
                <w:lang w:val="en-GB"/>
              </w:rPr>
              <w:t xml:space="preserve">Primary Registry and Trial Identifying </w:t>
            </w:r>
            <w:r w:rsidR="007A1376" w:rsidRPr="006C09BD">
              <w:rPr>
                <w:rFonts w:ascii="Arial" w:hAnsi="Arial" w:cs="Arial"/>
                <w:sz w:val="20"/>
                <w:szCs w:val="20"/>
                <w:lang w:val="en-GB"/>
              </w:rPr>
              <w:t>number {</w:t>
            </w:r>
            <w:r w:rsidR="0004066B" w:rsidRPr="006C09BD">
              <w:rPr>
                <w:rFonts w:ascii="Arial" w:hAnsi="Arial" w:cs="Arial"/>
                <w:sz w:val="20"/>
                <w:szCs w:val="20"/>
                <w:lang w:val="en-GB"/>
              </w:rPr>
              <w:t>4</w:t>
            </w:r>
            <w:r w:rsidR="00551CF0" w:rsidRPr="006C09BD">
              <w:rPr>
                <w:rFonts w:ascii="Arial" w:hAnsi="Arial" w:cs="Arial"/>
                <w:sz w:val="20"/>
                <w:szCs w:val="20"/>
                <w:lang w:val="en-GB"/>
              </w:rPr>
              <w:t>}.</w:t>
            </w:r>
          </w:p>
        </w:tc>
        <w:tc>
          <w:tcPr>
            <w:tcW w:w="6322" w:type="dxa"/>
            <w:tcBorders>
              <w:top w:val="single" w:sz="16"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5A438ECB" w14:textId="68C91FDC" w:rsidR="00121FE0" w:rsidRPr="002339E7" w:rsidRDefault="002576B3" w:rsidP="006C4F0C">
            <w:pPr>
              <w:pStyle w:val="FreeForm"/>
              <w:spacing w:before="120" w:after="120" w:line="360" w:lineRule="auto"/>
              <w:rPr>
                <w:rFonts w:ascii="Arial" w:hAnsi="Arial" w:cs="Arial"/>
                <w:color w:val="auto"/>
                <w:lang w:val="en-GB"/>
              </w:rPr>
            </w:pPr>
            <w:r w:rsidRPr="003100E0">
              <w:rPr>
                <w:rFonts w:ascii="Arial" w:hAnsi="Arial" w:cs="Arial"/>
                <w:color w:val="auto"/>
                <w:sz w:val="20"/>
                <w:szCs w:val="20"/>
                <w:u w:color="004C7F"/>
                <w:lang w:val="en-GB"/>
              </w:rPr>
              <w:t>ISRCTN registration number:</w:t>
            </w:r>
            <w:r w:rsidR="00186C1C" w:rsidRPr="003100E0">
              <w:rPr>
                <w:rFonts w:ascii="Arial" w:hAnsi="Arial" w:cs="Arial"/>
                <w:color w:val="auto"/>
                <w:sz w:val="20"/>
                <w:szCs w:val="20"/>
                <w:u w:color="004C7F"/>
                <w:lang w:val="en-GB"/>
              </w:rPr>
              <w:t xml:space="preserve"> </w:t>
            </w:r>
            <w:r w:rsidRPr="003100E0">
              <w:rPr>
                <w:rFonts w:ascii="Arial" w:hAnsi="Arial" w:cs="Arial"/>
                <w:color w:val="auto"/>
                <w:sz w:val="20"/>
                <w:szCs w:val="20"/>
                <w:u w:color="004C7F"/>
                <w:lang w:val="en-GB"/>
              </w:rPr>
              <w:t>16710849</w:t>
            </w:r>
            <w:r w:rsidR="00121FE0" w:rsidRPr="003100E0">
              <w:rPr>
                <w:rFonts w:ascii="Arial" w:hAnsi="Arial" w:cs="Arial"/>
                <w:color w:val="auto"/>
                <w:sz w:val="20"/>
                <w:szCs w:val="20"/>
                <w:u w:color="004C7F"/>
                <w:lang w:val="en-GB"/>
              </w:rPr>
              <w:t xml:space="preserve"> </w:t>
            </w:r>
            <w:hyperlink r:id="rId9" w:history="1">
              <w:r w:rsidR="00121FE0" w:rsidRPr="002339E7">
                <w:rPr>
                  <w:rStyle w:val="Hyperlink"/>
                  <w:rFonts w:ascii="Arial" w:hAnsi="Arial" w:cs="Arial"/>
                  <w:sz w:val="20"/>
                  <w:szCs w:val="20"/>
                  <w:lang w:val="en-GB"/>
                </w:rPr>
                <w:t>https://www.isrctn.com/ISRCTN16710849</w:t>
              </w:r>
            </w:hyperlink>
          </w:p>
        </w:tc>
      </w:tr>
      <w:tr w:rsidR="002403B3" w:rsidRPr="006C09BD" w14:paraId="61E61B12" w14:textId="77777777" w:rsidTr="002576B3">
        <w:trPr>
          <w:trHeight w:val="680"/>
        </w:trPr>
        <w:tc>
          <w:tcPr>
            <w:tcW w:w="3270" w:type="dxa"/>
            <w:tcBorders>
              <w:top w:val="single" w:sz="16"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4CAE80C9" w14:textId="4B5B7600" w:rsidR="002403B3" w:rsidRPr="006C09BD" w:rsidRDefault="002403B3" w:rsidP="009E60BE">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Secondary Identifying numbers</w:t>
            </w:r>
          </w:p>
        </w:tc>
        <w:tc>
          <w:tcPr>
            <w:tcW w:w="6322" w:type="dxa"/>
            <w:tcBorders>
              <w:top w:val="single" w:sz="16"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5D8F6A19" w14:textId="366666B2" w:rsidR="002403B3" w:rsidRPr="006C09BD" w:rsidRDefault="002403B3" w:rsidP="006C4F0C">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n/a</w:t>
            </w:r>
          </w:p>
        </w:tc>
      </w:tr>
      <w:tr w:rsidR="0050292B" w:rsidRPr="006C09BD" w14:paraId="65522960" w14:textId="77777777">
        <w:trPr>
          <w:trHeight w:val="790"/>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4FF91C2B" w14:textId="76CAB1FE" w:rsidR="0050292B" w:rsidRPr="006C09BD" w:rsidRDefault="00B10A76" w:rsidP="006C4F0C">
            <w:pPr>
              <w:pStyle w:val="FreeForm"/>
              <w:spacing w:before="120" w:after="120" w:line="360" w:lineRule="auto"/>
              <w:rPr>
                <w:rFonts w:ascii="Arial" w:hAnsi="Arial" w:cs="Arial"/>
                <w:lang w:val="en-GB"/>
              </w:rPr>
            </w:pPr>
            <w:r w:rsidRPr="006C09BD">
              <w:rPr>
                <w:rFonts w:ascii="Arial" w:hAnsi="Arial" w:cs="Arial"/>
                <w:sz w:val="20"/>
                <w:szCs w:val="20"/>
                <w:lang w:val="en-GB"/>
              </w:rPr>
              <w:t xml:space="preserve">Sources of Monetary and Material Support </w:t>
            </w:r>
            <w:r w:rsidR="00551CF0" w:rsidRPr="006C09BD">
              <w:rPr>
                <w:rFonts w:ascii="Arial" w:hAnsi="Arial" w:cs="Arial"/>
                <w:sz w:val="20"/>
                <w:szCs w:val="20"/>
                <w:lang w:val="en-GB"/>
              </w:rPr>
              <w:t>{</w:t>
            </w:r>
            <w:r w:rsidR="0004066B" w:rsidRPr="006C09BD">
              <w:rPr>
                <w:rFonts w:ascii="Arial" w:hAnsi="Arial" w:cs="Arial"/>
                <w:sz w:val="20"/>
                <w:szCs w:val="20"/>
                <w:lang w:val="en-GB"/>
              </w:rPr>
              <w:t>7a and b</w:t>
            </w:r>
            <w:r w:rsidR="00551CF0" w:rsidRPr="006C09BD">
              <w:rPr>
                <w:rFonts w:ascii="Arial" w:hAnsi="Arial" w:cs="Arial"/>
                <w:sz w:val="20"/>
                <w:szCs w:val="20"/>
                <w:lang w:val="en-GB"/>
              </w:rPr>
              <w:t>}</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22BA6F72" w14:textId="1FA50DD2" w:rsidR="0050292B" w:rsidRPr="006C09BD" w:rsidRDefault="002576B3" w:rsidP="009E60BE">
            <w:pPr>
              <w:pStyle w:val="FreeForm"/>
              <w:spacing w:before="120" w:after="120" w:line="360" w:lineRule="auto"/>
              <w:rPr>
                <w:rFonts w:ascii="Arial" w:hAnsi="Arial" w:cs="Arial"/>
                <w:color w:val="auto"/>
                <w:lang w:val="en-GB"/>
              </w:rPr>
            </w:pPr>
            <w:r w:rsidRPr="006C09BD">
              <w:rPr>
                <w:rFonts w:ascii="Arial" w:hAnsi="Arial" w:cs="Arial"/>
                <w:color w:val="auto"/>
                <w:sz w:val="20"/>
                <w:szCs w:val="20"/>
                <w:u w:color="004C7F"/>
                <w:lang w:val="en-GB"/>
              </w:rPr>
              <w:t>National Institute for Health and Care Research (NIHR) Health Technology Assessment Programme (NIHR134216) and National Health and Medical Research Council NHMRC-NIHR Collaborative Research Grant Scheme (NHMRC2014792)</w:t>
            </w:r>
          </w:p>
        </w:tc>
      </w:tr>
      <w:tr w:rsidR="0050292B" w:rsidRPr="006C09BD" w14:paraId="7F8EFD2E" w14:textId="77777777">
        <w:trPr>
          <w:trHeight w:val="1110"/>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592D3E42" w14:textId="5DF4589B" w:rsidR="0050292B" w:rsidRPr="006C09BD" w:rsidRDefault="0054763F" w:rsidP="006C4F0C">
            <w:pPr>
              <w:pStyle w:val="FreeForm"/>
              <w:spacing w:before="120" w:after="120" w:line="360" w:lineRule="auto"/>
              <w:rPr>
                <w:rFonts w:ascii="Arial" w:hAnsi="Arial" w:cs="Arial"/>
                <w:lang w:val="en-GB"/>
              </w:rPr>
            </w:pPr>
            <w:r w:rsidRPr="006C09BD">
              <w:rPr>
                <w:rFonts w:ascii="Arial" w:hAnsi="Arial" w:cs="Arial"/>
                <w:sz w:val="20"/>
                <w:szCs w:val="20"/>
                <w:lang w:val="en-GB"/>
              </w:rPr>
              <w:t xml:space="preserve">Primary sponsor </w:t>
            </w:r>
            <w:r w:rsidR="00551CF0" w:rsidRPr="006C09BD">
              <w:rPr>
                <w:rFonts w:ascii="Arial" w:hAnsi="Arial" w:cs="Arial"/>
                <w:sz w:val="20"/>
                <w:szCs w:val="20"/>
                <w:lang w:val="en-GB"/>
              </w:rPr>
              <w:t>and contact information {</w:t>
            </w:r>
            <w:r w:rsidR="0004066B" w:rsidRPr="006C09BD">
              <w:rPr>
                <w:rFonts w:ascii="Arial" w:hAnsi="Arial" w:cs="Arial"/>
                <w:sz w:val="20"/>
                <w:szCs w:val="20"/>
                <w:lang w:val="en-GB"/>
              </w:rPr>
              <w:t>3</w:t>
            </w:r>
            <w:r w:rsidR="00551CF0" w:rsidRPr="006C09BD">
              <w:rPr>
                <w:rFonts w:ascii="Arial" w:hAnsi="Arial" w:cs="Arial"/>
                <w:sz w:val="20"/>
                <w:szCs w:val="20"/>
                <w:lang w:val="en-GB"/>
              </w:rPr>
              <w:t>b}</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49573660" w14:textId="1089A56C" w:rsidR="00D8402C" w:rsidRPr="006C09BD" w:rsidRDefault="00BF6D05" w:rsidP="006C4F0C">
            <w:pPr>
              <w:pStyle w:val="BodyA"/>
              <w:widowControl w:val="0"/>
              <w:spacing w:line="360" w:lineRule="auto"/>
              <w:rPr>
                <w:rFonts w:cs="Arial"/>
                <w:color w:val="auto"/>
                <w:u w:color="004C7F"/>
                <w:lang w:val="en-GB"/>
              </w:rPr>
            </w:pPr>
            <w:r w:rsidRPr="006C09BD">
              <w:rPr>
                <w:rFonts w:cs="Arial"/>
                <w:color w:val="auto"/>
                <w:u w:color="004C7F"/>
                <w:lang w:val="en-GB"/>
              </w:rPr>
              <w:t>U</w:t>
            </w:r>
            <w:r w:rsidR="00281124" w:rsidRPr="006C09BD">
              <w:rPr>
                <w:rFonts w:cs="Arial"/>
                <w:color w:val="auto"/>
                <w:u w:color="004C7F"/>
                <w:lang w:val="en-GB"/>
              </w:rPr>
              <w:t xml:space="preserve">nited </w:t>
            </w:r>
            <w:r w:rsidRPr="006C09BD">
              <w:rPr>
                <w:rFonts w:cs="Arial"/>
                <w:color w:val="auto"/>
                <w:u w:color="004C7F"/>
                <w:lang w:val="en-GB"/>
              </w:rPr>
              <w:t>K</w:t>
            </w:r>
            <w:r w:rsidR="00281124" w:rsidRPr="006C09BD">
              <w:rPr>
                <w:rFonts w:cs="Arial"/>
                <w:color w:val="auto"/>
                <w:u w:color="004C7F"/>
                <w:lang w:val="en-GB"/>
              </w:rPr>
              <w:t>ingdom</w:t>
            </w:r>
            <w:r w:rsidRPr="006C09BD">
              <w:rPr>
                <w:rFonts w:cs="Arial"/>
                <w:color w:val="auto"/>
                <w:u w:color="004C7F"/>
                <w:lang w:val="en-GB"/>
              </w:rPr>
              <w:t xml:space="preserve"> Sponsor: </w:t>
            </w:r>
            <w:r w:rsidR="00D8402C" w:rsidRPr="006C09BD">
              <w:rPr>
                <w:rFonts w:cs="Arial"/>
                <w:color w:val="auto"/>
                <w:u w:color="004C7F"/>
                <w:lang w:val="en-GB"/>
              </w:rPr>
              <w:t>Ms Becky Ward</w:t>
            </w:r>
          </w:p>
          <w:p w14:paraId="31CDDDF0" w14:textId="77777777" w:rsidR="00D8402C" w:rsidRPr="006C09BD" w:rsidRDefault="00D8402C" w:rsidP="006C4F0C">
            <w:pPr>
              <w:pStyle w:val="BodyA"/>
              <w:widowControl w:val="0"/>
              <w:spacing w:line="360" w:lineRule="auto"/>
              <w:rPr>
                <w:rFonts w:cs="Arial"/>
                <w:color w:val="auto"/>
                <w:u w:color="004C7F"/>
                <w:lang w:val="en-GB"/>
              </w:rPr>
            </w:pPr>
            <w:r w:rsidRPr="006C09BD">
              <w:rPr>
                <w:rFonts w:cs="Arial"/>
                <w:color w:val="auto"/>
                <w:u w:color="004C7F"/>
                <w:lang w:val="en-GB"/>
              </w:rPr>
              <w:t>Research Governance and Integrity Manager</w:t>
            </w:r>
          </w:p>
          <w:p w14:paraId="41C80A97" w14:textId="77777777" w:rsidR="00D8402C" w:rsidRPr="006C09BD" w:rsidRDefault="00D8402C" w:rsidP="009E60BE">
            <w:pPr>
              <w:pStyle w:val="BodyA"/>
              <w:widowControl w:val="0"/>
              <w:spacing w:line="360" w:lineRule="auto"/>
              <w:rPr>
                <w:rFonts w:cs="Arial"/>
                <w:color w:val="auto"/>
                <w:u w:color="004C7F"/>
                <w:lang w:val="en-GB"/>
              </w:rPr>
            </w:pPr>
            <w:r w:rsidRPr="006C09BD">
              <w:rPr>
                <w:rFonts w:cs="Arial"/>
                <w:color w:val="auto"/>
                <w:u w:color="004C7F"/>
                <w:lang w:val="en-GB"/>
              </w:rPr>
              <w:t>Imperial College London</w:t>
            </w:r>
          </w:p>
          <w:p w14:paraId="758AEE9F" w14:textId="5F52EA7B" w:rsidR="00D8402C" w:rsidRPr="006C09BD" w:rsidRDefault="001F4287" w:rsidP="009E60BE">
            <w:pPr>
              <w:pStyle w:val="BodyA"/>
              <w:widowControl w:val="0"/>
              <w:spacing w:line="360" w:lineRule="auto"/>
              <w:rPr>
                <w:rFonts w:cs="Arial"/>
                <w:color w:val="auto"/>
                <w:u w:color="004C7F"/>
                <w:lang w:val="en-GB"/>
              </w:rPr>
            </w:pPr>
            <w:hyperlink r:id="rId10" w:history="1">
              <w:r w:rsidR="00871E32" w:rsidRPr="006C09BD">
                <w:rPr>
                  <w:rStyle w:val="Hyperlink"/>
                  <w:rFonts w:cs="Arial"/>
                  <w:u w:color="004C7F"/>
                  <w:lang w:val="en-GB"/>
                </w:rPr>
                <w:t>becky.ward@imperial.ac.uk</w:t>
              </w:r>
            </w:hyperlink>
          </w:p>
          <w:p w14:paraId="5EBA259E" w14:textId="77777777" w:rsidR="00871E32" w:rsidRPr="006C09BD" w:rsidRDefault="00871E32" w:rsidP="009E60BE">
            <w:pPr>
              <w:pStyle w:val="BodyA"/>
              <w:widowControl w:val="0"/>
              <w:spacing w:line="360" w:lineRule="auto"/>
              <w:rPr>
                <w:rFonts w:cs="Arial"/>
                <w:color w:val="auto"/>
                <w:u w:color="004C7F"/>
                <w:lang w:val="en-GB"/>
              </w:rPr>
            </w:pPr>
          </w:p>
          <w:p w14:paraId="0E69C40A" w14:textId="1F50916B" w:rsidR="00A8245F" w:rsidRPr="006C09BD" w:rsidRDefault="00BF6D05" w:rsidP="009E60BE">
            <w:pPr>
              <w:pStyle w:val="BodyA"/>
              <w:widowControl w:val="0"/>
              <w:spacing w:line="360" w:lineRule="auto"/>
              <w:rPr>
                <w:rFonts w:cs="Arial"/>
                <w:color w:val="auto"/>
                <w:u w:color="004C7F"/>
                <w:lang w:val="en-GB"/>
              </w:rPr>
            </w:pPr>
            <w:r w:rsidRPr="006C09BD">
              <w:rPr>
                <w:rFonts w:cs="Arial"/>
                <w:color w:val="auto"/>
                <w:u w:color="004C7F"/>
                <w:lang w:val="en-GB"/>
              </w:rPr>
              <w:t>Australian</w:t>
            </w:r>
            <w:r w:rsidR="002955CD" w:rsidRPr="006C09BD">
              <w:rPr>
                <w:rFonts w:cs="Arial"/>
                <w:color w:val="auto"/>
                <w:u w:color="004C7F"/>
                <w:lang w:val="en-GB"/>
              </w:rPr>
              <w:t xml:space="preserve"> delegated</w:t>
            </w:r>
            <w:r w:rsidRPr="006C09BD">
              <w:rPr>
                <w:rFonts w:cs="Arial"/>
                <w:color w:val="auto"/>
                <w:u w:color="004C7F"/>
                <w:lang w:val="en-GB"/>
              </w:rPr>
              <w:t xml:space="preserve"> </w:t>
            </w:r>
            <w:r w:rsidR="002955CD" w:rsidRPr="006C09BD">
              <w:rPr>
                <w:rFonts w:cs="Arial"/>
                <w:color w:val="auto"/>
                <w:u w:color="004C7F"/>
                <w:lang w:val="en-GB"/>
              </w:rPr>
              <w:t>s</w:t>
            </w:r>
            <w:r w:rsidRPr="006C09BD">
              <w:rPr>
                <w:rFonts w:cs="Arial"/>
                <w:color w:val="auto"/>
                <w:u w:color="004C7F"/>
                <w:lang w:val="en-GB"/>
              </w:rPr>
              <w:t>ponsor</w:t>
            </w:r>
            <w:r w:rsidR="002955CD" w:rsidRPr="006C09BD">
              <w:rPr>
                <w:rFonts w:cs="Arial"/>
                <w:color w:val="auto"/>
                <w:u w:color="004C7F"/>
                <w:lang w:val="en-GB"/>
              </w:rPr>
              <w:t>ship organisation</w:t>
            </w:r>
            <w:r w:rsidRPr="006C09BD">
              <w:rPr>
                <w:rFonts w:cs="Arial"/>
                <w:color w:val="auto"/>
                <w:u w:color="004C7F"/>
                <w:lang w:val="en-GB"/>
              </w:rPr>
              <w:t xml:space="preserve">: </w:t>
            </w:r>
            <w:r w:rsidR="00314BE4" w:rsidRPr="006C09BD">
              <w:rPr>
                <w:rFonts w:cs="Arial"/>
                <w:color w:val="auto"/>
                <w:u w:color="004C7F"/>
                <w:lang w:val="en-GB"/>
              </w:rPr>
              <w:t>Amy</w:t>
            </w:r>
            <w:r w:rsidR="001F7EAB" w:rsidRPr="006C09BD">
              <w:rPr>
                <w:rFonts w:cs="Arial"/>
                <w:lang w:val="en-GB"/>
              </w:rPr>
              <w:t xml:space="preserve"> Rodriquez</w:t>
            </w:r>
          </w:p>
          <w:p w14:paraId="08BC5167" w14:textId="79F1FF4B" w:rsidR="00314BE4" w:rsidRPr="006C09BD" w:rsidRDefault="00314BE4" w:rsidP="009E60BE">
            <w:pPr>
              <w:pStyle w:val="BodyA"/>
              <w:widowControl w:val="0"/>
              <w:spacing w:line="360" w:lineRule="auto"/>
              <w:rPr>
                <w:rFonts w:cs="Arial"/>
                <w:lang w:val="en-GB"/>
              </w:rPr>
            </w:pPr>
            <w:r w:rsidRPr="006C09BD">
              <w:rPr>
                <w:rFonts w:cs="Arial"/>
                <w:lang w:val="en-GB"/>
              </w:rPr>
              <w:t xml:space="preserve">School of Clinical Science, </w:t>
            </w:r>
          </w:p>
          <w:p w14:paraId="1CBF544F" w14:textId="32F407E8" w:rsidR="00314BE4" w:rsidRPr="006C09BD" w:rsidRDefault="00314BE4" w:rsidP="009E60BE">
            <w:pPr>
              <w:pStyle w:val="BodyA"/>
              <w:widowControl w:val="0"/>
              <w:spacing w:line="360" w:lineRule="auto"/>
              <w:rPr>
                <w:rFonts w:cs="Arial"/>
                <w:lang w:val="en-GB"/>
              </w:rPr>
            </w:pPr>
            <w:r w:rsidRPr="006C09BD">
              <w:rPr>
                <w:rFonts w:cs="Arial"/>
                <w:lang w:val="en-GB"/>
              </w:rPr>
              <w:t xml:space="preserve">Monash University, </w:t>
            </w:r>
          </w:p>
          <w:p w14:paraId="4FDA2D5A" w14:textId="7111F65F" w:rsidR="00314BE4" w:rsidRPr="006C09BD" w:rsidRDefault="00314BE4" w:rsidP="009E60BE">
            <w:pPr>
              <w:pStyle w:val="BodyA"/>
              <w:widowControl w:val="0"/>
              <w:spacing w:line="360" w:lineRule="auto"/>
              <w:rPr>
                <w:rFonts w:cs="Arial"/>
                <w:lang w:val="en-GB"/>
              </w:rPr>
            </w:pPr>
            <w:r w:rsidRPr="006C09BD">
              <w:rPr>
                <w:rFonts w:cs="Arial"/>
                <w:lang w:val="en-GB"/>
              </w:rPr>
              <w:t>Department of Paediatrics,</w:t>
            </w:r>
          </w:p>
          <w:p w14:paraId="5F2D1C28" w14:textId="49290983" w:rsidR="00367F3A" w:rsidRPr="006C09BD" w:rsidRDefault="00314BE4" w:rsidP="009E60BE">
            <w:pPr>
              <w:pStyle w:val="BodyA"/>
              <w:widowControl w:val="0"/>
              <w:spacing w:line="360" w:lineRule="auto"/>
              <w:rPr>
                <w:rFonts w:cs="Arial"/>
                <w:lang w:val="en-GB"/>
              </w:rPr>
            </w:pPr>
            <w:r w:rsidRPr="006C09BD">
              <w:rPr>
                <w:rFonts w:cs="Arial"/>
                <w:lang w:val="en-GB"/>
              </w:rPr>
              <w:t>Monash Children</w:t>
            </w:r>
            <w:r w:rsidR="00B10A76" w:rsidRPr="006C09BD">
              <w:rPr>
                <w:rFonts w:cs="Arial"/>
                <w:lang w:val="en-GB"/>
              </w:rPr>
              <w:t>’</w:t>
            </w:r>
            <w:r w:rsidRPr="006C09BD">
              <w:rPr>
                <w:rFonts w:cs="Arial"/>
                <w:lang w:val="en-GB"/>
              </w:rPr>
              <w:t>s Hospital</w:t>
            </w:r>
            <w:r w:rsidR="0097452C" w:rsidRPr="006C09BD">
              <w:rPr>
                <w:rFonts w:cs="Arial"/>
                <w:lang w:val="en-GB"/>
              </w:rPr>
              <w:t xml:space="preserve">, </w:t>
            </w:r>
            <w:r w:rsidRPr="006C09BD">
              <w:rPr>
                <w:rFonts w:cs="Arial"/>
                <w:lang w:val="en-GB"/>
              </w:rPr>
              <w:t>Australia</w:t>
            </w:r>
          </w:p>
          <w:p w14:paraId="37BA4251" w14:textId="7F83ACD2" w:rsidR="0097452C" w:rsidRPr="006C09BD" w:rsidRDefault="001F4287" w:rsidP="009E60BE">
            <w:pPr>
              <w:pStyle w:val="BodyA"/>
              <w:widowControl w:val="0"/>
              <w:spacing w:line="360" w:lineRule="auto"/>
              <w:rPr>
                <w:rFonts w:cs="Arial"/>
                <w:lang w:val="en-GB"/>
              </w:rPr>
            </w:pPr>
            <w:hyperlink r:id="rId11" w:history="1">
              <w:r w:rsidR="006C09BD" w:rsidRPr="009B5A83">
                <w:rPr>
                  <w:rStyle w:val="Hyperlink"/>
                  <w:rFonts w:cs="Arial"/>
                  <w:lang w:val="en-GB"/>
                </w:rPr>
                <w:t>Amy.Rodriquez@monash.edu</w:t>
              </w:r>
            </w:hyperlink>
          </w:p>
        </w:tc>
      </w:tr>
      <w:tr w:rsidR="0050292B" w:rsidRPr="006C09BD" w14:paraId="06C0CFD2" w14:textId="77777777" w:rsidTr="00B10A76">
        <w:trPr>
          <w:trHeight w:val="1555"/>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2B93D329" w14:textId="5769F2ED" w:rsidR="0050292B" w:rsidRPr="006C09BD" w:rsidRDefault="00551CF0" w:rsidP="006C4F0C">
            <w:pPr>
              <w:pStyle w:val="FreeForm"/>
              <w:spacing w:before="120" w:after="120" w:line="360" w:lineRule="auto"/>
              <w:rPr>
                <w:rFonts w:ascii="Arial" w:hAnsi="Arial" w:cs="Arial"/>
                <w:lang w:val="en-GB"/>
              </w:rPr>
            </w:pPr>
            <w:r w:rsidRPr="006C09BD">
              <w:rPr>
                <w:rFonts w:ascii="Arial" w:hAnsi="Arial" w:cs="Arial"/>
                <w:sz w:val="20"/>
                <w:szCs w:val="20"/>
                <w:lang w:val="en-GB"/>
              </w:rPr>
              <w:t xml:space="preserve">Role of sponsor </w:t>
            </w:r>
            <w:r w:rsidR="0054763F" w:rsidRPr="006C09BD">
              <w:rPr>
                <w:rFonts w:ascii="Arial" w:hAnsi="Arial" w:cs="Arial"/>
                <w:sz w:val="20"/>
                <w:szCs w:val="20"/>
                <w:lang w:val="en-GB"/>
              </w:rPr>
              <w:t xml:space="preserve">and funder </w:t>
            </w:r>
            <w:r w:rsidRPr="006C09BD">
              <w:rPr>
                <w:rFonts w:ascii="Arial" w:hAnsi="Arial" w:cs="Arial"/>
                <w:sz w:val="20"/>
                <w:szCs w:val="20"/>
                <w:lang w:val="en-GB"/>
              </w:rPr>
              <w:t>{</w:t>
            </w:r>
            <w:r w:rsidR="00D164F2" w:rsidRPr="006C09BD">
              <w:rPr>
                <w:rFonts w:ascii="Arial" w:hAnsi="Arial" w:cs="Arial"/>
                <w:sz w:val="20"/>
                <w:szCs w:val="20"/>
                <w:lang w:val="en-GB"/>
              </w:rPr>
              <w:t>3</w:t>
            </w:r>
            <w:r w:rsidRPr="006C09BD">
              <w:rPr>
                <w:rFonts w:ascii="Arial" w:hAnsi="Arial" w:cs="Arial"/>
                <w:sz w:val="20"/>
                <w:szCs w:val="20"/>
                <w:lang w:val="en-GB"/>
              </w:rPr>
              <w:t>c}</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3F39F9E4" w14:textId="75BD23E7" w:rsidR="00620890" w:rsidRPr="006C09BD" w:rsidRDefault="00620890"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Imperial College</w:t>
            </w:r>
            <w:r w:rsidR="007256DD" w:rsidRPr="006C09BD">
              <w:rPr>
                <w:rFonts w:ascii="Arial" w:hAnsi="Arial" w:cs="Arial"/>
                <w:color w:val="auto"/>
                <w:sz w:val="20"/>
                <w:szCs w:val="20"/>
                <w:u w:color="004C7F"/>
                <w:lang w:val="en-GB"/>
              </w:rPr>
              <w:t xml:space="preserve"> London</w:t>
            </w:r>
            <w:r w:rsidRPr="006C09BD">
              <w:rPr>
                <w:rFonts w:ascii="Arial" w:hAnsi="Arial" w:cs="Arial"/>
                <w:color w:val="auto"/>
                <w:sz w:val="20"/>
                <w:szCs w:val="20"/>
                <w:u w:color="004C7F"/>
                <w:lang w:val="en-GB"/>
              </w:rPr>
              <w:t>, as the Sponsor of the neoGASTRIC Trial, holds a central role in ensuring successful execution and oversight of the study.</w:t>
            </w:r>
            <w:r w:rsidR="000C23EF" w:rsidRPr="006C09BD">
              <w:rPr>
                <w:rFonts w:ascii="Arial" w:hAnsi="Arial" w:cs="Arial"/>
                <w:color w:val="auto"/>
                <w:sz w:val="20"/>
                <w:szCs w:val="20"/>
                <w:u w:color="004C7F"/>
                <w:lang w:val="en-GB"/>
              </w:rPr>
              <w:t xml:space="preserve"> </w:t>
            </w:r>
            <w:r w:rsidR="00546054" w:rsidRPr="006C09BD">
              <w:rPr>
                <w:rFonts w:ascii="Arial" w:hAnsi="Arial" w:cs="Arial"/>
                <w:color w:val="auto"/>
                <w:sz w:val="20"/>
                <w:szCs w:val="20"/>
                <w:u w:color="004C7F"/>
                <w:lang w:val="en-GB"/>
              </w:rPr>
              <w:t xml:space="preserve">Their responsibilities include taking overall legal responsibility for the management of the research study, ensuring that it is undertaken according to all regulatory requirements, and reviewing all documents prior to ethical submission. </w:t>
            </w:r>
            <w:r w:rsidR="000C23EF" w:rsidRPr="006C09BD">
              <w:rPr>
                <w:rFonts w:ascii="Arial" w:hAnsi="Arial" w:cs="Arial"/>
                <w:color w:val="auto"/>
                <w:sz w:val="20"/>
                <w:szCs w:val="20"/>
                <w:u w:color="004C7F"/>
                <w:lang w:val="en-GB"/>
              </w:rPr>
              <w:t xml:space="preserve">Monash University will act as the Australian delegated sponsorship </w:t>
            </w:r>
            <w:r w:rsidR="000C23EF" w:rsidRPr="006C09BD">
              <w:rPr>
                <w:rFonts w:ascii="Arial" w:hAnsi="Arial" w:cs="Arial"/>
                <w:color w:val="auto"/>
                <w:sz w:val="20"/>
                <w:szCs w:val="20"/>
                <w:u w:color="004C7F"/>
                <w:lang w:val="en-GB"/>
              </w:rPr>
              <w:lastRenderedPageBreak/>
              <w:t>organisation, taking on delegated responsibilities for participating Australian sites.</w:t>
            </w:r>
            <w:r w:rsidRPr="006C09BD">
              <w:rPr>
                <w:rFonts w:ascii="Arial" w:hAnsi="Arial" w:cs="Arial"/>
                <w:color w:val="auto"/>
                <w:sz w:val="20"/>
                <w:szCs w:val="20"/>
                <w:u w:color="004C7F"/>
                <w:lang w:val="en-GB"/>
              </w:rPr>
              <w:t xml:space="preserve"> </w:t>
            </w:r>
          </w:p>
          <w:p w14:paraId="611892B3" w14:textId="543077F3" w:rsidR="0054763F" w:rsidRPr="006C09BD" w:rsidRDefault="00965A8F" w:rsidP="009E60BE">
            <w:pPr>
              <w:pStyle w:val="FreeForm"/>
              <w:spacing w:before="120" w:after="120" w:line="360" w:lineRule="auto"/>
              <w:rPr>
                <w:rFonts w:ascii="Arial" w:hAnsi="Arial" w:cs="Arial"/>
                <w:lang w:val="en-GB"/>
              </w:rPr>
            </w:pPr>
            <w:r w:rsidRPr="006C09BD">
              <w:rPr>
                <w:rFonts w:ascii="Arial" w:hAnsi="Arial" w:cs="Arial"/>
                <w:color w:val="auto"/>
                <w:sz w:val="20"/>
                <w:szCs w:val="20"/>
                <w:u w:color="004C7F"/>
                <w:lang w:val="en-GB"/>
              </w:rPr>
              <w:t>NHMRC-NIHR Collaborative Research Grant Scheme</w:t>
            </w:r>
            <w:r w:rsidR="00D238C8" w:rsidRPr="006C09BD">
              <w:rPr>
                <w:rFonts w:ascii="Arial" w:hAnsi="Arial" w:cs="Arial"/>
                <w:color w:val="auto"/>
                <w:sz w:val="20"/>
                <w:szCs w:val="20"/>
                <w:u w:color="004C7F"/>
                <w:lang w:val="en-GB"/>
              </w:rPr>
              <w:t>. The funder</w:t>
            </w:r>
            <w:r w:rsidR="005F7DD3" w:rsidRPr="006C09BD">
              <w:rPr>
                <w:rFonts w:ascii="Arial" w:hAnsi="Arial" w:cs="Arial"/>
                <w:color w:val="auto"/>
                <w:sz w:val="20"/>
                <w:szCs w:val="20"/>
                <w:u w:color="004C7F"/>
                <w:lang w:val="en-GB"/>
              </w:rPr>
              <w:t>s</w:t>
            </w:r>
            <w:r w:rsidR="00D238C8" w:rsidRPr="006C09BD">
              <w:rPr>
                <w:rFonts w:ascii="Arial" w:hAnsi="Arial" w:cs="Arial"/>
                <w:color w:val="auto"/>
                <w:sz w:val="20"/>
                <w:szCs w:val="20"/>
                <w:u w:color="004C7F"/>
                <w:lang w:val="en-GB"/>
              </w:rPr>
              <w:t xml:space="preserve"> </w:t>
            </w:r>
            <w:r w:rsidR="005F7DD3" w:rsidRPr="006C09BD">
              <w:rPr>
                <w:rFonts w:ascii="Arial" w:hAnsi="Arial" w:cs="Arial"/>
                <w:color w:val="auto"/>
                <w:sz w:val="20"/>
                <w:szCs w:val="20"/>
                <w:u w:color="004C7F"/>
                <w:lang w:val="en-GB"/>
              </w:rPr>
              <w:t>have no influence on study design, collection, management, analysis and interpretation of data, writing of the report and the decision to submit for publication</w:t>
            </w:r>
            <w:r w:rsidR="00D238C8" w:rsidRPr="006C09BD">
              <w:rPr>
                <w:rFonts w:ascii="Arial" w:hAnsi="Arial" w:cs="Arial"/>
                <w:color w:val="auto"/>
                <w:sz w:val="20"/>
                <w:szCs w:val="20"/>
                <w:u w:color="004C7F"/>
                <w:lang w:val="en-GB"/>
              </w:rPr>
              <w:t>.</w:t>
            </w:r>
          </w:p>
        </w:tc>
      </w:tr>
      <w:tr w:rsidR="00B10A76" w:rsidRPr="006C09BD" w14:paraId="19CDA5C4" w14:textId="77777777" w:rsidTr="00995C80">
        <w:trPr>
          <w:trHeight w:val="974"/>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6EA081A2" w14:textId="1C655CED" w:rsidR="00B10A76" w:rsidRPr="006C09BD" w:rsidRDefault="00B10A76"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lastRenderedPageBreak/>
              <w:t>Contact for Public Queries</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3B24E685" w14:textId="6DFA38FA" w:rsidR="00B10A76"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lang w:val="en-GB"/>
              </w:rPr>
              <w:t>neoGASTRIC@npeu.ox.ac.uk</w:t>
            </w:r>
          </w:p>
          <w:p w14:paraId="1E9A2016" w14:textId="0EF4BCF9" w:rsidR="0054763F" w:rsidRPr="006C09BD" w:rsidRDefault="001F4287" w:rsidP="009E60BE">
            <w:pPr>
              <w:pStyle w:val="FreeForm"/>
              <w:spacing w:before="120" w:after="120" w:line="360" w:lineRule="auto"/>
              <w:rPr>
                <w:rFonts w:ascii="Arial" w:hAnsi="Arial" w:cs="Arial"/>
                <w:color w:val="auto"/>
                <w:sz w:val="20"/>
                <w:szCs w:val="20"/>
                <w:u w:color="004C7F"/>
                <w:lang w:val="en-GB"/>
              </w:rPr>
            </w:pPr>
            <w:hyperlink r:id="rId12" w:history="1">
              <w:r w:rsidR="0054763F" w:rsidRPr="006C09BD">
                <w:rPr>
                  <w:rStyle w:val="Hyperlink"/>
                  <w:rFonts w:ascii="Arial" w:hAnsi="Arial" w:cs="Arial"/>
                  <w:sz w:val="20"/>
                  <w:szCs w:val="20"/>
                  <w:lang w:val="en-GB"/>
                </w:rPr>
                <w:t>neoGASTRIC | NPEU</w:t>
              </w:r>
            </w:hyperlink>
          </w:p>
        </w:tc>
      </w:tr>
      <w:tr w:rsidR="00B10A76" w:rsidRPr="006C09BD" w14:paraId="6EEA2D7C" w14:textId="77777777" w:rsidTr="00B10A76">
        <w:trPr>
          <w:trHeight w:val="1084"/>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15109055" w14:textId="02383BEE" w:rsidR="00B10A76" w:rsidRPr="006C09BD" w:rsidRDefault="00B10A76"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Contact for Scientific Queries</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7FB55326" w14:textId="6A43E6F1" w:rsidR="008A25DB"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 xml:space="preserve">Professor Chris Gale: </w:t>
            </w:r>
            <w:hyperlink r:id="rId13" w:history="1">
              <w:r w:rsidRPr="006C09BD">
                <w:rPr>
                  <w:rFonts w:ascii="Arial" w:hAnsi="Arial" w:cs="Arial"/>
                  <w:color w:val="auto"/>
                  <w:sz w:val="20"/>
                  <w:szCs w:val="20"/>
                  <w:u w:color="004C7F"/>
                  <w:lang w:val="en-GB"/>
                </w:rPr>
                <w:t>christopher.gale@imperial.ac.uk</w:t>
              </w:r>
            </w:hyperlink>
          </w:p>
          <w:p w14:paraId="377DC48D" w14:textId="5C7AEBEB" w:rsidR="00B10A76"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 xml:space="preserve">Associate Professor Calum Roberts: </w:t>
            </w:r>
            <w:hyperlink r:id="rId14" w:history="1">
              <w:r w:rsidRPr="006C09BD">
                <w:rPr>
                  <w:rFonts w:ascii="Arial" w:hAnsi="Arial" w:cs="Arial"/>
                  <w:color w:val="auto"/>
                  <w:sz w:val="20"/>
                  <w:szCs w:val="20"/>
                  <w:u w:color="004C7F"/>
                  <w:lang w:val="en-GB"/>
                </w:rPr>
                <w:t>calum.roberts@monash.edu</w:t>
              </w:r>
            </w:hyperlink>
            <w:r w:rsidR="0097452C" w:rsidRPr="006C09BD">
              <w:rPr>
                <w:rFonts w:ascii="Arial" w:hAnsi="Arial" w:cs="Arial"/>
                <w:color w:val="auto"/>
                <w:sz w:val="20"/>
                <w:szCs w:val="20"/>
                <w:u w:color="004C7F"/>
                <w:lang w:val="en-GB"/>
              </w:rPr>
              <w:t xml:space="preserve"> </w:t>
            </w:r>
          </w:p>
        </w:tc>
      </w:tr>
      <w:tr w:rsidR="0054763F" w:rsidRPr="006C09BD" w14:paraId="095388C5" w14:textId="77777777" w:rsidTr="00B10A76">
        <w:trPr>
          <w:trHeight w:val="1084"/>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4753FE08" w14:textId="568B40DA"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 xml:space="preserve">Public Title </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7C454ACD" w14:textId="3743D286" w:rsidR="0054763F"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The neoGASTRIC Trial</w:t>
            </w:r>
          </w:p>
        </w:tc>
      </w:tr>
      <w:tr w:rsidR="0054763F" w:rsidRPr="006C09BD" w14:paraId="5C76BC86" w14:textId="77777777" w:rsidTr="00B10A76">
        <w:trPr>
          <w:trHeight w:val="1084"/>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59FE8884" w14:textId="52D89A0D" w:rsidR="0054763F" w:rsidRPr="006C09BD" w:rsidRDefault="008A25DB"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 xml:space="preserve">Scientific </w:t>
            </w:r>
            <w:r w:rsidR="0054763F" w:rsidRPr="006C09BD">
              <w:rPr>
                <w:rFonts w:ascii="Arial" w:hAnsi="Arial" w:cs="Arial"/>
                <w:sz w:val="20"/>
                <w:szCs w:val="20"/>
                <w:lang w:val="en-GB"/>
              </w:rPr>
              <w:t>Title {1}</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14C81FC0" w14:textId="4B3F2B55" w:rsidR="0054763F"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Avoiding routine gastric residual volume measurement in neonatal critical care (The neoGASTRIC trial)</w:t>
            </w:r>
          </w:p>
        </w:tc>
      </w:tr>
      <w:tr w:rsidR="0054763F" w:rsidRPr="006C09BD" w14:paraId="512F7408"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541F393C" w14:textId="3452A733"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Countries of Recruitment</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4CE3909B" w14:textId="0DAC71FA" w:rsidR="0054763F"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Australia, United Kingdom</w:t>
            </w:r>
          </w:p>
        </w:tc>
      </w:tr>
      <w:tr w:rsidR="0054763F" w:rsidRPr="006C09BD" w14:paraId="33EB9406"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3B46DA27" w14:textId="366D68A0"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Health Condition(s) or Problem(s) Studied</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282BD087" w14:textId="4BF9BE94" w:rsidR="0054763F"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Preterm infants born at less than 34+0 gestational weeks+days, admitted to participating neonatal units in the United Kingdom and Australia.</w:t>
            </w:r>
          </w:p>
        </w:tc>
      </w:tr>
      <w:tr w:rsidR="0054763F" w:rsidRPr="006C09BD" w14:paraId="3CA3A708" w14:textId="77777777" w:rsidTr="00217BA3">
        <w:trPr>
          <w:trHeight w:val="2439"/>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0E3A857D" w14:textId="5AE0C9EE"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Interventions</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18096786" w14:textId="77777777" w:rsidR="0054763F" w:rsidRPr="006C09BD" w:rsidRDefault="0054763F" w:rsidP="006C4F0C">
            <w:pPr>
              <w:pStyle w:val="BodyA"/>
              <w:widowControl w:val="0"/>
              <w:spacing w:line="360" w:lineRule="auto"/>
              <w:rPr>
                <w:rStyle w:val="NoneA"/>
                <w:rFonts w:cs="Arial"/>
                <w:lang w:val="en-GB"/>
              </w:rPr>
            </w:pPr>
            <w:r w:rsidRPr="006C09BD">
              <w:rPr>
                <w:rStyle w:val="NoneA"/>
                <w:rFonts w:cs="Arial"/>
                <w:lang w:val="en-GB"/>
              </w:rPr>
              <w:t>Two pathways of care are being compared:</w:t>
            </w:r>
          </w:p>
          <w:p w14:paraId="3BD550C1" w14:textId="77777777" w:rsidR="0054763F" w:rsidRPr="006C09BD" w:rsidRDefault="0054763F" w:rsidP="006C4F0C">
            <w:pPr>
              <w:pStyle w:val="BodyA"/>
              <w:widowControl w:val="0"/>
              <w:numPr>
                <w:ilvl w:val="0"/>
                <w:numId w:val="9"/>
              </w:numPr>
              <w:spacing w:line="360" w:lineRule="auto"/>
              <w:rPr>
                <w:rStyle w:val="NoneA"/>
                <w:rFonts w:cs="Arial"/>
                <w:lang w:val="en-GB"/>
              </w:rPr>
            </w:pPr>
            <w:r w:rsidRPr="006C09BD">
              <w:rPr>
                <w:rStyle w:val="NoneA"/>
                <w:rFonts w:cs="Arial"/>
                <w:lang w:val="en-GB"/>
              </w:rPr>
              <w:t xml:space="preserve">No routine measurement of gastric residual volumes </w:t>
            </w:r>
          </w:p>
          <w:p w14:paraId="0187C420" w14:textId="69235F57" w:rsidR="0054763F" w:rsidRPr="006C09BD" w:rsidRDefault="0054763F" w:rsidP="009E60BE">
            <w:pPr>
              <w:pStyle w:val="BodyA"/>
              <w:widowControl w:val="0"/>
              <w:numPr>
                <w:ilvl w:val="0"/>
                <w:numId w:val="9"/>
              </w:numPr>
              <w:spacing w:line="360" w:lineRule="auto"/>
              <w:rPr>
                <w:rStyle w:val="NoneA"/>
                <w:rFonts w:cs="Arial"/>
                <w:lang w:val="en-GB"/>
              </w:rPr>
            </w:pPr>
            <w:r w:rsidRPr="006C09BD">
              <w:rPr>
                <w:rStyle w:val="NoneA"/>
                <w:rFonts w:cs="Arial"/>
                <w:lang w:val="en-GB"/>
              </w:rPr>
              <w:t>Routine</w:t>
            </w:r>
            <w:r w:rsidRPr="006C09BD">
              <w:rPr>
                <w:rFonts w:cs="Arial"/>
                <w:lang w:val="en-GB"/>
              </w:rPr>
              <w:t>, at least 6-hourly,</w:t>
            </w:r>
            <w:r w:rsidRPr="006C09BD">
              <w:rPr>
                <w:rStyle w:val="NoneA"/>
                <w:rFonts w:cs="Arial"/>
                <w:lang w:val="en-GB"/>
              </w:rPr>
              <w:t xml:space="preserve"> measurement of gastric residual volumes</w:t>
            </w:r>
          </w:p>
          <w:p w14:paraId="761FCA5F" w14:textId="4CADC8D7" w:rsidR="0054763F" w:rsidRPr="006C09BD" w:rsidRDefault="0054763F" w:rsidP="009E60BE">
            <w:pPr>
              <w:pStyle w:val="BodyA"/>
              <w:widowControl w:val="0"/>
              <w:spacing w:line="360" w:lineRule="auto"/>
              <w:rPr>
                <w:rFonts w:cs="Arial"/>
                <w:color w:val="auto"/>
                <w:u w:color="004C7F"/>
                <w:lang w:val="en-GB"/>
              </w:rPr>
            </w:pPr>
            <w:r w:rsidRPr="006C09BD">
              <w:rPr>
                <w:rStyle w:val="NoneA"/>
                <w:rFonts w:cs="Arial"/>
                <w:lang w:val="en-GB"/>
              </w:rPr>
              <w:t xml:space="preserve">Both pathways represent standard clinical practice in different neonatal units in the </w:t>
            </w:r>
            <w:r w:rsidRPr="006C09BD">
              <w:rPr>
                <w:rFonts w:cs="Arial"/>
                <w:color w:val="auto"/>
                <w:u w:color="004C7F"/>
                <w:lang w:val="en-GB"/>
              </w:rPr>
              <w:t>United Kingdom</w:t>
            </w:r>
            <w:r w:rsidRPr="006C09BD">
              <w:rPr>
                <w:rStyle w:val="NoneA"/>
                <w:rFonts w:cs="Arial"/>
                <w:lang w:val="en-GB"/>
              </w:rPr>
              <w:t xml:space="preserve"> and Australia.</w:t>
            </w:r>
          </w:p>
        </w:tc>
      </w:tr>
      <w:tr w:rsidR="0054763F" w:rsidRPr="006C09BD" w14:paraId="4EEBCD8E"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08D6E79E" w14:textId="59B06181"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Key Inclusion and Exclusion Criteria</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1A844B50" w14:textId="77777777" w:rsidR="0054763F" w:rsidRPr="006C09BD" w:rsidRDefault="0054763F" w:rsidP="009E60BE">
            <w:pPr>
              <w:pStyle w:val="Tablesideheading"/>
              <w:framePr w:hSpace="0" w:wrap="auto" w:hAnchor="text" w:xAlign="left" w:yAlign="inline"/>
              <w:jc w:val="left"/>
            </w:pPr>
            <w:r w:rsidRPr="006C09BD">
              <w:t xml:space="preserve">Inclusion criteria: </w:t>
            </w:r>
          </w:p>
          <w:p w14:paraId="6049FA07" w14:textId="256EF37D" w:rsidR="0054763F" w:rsidRPr="006C09BD" w:rsidRDefault="0054763F" w:rsidP="006C4F0C">
            <w:pPr>
              <w:pStyle w:val="Tablebulletpoint"/>
              <w:rPr>
                <w:rFonts w:cs="Arial"/>
                <w:szCs w:val="20"/>
              </w:rPr>
            </w:pPr>
            <w:r w:rsidRPr="006C09BD">
              <w:rPr>
                <w:rFonts w:cs="Arial"/>
                <w:szCs w:val="20"/>
              </w:rPr>
              <w:t>Gestational age at birth less than 34</w:t>
            </w:r>
            <w:r w:rsidRPr="006C09BD">
              <w:rPr>
                <w:rStyle w:val="superscript"/>
                <w:rFonts w:cs="Arial"/>
                <w:sz w:val="20"/>
                <w:szCs w:val="20"/>
                <w:vertAlign w:val="baseline"/>
              </w:rPr>
              <w:t>+0</w:t>
            </w:r>
            <w:r w:rsidRPr="006C09BD">
              <w:rPr>
                <w:rFonts w:cs="Arial"/>
                <w:szCs w:val="20"/>
              </w:rPr>
              <w:t xml:space="preserve"> (up to and including 33+6) gestational weeks+days.</w:t>
            </w:r>
          </w:p>
          <w:p w14:paraId="1109C0B4" w14:textId="77777777" w:rsidR="0054763F" w:rsidRPr="006C09BD" w:rsidRDefault="0054763F" w:rsidP="006C4F0C">
            <w:pPr>
              <w:pStyle w:val="Tablebulletpoint"/>
              <w:rPr>
                <w:rFonts w:cs="Arial"/>
              </w:rPr>
            </w:pPr>
            <w:r w:rsidRPr="006C09BD">
              <w:rPr>
                <w:rFonts w:cs="Arial"/>
              </w:rPr>
              <w:t>Nasogastric or orogastric tube in place</w:t>
            </w:r>
          </w:p>
          <w:p w14:paraId="3E326AEB" w14:textId="77777777" w:rsidR="0054763F" w:rsidRPr="006C09BD" w:rsidRDefault="0054763F" w:rsidP="009E60BE">
            <w:pPr>
              <w:pStyle w:val="Tablesideheading"/>
              <w:framePr w:hSpace="0" w:wrap="auto" w:hAnchor="text" w:xAlign="left" w:yAlign="inline"/>
              <w:jc w:val="left"/>
            </w:pPr>
            <w:r w:rsidRPr="006C09BD">
              <w:lastRenderedPageBreak/>
              <w:t xml:space="preserve">Exclusion criteria: </w:t>
            </w:r>
          </w:p>
          <w:p w14:paraId="2F3C95AF" w14:textId="77777777" w:rsidR="0054763F" w:rsidRPr="006C09BD" w:rsidRDefault="0054763F" w:rsidP="006C4F0C">
            <w:pPr>
              <w:pStyle w:val="Tablebulletpoint"/>
              <w:rPr>
                <w:rFonts w:cs="Arial"/>
              </w:rPr>
            </w:pPr>
            <w:r w:rsidRPr="006C09BD">
              <w:rPr>
                <w:rFonts w:cs="Arial"/>
              </w:rPr>
              <w:t>Infant has received more than 15 ml/kg/day of milk for more than 24 hours</w:t>
            </w:r>
          </w:p>
          <w:p w14:paraId="42472C05" w14:textId="438FC4E3" w:rsidR="0054763F" w:rsidRPr="006C09BD" w:rsidRDefault="0054763F" w:rsidP="006C4F0C">
            <w:pPr>
              <w:pStyle w:val="Tablebulletpoint"/>
              <w:rPr>
                <w:rFonts w:cs="Arial"/>
              </w:rPr>
            </w:pPr>
            <w:r w:rsidRPr="006C09BD">
              <w:rPr>
                <w:rFonts w:cs="Arial"/>
              </w:rPr>
              <w:t xml:space="preserve">Gastrointestinal surgical condition (including suspected </w:t>
            </w:r>
            <w:r w:rsidRPr="006C09BD">
              <w:rPr>
                <w:rFonts w:cs="Arial"/>
                <w:color w:val="auto"/>
                <w:u w:color="004C7F"/>
              </w:rPr>
              <w:t>necrotising enterocolitis</w:t>
            </w:r>
            <w:r w:rsidRPr="006C09BD">
              <w:rPr>
                <w:rFonts w:cs="Arial"/>
              </w:rPr>
              <w:t xml:space="preserve"> and focal intestinal perforation) prior to randomisation</w:t>
            </w:r>
          </w:p>
          <w:p w14:paraId="3F70A6AA" w14:textId="77777777" w:rsidR="0054763F" w:rsidRPr="006C09BD" w:rsidRDefault="0054763F" w:rsidP="006C4F0C">
            <w:pPr>
              <w:pStyle w:val="Tablebulletpoint"/>
              <w:rPr>
                <w:rFonts w:cs="Arial"/>
              </w:rPr>
            </w:pPr>
            <w:r w:rsidRPr="006C09BD">
              <w:rPr>
                <w:rFonts w:cs="Arial"/>
              </w:rPr>
              <w:t>Major congenital abnormalities</w:t>
            </w:r>
          </w:p>
          <w:p w14:paraId="283EA929" w14:textId="78BB2474" w:rsidR="0054763F" w:rsidRPr="006C09BD" w:rsidRDefault="0054763F" w:rsidP="009E60BE">
            <w:pPr>
              <w:pStyle w:val="Tablebulletpoint"/>
              <w:rPr>
                <w:rFonts w:cs="Arial"/>
              </w:rPr>
            </w:pPr>
            <w:r w:rsidRPr="006C09BD">
              <w:rPr>
                <w:rFonts w:cs="Arial"/>
              </w:rPr>
              <w:t>No realistic prospect of survival</w:t>
            </w:r>
          </w:p>
          <w:p w14:paraId="37804535" w14:textId="7C7EFAF5" w:rsidR="0054763F" w:rsidRPr="006C09BD" w:rsidRDefault="0054763F" w:rsidP="009E60BE">
            <w:pPr>
              <w:pStyle w:val="Tablebulletpoint"/>
              <w:rPr>
                <w:rFonts w:cs="Arial"/>
                <w:color w:val="auto"/>
                <w:szCs w:val="20"/>
                <w:u w:color="004C7F"/>
              </w:rPr>
            </w:pPr>
            <w:r w:rsidRPr="006C09BD">
              <w:rPr>
                <w:rFonts w:cs="Arial"/>
              </w:rPr>
              <w:t>A parent has opted out of infant’s participation in neoGASTRIC</w:t>
            </w:r>
          </w:p>
        </w:tc>
      </w:tr>
      <w:tr w:rsidR="0054763F" w:rsidRPr="006C09BD" w14:paraId="7629A35F"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2CAE80BC" w14:textId="04B727C3"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lastRenderedPageBreak/>
              <w:t>Study Type</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3D8D70B5" w14:textId="75B87131" w:rsidR="0054763F"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Multi-centre, pragmatic, unblinded, two-arm, parallel group, randomised, controlled trial with a superiority primary outcome and a non-inferiority key secondary safety outcome, using opt-out consent, with an internal pilot (and embedded process evaluation), and an integrated costing study.</w:t>
            </w:r>
          </w:p>
        </w:tc>
      </w:tr>
      <w:tr w:rsidR="0054763F" w:rsidRPr="006C09BD" w14:paraId="04839AA3"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08D869A2" w14:textId="6202DA0C"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Date of First enrolment</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715928EA" w14:textId="12E7DCCE" w:rsidR="0054763F"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15</w:t>
            </w:r>
            <w:r w:rsidRPr="006C09BD">
              <w:rPr>
                <w:rFonts w:ascii="Arial" w:hAnsi="Arial" w:cs="Arial"/>
                <w:color w:val="auto"/>
                <w:sz w:val="20"/>
                <w:szCs w:val="20"/>
                <w:u w:color="004C7F"/>
                <w:vertAlign w:val="superscript"/>
                <w:lang w:val="en-GB"/>
              </w:rPr>
              <w:t xml:space="preserve"> </w:t>
            </w:r>
            <w:r w:rsidRPr="006C09BD">
              <w:rPr>
                <w:rFonts w:ascii="Arial" w:hAnsi="Arial" w:cs="Arial"/>
                <w:color w:val="auto"/>
                <w:sz w:val="20"/>
                <w:szCs w:val="20"/>
                <w:u w:color="004C7F"/>
                <w:lang w:val="en-GB"/>
              </w:rPr>
              <w:t>June 2023</w:t>
            </w:r>
          </w:p>
        </w:tc>
      </w:tr>
      <w:tr w:rsidR="0054763F" w:rsidRPr="006C09BD" w14:paraId="7D8A3DFD"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57D03B2A" w14:textId="0273D63F"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Sample Size</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6A7AA148" w14:textId="4BE81E82" w:rsidR="0054763F" w:rsidRPr="006C09BD" w:rsidRDefault="0054763F" w:rsidP="009E60BE">
            <w:pPr>
              <w:pStyle w:val="FreeForm"/>
              <w:spacing w:before="120" w:after="120" w:line="360" w:lineRule="auto"/>
              <w:rPr>
                <w:rFonts w:ascii="Arial" w:hAnsi="Arial" w:cs="Arial"/>
                <w:color w:val="auto"/>
                <w:sz w:val="20"/>
                <w:szCs w:val="20"/>
                <w:u w:color="004C7F"/>
                <w:lang w:val="en-GB"/>
              </w:rPr>
            </w:pPr>
            <w:r w:rsidRPr="006C09BD">
              <w:rPr>
                <w:rFonts w:ascii="Arial" w:hAnsi="Arial" w:cs="Arial"/>
                <w:color w:val="auto"/>
                <w:sz w:val="20"/>
                <w:szCs w:val="20"/>
                <w:u w:color="004C7F"/>
                <w:lang w:val="en-GB"/>
              </w:rPr>
              <w:t xml:space="preserve">7,040 </w:t>
            </w:r>
            <w:r w:rsidRPr="006C09BD">
              <w:rPr>
                <w:rFonts w:ascii="Arial" w:hAnsi="Arial" w:cs="Arial"/>
                <w:lang w:val="en-GB"/>
              </w:rPr>
              <w:t>infants</w:t>
            </w:r>
          </w:p>
        </w:tc>
      </w:tr>
      <w:tr w:rsidR="0054763F" w:rsidRPr="006C09BD" w14:paraId="28AD3A13" w14:textId="77777777" w:rsidTr="00995C80">
        <w:trPr>
          <w:trHeight w:val="1419"/>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563436EC" w14:textId="24807E6A"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Primary Outcome</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2C2BD593" w14:textId="48E8AC93" w:rsidR="0054763F" w:rsidRPr="006C09BD" w:rsidRDefault="0054763F" w:rsidP="009E60BE">
            <w:pPr>
              <w:pStyle w:val="FreeForm"/>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lang w:val="en-GB"/>
              </w:rPr>
            </w:pPr>
            <w:r w:rsidRPr="009E60BE">
              <w:rPr>
                <w:rFonts w:ascii="Arial" w:hAnsi="Arial" w:cs="Arial"/>
                <w:color w:val="auto"/>
                <w:sz w:val="20"/>
                <w:szCs w:val="20"/>
                <w:u w:color="004C7F"/>
                <w:lang w:val="en-GB"/>
              </w:rPr>
              <w:t>Time from birth to reach full milk feeds for 3 consecutive days (at least 145 ml/kg/day where this is considered full enteral feeds, or where breastfeeding and any additional milk is considered equivalent to full enteral feeds)</w:t>
            </w:r>
          </w:p>
        </w:tc>
      </w:tr>
      <w:tr w:rsidR="0054763F" w:rsidRPr="006C09BD" w14:paraId="3301539A"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16EBD0B6" w14:textId="546AD668" w:rsidR="0054763F" w:rsidRPr="006C09BD" w:rsidRDefault="0054763F" w:rsidP="006C4F0C">
            <w:pPr>
              <w:pStyle w:val="FreeForm"/>
              <w:spacing w:before="120" w:after="120" w:line="360" w:lineRule="auto"/>
              <w:rPr>
                <w:rFonts w:ascii="Arial" w:hAnsi="Arial" w:cs="Arial"/>
                <w:sz w:val="20"/>
                <w:szCs w:val="20"/>
                <w:lang w:val="en-GB"/>
              </w:rPr>
            </w:pPr>
            <w:r w:rsidRPr="006C09BD">
              <w:rPr>
                <w:rFonts w:ascii="Arial" w:hAnsi="Arial" w:cs="Arial"/>
                <w:sz w:val="20"/>
                <w:szCs w:val="20"/>
                <w:lang w:val="en-GB"/>
              </w:rPr>
              <w:t>Key Secondary Outcome</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6FB2A218" w14:textId="5C0DAA2D" w:rsidR="0054763F" w:rsidRPr="009E60BE" w:rsidRDefault="0054763F" w:rsidP="009E60BE">
            <w:pPr>
              <w:pStyle w:val="FreeForm"/>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color w:val="auto"/>
                <w:sz w:val="20"/>
                <w:szCs w:val="20"/>
                <w:u w:color="004C7F"/>
                <w:lang w:val="en-GB"/>
              </w:rPr>
            </w:pPr>
            <w:r w:rsidRPr="009E60BE">
              <w:rPr>
                <w:rFonts w:ascii="Arial" w:hAnsi="Arial" w:cs="Arial"/>
                <w:color w:val="auto"/>
                <w:sz w:val="20"/>
                <w:szCs w:val="20"/>
                <w:u w:color="004C7F"/>
                <w:lang w:val="en-GB"/>
              </w:rPr>
              <w:t xml:space="preserve">Necrotising enterocolitis, modified Bell’s stage 2 or greater </w:t>
            </w:r>
            <w:r w:rsidRPr="009E60BE">
              <w:rPr>
                <w:rFonts w:ascii="Arial" w:hAnsi="Arial" w:cs="Arial"/>
                <w:color w:val="auto"/>
                <w:sz w:val="20"/>
                <w:szCs w:val="20"/>
                <w:u w:color="004C7F"/>
                <w:lang w:val="en-GB"/>
              </w:rPr>
              <w:fldChar w:fldCharType="begin"/>
            </w:r>
            <w:r w:rsidRPr="009E60BE">
              <w:rPr>
                <w:rFonts w:ascii="Arial" w:hAnsi="Arial" w:cs="Arial"/>
                <w:color w:val="auto"/>
                <w:sz w:val="20"/>
                <w:szCs w:val="20"/>
                <w:u w:color="004C7F"/>
                <w:lang w:val="en-GB"/>
              </w:rPr>
              <w:instrText xml:space="preserve"> ADDIN EN.CITE &lt;EndNote&gt;&lt;Cite&gt;&lt;Author&gt;Walsh&lt;/Author&gt;&lt;Year&gt;1986&lt;/Year&gt;&lt;RecNum&gt;41&lt;/RecNum&gt;&lt;DisplayText&gt;(1)&lt;/DisplayText&gt;&lt;record&gt;&lt;rec-number&gt;41&lt;/rec-number&gt;&lt;foreign-keys&gt;&lt;key app="EN" db-id="ftr2dtpwtff0r1e522tvxv2cvzv5d2vrxs5z" timestamp="1660050174"&gt;41&lt;/key&gt;&lt;/foreign-keys&gt;&lt;ref-type name="Journal Article"&gt;17&lt;/ref-type&gt;&lt;contributors&gt;&lt;authors&gt;&lt;author&gt;Walsh, M. C.&lt;/author&gt;&lt;author&gt;Kliegman, R. M.&lt;/author&gt;&lt;/authors&gt;&lt;/contributors&gt;&lt;titles&gt;&lt;title&gt;Necrotizing enterocolitis: treatment based on staging criteria&lt;/title&gt;&lt;secondary-title&gt;Pediatr Clin North Am&lt;/secondary-title&gt;&lt;alt-title&gt;Pediatric clinics of North America&lt;/alt-title&gt;&lt;/titles&gt;&lt;periodical&gt;&lt;full-title&gt;Pediatr Clin North Am&lt;/full-title&gt;&lt;abbr-1&gt;Pediatric clinics of North America&lt;/abbr-1&gt;&lt;/periodical&gt;&lt;alt-periodical&gt;&lt;full-title&gt;Pediatr Clin North Am&lt;/full-title&gt;&lt;abbr-1&gt;Pediatric clinics of North America&lt;/abbr-1&gt;&lt;/alt-periodical&gt;&lt;pages&gt;179-201&lt;/pages&gt;&lt;volume&gt;33&lt;/volume&gt;&lt;number&gt;1&lt;/number&gt;&lt;edition&gt;1986/02/01&lt;/edition&gt;&lt;keywords&gt;&lt;keyword&gt;Anti-Bacterial Agents/therapeutic use&lt;/keyword&gt;&lt;keyword&gt;Bacterial Infections/diagnosis&lt;/keyword&gt;&lt;keyword&gt;Digestive System/embryology&lt;/keyword&gt;&lt;keyword&gt;Enteral Nutrition/adverse effects&lt;/keyword&gt;&lt;keyword&gt;Enterocolitis, Pseudomembranous/diagnosis/epidemiology/*therapy&lt;/keyword&gt;&lt;keyword&gt;Fetal Organ Maturity&lt;/keyword&gt;&lt;keyword&gt;Fluid Therapy&lt;/keyword&gt;&lt;keyword&gt;Humans&lt;/keyword&gt;&lt;keyword&gt;Infant, Newborn&lt;/keyword&gt;&lt;keyword&gt;Infant, Premature, Diseases/diagnosis/epidemiology/*therapy&lt;/keyword&gt;&lt;/keywords&gt;&lt;dates&gt;&lt;year&gt;1986&lt;/year&gt;&lt;pub-dates&gt;&lt;date&gt;Feb&lt;/date&gt;&lt;/pub-dates&gt;&lt;/dates&gt;&lt;isbn&gt;0031-3955 (Print)&amp;#xD;0031-3955&lt;/isbn&gt;&lt;accession-num&gt;3081865&lt;/accession-num&gt;&lt;urls&gt;&lt;/urls&gt;&lt;custom2&gt;PMC7131118&lt;/custom2&gt;&lt;electronic-resource-num&gt;10.1016/s0031-3955(16)34975-6&lt;/electronic-resource-num&gt;&lt;remote-database-provider&gt;NLM&lt;/remote-database-provider&gt;&lt;language&gt;eng&lt;/language&gt;&lt;/record&gt;&lt;/Cite&gt;&lt;/EndNote&gt;</w:instrText>
            </w:r>
            <w:r w:rsidRPr="009E60BE">
              <w:rPr>
                <w:rFonts w:ascii="Arial" w:hAnsi="Arial" w:cs="Arial"/>
                <w:color w:val="auto"/>
                <w:sz w:val="20"/>
                <w:szCs w:val="20"/>
                <w:u w:color="004C7F"/>
                <w:lang w:val="en-GB"/>
              </w:rPr>
              <w:fldChar w:fldCharType="separate"/>
            </w:r>
            <w:r w:rsidRPr="009E60BE">
              <w:rPr>
                <w:rFonts w:ascii="Arial" w:hAnsi="Arial" w:cs="Arial"/>
                <w:color w:val="auto"/>
                <w:sz w:val="20"/>
                <w:szCs w:val="20"/>
                <w:u w:color="004C7F"/>
                <w:lang w:val="en-GB"/>
              </w:rPr>
              <w:t>[1]</w:t>
            </w:r>
            <w:r w:rsidRPr="009E60BE">
              <w:rPr>
                <w:rFonts w:ascii="Arial" w:hAnsi="Arial" w:cs="Arial"/>
                <w:color w:val="auto"/>
                <w:sz w:val="20"/>
                <w:szCs w:val="20"/>
                <w:u w:color="004C7F"/>
                <w:lang w:val="en-GB"/>
              </w:rPr>
              <w:fldChar w:fldCharType="end"/>
            </w:r>
            <w:r w:rsidRPr="009E60BE">
              <w:rPr>
                <w:rFonts w:ascii="Arial" w:hAnsi="Arial" w:cs="Arial"/>
                <w:color w:val="auto"/>
                <w:sz w:val="20"/>
                <w:szCs w:val="20"/>
                <w:u w:color="004C7F"/>
                <w:lang w:val="en-GB"/>
              </w:rPr>
              <w:t>, evaluated by blinded endpoint review committee, up to discharge home or 44+0 gestational weeks+days (whichever is sooner)</w:t>
            </w:r>
          </w:p>
        </w:tc>
      </w:tr>
      <w:tr w:rsidR="0054763F" w:rsidRPr="006C09BD" w14:paraId="7E2841F6"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4B2C4F58" w14:textId="4D94594C" w:rsidR="0054763F" w:rsidRPr="006C09BD" w:rsidRDefault="0054763F" w:rsidP="006C4F0C">
            <w:pPr>
              <w:pStyle w:val="NORMLAnospacing"/>
              <w:pBdr>
                <w:top w:val="nil"/>
                <w:left w:val="nil"/>
                <w:bottom w:val="nil"/>
                <w:right w:val="nil"/>
                <w:between w:val="nil"/>
                <w:bar w:val="nil"/>
              </w:pBdr>
            </w:pPr>
            <w:r w:rsidRPr="006C09BD">
              <w:t>Ethics Review</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51BD0802" w14:textId="6685B670" w:rsidR="0054763F" w:rsidRPr="009E60BE" w:rsidRDefault="0054763F" w:rsidP="009E60BE">
            <w:pPr>
              <w:pStyle w:val="FreeForm"/>
              <w:spacing w:before="120" w:after="120" w:line="360" w:lineRule="auto"/>
              <w:rPr>
                <w:rFonts w:ascii="Arial" w:hAnsi="Arial" w:cs="Arial"/>
                <w:color w:val="auto"/>
                <w:sz w:val="20"/>
                <w:szCs w:val="20"/>
                <w:u w:color="004C7F"/>
                <w:lang w:val="en-GB"/>
              </w:rPr>
            </w:pPr>
            <w:r w:rsidRPr="009E60BE">
              <w:rPr>
                <w:rFonts w:ascii="Arial" w:hAnsi="Arial" w:cs="Arial"/>
                <w:color w:val="auto"/>
                <w:sz w:val="20"/>
                <w:szCs w:val="20"/>
                <w:u w:color="004C7F"/>
                <w:lang w:val="en-GB"/>
              </w:rPr>
              <w:t xml:space="preserve">UK: London – Riverside Research Ethics Committee (REC). Approvals completed 8 February 2023 </w:t>
            </w:r>
          </w:p>
          <w:p w14:paraId="7DECBD54" w14:textId="54755C3C" w:rsidR="0054763F" w:rsidRPr="009E60BE" w:rsidRDefault="0054763F" w:rsidP="009E60BE">
            <w:pPr>
              <w:pStyle w:val="FreeForm"/>
              <w:spacing w:before="120" w:after="120" w:line="360" w:lineRule="auto"/>
              <w:rPr>
                <w:rFonts w:ascii="Arial" w:hAnsi="Arial" w:cs="Arial"/>
                <w:color w:val="auto"/>
                <w:sz w:val="20"/>
                <w:szCs w:val="20"/>
                <w:u w:color="004C7F"/>
                <w:lang w:val="en-GB"/>
              </w:rPr>
            </w:pPr>
            <w:r w:rsidRPr="009E60BE">
              <w:rPr>
                <w:rFonts w:ascii="Arial" w:hAnsi="Arial" w:cs="Arial"/>
                <w:color w:val="auto"/>
                <w:sz w:val="20"/>
                <w:szCs w:val="20"/>
                <w:u w:color="004C7F"/>
                <w:lang w:val="en-GB"/>
              </w:rPr>
              <w:t>Australia: Monash Health Human Research Ethics Committee (HREC), approval date 30 March 2023</w:t>
            </w:r>
          </w:p>
        </w:tc>
      </w:tr>
      <w:tr w:rsidR="0054763F" w:rsidRPr="006C09BD" w14:paraId="774D5951" w14:textId="77777777" w:rsidTr="00B10A76">
        <w:trPr>
          <w:trHeight w:val="676"/>
        </w:trPr>
        <w:tc>
          <w:tcPr>
            <w:tcW w:w="3270" w:type="dxa"/>
            <w:tcBorders>
              <w:top w:val="single" w:sz="4" w:space="0" w:color="000000"/>
              <w:left w:val="single" w:sz="16" w:space="0" w:color="000000"/>
              <w:bottom w:val="single" w:sz="4" w:space="0" w:color="000000"/>
              <w:right w:val="single" w:sz="4" w:space="0" w:color="000000"/>
            </w:tcBorders>
            <w:tcMar>
              <w:top w:w="80" w:type="dxa"/>
              <w:left w:w="80" w:type="dxa"/>
              <w:bottom w:w="80" w:type="dxa"/>
              <w:right w:w="80" w:type="dxa"/>
            </w:tcMar>
          </w:tcPr>
          <w:p w14:paraId="6ED1AEF4" w14:textId="1E4C853D" w:rsidR="0054763F" w:rsidRPr="006C09BD" w:rsidRDefault="0054763F" w:rsidP="006C4F0C">
            <w:pPr>
              <w:pStyle w:val="NORMLAnospacing"/>
              <w:pBdr>
                <w:top w:val="nil"/>
                <w:left w:val="nil"/>
                <w:bottom w:val="nil"/>
                <w:right w:val="nil"/>
                <w:between w:val="nil"/>
                <w:bar w:val="nil"/>
              </w:pBdr>
            </w:pPr>
            <w:r w:rsidRPr="006C09BD">
              <w:t>Individual Trial Participant Data sharing statement</w:t>
            </w:r>
          </w:p>
        </w:tc>
        <w:tc>
          <w:tcPr>
            <w:tcW w:w="6322" w:type="dxa"/>
            <w:tcBorders>
              <w:top w:val="single" w:sz="4" w:space="0" w:color="000000"/>
              <w:left w:val="single" w:sz="4" w:space="0" w:color="000000"/>
              <w:bottom w:val="single" w:sz="4" w:space="0" w:color="000000"/>
              <w:right w:val="single" w:sz="16" w:space="0" w:color="000000"/>
            </w:tcBorders>
            <w:tcMar>
              <w:top w:w="80" w:type="dxa"/>
              <w:left w:w="80" w:type="dxa"/>
              <w:bottom w:w="80" w:type="dxa"/>
              <w:right w:w="80" w:type="dxa"/>
            </w:tcMar>
          </w:tcPr>
          <w:p w14:paraId="39B60DD7" w14:textId="3E8477EC" w:rsidR="0054763F" w:rsidRPr="009E60BE" w:rsidRDefault="0054763F" w:rsidP="009E60BE">
            <w:pPr>
              <w:pStyle w:val="FreeForm"/>
              <w:spacing w:before="120" w:after="120" w:line="360" w:lineRule="auto"/>
              <w:rPr>
                <w:rFonts w:ascii="Arial" w:hAnsi="Arial" w:cs="Arial"/>
                <w:color w:val="auto"/>
                <w:sz w:val="20"/>
                <w:szCs w:val="20"/>
                <w:u w:color="004C7F"/>
                <w:lang w:val="en-GB"/>
              </w:rPr>
            </w:pPr>
            <w:r w:rsidRPr="009E60BE">
              <w:rPr>
                <w:rFonts w:ascii="Arial" w:hAnsi="Arial" w:cs="Arial"/>
                <w:color w:val="auto"/>
                <w:sz w:val="20"/>
                <w:szCs w:val="20"/>
                <w:u w:color="004C7F"/>
                <w:lang w:val="en-GB"/>
              </w:rPr>
              <w:t xml:space="preserve">The study team will share a de-identified dataset with outside investigators upon reasonable request. Investigators may be required </w:t>
            </w:r>
            <w:r w:rsidRPr="009E60BE">
              <w:rPr>
                <w:rFonts w:ascii="Arial" w:hAnsi="Arial" w:cs="Arial"/>
                <w:color w:val="auto"/>
                <w:sz w:val="20"/>
                <w:szCs w:val="20"/>
                <w:u w:color="004C7F"/>
                <w:lang w:val="en-GB"/>
              </w:rPr>
              <w:lastRenderedPageBreak/>
              <w:t>to provide evidence of research ethics approval (or exemption) and/or complete a data sharing agreement.</w:t>
            </w:r>
          </w:p>
          <w:p w14:paraId="71647125" w14:textId="77777777" w:rsidR="0054763F" w:rsidRPr="009E60BE" w:rsidRDefault="0054763F" w:rsidP="009E60BE">
            <w:pPr>
              <w:pStyle w:val="FreeForm"/>
              <w:spacing w:before="120" w:after="120" w:line="360" w:lineRule="auto"/>
              <w:rPr>
                <w:rFonts w:ascii="Arial" w:hAnsi="Arial" w:cs="Arial"/>
                <w:color w:val="auto"/>
                <w:sz w:val="20"/>
                <w:szCs w:val="20"/>
                <w:u w:color="004C7F"/>
                <w:lang w:val="en-GB"/>
              </w:rPr>
            </w:pPr>
          </w:p>
          <w:p w14:paraId="7D31B72E" w14:textId="6633F63C" w:rsidR="0054763F" w:rsidRPr="009E60BE" w:rsidRDefault="0054763F" w:rsidP="009E60BE">
            <w:pPr>
              <w:pStyle w:val="FreeForm"/>
              <w:spacing w:before="120" w:after="120" w:line="360" w:lineRule="auto"/>
              <w:rPr>
                <w:rFonts w:ascii="Arial" w:hAnsi="Arial" w:cs="Arial"/>
                <w:color w:val="auto"/>
                <w:sz w:val="20"/>
                <w:szCs w:val="20"/>
                <w:u w:color="004C7F"/>
                <w:lang w:val="en-GB"/>
              </w:rPr>
            </w:pPr>
            <w:r w:rsidRPr="009E60BE">
              <w:rPr>
                <w:rFonts w:ascii="Arial" w:hAnsi="Arial" w:cs="Arial"/>
                <w:color w:val="auto"/>
                <w:sz w:val="20"/>
                <w:szCs w:val="20"/>
                <w:u w:color="004C7F"/>
                <w:lang w:val="en-GB"/>
              </w:rPr>
              <w:t>Data requests should be directed to the corresponding author for review and consideration. Please be aware that exclusive access to the data will be maintained until after publication of the main trial findings. After this, access to anonymised data may be granted following a detailed review process.</w:t>
            </w:r>
          </w:p>
        </w:tc>
      </w:tr>
    </w:tbl>
    <w:p w14:paraId="2DF16942" w14:textId="77777777" w:rsidR="0050292B" w:rsidRPr="006C09BD" w:rsidRDefault="0050292B">
      <w:pPr>
        <w:pStyle w:val="BodyA"/>
        <w:widowControl w:val="0"/>
        <w:ind w:left="216" w:hanging="216"/>
        <w:rPr>
          <w:rFonts w:eastAsia="Verdana" w:cs="Arial"/>
          <w:b/>
          <w:bCs/>
          <w:i/>
          <w:iCs/>
          <w:sz w:val="24"/>
          <w:szCs w:val="24"/>
          <w:lang w:val="en-GB"/>
        </w:rPr>
      </w:pPr>
    </w:p>
    <w:p w14:paraId="720C9174" w14:textId="77777777" w:rsidR="0050292B" w:rsidRPr="006C09BD" w:rsidRDefault="0050292B">
      <w:pPr>
        <w:pStyle w:val="FreeForm"/>
        <w:widowControl w:val="0"/>
        <w:spacing w:line="360" w:lineRule="auto"/>
        <w:rPr>
          <w:rFonts w:ascii="Arial" w:eastAsia="Verdana" w:hAnsi="Arial" w:cs="Arial"/>
          <w:b/>
          <w:bCs/>
          <w:i/>
          <w:iCs/>
          <w:sz w:val="24"/>
          <w:szCs w:val="24"/>
          <w:lang w:val="en-GB"/>
        </w:rPr>
      </w:pPr>
    </w:p>
    <w:p w14:paraId="3D67C951" w14:textId="4F7F22DF" w:rsidR="002403B3" w:rsidRPr="006C09BD" w:rsidRDefault="002403B3">
      <w:pPr>
        <w:pStyle w:val="BodyA"/>
        <w:widowControl w:val="0"/>
        <w:spacing w:line="360" w:lineRule="auto"/>
        <w:rPr>
          <w:rFonts w:cs="Arial"/>
          <w:b/>
          <w:bCs/>
          <w:sz w:val="28"/>
          <w:szCs w:val="28"/>
          <w:lang w:val="en-GB"/>
        </w:rPr>
      </w:pPr>
      <w:r w:rsidRPr="006C09BD">
        <w:rPr>
          <w:rFonts w:cs="Arial"/>
          <w:b/>
          <w:bCs/>
          <w:sz w:val="28"/>
          <w:szCs w:val="28"/>
          <w:lang w:val="en-GB"/>
        </w:rPr>
        <w:t>Protocol Version {2}</w:t>
      </w:r>
    </w:p>
    <w:p w14:paraId="5B69B5DA" w14:textId="6B9B0675" w:rsidR="002403B3" w:rsidRPr="006C09BD" w:rsidRDefault="002403B3">
      <w:pPr>
        <w:pStyle w:val="BodyA"/>
        <w:widowControl w:val="0"/>
        <w:spacing w:line="360" w:lineRule="auto"/>
        <w:rPr>
          <w:rFonts w:cs="Arial"/>
          <w:color w:val="auto"/>
          <w:u w:color="004C7F"/>
          <w:lang w:val="en-GB"/>
        </w:rPr>
      </w:pPr>
      <w:r w:rsidRPr="006C09BD">
        <w:rPr>
          <w:rFonts w:cs="Arial"/>
          <w:color w:val="auto"/>
          <w:u w:color="004C7F"/>
          <w:lang w:val="en-GB"/>
        </w:rPr>
        <w:t>Protocol Version 3.0 19</w:t>
      </w:r>
      <w:r w:rsidRPr="006C09BD">
        <w:rPr>
          <w:rFonts w:cs="Arial"/>
          <w:color w:val="auto"/>
          <w:u w:color="004C7F"/>
          <w:vertAlign w:val="superscript"/>
          <w:lang w:val="en-GB"/>
        </w:rPr>
        <w:t xml:space="preserve"> </w:t>
      </w:r>
      <w:r w:rsidRPr="006C09BD">
        <w:rPr>
          <w:rFonts w:cs="Arial"/>
          <w:color w:val="auto"/>
          <w:u w:color="004C7F"/>
          <w:lang w:val="en-GB"/>
        </w:rPr>
        <w:t>April 2024</w:t>
      </w:r>
    </w:p>
    <w:p w14:paraId="35539537" w14:textId="77777777" w:rsidR="002403B3" w:rsidRPr="006C09BD" w:rsidRDefault="002403B3">
      <w:pPr>
        <w:pStyle w:val="BodyA"/>
        <w:widowControl w:val="0"/>
        <w:spacing w:line="360" w:lineRule="auto"/>
        <w:rPr>
          <w:rFonts w:cs="Arial"/>
          <w:b/>
          <w:bCs/>
          <w:sz w:val="28"/>
          <w:szCs w:val="28"/>
          <w:lang w:val="en-GB"/>
        </w:rPr>
      </w:pPr>
    </w:p>
    <w:p w14:paraId="673511D0" w14:textId="117E82AC" w:rsidR="0050292B" w:rsidRPr="006C09BD" w:rsidRDefault="00551CF0">
      <w:pPr>
        <w:pStyle w:val="BodyA"/>
        <w:widowControl w:val="0"/>
        <w:spacing w:line="360" w:lineRule="auto"/>
        <w:rPr>
          <w:rFonts w:cs="Arial"/>
          <w:b/>
          <w:bCs/>
          <w:sz w:val="24"/>
          <w:szCs w:val="24"/>
          <w:lang w:val="en-GB"/>
        </w:rPr>
      </w:pPr>
      <w:r w:rsidRPr="006C09BD">
        <w:rPr>
          <w:rFonts w:cs="Arial"/>
          <w:b/>
          <w:bCs/>
          <w:sz w:val="28"/>
          <w:szCs w:val="28"/>
          <w:lang w:val="en-GB"/>
        </w:rPr>
        <w:t>Introduction</w:t>
      </w:r>
    </w:p>
    <w:p w14:paraId="79F9505F" w14:textId="3DAC19D9" w:rsidR="0050292B" w:rsidRPr="006C09BD" w:rsidRDefault="00551CF0">
      <w:pPr>
        <w:pStyle w:val="BodyA"/>
        <w:widowControl w:val="0"/>
        <w:spacing w:line="360" w:lineRule="auto"/>
        <w:rPr>
          <w:rFonts w:cs="Arial"/>
          <w:b/>
          <w:bCs/>
          <w:sz w:val="24"/>
          <w:szCs w:val="24"/>
          <w:lang w:val="en-GB"/>
        </w:rPr>
      </w:pPr>
      <w:r w:rsidRPr="006C09BD">
        <w:rPr>
          <w:rFonts w:cs="Arial"/>
          <w:b/>
          <w:bCs/>
          <w:sz w:val="24"/>
          <w:szCs w:val="24"/>
          <w:lang w:val="en-GB"/>
        </w:rPr>
        <w:t>Background and rationale {</w:t>
      </w:r>
      <w:r w:rsidR="006013AA" w:rsidRPr="006C09BD">
        <w:rPr>
          <w:rFonts w:cs="Arial"/>
          <w:b/>
          <w:bCs/>
          <w:sz w:val="24"/>
          <w:szCs w:val="24"/>
          <w:lang w:val="en-GB"/>
        </w:rPr>
        <w:t>9</w:t>
      </w:r>
      <w:r w:rsidRPr="006C09BD">
        <w:rPr>
          <w:rFonts w:cs="Arial"/>
          <w:b/>
          <w:bCs/>
          <w:sz w:val="24"/>
          <w:szCs w:val="24"/>
          <w:lang w:val="en-GB"/>
        </w:rPr>
        <w:t>a}</w:t>
      </w:r>
    </w:p>
    <w:p w14:paraId="6DC4AA83" w14:textId="3D975628" w:rsidR="004361BB" w:rsidRPr="006C09BD" w:rsidRDefault="00AF2A55" w:rsidP="004361BB">
      <w:pPr>
        <w:pStyle w:val="BodyA"/>
        <w:widowControl w:val="0"/>
        <w:spacing w:line="360" w:lineRule="auto"/>
        <w:rPr>
          <w:rFonts w:cs="Arial"/>
          <w:color w:val="auto"/>
          <w:u w:color="004C7F"/>
          <w:lang w:val="en-GB"/>
        </w:rPr>
      </w:pPr>
      <w:r w:rsidRPr="006C09BD">
        <w:rPr>
          <w:rFonts w:cs="Arial"/>
          <w:color w:val="auto"/>
          <w:u w:color="004C7F"/>
          <w:lang w:val="en-GB"/>
        </w:rPr>
        <w:t xml:space="preserve">Preterm </w:t>
      </w:r>
      <w:r w:rsidR="002A35BF" w:rsidRPr="006C09BD">
        <w:rPr>
          <w:rFonts w:cs="Arial"/>
          <w:lang w:val="en-GB"/>
        </w:rPr>
        <w:t>infants</w:t>
      </w:r>
      <w:r w:rsidRPr="006C09BD">
        <w:rPr>
          <w:rFonts w:cs="Arial"/>
          <w:color w:val="auto"/>
          <w:u w:color="004C7F"/>
          <w:lang w:val="en-GB"/>
        </w:rPr>
        <w:t xml:space="preserve"> have immature suck and swallow coordination and so the use of gastric feeding tubes is standard care for </w:t>
      </w:r>
      <w:r w:rsidR="002A35BF" w:rsidRPr="006C09BD">
        <w:rPr>
          <w:rFonts w:cs="Arial"/>
          <w:lang w:val="en-GB"/>
        </w:rPr>
        <w:t>infants</w:t>
      </w:r>
      <w:r w:rsidRPr="006C09BD">
        <w:rPr>
          <w:rFonts w:cs="Arial"/>
          <w:color w:val="auto"/>
          <w:u w:color="004C7F"/>
          <w:lang w:val="en-GB"/>
        </w:rPr>
        <w:t xml:space="preserve"> below approximately 34 gestational weeks</w:t>
      </w:r>
      <w:r w:rsidR="000E535B" w:rsidRPr="006C09BD">
        <w:rPr>
          <w:rFonts w:cs="Arial"/>
          <w:noProof/>
          <w:color w:val="auto"/>
          <w:u w:color="004C7F"/>
          <w:lang w:val="en-GB"/>
        </w:rPr>
        <w:t xml:space="preserve"> [1</w:t>
      </w:r>
      <w:r w:rsidRPr="006C09BD">
        <w:rPr>
          <w:rFonts w:cs="Arial"/>
          <w:color w:val="auto"/>
          <w:u w:color="004C7F"/>
          <w:lang w:val="en-GB"/>
        </w:rPr>
        <w:t xml:space="preserve">, </w:t>
      </w:r>
      <w:r w:rsidR="000E535B" w:rsidRPr="006C09BD">
        <w:rPr>
          <w:rFonts w:cs="Arial"/>
          <w:noProof/>
          <w:color w:val="auto"/>
          <w:u w:color="004C7F"/>
          <w:lang w:val="en-GB"/>
        </w:rPr>
        <w:t>2</w:t>
      </w:r>
      <w:r w:rsidRPr="006C09BD">
        <w:rPr>
          <w:rFonts w:cs="Arial"/>
          <w:color w:val="auto"/>
          <w:u w:color="004C7F"/>
          <w:lang w:val="en-GB"/>
        </w:rPr>
        <w:t>,</w:t>
      </w:r>
      <w:r w:rsidR="002C1B83" w:rsidRPr="006C09BD">
        <w:rPr>
          <w:rFonts w:cs="Arial"/>
          <w:color w:val="auto"/>
          <w:u w:color="004C7F"/>
          <w:lang w:val="en-GB"/>
        </w:rPr>
        <w:t xml:space="preserve"> </w:t>
      </w:r>
      <w:r w:rsidR="000E535B" w:rsidRPr="006C09BD">
        <w:rPr>
          <w:rFonts w:cs="Arial"/>
          <w:noProof/>
          <w:color w:val="auto"/>
          <w:u w:color="004C7F"/>
          <w:lang w:val="en-GB"/>
        </w:rPr>
        <w:t>3]</w:t>
      </w:r>
      <w:r w:rsidRPr="006C09BD">
        <w:rPr>
          <w:rFonts w:cs="Arial"/>
          <w:color w:val="auto"/>
          <w:u w:color="004C7F"/>
          <w:lang w:val="en-GB"/>
        </w:rPr>
        <w:t>.</w:t>
      </w:r>
      <w:r w:rsidRPr="006C09BD">
        <w:rPr>
          <w:rFonts w:cs="Arial"/>
          <w:color w:val="auto"/>
          <w:lang w:val="en-GB"/>
        </w:rPr>
        <w:t xml:space="preserve"> </w:t>
      </w:r>
      <w:r w:rsidRPr="006C09BD">
        <w:rPr>
          <w:rFonts w:cs="Arial"/>
          <w:color w:val="auto"/>
          <w:u w:color="004C7F"/>
          <w:lang w:val="en-GB"/>
        </w:rPr>
        <w:t>The r</w:t>
      </w:r>
      <w:r w:rsidR="004361BB" w:rsidRPr="006C09BD">
        <w:rPr>
          <w:rFonts w:cs="Arial"/>
          <w:color w:val="auto"/>
          <w:u w:color="004C7F"/>
          <w:lang w:val="en-GB"/>
        </w:rPr>
        <w:t xml:space="preserve">outine measurement of gastric residual volume </w:t>
      </w:r>
      <w:r w:rsidRPr="006C09BD">
        <w:rPr>
          <w:rFonts w:cs="Arial"/>
          <w:color w:val="auto"/>
          <w:u w:color="004C7F"/>
          <w:lang w:val="en-GB"/>
        </w:rPr>
        <w:t>involves</w:t>
      </w:r>
      <w:r w:rsidR="004361BB" w:rsidRPr="006C09BD">
        <w:rPr>
          <w:rFonts w:cs="Arial"/>
          <w:color w:val="auto"/>
          <w:u w:color="004C7F"/>
          <w:lang w:val="en-GB"/>
        </w:rPr>
        <w:t xml:space="preserve"> regularly aspirating</w:t>
      </w:r>
      <w:r w:rsidRPr="006C09BD">
        <w:rPr>
          <w:rFonts w:cs="Arial"/>
          <w:color w:val="auto"/>
          <w:u w:color="004C7F"/>
          <w:lang w:val="en-GB"/>
        </w:rPr>
        <w:t>,</w:t>
      </w:r>
      <w:r w:rsidR="004361BB" w:rsidRPr="006C09BD">
        <w:rPr>
          <w:rFonts w:cs="Arial"/>
          <w:color w:val="auto"/>
          <w:u w:color="004C7F"/>
          <w:lang w:val="en-GB"/>
        </w:rPr>
        <w:t xml:space="preserve"> </w:t>
      </w:r>
      <w:r w:rsidRPr="006C09BD">
        <w:rPr>
          <w:rFonts w:cs="Arial"/>
          <w:color w:val="auto"/>
          <w:u w:color="004C7F"/>
          <w:lang w:val="en-GB"/>
        </w:rPr>
        <w:t xml:space="preserve">via a nasogastric or orogastric tube, </w:t>
      </w:r>
      <w:r w:rsidR="004361BB" w:rsidRPr="006C09BD">
        <w:rPr>
          <w:rFonts w:cs="Arial"/>
          <w:color w:val="auto"/>
          <w:u w:color="004C7F"/>
          <w:lang w:val="en-GB"/>
        </w:rPr>
        <w:t xml:space="preserve">the entire stomach contents to assess the volume and colour of the gastric aspirate. </w:t>
      </w:r>
      <w:r w:rsidR="007242F4" w:rsidRPr="006C09BD">
        <w:rPr>
          <w:rFonts w:cs="Arial"/>
          <w:color w:val="auto"/>
          <w:u w:color="004C7F"/>
          <w:lang w:val="en-GB"/>
        </w:rPr>
        <w:t xml:space="preserve">This </w:t>
      </w:r>
      <w:r w:rsidR="0004066B" w:rsidRPr="006C09BD">
        <w:rPr>
          <w:rFonts w:cs="Arial"/>
          <w:color w:val="auto"/>
          <w:u w:color="004C7F"/>
          <w:lang w:val="en-GB"/>
        </w:rPr>
        <w:t>practice is</w:t>
      </w:r>
      <w:r w:rsidR="004361BB" w:rsidRPr="006C09BD">
        <w:rPr>
          <w:rFonts w:cs="Arial"/>
          <w:color w:val="auto"/>
          <w:u w:color="004C7F"/>
          <w:lang w:val="en-GB"/>
        </w:rPr>
        <w:t xml:space="preserve"> distinct from the aspiration of a small volume of gastric fluid for pH testing to confirm gastric tube position</w:t>
      </w:r>
      <w:r w:rsidR="000E535B" w:rsidRPr="006C09BD">
        <w:rPr>
          <w:rFonts w:cs="Arial"/>
          <w:noProof/>
          <w:color w:val="auto"/>
          <w:u w:color="004C7F"/>
          <w:lang w:val="en-GB"/>
        </w:rPr>
        <w:t xml:space="preserve"> [4]</w:t>
      </w:r>
      <w:r w:rsidR="004361BB" w:rsidRPr="006C09BD">
        <w:rPr>
          <w:rFonts w:cs="Arial"/>
          <w:color w:val="auto"/>
          <w:u w:color="004C7F"/>
          <w:lang w:val="en-GB"/>
        </w:rPr>
        <w:t>.</w:t>
      </w:r>
    </w:p>
    <w:p w14:paraId="30EC9F31" w14:textId="77777777" w:rsidR="008F2FB2" w:rsidRPr="006C09BD" w:rsidRDefault="008F2FB2" w:rsidP="004361BB">
      <w:pPr>
        <w:pStyle w:val="BodyA"/>
        <w:widowControl w:val="0"/>
        <w:spacing w:line="360" w:lineRule="auto"/>
        <w:rPr>
          <w:rFonts w:cs="Arial"/>
          <w:color w:val="auto"/>
          <w:u w:color="004C7F"/>
          <w:lang w:val="en-GB"/>
        </w:rPr>
      </w:pPr>
    </w:p>
    <w:p w14:paraId="072517C4" w14:textId="7339B39C" w:rsidR="00AF2A55" w:rsidRPr="006C09BD" w:rsidRDefault="004361BB">
      <w:pPr>
        <w:pStyle w:val="BodyA"/>
        <w:widowControl w:val="0"/>
        <w:spacing w:line="360" w:lineRule="auto"/>
        <w:rPr>
          <w:rFonts w:cs="Arial"/>
          <w:u w:color="004C7F"/>
          <w:lang w:val="en-GB"/>
        </w:rPr>
      </w:pPr>
      <w:r w:rsidRPr="006C09BD">
        <w:rPr>
          <w:rFonts w:cs="Arial"/>
          <w:color w:val="auto"/>
          <w:u w:color="004C7F"/>
          <w:lang w:val="en-GB"/>
        </w:rPr>
        <w:t>Routine measurement of gastric residual volumes is established practice in many neonatal units</w:t>
      </w:r>
      <w:r w:rsidR="00AF2A55" w:rsidRPr="006C09BD">
        <w:rPr>
          <w:rFonts w:cs="Arial"/>
          <w:color w:val="auto"/>
          <w:u w:color="004C7F"/>
          <w:lang w:val="en-GB"/>
        </w:rPr>
        <w:t xml:space="preserve"> in the UK, Australia and internationall</w:t>
      </w:r>
      <w:r w:rsidR="002A7CFD" w:rsidRPr="006C09BD">
        <w:rPr>
          <w:rFonts w:cs="Arial"/>
          <w:color w:val="auto"/>
          <w:u w:color="004C7F"/>
          <w:lang w:val="en-GB"/>
        </w:rPr>
        <w:t>y</w:t>
      </w:r>
      <w:r w:rsidR="000E535B" w:rsidRPr="006C09BD">
        <w:rPr>
          <w:rFonts w:cs="Arial"/>
          <w:noProof/>
          <w:u w:color="004C7F"/>
          <w:lang w:val="en-GB"/>
        </w:rPr>
        <w:t xml:space="preserve"> </w:t>
      </w:r>
      <w:r w:rsidR="000E535B" w:rsidRPr="006C09BD">
        <w:rPr>
          <w:rFonts w:cs="Arial"/>
          <w:noProof/>
          <w:color w:val="auto"/>
          <w:u w:color="004C7F"/>
          <w:lang w:val="en-GB"/>
        </w:rPr>
        <w:t>[2]</w:t>
      </w:r>
      <w:r w:rsidRPr="006C09BD">
        <w:rPr>
          <w:rFonts w:cs="Arial"/>
          <w:u w:color="004C7F"/>
          <w:lang w:val="en-GB"/>
        </w:rPr>
        <w:t>.</w:t>
      </w:r>
      <w:r w:rsidRPr="006C09BD">
        <w:rPr>
          <w:rFonts w:cs="Arial"/>
          <w:color w:val="auto"/>
          <w:u w:color="004C7F"/>
          <w:lang w:val="en-GB"/>
        </w:rPr>
        <w:t xml:space="preserve"> The rationale underpinning this practice is to </w:t>
      </w:r>
      <w:r w:rsidR="007242F4" w:rsidRPr="006C09BD">
        <w:rPr>
          <w:rFonts w:cs="Arial"/>
          <w:color w:val="auto"/>
          <w:u w:color="004C7F"/>
          <w:lang w:val="en-GB"/>
        </w:rPr>
        <w:t xml:space="preserve">guide </w:t>
      </w:r>
      <w:r w:rsidRPr="006C09BD">
        <w:rPr>
          <w:rFonts w:cs="Arial"/>
          <w:color w:val="auto"/>
          <w:u w:color="004C7F"/>
          <w:lang w:val="en-GB"/>
        </w:rPr>
        <w:t xml:space="preserve">feeding decisions, to assess ‘feed intolerance’, and </w:t>
      </w:r>
      <w:r w:rsidR="0004066B" w:rsidRPr="006C09BD">
        <w:rPr>
          <w:rFonts w:cs="Arial"/>
          <w:color w:val="auto"/>
          <w:u w:color="004C7F"/>
          <w:lang w:val="en-GB"/>
        </w:rPr>
        <w:t>potentially predict</w:t>
      </w:r>
      <w:r w:rsidRPr="006C09BD">
        <w:rPr>
          <w:rFonts w:cs="Arial"/>
          <w:color w:val="auto"/>
          <w:u w:color="004C7F"/>
          <w:lang w:val="en-GB"/>
        </w:rPr>
        <w:t xml:space="preserve"> and prevent NEC</w:t>
      </w:r>
      <w:r w:rsidR="000E535B" w:rsidRPr="006C09BD">
        <w:rPr>
          <w:rFonts w:cs="Arial"/>
          <w:noProof/>
          <w:color w:val="auto"/>
          <w:u w:color="004C7F"/>
          <w:lang w:val="en-GB"/>
        </w:rPr>
        <w:t xml:space="preserve"> [5</w:t>
      </w:r>
      <w:r w:rsidRPr="006C09BD">
        <w:rPr>
          <w:rFonts w:cs="Arial"/>
          <w:u w:color="004C7F"/>
          <w:lang w:val="en-GB"/>
        </w:rPr>
        <w:t>,</w:t>
      </w:r>
      <w:r w:rsidR="002C1B83" w:rsidRPr="006C09BD">
        <w:rPr>
          <w:rFonts w:cs="Arial"/>
          <w:u w:color="004C7F"/>
          <w:lang w:val="en-GB"/>
        </w:rPr>
        <w:t xml:space="preserve"> </w:t>
      </w:r>
      <w:r w:rsidR="000E535B" w:rsidRPr="006C09BD">
        <w:rPr>
          <w:rFonts w:cs="Arial"/>
          <w:noProof/>
          <w:color w:val="auto"/>
          <w:u w:color="004C7F"/>
          <w:lang w:val="en-GB"/>
        </w:rPr>
        <w:t>6]</w:t>
      </w:r>
      <w:r w:rsidRPr="006C09BD">
        <w:rPr>
          <w:rFonts w:cs="Arial"/>
          <w:u w:color="004C7F"/>
          <w:lang w:val="en-GB"/>
        </w:rPr>
        <w:t>.</w:t>
      </w:r>
      <w:r w:rsidRPr="006C09BD">
        <w:rPr>
          <w:rFonts w:cs="Arial"/>
          <w:color w:val="auto"/>
          <w:u w:color="004C7F"/>
          <w:lang w:val="en-GB"/>
        </w:rPr>
        <w:t xml:space="preserve"> </w:t>
      </w:r>
      <w:r w:rsidRPr="006C09BD">
        <w:rPr>
          <w:rFonts w:cs="Arial"/>
          <w:u w:color="004C7F"/>
          <w:lang w:val="en-GB"/>
        </w:rPr>
        <w:t>Large-volume, bilious or blood-coloured gastric aspirates – in conjunction with other signs such as abdominal distension and tenderness, shock and respiratory compromise – are</w:t>
      </w:r>
      <w:r w:rsidR="007242F4" w:rsidRPr="006C09BD">
        <w:rPr>
          <w:rFonts w:cs="Arial"/>
          <w:u w:color="004C7F"/>
          <w:lang w:val="en-GB"/>
        </w:rPr>
        <w:t xml:space="preserve"> frequently observed</w:t>
      </w:r>
      <w:r w:rsidRPr="006C09BD">
        <w:rPr>
          <w:rFonts w:cs="Arial"/>
          <w:u w:color="004C7F"/>
          <w:lang w:val="en-GB"/>
        </w:rPr>
        <w:t xml:space="preserve"> in </w:t>
      </w:r>
      <w:r w:rsidR="002A35BF" w:rsidRPr="006C09BD">
        <w:rPr>
          <w:rFonts w:cs="Arial"/>
          <w:lang w:val="en-GB"/>
        </w:rPr>
        <w:t>infants</w:t>
      </w:r>
      <w:r w:rsidRPr="006C09BD">
        <w:rPr>
          <w:rFonts w:cs="Arial"/>
          <w:u w:color="004C7F"/>
          <w:lang w:val="en-GB"/>
        </w:rPr>
        <w:t xml:space="preserve"> with</w:t>
      </w:r>
      <w:r w:rsidR="00217BA3" w:rsidRPr="006C09BD">
        <w:rPr>
          <w:rFonts w:cs="Arial"/>
          <w:u w:color="004C7F"/>
          <w:lang w:val="en-GB"/>
        </w:rPr>
        <w:t xml:space="preserve"> </w:t>
      </w:r>
      <w:r w:rsidR="00217BA3" w:rsidRPr="006C09BD">
        <w:rPr>
          <w:rFonts w:cs="Arial"/>
          <w:color w:val="auto"/>
          <w:u w:color="004C7F"/>
          <w:lang w:val="en-GB"/>
        </w:rPr>
        <w:t>necrotising enterocolitis (</w:t>
      </w:r>
      <w:r w:rsidRPr="006C09BD">
        <w:rPr>
          <w:rFonts w:cs="Arial"/>
          <w:u w:color="004C7F"/>
          <w:lang w:val="en-GB"/>
        </w:rPr>
        <w:t>NEC</w:t>
      </w:r>
      <w:r w:rsidR="00217BA3" w:rsidRPr="006C09BD">
        <w:rPr>
          <w:rFonts w:cs="Arial"/>
          <w:u w:color="004C7F"/>
          <w:lang w:val="en-GB"/>
        </w:rPr>
        <w:t>)</w:t>
      </w:r>
      <w:r w:rsidRPr="006C09BD">
        <w:rPr>
          <w:rFonts w:cs="Arial"/>
          <w:u w:color="004C7F"/>
          <w:lang w:val="en-GB"/>
        </w:rPr>
        <w:t xml:space="preserve">. Whether regular monitoring of gastric aspirates allows </w:t>
      </w:r>
      <w:r w:rsidR="00CA374E" w:rsidRPr="006C09BD">
        <w:rPr>
          <w:rFonts w:cs="Arial"/>
          <w:u w:color="004C7F"/>
          <w:lang w:val="en-GB"/>
        </w:rPr>
        <w:t xml:space="preserve">identification and </w:t>
      </w:r>
      <w:r w:rsidRPr="006C09BD">
        <w:rPr>
          <w:rFonts w:cs="Arial"/>
          <w:u w:color="004C7F"/>
          <w:lang w:val="en-GB"/>
        </w:rPr>
        <w:t>prediction of NEC early enough to modify disease course and outcome is however not well-evidenced</w:t>
      </w:r>
      <w:r w:rsidR="000E535B" w:rsidRPr="006C09BD">
        <w:rPr>
          <w:rFonts w:cs="Arial"/>
          <w:noProof/>
          <w:u w:color="004C7F"/>
          <w:lang w:val="en-GB"/>
        </w:rPr>
        <w:t xml:space="preserve"> [5, 6]</w:t>
      </w:r>
      <w:r w:rsidRPr="006C09BD">
        <w:rPr>
          <w:rFonts w:cs="Arial"/>
          <w:u w:color="004C7F"/>
          <w:lang w:val="en-GB"/>
        </w:rPr>
        <w:t>,</w:t>
      </w:r>
      <w:r w:rsidR="00AF2A55" w:rsidRPr="006C09BD">
        <w:rPr>
          <w:rFonts w:cs="Arial"/>
          <w:u w:color="004C7F"/>
          <w:lang w:val="en-GB"/>
        </w:rPr>
        <w:t xml:space="preserve"> but nonetheless remains a </w:t>
      </w:r>
      <w:r w:rsidRPr="006C09BD">
        <w:rPr>
          <w:rFonts w:cs="Arial"/>
          <w:u w:color="004C7F"/>
          <w:lang w:val="en-GB"/>
        </w:rPr>
        <w:t>key driver of routine measurement</w:t>
      </w:r>
      <w:r w:rsidR="00C379DB" w:rsidRPr="006C09BD">
        <w:rPr>
          <w:rFonts w:cs="Arial"/>
          <w:u w:color="004C7F"/>
          <w:lang w:val="en-GB"/>
        </w:rPr>
        <w:t xml:space="preserve"> </w:t>
      </w:r>
      <w:r w:rsidR="009136F5" w:rsidRPr="006C09BD">
        <w:rPr>
          <w:rFonts w:cs="Arial"/>
          <w:u w:color="004C7F"/>
          <w:lang w:val="en-GB"/>
        </w:rPr>
        <w:t>in neonatal units around the world</w:t>
      </w:r>
      <w:r w:rsidR="000E535B" w:rsidRPr="006C09BD">
        <w:rPr>
          <w:rFonts w:cs="Arial"/>
          <w:noProof/>
          <w:u w:color="004C7F"/>
          <w:lang w:val="en-GB"/>
        </w:rPr>
        <w:t xml:space="preserve"> [7]</w:t>
      </w:r>
      <w:r w:rsidR="00AF2A55" w:rsidRPr="006C09BD">
        <w:rPr>
          <w:rFonts w:cs="Arial"/>
          <w:u w:color="004C7F"/>
          <w:lang w:val="en-GB"/>
        </w:rPr>
        <w:t>.</w:t>
      </w:r>
    </w:p>
    <w:p w14:paraId="774387DD" w14:textId="77777777" w:rsidR="00AF2A55" w:rsidRPr="006C09BD" w:rsidRDefault="00AF2A55">
      <w:pPr>
        <w:pStyle w:val="BodyA"/>
        <w:widowControl w:val="0"/>
        <w:spacing w:line="360" w:lineRule="auto"/>
        <w:rPr>
          <w:rFonts w:cs="Arial"/>
          <w:u w:color="004C7F"/>
          <w:lang w:val="en-GB"/>
        </w:rPr>
      </w:pPr>
    </w:p>
    <w:p w14:paraId="7DF167DA" w14:textId="1A803D23" w:rsidR="00AF2A55" w:rsidRPr="006C09BD" w:rsidRDefault="00AF2A55">
      <w:pPr>
        <w:pStyle w:val="BodyA"/>
        <w:widowControl w:val="0"/>
        <w:spacing w:line="360" w:lineRule="auto"/>
        <w:rPr>
          <w:rFonts w:cs="Arial"/>
          <w:u w:color="004C7F"/>
          <w:lang w:val="en-GB"/>
        </w:rPr>
      </w:pPr>
      <w:r w:rsidRPr="006C09BD">
        <w:rPr>
          <w:rFonts w:cs="Arial"/>
          <w:u w:color="004C7F"/>
          <w:lang w:val="en-GB"/>
        </w:rPr>
        <w:t>Routine measurement of gastric residual volumes may also</w:t>
      </w:r>
      <w:r w:rsidR="00F03535" w:rsidRPr="006C09BD">
        <w:rPr>
          <w:rFonts w:cs="Arial"/>
          <w:u w:color="004C7F"/>
          <w:lang w:val="en-GB"/>
        </w:rPr>
        <w:t xml:space="preserve"> </w:t>
      </w:r>
      <w:r w:rsidRPr="006C09BD">
        <w:rPr>
          <w:rFonts w:cs="Arial"/>
          <w:u w:color="004C7F"/>
          <w:lang w:val="en-GB"/>
        </w:rPr>
        <w:t xml:space="preserve">be associated with adverse </w:t>
      </w:r>
      <w:r w:rsidR="00F03535" w:rsidRPr="006C09BD">
        <w:rPr>
          <w:rFonts w:cs="Arial"/>
          <w:u w:color="004C7F"/>
          <w:lang w:val="en-GB"/>
        </w:rPr>
        <w:t>outcomes and harm, including delayed achievement of full enteral feeds</w:t>
      </w:r>
      <w:r w:rsidR="000E535B" w:rsidRPr="006C09BD">
        <w:rPr>
          <w:rFonts w:cs="Arial"/>
          <w:noProof/>
          <w:u w:color="004C7F"/>
          <w:lang w:val="en-GB"/>
        </w:rPr>
        <w:t xml:space="preserve"> [8</w:t>
      </w:r>
      <w:r w:rsidR="00F03535" w:rsidRPr="006C09BD">
        <w:rPr>
          <w:rFonts w:cs="Arial"/>
          <w:u w:color="004C7F"/>
          <w:lang w:val="en-GB"/>
        </w:rPr>
        <w:t xml:space="preserve">, </w:t>
      </w:r>
      <w:r w:rsidR="000E535B" w:rsidRPr="006C09BD">
        <w:rPr>
          <w:rFonts w:cs="Arial"/>
          <w:noProof/>
          <w:u w:color="004C7F"/>
          <w:lang w:val="en-GB"/>
        </w:rPr>
        <w:t>9]</w:t>
      </w:r>
      <w:r w:rsidR="00F03535" w:rsidRPr="006C09BD">
        <w:rPr>
          <w:rFonts w:cs="Arial"/>
          <w:u w:color="004C7F"/>
          <w:lang w:val="en-GB"/>
        </w:rPr>
        <w:t xml:space="preserve"> </w:t>
      </w:r>
      <w:r w:rsidR="007242F4" w:rsidRPr="006C09BD">
        <w:rPr>
          <w:rFonts w:cs="Arial"/>
          <w:u w:color="004C7F"/>
          <w:lang w:val="en-GB"/>
        </w:rPr>
        <w:t>which increases the</w:t>
      </w:r>
      <w:r w:rsidR="00F03535" w:rsidRPr="006C09BD">
        <w:rPr>
          <w:rFonts w:cs="Arial"/>
          <w:u w:color="004C7F"/>
          <w:lang w:val="en-GB"/>
        </w:rPr>
        <w:t xml:space="preserve"> risk of associated complications such as late-onset infection</w:t>
      </w:r>
      <w:r w:rsidR="000E535B" w:rsidRPr="006C09BD">
        <w:rPr>
          <w:rFonts w:cs="Arial"/>
          <w:noProof/>
          <w:u w:color="004C7F"/>
          <w:lang w:val="en-GB"/>
        </w:rPr>
        <w:t xml:space="preserve"> [10</w:t>
      </w:r>
      <w:r w:rsidR="00F03535" w:rsidRPr="006C09BD">
        <w:rPr>
          <w:rFonts w:cs="Arial"/>
          <w:u w:color="004C7F"/>
          <w:lang w:val="en-GB"/>
        </w:rPr>
        <w:t xml:space="preserve">, </w:t>
      </w:r>
      <w:r w:rsidR="000E535B" w:rsidRPr="006C09BD">
        <w:rPr>
          <w:rFonts w:cs="Arial"/>
          <w:noProof/>
          <w:u w:color="004C7F"/>
          <w:lang w:val="en-GB"/>
        </w:rPr>
        <w:t>11]</w:t>
      </w:r>
      <w:r w:rsidR="00F03535" w:rsidRPr="006C09BD">
        <w:rPr>
          <w:rFonts w:cs="Arial"/>
          <w:u w:color="004C7F"/>
          <w:lang w:val="en-GB"/>
        </w:rPr>
        <w:t xml:space="preserve"> longer neonatal unit stay</w:t>
      </w:r>
      <w:r w:rsidR="000E535B" w:rsidRPr="006C09BD">
        <w:rPr>
          <w:rFonts w:cs="Arial"/>
          <w:noProof/>
          <w:u w:color="004C7F"/>
          <w:lang w:val="en-GB"/>
        </w:rPr>
        <w:t xml:space="preserve"> [12</w:t>
      </w:r>
      <w:r w:rsidR="00F03535" w:rsidRPr="006C09BD">
        <w:rPr>
          <w:rFonts w:cs="Arial"/>
          <w:u w:color="004C7F"/>
          <w:lang w:val="en-GB"/>
        </w:rPr>
        <w:t xml:space="preserve">, </w:t>
      </w:r>
      <w:r w:rsidR="000E535B" w:rsidRPr="006C09BD">
        <w:rPr>
          <w:rFonts w:cs="Arial"/>
          <w:noProof/>
          <w:u w:color="004C7F"/>
          <w:lang w:val="en-GB"/>
        </w:rPr>
        <w:t>13]</w:t>
      </w:r>
      <w:r w:rsidR="00F03535" w:rsidRPr="006C09BD">
        <w:rPr>
          <w:rFonts w:cs="Arial"/>
          <w:u w:color="004C7F"/>
          <w:lang w:val="en-GB"/>
        </w:rPr>
        <w:t xml:space="preserve"> discomfort</w:t>
      </w:r>
      <w:r w:rsidR="00AE42FC" w:rsidRPr="006C09BD">
        <w:rPr>
          <w:rFonts w:cs="Arial"/>
          <w:u w:color="004C7F"/>
          <w:lang w:val="en-GB"/>
        </w:rPr>
        <w:t>,</w:t>
      </w:r>
      <w:r w:rsidR="009136F5" w:rsidRPr="006C09BD">
        <w:rPr>
          <w:rFonts w:cs="Arial"/>
          <w:u w:color="004C7F"/>
          <w:lang w:val="en-GB"/>
        </w:rPr>
        <w:t xml:space="preserve"> </w:t>
      </w:r>
      <w:r w:rsidR="00F03535" w:rsidRPr="006C09BD">
        <w:rPr>
          <w:rFonts w:cs="Arial"/>
          <w:u w:color="004C7F"/>
          <w:lang w:val="en-GB"/>
        </w:rPr>
        <w:t>which is a key concern to parents</w:t>
      </w:r>
      <w:r w:rsidR="000E535B" w:rsidRPr="006C09BD">
        <w:rPr>
          <w:rFonts w:cs="Arial"/>
          <w:noProof/>
          <w:u w:color="004C7F"/>
          <w:lang w:val="en-GB"/>
        </w:rPr>
        <w:t xml:space="preserve"> [7]</w:t>
      </w:r>
      <w:r w:rsidR="00F03535" w:rsidRPr="006C09BD">
        <w:rPr>
          <w:rFonts w:cs="Arial"/>
          <w:u w:color="004C7F"/>
          <w:lang w:val="en-GB"/>
        </w:rPr>
        <w:t>, and depletion of gastric secretions</w:t>
      </w:r>
      <w:r w:rsidR="000E535B" w:rsidRPr="006C09BD">
        <w:rPr>
          <w:rFonts w:cs="Arial"/>
          <w:noProof/>
          <w:u w:color="004C7F"/>
          <w:lang w:val="en-GB"/>
        </w:rPr>
        <w:t xml:space="preserve"> </w:t>
      </w:r>
      <w:r w:rsidR="00FB1581" w:rsidRPr="006C09BD">
        <w:rPr>
          <w:rFonts w:cs="Arial"/>
          <w:noProof/>
          <w:u w:color="004C7F"/>
          <w:lang w:val="en-GB"/>
        </w:rPr>
        <w:t>[</w:t>
      </w:r>
      <w:r w:rsidR="000E535B" w:rsidRPr="006C09BD">
        <w:rPr>
          <w:rFonts w:cs="Arial"/>
          <w:noProof/>
          <w:u w:color="004C7F"/>
          <w:lang w:val="en-GB"/>
        </w:rPr>
        <w:t>14</w:t>
      </w:r>
      <w:r w:rsidR="00FB1581" w:rsidRPr="006C09BD">
        <w:rPr>
          <w:rFonts w:cs="Arial"/>
          <w:noProof/>
          <w:u w:color="004C7F"/>
          <w:lang w:val="en-GB"/>
        </w:rPr>
        <w:t>]</w:t>
      </w:r>
      <w:r w:rsidR="00F03535" w:rsidRPr="006C09BD">
        <w:rPr>
          <w:rFonts w:cs="Arial"/>
          <w:u w:color="004C7F"/>
          <w:lang w:val="en-GB"/>
        </w:rPr>
        <w:t>.</w:t>
      </w:r>
    </w:p>
    <w:p w14:paraId="62E2481F" w14:textId="77777777" w:rsidR="00F03535" w:rsidRPr="006C09BD" w:rsidRDefault="00F03535">
      <w:pPr>
        <w:pStyle w:val="BodyA"/>
        <w:widowControl w:val="0"/>
        <w:spacing w:line="360" w:lineRule="auto"/>
        <w:rPr>
          <w:rFonts w:cs="Arial"/>
          <w:u w:color="004C7F"/>
          <w:lang w:val="en-GB"/>
        </w:rPr>
      </w:pPr>
    </w:p>
    <w:p w14:paraId="553D70F5" w14:textId="7635DBCE" w:rsidR="00F03535" w:rsidRPr="006C09BD" w:rsidRDefault="00F03535">
      <w:pPr>
        <w:pStyle w:val="BodyA"/>
        <w:widowControl w:val="0"/>
        <w:spacing w:line="360" w:lineRule="auto"/>
        <w:rPr>
          <w:rFonts w:cs="Arial"/>
          <w:b/>
          <w:bCs/>
          <w:sz w:val="24"/>
          <w:szCs w:val="24"/>
          <w:lang w:val="en-GB"/>
        </w:rPr>
      </w:pPr>
      <w:bookmarkStart w:id="1" w:name="_Hlk208825780"/>
      <w:r w:rsidRPr="006C09BD">
        <w:rPr>
          <w:rFonts w:cs="Arial"/>
          <w:u w:color="004C7F"/>
          <w:lang w:val="en-GB"/>
        </w:rPr>
        <w:t>Several small</w:t>
      </w:r>
      <w:r w:rsidR="009136F5" w:rsidRPr="006C09BD">
        <w:rPr>
          <w:rFonts w:cs="Arial"/>
          <w:u w:color="004C7F"/>
          <w:lang w:val="en-GB"/>
        </w:rPr>
        <w:t>,</w:t>
      </w:r>
      <w:r w:rsidRPr="006C09BD">
        <w:rPr>
          <w:rFonts w:cs="Arial"/>
          <w:u w:color="004C7F"/>
          <w:lang w:val="en-GB"/>
        </w:rPr>
        <w:t xml:space="preserve"> randomised trials </w:t>
      </w:r>
      <w:r w:rsidR="0026751F" w:rsidRPr="006C09BD">
        <w:rPr>
          <w:rFonts w:cs="Arial"/>
          <w:u w:color="004C7F"/>
          <w:lang w:val="en-GB"/>
        </w:rPr>
        <w:t xml:space="preserve">have </w:t>
      </w:r>
      <w:r w:rsidR="007242F4" w:rsidRPr="006C09BD">
        <w:rPr>
          <w:rFonts w:cs="Arial"/>
          <w:u w:color="004C7F"/>
          <w:lang w:val="en-GB"/>
        </w:rPr>
        <w:t>compared</w:t>
      </w:r>
      <w:r w:rsidRPr="006C09BD">
        <w:rPr>
          <w:rFonts w:cs="Arial"/>
          <w:u w:color="004C7F"/>
          <w:lang w:val="en-GB"/>
        </w:rPr>
        <w:t xml:space="preserve"> routine with no routine measurement of gastric residual volumes</w:t>
      </w:r>
      <w:r w:rsidR="00CC4DB3" w:rsidRPr="006C09BD">
        <w:rPr>
          <w:rFonts w:cs="Arial"/>
          <w:u w:color="004C7F"/>
          <w:lang w:val="en-GB"/>
        </w:rPr>
        <w:t xml:space="preserve"> </w:t>
      </w:r>
      <w:bookmarkEnd w:id="1"/>
      <w:r w:rsidR="00C111D6" w:rsidRPr="006C09BD">
        <w:rPr>
          <w:rFonts w:cs="Arial"/>
          <w:u w:color="004C7F"/>
          <w:lang w:val="en-GB"/>
        </w:rPr>
        <w:t xml:space="preserve">[8, 12, 13, 15, </w:t>
      </w:r>
      <w:r w:rsidR="00CC4DB3" w:rsidRPr="006C09BD">
        <w:rPr>
          <w:rFonts w:cs="Arial"/>
          <w:u w:color="004C7F"/>
          <w:lang w:val="en-GB"/>
        </w:rPr>
        <w:t>16</w:t>
      </w:r>
      <w:r w:rsidR="00DC4A3F" w:rsidRPr="006C09BD">
        <w:rPr>
          <w:rFonts w:cs="Arial"/>
          <w:u w:color="004C7F"/>
          <w:lang w:val="en-GB"/>
        </w:rPr>
        <w:t>, 17</w:t>
      </w:r>
      <w:r w:rsidR="00CC4DB3" w:rsidRPr="006C09BD">
        <w:rPr>
          <w:rFonts w:cs="Arial"/>
          <w:u w:color="004C7F"/>
          <w:lang w:val="en-GB"/>
        </w:rPr>
        <w:t>]</w:t>
      </w:r>
      <w:r w:rsidR="00CC4DB3" w:rsidRPr="006C09BD">
        <w:rPr>
          <w:rFonts w:cs="Arial"/>
          <w:noProof/>
          <w:u w:color="004C7F"/>
          <w:lang w:val="en-GB"/>
        </w:rPr>
        <w:t xml:space="preserve">. </w:t>
      </w:r>
      <w:r w:rsidRPr="006C09BD">
        <w:rPr>
          <w:rFonts w:cs="Arial"/>
          <w:u w:color="004C7F"/>
          <w:lang w:val="en-GB"/>
        </w:rPr>
        <w:t>Individually</w:t>
      </w:r>
      <w:r w:rsidR="009136F5" w:rsidRPr="006C09BD">
        <w:rPr>
          <w:rFonts w:cs="Arial"/>
          <w:u w:color="004C7F"/>
          <w:lang w:val="en-GB"/>
        </w:rPr>
        <w:t>,</w:t>
      </w:r>
      <w:r w:rsidRPr="006C09BD">
        <w:rPr>
          <w:rFonts w:cs="Arial"/>
          <w:u w:color="004C7F"/>
          <w:lang w:val="en-GB"/>
        </w:rPr>
        <w:t xml:space="preserve"> </w:t>
      </w:r>
      <w:r w:rsidR="009136F5" w:rsidRPr="006C09BD">
        <w:rPr>
          <w:rFonts w:cs="Arial"/>
          <w:u w:color="004C7F"/>
          <w:lang w:val="en-GB"/>
        </w:rPr>
        <w:t xml:space="preserve">or </w:t>
      </w:r>
      <w:r w:rsidRPr="006C09BD">
        <w:rPr>
          <w:rFonts w:cs="Arial"/>
          <w:u w:color="004C7F"/>
          <w:lang w:val="en-GB"/>
        </w:rPr>
        <w:t>when</w:t>
      </w:r>
      <w:r w:rsidR="009136F5" w:rsidRPr="006C09BD">
        <w:rPr>
          <w:rFonts w:cs="Arial"/>
          <w:u w:color="004C7F"/>
          <w:lang w:val="en-GB"/>
        </w:rPr>
        <w:t xml:space="preserve"> their results are</w:t>
      </w:r>
      <w:r w:rsidRPr="006C09BD">
        <w:rPr>
          <w:rFonts w:cs="Arial"/>
          <w:u w:color="004C7F"/>
          <w:lang w:val="en-GB"/>
        </w:rPr>
        <w:t xml:space="preserve"> pooled</w:t>
      </w:r>
      <w:r w:rsidR="009136F5" w:rsidRPr="006C09BD">
        <w:rPr>
          <w:rFonts w:cs="Arial"/>
          <w:u w:color="004C7F"/>
          <w:lang w:val="en-GB"/>
        </w:rPr>
        <w:t>,</w:t>
      </w:r>
      <w:r w:rsidRPr="006C09BD">
        <w:rPr>
          <w:rFonts w:cs="Arial"/>
          <w:u w:color="004C7F"/>
          <w:lang w:val="en-GB"/>
        </w:rPr>
        <w:t xml:space="preserve"> these trials are underpowered </w:t>
      </w:r>
      <w:r w:rsidRPr="006C09BD">
        <w:rPr>
          <w:rFonts w:cs="Arial"/>
          <w:u w:color="004C7F"/>
          <w:lang w:val="en-GB"/>
        </w:rPr>
        <w:lastRenderedPageBreak/>
        <w:t xml:space="preserve">to detect a difference in </w:t>
      </w:r>
      <w:r w:rsidR="008E6F28" w:rsidRPr="006C09BD">
        <w:rPr>
          <w:rFonts w:cs="Arial"/>
          <w:u w:color="004C7F"/>
          <w:lang w:val="en-GB"/>
        </w:rPr>
        <w:t xml:space="preserve">the incidence of </w:t>
      </w:r>
      <w:r w:rsidRPr="006C09BD">
        <w:rPr>
          <w:rFonts w:cs="Arial"/>
          <w:u w:color="004C7F"/>
          <w:lang w:val="en-GB"/>
        </w:rPr>
        <w:t>NEC</w:t>
      </w:r>
      <w:r w:rsidR="00773C38" w:rsidRPr="006C09BD">
        <w:rPr>
          <w:rFonts w:cs="Arial"/>
          <w:u w:color="004C7F"/>
          <w:lang w:val="en-GB"/>
        </w:rPr>
        <w:t>, and f</w:t>
      </w:r>
      <w:r w:rsidRPr="006C09BD">
        <w:rPr>
          <w:rFonts w:cs="Arial"/>
          <w:u w:color="004C7F"/>
          <w:lang w:val="en-GB"/>
        </w:rPr>
        <w:t xml:space="preserve">urthermore, </w:t>
      </w:r>
      <w:r w:rsidR="007242F4" w:rsidRPr="006C09BD">
        <w:rPr>
          <w:rFonts w:cs="Arial"/>
          <w:u w:color="004C7F"/>
          <w:lang w:val="en-GB"/>
        </w:rPr>
        <w:t>findings</w:t>
      </w:r>
      <w:r w:rsidRPr="006C09BD">
        <w:rPr>
          <w:rFonts w:cs="Arial"/>
          <w:u w:color="004C7F"/>
          <w:lang w:val="en-GB"/>
        </w:rPr>
        <w:t xml:space="preserve"> from these previous trials are not generalisable to </w:t>
      </w:r>
      <w:r w:rsidR="00AE42FC" w:rsidRPr="006C09BD">
        <w:rPr>
          <w:rFonts w:cs="Arial"/>
          <w:u w:color="004C7F"/>
          <w:lang w:val="en-GB"/>
        </w:rPr>
        <w:t xml:space="preserve">UK </w:t>
      </w:r>
      <w:r w:rsidRPr="006C09BD">
        <w:rPr>
          <w:rFonts w:cs="Arial"/>
          <w:u w:color="004C7F"/>
          <w:lang w:val="en-GB"/>
        </w:rPr>
        <w:t>N</w:t>
      </w:r>
      <w:r w:rsidR="00C379DB" w:rsidRPr="006C09BD">
        <w:rPr>
          <w:rFonts w:cs="Arial"/>
          <w:u w:color="004C7F"/>
          <w:lang w:val="en-GB"/>
        </w:rPr>
        <w:t>ational Health Service (N</w:t>
      </w:r>
      <w:r w:rsidRPr="006C09BD">
        <w:rPr>
          <w:rFonts w:cs="Arial"/>
          <w:u w:color="004C7F"/>
          <w:lang w:val="en-GB"/>
        </w:rPr>
        <w:t>HS</w:t>
      </w:r>
      <w:r w:rsidR="00C379DB" w:rsidRPr="006C09BD">
        <w:rPr>
          <w:rFonts w:cs="Arial"/>
          <w:u w:color="004C7F"/>
          <w:lang w:val="en-GB"/>
        </w:rPr>
        <w:t>)</w:t>
      </w:r>
      <w:r w:rsidRPr="006C09BD">
        <w:rPr>
          <w:rFonts w:cs="Arial"/>
          <w:u w:color="004C7F"/>
          <w:lang w:val="en-GB"/>
        </w:rPr>
        <w:t xml:space="preserve"> or Australian care </w:t>
      </w:r>
      <w:r w:rsidR="007242F4" w:rsidRPr="006C09BD">
        <w:rPr>
          <w:rFonts w:cs="Arial"/>
          <w:u w:color="004C7F"/>
          <w:lang w:val="en-GB"/>
        </w:rPr>
        <w:t xml:space="preserve">settings </w:t>
      </w:r>
      <w:r w:rsidRPr="006C09BD">
        <w:rPr>
          <w:rFonts w:cs="Arial"/>
          <w:u w:color="004C7F"/>
          <w:lang w:val="en-GB"/>
        </w:rPr>
        <w:t>due to differences in the trial populations and settings.</w:t>
      </w:r>
    </w:p>
    <w:p w14:paraId="1BB67312" w14:textId="34FC2475" w:rsidR="004361BB" w:rsidRPr="006C09BD" w:rsidRDefault="004361BB">
      <w:pPr>
        <w:pStyle w:val="BodyA"/>
        <w:widowControl w:val="0"/>
        <w:spacing w:line="360" w:lineRule="auto"/>
        <w:rPr>
          <w:rFonts w:cs="Arial"/>
          <w:b/>
          <w:bCs/>
          <w:sz w:val="24"/>
          <w:szCs w:val="24"/>
          <w:lang w:val="en-GB"/>
        </w:rPr>
      </w:pPr>
    </w:p>
    <w:p w14:paraId="2516E907" w14:textId="77777777" w:rsidR="00D238C8" w:rsidRPr="006C09BD" w:rsidRDefault="00D238C8" w:rsidP="00D238C8">
      <w:pPr>
        <w:pStyle w:val="BodyA"/>
        <w:widowControl w:val="0"/>
        <w:spacing w:line="360" w:lineRule="auto"/>
        <w:rPr>
          <w:rFonts w:cs="Arial"/>
          <w:b/>
          <w:bCs/>
          <w:sz w:val="24"/>
          <w:szCs w:val="24"/>
          <w:lang w:val="en-GB"/>
        </w:rPr>
      </w:pPr>
      <w:r w:rsidRPr="006C09BD">
        <w:rPr>
          <w:rFonts w:cs="Arial"/>
          <w:b/>
          <w:bCs/>
          <w:sz w:val="24"/>
          <w:szCs w:val="24"/>
          <w:lang w:val="en-GB"/>
        </w:rPr>
        <w:t>Explanation for the choice of comparators {9b}</w:t>
      </w:r>
    </w:p>
    <w:p w14:paraId="7AF66BAF" w14:textId="77777777" w:rsidR="00D238C8" w:rsidRPr="006C09BD" w:rsidRDefault="00D238C8" w:rsidP="00D238C8">
      <w:pPr>
        <w:pStyle w:val="BodyA"/>
        <w:widowControl w:val="0"/>
        <w:spacing w:line="360" w:lineRule="auto"/>
        <w:rPr>
          <w:rStyle w:val="NoneA"/>
          <w:rFonts w:cs="Arial"/>
          <w:lang w:val="en-GB"/>
        </w:rPr>
      </w:pPr>
      <w:r w:rsidRPr="006C09BD">
        <w:rPr>
          <w:rStyle w:val="NoneA"/>
          <w:rFonts w:cs="Arial"/>
          <w:lang w:val="en-GB"/>
        </w:rPr>
        <w:t>Two pathways of care are being compared:</w:t>
      </w:r>
    </w:p>
    <w:p w14:paraId="5A8E16FA" w14:textId="77777777" w:rsidR="00D238C8" w:rsidRPr="006C09BD" w:rsidRDefault="00D238C8" w:rsidP="00D238C8">
      <w:pPr>
        <w:pStyle w:val="BodyA"/>
        <w:widowControl w:val="0"/>
        <w:numPr>
          <w:ilvl w:val="0"/>
          <w:numId w:val="27"/>
        </w:numPr>
        <w:spacing w:line="360" w:lineRule="auto"/>
        <w:rPr>
          <w:rStyle w:val="NoneA"/>
          <w:rFonts w:cs="Arial"/>
          <w:lang w:val="en-GB"/>
        </w:rPr>
      </w:pPr>
      <w:r w:rsidRPr="006C09BD">
        <w:rPr>
          <w:rStyle w:val="NoneA"/>
          <w:rFonts w:cs="Arial"/>
          <w:lang w:val="en-GB"/>
        </w:rPr>
        <w:t xml:space="preserve">No routine measurement of gastric residual volumes </w:t>
      </w:r>
    </w:p>
    <w:p w14:paraId="18145F25" w14:textId="77777777" w:rsidR="00D238C8" w:rsidRPr="006C09BD" w:rsidRDefault="00D238C8" w:rsidP="00D238C8">
      <w:pPr>
        <w:pStyle w:val="BodyA"/>
        <w:widowControl w:val="0"/>
        <w:numPr>
          <w:ilvl w:val="0"/>
          <w:numId w:val="27"/>
        </w:numPr>
        <w:spacing w:line="360" w:lineRule="auto"/>
        <w:rPr>
          <w:rStyle w:val="NoneA"/>
          <w:rFonts w:cs="Arial"/>
          <w:lang w:val="en-GB"/>
        </w:rPr>
      </w:pPr>
      <w:r w:rsidRPr="006C09BD">
        <w:rPr>
          <w:rStyle w:val="NoneA"/>
          <w:rFonts w:cs="Arial"/>
          <w:lang w:val="en-GB"/>
        </w:rPr>
        <w:t>Routine</w:t>
      </w:r>
      <w:r w:rsidRPr="006C09BD">
        <w:rPr>
          <w:rFonts w:cs="Arial"/>
          <w:lang w:val="en-GB"/>
        </w:rPr>
        <w:t>, at least 6-hourly,</w:t>
      </w:r>
      <w:r w:rsidRPr="006C09BD">
        <w:rPr>
          <w:rStyle w:val="NoneA"/>
          <w:rFonts w:cs="Arial"/>
          <w:lang w:val="en-GB"/>
        </w:rPr>
        <w:t xml:space="preserve"> measurement of gastric residual volumes</w:t>
      </w:r>
    </w:p>
    <w:p w14:paraId="6092DE9D" w14:textId="77777777" w:rsidR="00D238C8" w:rsidRPr="006C09BD" w:rsidRDefault="00D238C8" w:rsidP="00D238C8">
      <w:pPr>
        <w:pStyle w:val="BodyA"/>
        <w:widowControl w:val="0"/>
        <w:spacing w:line="360" w:lineRule="auto"/>
        <w:rPr>
          <w:rStyle w:val="NoneA"/>
          <w:rFonts w:cs="Arial"/>
          <w:lang w:val="en-GB"/>
        </w:rPr>
      </w:pPr>
    </w:p>
    <w:p w14:paraId="7D731482" w14:textId="77777777" w:rsidR="00D238C8" w:rsidRPr="006C09BD" w:rsidRDefault="00D238C8" w:rsidP="00D238C8">
      <w:pPr>
        <w:pStyle w:val="BodyA"/>
        <w:widowControl w:val="0"/>
        <w:spacing w:line="360" w:lineRule="auto"/>
        <w:rPr>
          <w:rStyle w:val="NoneA"/>
          <w:rFonts w:cs="Arial"/>
          <w:lang w:val="en-GB"/>
        </w:rPr>
      </w:pPr>
      <w:r w:rsidRPr="006C09BD">
        <w:rPr>
          <w:rStyle w:val="NoneA"/>
          <w:rFonts w:cs="Arial"/>
          <w:lang w:val="en-GB"/>
        </w:rPr>
        <w:t>Both pathways represent standard clinical practice in different neonatal units in the UK and Australia; they are based upon UK and international practice</w:t>
      </w:r>
      <w:r w:rsidRPr="006C09BD">
        <w:rPr>
          <w:rStyle w:val="NoneA"/>
          <w:rFonts w:cs="Arial"/>
          <w:noProof/>
          <w:lang w:val="en-GB"/>
        </w:rPr>
        <w:t xml:space="preserve"> </w:t>
      </w:r>
      <w:r w:rsidRPr="006C09BD">
        <w:rPr>
          <w:rFonts w:cs="Arial"/>
          <w:noProof/>
          <w:lang w:val="en-GB"/>
        </w:rPr>
        <w:t>[2]</w:t>
      </w:r>
      <w:r w:rsidRPr="006C09BD">
        <w:rPr>
          <w:rStyle w:val="NoneA"/>
          <w:rFonts w:cs="Arial"/>
          <w:lang w:val="en-GB"/>
        </w:rPr>
        <w:t xml:space="preserve"> and a consensus meeting</w:t>
      </w:r>
      <w:r w:rsidRPr="006C09BD">
        <w:rPr>
          <w:rStyle w:val="NoneA"/>
          <w:rFonts w:cs="Arial"/>
          <w:noProof/>
          <w:lang w:val="en-GB"/>
        </w:rPr>
        <w:t xml:space="preserve"> </w:t>
      </w:r>
      <w:r w:rsidRPr="006C09BD">
        <w:rPr>
          <w:rFonts w:cs="Arial"/>
          <w:noProof/>
          <w:lang w:val="en-GB"/>
        </w:rPr>
        <w:t>[7]</w:t>
      </w:r>
      <w:r w:rsidRPr="006C09BD">
        <w:rPr>
          <w:rStyle w:val="NoneA"/>
          <w:rFonts w:cs="Arial"/>
          <w:lang w:val="en-GB"/>
        </w:rPr>
        <w:t xml:space="preserve"> which involved parents, neonatologists, neonatal nurses, dieticians and trial methodologists.</w:t>
      </w:r>
    </w:p>
    <w:p w14:paraId="42E6B982" w14:textId="77777777" w:rsidR="00D238C8" w:rsidRPr="006C09BD" w:rsidRDefault="00D238C8" w:rsidP="00D238C8">
      <w:pPr>
        <w:pStyle w:val="NORMLAnospacing"/>
        <w:rPr>
          <w:color w:val="000000" w:themeColor="text1"/>
          <w:szCs w:val="20"/>
        </w:rPr>
      </w:pPr>
    </w:p>
    <w:p w14:paraId="28679ADA" w14:textId="77777777" w:rsidR="00D238C8" w:rsidRPr="006C09BD" w:rsidRDefault="00D238C8" w:rsidP="00D238C8">
      <w:pPr>
        <w:pStyle w:val="NORMLAnospacing"/>
        <w:rPr>
          <w:color w:val="000000" w:themeColor="text1"/>
          <w:szCs w:val="20"/>
        </w:rPr>
      </w:pPr>
      <w:r w:rsidRPr="006C09BD">
        <w:rPr>
          <w:color w:val="000000" w:themeColor="text1"/>
          <w:szCs w:val="20"/>
        </w:rPr>
        <w:t xml:space="preserve">The allocated pathway of care will be followed: </w:t>
      </w:r>
    </w:p>
    <w:p w14:paraId="29AC62E1" w14:textId="77777777" w:rsidR="00D238C8" w:rsidRPr="006C09BD" w:rsidRDefault="00D238C8" w:rsidP="00D238C8">
      <w:pPr>
        <w:pStyle w:val="NORMLAnospacing"/>
        <w:numPr>
          <w:ilvl w:val="0"/>
          <w:numId w:val="7"/>
        </w:numPr>
        <w:rPr>
          <w:szCs w:val="20"/>
        </w:rPr>
      </w:pPr>
      <w:r w:rsidRPr="006C09BD">
        <w:rPr>
          <w:color w:val="000000" w:themeColor="text1"/>
          <w:szCs w:val="20"/>
        </w:rPr>
        <w:t>for as long as routine gastric residual volume measurement is standard local practice or,</w:t>
      </w:r>
    </w:p>
    <w:p w14:paraId="555A28BB" w14:textId="77777777" w:rsidR="00D238C8" w:rsidRPr="006C09BD" w:rsidRDefault="00D238C8" w:rsidP="00D238C8">
      <w:pPr>
        <w:pStyle w:val="NORMLAnospacing"/>
        <w:numPr>
          <w:ilvl w:val="0"/>
          <w:numId w:val="7"/>
        </w:numPr>
        <w:rPr>
          <w:szCs w:val="20"/>
        </w:rPr>
      </w:pPr>
      <w:r w:rsidRPr="006C09BD">
        <w:rPr>
          <w:szCs w:val="20"/>
        </w:rPr>
        <w:t xml:space="preserve">until gastric feeding tubes are no longer required or, </w:t>
      </w:r>
    </w:p>
    <w:p w14:paraId="7ED96359" w14:textId="77777777" w:rsidR="00D238C8" w:rsidRPr="006C09BD" w:rsidRDefault="00D238C8" w:rsidP="00D238C8">
      <w:pPr>
        <w:pStyle w:val="NORMLAnospacing"/>
        <w:numPr>
          <w:ilvl w:val="0"/>
          <w:numId w:val="7"/>
        </w:numPr>
        <w:rPr>
          <w:szCs w:val="20"/>
        </w:rPr>
      </w:pPr>
      <w:r w:rsidRPr="006C09BD">
        <w:rPr>
          <w:szCs w:val="20"/>
        </w:rPr>
        <w:t xml:space="preserve">the </w:t>
      </w:r>
      <w:r w:rsidRPr="006C09BD">
        <w:rPr>
          <w:u w:color="004C7F"/>
        </w:rPr>
        <w:t>infant</w:t>
      </w:r>
      <w:r w:rsidRPr="006C09BD">
        <w:rPr>
          <w:szCs w:val="20"/>
        </w:rPr>
        <w:t xml:space="preserve"> is discharged home or,</w:t>
      </w:r>
    </w:p>
    <w:p w14:paraId="74C5503B" w14:textId="77777777" w:rsidR="00D238C8" w:rsidRPr="006C09BD" w:rsidRDefault="00D238C8" w:rsidP="00D238C8">
      <w:pPr>
        <w:pStyle w:val="NORMLAnospacing"/>
        <w:numPr>
          <w:ilvl w:val="0"/>
          <w:numId w:val="7"/>
        </w:numPr>
        <w:rPr>
          <w:szCs w:val="20"/>
        </w:rPr>
      </w:pPr>
      <w:r w:rsidRPr="006C09BD">
        <w:rPr>
          <w:szCs w:val="20"/>
        </w:rPr>
        <w:t xml:space="preserve">the </w:t>
      </w:r>
      <w:r w:rsidRPr="006C09BD">
        <w:rPr>
          <w:u w:color="004C7F"/>
        </w:rPr>
        <w:t>infant</w:t>
      </w:r>
      <w:r w:rsidRPr="006C09BD">
        <w:rPr>
          <w:szCs w:val="20"/>
        </w:rPr>
        <w:t xml:space="preserve"> reaches 44+0 gestational weeks+days</w:t>
      </w:r>
    </w:p>
    <w:p w14:paraId="480F6AA7" w14:textId="77777777" w:rsidR="00D238C8" w:rsidRPr="006C09BD" w:rsidRDefault="00D238C8">
      <w:pPr>
        <w:pStyle w:val="BodyA"/>
        <w:widowControl w:val="0"/>
        <w:spacing w:line="360" w:lineRule="auto"/>
        <w:rPr>
          <w:rFonts w:cs="Arial"/>
          <w:b/>
          <w:bCs/>
          <w:sz w:val="24"/>
          <w:szCs w:val="24"/>
          <w:lang w:val="en-GB"/>
        </w:rPr>
      </w:pPr>
    </w:p>
    <w:p w14:paraId="584E1D0A" w14:textId="04688073" w:rsidR="0050292B" w:rsidRPr="006C09BD" w:rsidRDefault="00551CF0">
      <w:pPr>
        <w:pStyle w:val="BodyA"/>
        <w:widowControl w:val="0"/>
        <w:spacing w:line="360" w:lineRule="auto"/>
        <w:rPr>
          <w:rFonts w:cs="Arial"/>
          <w:b/>
          <w:bCs/>
          <w:sz w:val="24"/>
          <w:szCs w:val="24"/>
          <w:lang w:val="en-GB"/>
        </w:rPr>
      </w:pPr>
      <w:r w:rsidRPr="006C09BD">
        <w:rPr>
          <w:rFonts w:cs="Arial"/>
          <w:b/>
          <w:bCs/>
          <w:sz w:val="28"/>
          <w:szCs w:val="28"/>
          <w:lang w:val="en-GB"/>
        </w:rPr>
        <w:t>Objectives {</w:t>
      </w:r>
      <w:r w:rsidR="006013AA" w:rsidRPr="006C09BD">
        <w:rPr>
          <w:rFonts w:cs="Arial"/>
          <w:b/>
          <w:bCs/>
          <w:sz w:val="28"/>
          <w:szCs w:val="28"/>
          <w:lang w:val="en-GB"/>
        </w:rPr>
        <w:t>10</w:t>
      </w:r>
      <w:r w:rsidRPr="006C09BD">
        <w:rPr>
          <w:rFonts w:cs="Arial"/>
          <w:b/>
          <w:bCs/>
          <w:sz w:val="28"/>
          <w:szCs w:val="28"/>
          <w:lang w:val="en-GB"/>
        </w:rPr>
        <w:t>}</w:t>
      </w:r>
    </w:p>
    <w:p w14:paraId="34548D1D" w14:textId="1B8166D9" w:rsidR="0050292B" w:rsidRPr="006C09BD" w:rsidRDefault="004361BB">
      <w:pPr>
        <w:pStyle w:val="BodyA"/>
        <w:widowControl w:val="0"/>
        <w:spacing w:line="360" w:lineRule="auto"/>
        <w:rPr>
          <w:rStyle w:val="superscript"/>
          <w:rFonts w:cs="Arial"/>
          <w:lang w:val="en-GB"/>
        </w:rPr>
      </w:pPr>
      <w:r w:rsidRPr="006C09BD">
        <w:rPr>
          <w:rFonts w:cs="Arial"/>
          <w:lang w:val="en-GB"/>
        </w:rPr>
        <w:t xml:space="preserve">The aim of </w:t>
      </w:r>
      <w:r w:rsidR="00F03535" w:rsidRPr="006C09BD">
        <w:rPr>
          <w:rFonts w:cs="Arial"/>
          <w:lang w:val="en-GB"/>
        </w:rPr>
        <w:t xml:space="preserve">the neoGASTRIC trial </w:t>
      </w:r>
      <w:r w:rsidRPr="006C09BD">
        <w:rPr>
          <w:rFonts w:cs="Arial"/>
          <w:lang w:val="en-GB"/>
        </w:rPr>
        <w:t>is to determine whether routine</w:t>
      </w:r>
      <w:r w:rsidR="00F03535" w:rsidRPr="006C09BD">
        <w:rPr>
          <w:rFonts w:cs="Arial"/>
          <w:lang w:val="en-GB"/>
        </w:rPr>
        <w:t>ly</w:t>
      </w:r>
      <w:r w:rsidRPr="006C09BD">
        <w:rPr>
          <w:rFonts w:cs="Arial"/>
          <w:lang w:val="en-GB"/>
        </w:rPr>
        <w:t xml:space="preserve"> measur</w:t>
      </w:r>
      <w:r w:rsidR="00F03535" w:rsidRPr="006C09BD">
        <w:rPr>
          <w:rFonts w:cs="Arial"/>
          <w:lang w:val="en-GB"/>
        </w:rPr>
        <w:t>ing</w:t>
      </w:r>
      <w:r w:rsidRPr="006C09BD">
        <w:rPr>
          <w:rFonts w:cs="Arial"/>
          <w:lang w:val="en-GB"/>
        </w:rPr>
        <w:t xml:space="preserve"> gastric residual volumes in preterm </w:t>
      </w:r>
      <w:r w:rsidR="00773C38" w:rsidRPr="006C09BD">
        <w:rPr>
          <w:rFonts w:cs="Arial"/>
          <w:lang w:val="en-GB"/>
        </w:rPr>
        <w:t>infant</w:t>
      </w:r>
      <w:r w:rsidR="00F03535" w:rsidRPr="006C09BD">
        <w:rPr>
          <w:rFonts w:cs="Arial"/>
          <w:lang w:val="en-GB"/>
        </w:rPr>
        <w:t xml:space="preserve">s </w:t>
      </w:r>
      <w:r w:rsidR="00773C38" w:rsidRPr="006C09BD">
        <w:rPr>
          <w:rFonts w:cs="Arial"/>
          <w:lang w:val="en-GB"/>
        </w:rPr>
        <w:t xml:space="preserve">born </w:t>
      </w:r>
      <w:r w:rsidRPr="006C09BD">
        <w:rPr>
          <w:rFonts w:cs="Arial"/>
          <w:lang w:val="en-GB"/>
        </w:rPr>
        <w:t xml:space="preserve">less than 34 weeks’ gestation reduces the time taken for </w:t>
      </w:r>
      <w:r w:rsidR="00F03535" w:rsidRPr="006C09BD">
        <w:rPr>
          <w:rFonts w:cs="Arial"/>
          <w:lang w:val="en-GB"/>
        </w:rPr>
        <w:t>a</w:t>
      </w:r>
      <w:r w:rsidR="00865C1B" w:rsidRPr="006C09BD">
        <w:rPr>
          <w:rFonts w:cs="Arial"/>
          <w:lang w:val="en-GB"/>
        </w:rPr>
        <w:t xml:space="preserve">n </w:t>
      </w:r>
      <w:r w:rsidR="00865C1B" w:rsidRPr="006C09BD">
        <w:rPr>
          <w:rFonts w:cs="Arial"/>
          <w:color w:val="auto"/>
          <w:u w:color="004C7F"/>
          <w:lang w:val="en-GB"/>
        </w:rPr>
        <w:t>infant</w:t>
      </w:r>
      <w:r w:rsidR="00865C1B" w:rsidRPr="006C09BD">
        <w:rPr>
          <w:rFonts w:cs="Arial"/>
          <w:lang w:val="en-GB"/>
        </w:rPr>
        <w:t xml:space="preserve"> </w:t>
      </w:r>
      <w:r w:rsidRPr="006C09BD">
        <w:rPr>
          <w:rFonts w:cs="Arial"/>
          <w:lang w:val="en-GB"/>
        </w:rPr>
        <w:t xml:space="preserve">to reach full milk feeds without increasing harms, up until </w:t>
      </w:r>
      <w:r w:rsidR="004825D3" w:rsidRPr="006C09BD">
        <w:rPr>
          <w:rFonts w:cs="Arial"/>
          <w:lang w:val="en-GB"/>
        </w:rPr>
        <w:t xml:space="preserve">they are </w:t>
      </w:r>
      <w:r w:rsidRPr="006C09BD">
        <w:rPr>
          <w:rFonts w:cs="Arial"/>
          <w:lang w:val="en-GB"/>
        </w:rPr>
        <w:t>discharge</w:t>
      </w:r>
      <w:r w:rsidR="00CD7287" w:rsidRPr="006C09BD">
        <w:rPr>
          <w:rFonts w:cs="Arial"/>
          <w:lang w:val="en-GB"/>
        </w:rPr>
        <w:t>d</w:t>
      </w:r>
      <w:r w:rsidRPr="006C09BD">
        <w:rPr>
          <w:rFonts w:cs="Arial"/>
          <w:lang w:val="en-GB"/>
        </w:rPr>
        <w:t xml:space="preserve"> home or </w:t>
      </w:r>
      <w:r w:rsidR="004825D3" w:rsidRPr="006C09BD">
        <w:rPr>
          <w:rFonts w:cs="Arial"/>
          <w:lang w:val="en-GB"/>
        </w:rPr>
        <w:t xml:space="preserve">reach </w:t>
      </w:r>
      <w:r w:rsidRPr="006C09BD">
        <w:rPr>
          <w:rFonts w:cs="Arial"/>
          <w:lang w:val="en-GB"/>
        </w:rPr>
        <w:t>44+0 gestational weeks+days</w:t>
      </w:r>
      <w:r w:rsidR="006F1672" w:rsidRPr="006C09BD">
        <w:rPr>
          <w:rFonts w:cs="Arial"/>
          <w:color w:val="auto"/>
          <w:lang w:val="en-GB"/>
        </w:rPr>
        <w:t>,</w:t>
      </w:r>
      <w:r w:rsidR="006F1672" w:rsidRPr="006C09BD">
        <w:rPr>
          <w:rStyle w:val="superscript"/>
          <w:rFonts w:cs="Arial"/>
          <w:vertAlign w:val="baseline"/>
          <w:lang w:val="en-GB"/>
        </w:rPr>
        <w:t xml:space="preserve"> </w:t>
      </w:r>
      <w:r w:rsidR="006F1672" w:rsidRPr="006C09BD">
        <w:rPr>
          <w:rFonts w:cs="Arial"/>
          <w:lang w:val="en-GB"/>
        </w:rPr>
        <w:t>whichever is sooner.</w:t>
      </w:r>
    </w:p>
    <w:p w14:paraId="134C6EA5" w14:textId="77777777" w:rsidR="008F2FB2" w:rsidRPr="006C09BD" w:rsidRDefault="008F2FB2">
      <w:pPr>
        <w:pStyle w:val="BodyA"/>
        <w:widowControl w:val="0"/>
        <w:spacing w:line="360" w:lineRule="auto"/>
        <w:rPr>
          <w:rStyle w:val="superscript"/>
          <w:rFonts w:cs="Arial"/>
          <w:lang w:val="en-GB"/>
        </w:rPr>
      </w:pPr>
    </w:p>
    <w:p w14:paraId="48B00C28" w14:textId="05670102" w:rsidR="004361BB" w:rsidRPr="006C09BD" w:rsidRDefault="004361BB" w:rsidP="004361BB">
      <w:pPr>
        <w:pStyle w:val="BodyA"/>
        <w:widowControl w:val="0"/>
        <w:spacing w:line="360" w:lineRule="auto"/>
        <w:rPr>
          <w:rFonts w:cs="Arial"/>
          <w:u w:val="single"/>
          <w:lang w:val="en-GB"/>
        </w:rPr>
      </w:pPr>
      <w:r w:rsidRPr="006C09BD">
        <w:rPr>
          <w:rFonts w:cs="Arial"/>
          <w:u w:val="single"/>
          <w:lang w:val="en-GB"/>
        </w:rPr>
        <w:t>Primary Objective</w:t>
      </w:r>
    </w:p>
    <w:p w14:paraId="24CF3366" w14:textId="31927A58" w:rsidR="004361BB" w:rsidRPr="006C09BD" w:rsidRDefault="004361BB" w:rsidP="004361BB">
      <w:pPr>
        <w:pStyle w:val="BodyA"/>
        <w:widowControl w:val="0"/>
        <w:spacing w:line="360" w:lineRule="auto"/>
        <w:rPr>
          <w:rFonts w:cs="Arial"/>
          <w:lang w:val="en-GB"/>
        </w:rPr>
      </w:pPr>
      <w:r w:rsidRPr="006C09BD">
        <w:rPr>
          <w:rFonts w:cs="Arial"/>
          <w:lang w:val="en-GB"/>
        </w:rPr>
        <w:t>To determine if not routinely measuring gastric residual volumes</w:t>
      </w:r>
      <w:r w:rsidR="00F03535" w:rsidRPr="006C09BD">
        <w:rPr>
          <w:rFonts w:cs="Arial"/>
          <w:lang w:val="en-GB"/>
        </w:rPr>
        <w:t>,</w:t>
      </w:r>
      <w:r w:rsidRPr="006C09BD">
        <w:rPr>
          <w:rFonts w:cs="Arial"/>
          <w:lang w:val="en-GB"/>
        </w:rPr>
        <w:t xml:space="preserve"> compared to routine</w:t>
      </w:r>
      <w:r w:rsidR="00F03535" w:rsidRPr="006C09BD">
        <w:rPr>
          <w:rFonts w:cs="Arial"/>
          <w:lang w:val="en-GB"/>
        </w:rPr>
        <w:t>ly</w:t>
      </w:r>
      <w:r w:rsidRPr="006C09BD">
        <w:rPr>
          <w:rFonts w:cs="Arial"/>
          <w:lang w:val="en-GB"/>
        </w:rPr>
        <w:t xml:space="preserve"> (</w:t>
      </w:r>
      <w:r w:rsidR="00AE42FC" w:rsidRPr="006C09BD">
        <w:rPr>
          <w:rFonts w:cs="Arial"/>
          <w:lang w:val="en-GB"/>
        </w:rPr>
        <w:t>at least</w:t>
      </w:r>
      <w:r w:rsidRPr="006C09BD">
        <w:rPr>
          <w:rFonts w:cs="Arial"/>
          <w:lang w:val="en-GB"/>
        </w:rPr>
        <w:t xml:space="preserve"> 6-hourly) measur</w:t>
      </w:r>
      <w:r w:rsidR="00F03535" w:rsidRPr="006C09BD">
        <w:rPr>
          <w:rFonts w:cs="Arial"/>
          <w:lang w:val="en-GB"/>
        </w:rPr>
        <w:t>ing</w:t>
      </w:r>
      <w:r w:rsidRPr="006C09BD">
        <w:rPr>
          <w:rFonts w:cs="Arial"/>
          <w:lang w:val="en-GB"/>
        </w:rPr>
        <w:t xml:space="preserve"> gastric residual volumes</w:t>
      </w:r>
      <w:r w:rsidR="00F03535" w:rsidRPr="006C09BD">
        <w:rPr>
          <w:rFonts w:cs="Arial"/>
          <w:lang w:val="en-GB"/>
        </w:rPr>
        <w:t>,</w:t>
      </w:r>
      <w:r w:rsidRPr="006C09BD">
        <w:rPr>
          <w:rFonts w:cs="Arial"/>
          <w:lang w:val="en-GB"/>
        </w:rPr>
        <w:t xml:space="preserve"> in preterm </w:t>
      </w:r>
      <w:r w:rsidR="00773C38" w:rsidRPr="006C09BD">
        <w:rPr>
          <w:rFonts w:cs="Arial"/>
          <w:lang w:val="en-GB"/>
        </w:rPr>
        <w:t xml:space="preserve">infants born </w:t>
      </w:r>
      <w:r w:rsidRPr="006C09BD">
        <w:rPr>
          <w:rFonts w:cs="Arial"/>
          <w:lang w:val="en-GB"/>
        </w:rPr>
        <w:t>less than 34 weeks’ gestation reduces the time to achieve full milk feeds</w:t>
      </w:r>
      <w:r w:rsidR="004E5CEC" w:rsidRPr="006C09BD">
        <w:rPr>
          <w:rFonts w:cs="Arial"/>
          <w:lang w:val="en-GB"/>
        </w:rPr>
        <w:t xml:space="preserve"> (at least 145 ml/kg/day)</w:t>
      </w:r>
      <w:r w:rsidRPr="006C09BD">
        <w:rPr>
          <w:rFonts w:cs="Arial"/>
          <w:lang w:val="en-GB"/>
        </w:rPr>
        <w:t>, up until discharge home or 44+0 gestational weeks+days</w:t>
      </w:r>
      <w:r w:rsidR="006F1672" w:rsidRPr="006C09BD">
        <w:rPr>
          <w:rFonts w:cs="Arial"/>
          <w:lang w:val="en-GB"/>
        </w:rPr>
        <w:t>, whichever is sooner.</w:t>
      </w:r>
    </w:p>
    <w:p w14:paraId="1EC3218B" w14:textId="77777777" w:rsidR="008F2FB2" w:rsidRPr="006C09BD" w:rsidRDefault="008F2FB2" w:rsidP="004361BB">
      <w:pPr>
        <w:pStyle w:val="BodyA"/>
        <w:widowControl w:val="0"/>
        <w:spacing w:line="360" w:lineRule="auto"/>
        <w:rPr>
          <w:rFonts w:cs="Arial"/>
          <w:lang w:val="en-GB"/>
        </w:rPr>
      </w:pPr>
    </w:p>
    <w:p w14:paraId="0A7C6DE3" w14:textId="74C85D2B" w:rsidR="004361BB" w:rsidRPr="006C09BD" w:rsidRDefault="004361BB" w:rsidP="004361BB">
      <w:pPr>
        <w:pStyle w:val="BodyA"/>
        <w:widowControl w:val="0"/>
        <w:spacing w:line="360" w:lineRule="auto"/>
        <w:rPr>
          <w:rFonts w:cs="Arial"/>
          <w:u w:val="single"/>
          <w:lang w:val="en-GB"/>
        </w:rPr>
      </w:pPr>
      <w:r w:rsidRPr="006C09BD">
        <w:rPr>
          <w:rFonts w:cs="Arial"/>
          <w:u w:val="single"/>
          <w:lang w:val="en-GB"/>
        </w:rPr>
        <w:t>Key secondary objective</w:t>
      </w:r>
    </w:p>
    <w:p w14:paraId="3CA3486D" w14:textId="44DF5394" w:rsidR="004361BB" w:rsidRPr="006C09BD" w:rsidRDefault="00F03535" w:rsidP="004361BB">
      <w:pPr>
        <w:pStyle w:val="BodyA"/>
        <w:widowControl w:val="0"/>
        <w:spacing w:line="360" w:lineRule="auto"/>
        <w:rPr>
          <w:rFonts w:cs="Arial"/>
          <w:lang w:val="en-GB"/>
        </w:rPr>
      </w:pPr>
      <w:r w:rsidRPr="006C09BD">
        <w:rPr>
          <w:rFonts w:cs="Arial"/>
          <w:lang w:val="en-GB"/>
        </w:rPr>
        <w:t xml:space="preserve">To determine if not routinely measuring gastric residual volumes </w:t>
      </w:r>
      <w:r w:rsidR="00DA4232" w:rsidRPr="006C09BD">
        <w:rPr>
          <w:rFonts w:cs="Arial"/>
          <w:lang w:val="en-GB"/>
        </w:rPr>
        <w:t xml:space="preserve">is non-inferior </w:t>
      </w:r>
      <w:r w:rsidRPr="006C09BD">
        <w:rPr>
          <w:rFonts w:cs="Arial"/>
          <w:lang w:val="en-GB"/>
        </w:rPr>
        <w:t>to routinely (</w:t>
      </w:r>
      <w:r w:rsidR="00AE42FC" w:rsidRPr="006C09BD">
        <w:rPr>
          <w:rFonts w:cs="Arial"/>
          <w:lang w:val="en-GB"/>
        </w:rPr>
        <w:t xml:space="preserve">at least </w:t>
      </w:r>
      <w:r w:rsidRPr="006C09BD">
        <w:rPr>
          <w:rFonts w:cs="Arial"/>
          <w:lang w:val="en-GB"/>
        </w:rPr>
        <w:t xml:space="preserve">6-hourly) measuring gastric residual volumes, in preterm </w:t>
      </w:r>
      <w:r w:rsidR="00773C38" w:rsidRPr="006C09BD">
        <w:rPr>
          <w:rFonts w:cs="Arial"/>
          <w:lang w:val="en-GB"/>
        </w:rPr>
        <w:t xml:space="preserve">infants born </w:t>
      </w:r>
      <w:r w:rsidRPr="006C09BD">
        <w:rPr>
          <w:rFonts w:cs="Arial"/>
          <w:lang w:val="en-GB"/>
        </w:rPr>
        <w:t xml:space="preserve">less than 34 weeks’ gestation </w:t>
      </w:r>
      <w:r w:rsidR="00BB5D1E" w:rsidRPr="006C09BD">
        <w:rPr>
          <w:rFonts w:cs="Arial"/>
          <w:lang w:val="en-GB"/>
        </w:rPr>
        <w:t xml:space="preserve">for </w:t>
      </w:r>
      <w:r w:rsidR="004E5CEC" w:rsidRPr="006C09BD">
        <w:rPr>
          <w:rFonts w:cs="Arial"/>
          <w:lang w:val="en-GB"/>
        </w:rPr>
        <w:t xml:space="preserve">the </w:t>
      </w:r>
      <w:r w:rsidR="00DA4232" w:rsidRPr="006C09BD">
        <w:rPr>
          <w:rFonts w:cs="Arial"/>
          <w:lang w:val="en-GB"/>
        </w:rPr>
        <w:t>key safety outcome</w:t>
      </w:r>
      <w:r w:rsidRPr="006C09BD">
        <w:rPr>
          <w:rFonts w:cs="Arial"/>
          <w:lang w:val="en-GB"/>
        </w:rPr>
        <w:t xml:space="preserve"> of</w:t>
      </w:r>
      <w:r w:rsidR="004361BB" w:rsidRPr="006C09BD">
        <w:rPr>
          <w:rFonts w:cs="Arial"/>
          <w:lang w:val="en-GB"/>
        </w:rPr>
        <w:t xml:space="preserve"> </w:t>
      </w:r>
      <w:r w:rsidR="00AE42FC" w:rsidRPr="006C09BD">
        <w:rPr>
          <w:rFonts w:cs="Arial"/>
          <w:lang w:val="en-GB"/>
        </w:rPr>
        <w:t xml:space="preserve">moderate or severe </w:t>
      </w:r>
      <w:r w:rsidR="00FE1312" w:rsidRPr="006C09BD">
        <w:rPr>
          <w:rFonts w:cs="Arial"/>
          <w:lang w:val="en-GB"/>
        </w:rPr>
        <w:t>NEC</w:t>
      </w:r>
      <w:r w:rsidR="004E5CEC" w:rsidRPr="006C09BD">
        <w:rPr>
          <w:rFonts w:cs="Arial"/>
          <w:lang w:val="en-GB"/>
        </w:rPr>
        <w:t xml:space="preserve"> </w:t>
      </w:r>
      <w:r w:rsidR="009136F5" w:rsidRPr="006C09BD">
        <w:rPr>
          <w:rFonts w:cs="Arial"/>
          <w:lang w:val="en-GB"/>
        </w:rPr>
        <w:t>diagnosed</w:t>
      </w:r>
      <w:r w:rsidR="004E5CEC" w:rsidRPr="006C09BD">
        <w:rPr>
          <w:rFonts w:cs="Arial"/>
          <w:lang w:val="en-GB"/>
        </w:rPr>
        <w:t xml:space="preserve"> </w:t>
      </w:r>
      <w:r w:rsidR="004361BB" w:rsidRPr="006C09BD">
        <w:rPr>
          <w:rFonts w:cs="Arial"/>
          <w:lang w:val="en-GB"/>
        </w:rPr>
        <w:t>up until discharge home or 44+0 gestational weeks+days</w:t>
      </w:r>
      <w:r w:rsidR="006F1672" w:rsidRPr="006C09BD">
        <w:rPr>
          <w:rFonts w:cs="Arial"/>
          <w:lang w:val="en-GB"/>
        </w:rPr>
        <w:t>, whichever is sooner</w:t>
      </w:r>
      <w:r w:rsidR="004361BB" w:rsidRPr="006C09BD">
        <w:rPr>
          <w:rFonts w:cs="Arial"/>
          <w:lang w:val="en-GB"/>
        </w:rPr>
        <w:t>.</w:t>
      </w:r>
    </w:p>
    <w:p w14:paraId="5EABCE08" w14:textId="7A20F637" w:rsidR="004361BB" w:rsidRPr="006C09BD" w:rsidRDefault="004361BB">
      <w:pPr>
        <w:pStyle w:val="BodyA"/>
        <w:widowControl w:val="0"/>
        <w:spacing w:line="360" w:lineRule="auto"/>
        <w:rPr>
          <w:rStyle w:val="superscript"/>
          <w:rFonts w:cs="Arial"/>
          <w:lang w:val="en-GB"/>
        </w:rPr>
      </w:pPr>
    </w:p>
    <w:p w14:paraId="39B53846" w14:textId="151A231E" w:rsidR="004361BB" w:rsidRPr="006C09BD" w:rsidRDefault="004361BB" w:rsidP="004361BB">
      <w:pPr>
        <w:pStyle w:val="BodyA"/>
        <w:widowControl w:val="0"/>
        <w:spacing w:line="360" w:lineRule="auto"/>
        <w:rPr>
          <w:rFonts w:cs="Arial"/>
          <w:u w:val="single"/>
          <w:lang w:val="en-GB"/>
        </w:rPr>
      </w:pPr>
      <w:bookmarkStart w:id="2" w:name="_Toc164438232"/>
      <w:r w:rsidRPr="006C09BD">
        <w:rPr>
          <w:rFonts w:cs="Arial"/>
          <w:u w:val="single"/>
          <w:lang w:val="en-GB"/>
        </w:rPr>
        <w:t>Other secondary objectives</w:t>
      </w:r>
      <w:bookmarkEnd w:id="2"/>
    </w:p>
    <w:p w14:paraId="783CA839" w14:textId="27A10D22" w:rsidR="004361BB" w:rsidRPr="006C09BD" w:rsidRDefault="004361BB" w:rsidP="009E60BE">
      <w:pPr>
        <w:pStyle w:val="ListParagraph"/>
        <w:numPr>
          <w:ilvl w:val="0"/>
          <w:numId w:val="3"/>
        </w:numPr>
        <w:spacing w:before="120" w:after="120" w:line="360" w:lineRule="auto"/>
        <w:ind w:left="714" w:hanging="357"/>
        <w:rPr>
          <w:rFonts w:eastAsia="Times New Roman" w:cs="Arial"/>
          <w:lang w:eastAsia="en-GB"/>
        </w:rPr>
      </w:pPr>
      <w:r w:rsidRPr="006C09BD">
        <w:rPr>
          <w:rFonts w:eastAsia="Times New Roman" w:cs="Arial"/>
          <w:lang w:eastAsia="en-GB"/>
        </w:rPr>
        <w:lastRenderedPageBreak/>
        <w:t>To evaluate the impact of not routinely measuring gastric residual volumes</w:t>
      </w:r>
      <w:r w:rsidR="004E5CEC" w:rsidRPr="006C09BD">
        <w:rPr>
          <w:rFonts w:eastAsia="Times New Roman" w:cs="Arial"/>
          <w:lang w:eastAsia="en-GB"/>
        </w:rPr>
        <w:t xml:space="preserve"> compared to</w:t>
      </w:r>
      <w:r w:rsidR="004E5CEC" w:rsidRPr="006C09BD">
        <w:rPr>
          <w:rFonts w:cs="Arial"/>
        </w:rPr>
        <w:t xml:space="preserve"> </w:t>
      </w:r>
      <w:r w:rsidR="004E5CEC" w:rsidRPr="006C09BD">
        <w:rPr>
          <w:rFonts w:eastAsia="Times New Roman" w:cs="Arial"/>
          <w:lang w:eastAsia="en-GB"/>
        </w:rPr>
        <w:t xml:space="preserve">routine measurement, </w:t>
      </w:r>
      <w:r w:rsidRPr="006C09BD">
        <w:rPr>
          <w:rFonts w:eastAsia="Times New Roman" w:cs="Arial"/>
          <w:lang w:eastAsia="en-GB"/>
        </w:rPr>
        <w:t>on other clinical outcomes.</w:t>
      </w:r>
    </w:p>
    <w:p w14:paraId="5D929669" w14:textId="6C8A3A2E" w:rsidR="004361BB" w:rsidRPr="006C09BD" w:rsidRDefault="004361BB" w:rsidP="009E60BE">
      <w:pPr>
        <w:pStyle w:val="ListParagraph"/>
        <w:numPr>
          <w:ilvl w:val="0"/>
          <w:numId w:val="3"/>
        </w:numPr>
        <w:spacing w:before="120" w:after="120" w:line="360" w:lineRule="auto"/>
        <w:ind w:left="714" w:hanging="357"/>
        <w:rPr>
          <w:rStyle w:val="superscript"/>
          <w:rFonts w:eastAsia="Times New Roman" w:cs="Arial"/>
          <w:sz w:val="20"/>
          <w:vertAlign w:val="baseline"/>
          <w:lang w:eastAsia="en-GB"/>
        </w:rPr>
      </w:pPr>
      <w:r w:rsidRPr="006C09BD">
        <w:rPr>
          <w:rFonts w:eastAsia="Times New Roman" w:cs="Arial"/>
          <w:lang w:eastAsia="en-GB"/>
        </w:rPr>
        <w:t xml:space="preserve">To </w:t>
      </w:r>
      <w:r w:rsidR="007242F4" w:rsidRPr="006C09BD">
        <w:rPr>
          <w:rFonts w:eastAsia="Times New Roman" w:cs="Arial"/>
          <w:lang w:eastAsia="en-GB"/>
        </w:rPr>
        <w:t>assess the</w:t>
      </w:r>
      <w:r w:rsidRPr="006C09BD">
        <w:rPr>
          <w:rFonts w:eastAsia="Times New Roman" w:cs="Arial"/>
          <w:lang w:eastAsia="en-GB"/>
        </w:rPr>
        <w:t xml:space="preserve"> </w:t>
      </w:r>
      <w:r w:rsidR="009136F5" w:rsidRPr="006C09BD">
        <w:rPr>
          <w:rFonts w:eastAsia="Times New Roman" w:cs="Arial"/>
          <w:lang w:eastAsia="en-GB"/>
        </w:rPr>
        <w:t xml:space="preserve">resource use and costs </w:t>
      </w:r>
      <w:r w:rsidR="00A02B7A" w:rsidRPr="006C09BD">
        <w:rPr>
          <w:rFonts w:eastAsia="Times New Roman" w:cs="Arial"/>
          <w:lang w:eastAsia="en-GB"/>
        </w:rPr>
        <w:t xml:space="preserve">from an NHS perspective </w:t>
      </w:r>
      <w:r w:rsidRPr="006C09BD">
        <w:rPr>
          <w:rFonts w:eastAsia="Times New Roman" w:cs="Arial"/>
          <w:lang w:eastAsia="en-GB"/>
        </w:rPr>
        <w:t>of not routinely measuring gastric residual volumes compared to</w:t>
      </w:r>
      <w:r w:rsidRPr="006C09BD">
        <w:rPr>
          <w:rFonts w:cs="Arial"/>
        </w:rPr>
        <w:t xml:space="preserve"> </w:t>
      </w:r>
      <w:r w:rsidRPr="006C09BD">
        <w:rPr>
          <w:rFonts w:eastAsia="Times New Roman" w:cs="Arial"/>
          <w:lang w:eastAsia="en-GB"/>
        </w:rPr>
        <w:t>routine measurement</w:t>
      </w:r>
      <w:r w:rsidR="00A02B7A" w:rsidRPr="006C09BD">
        <w:rPr>
          <w:rFonts w:eastAsia="Times New Roman" w:cs="Arial"/>
          <w:lang w:eastAsia="en-GB"/>
        </w:rPr>
        <w:t>.</w:t>
      </w:r>
    </w:p>
    <w:p w14:paraId="2FE9D1FB" w14:textId="2AFDF92E" w:rsidR="00BC368F" w:rsidRPr="006C09BD" w:rsidRDefault="00BC368F">
      <w:pPr>
        <w:pStyle w:val="BodyA"/>
        <w:widowControl w:val="0"/>
        <w:spacing w:line="360" w:lineRule="auto"/>
        <w:rPr>
          <w:rFonts w:cs="Arial"/>
          <w:b/>
          <w:bCs/>
          <w:sz w:val="28"/>
          <w:szCs w:val="28"/>
          <w:lang w:val="en-GB"/>
        </w:rPr>
      </w:pPr>
      <w:r w:rsidRPr="006C09BD">
        <w:rPr>
          <w:rFonts w:cs="Arial"/>
          <w:b/>
          <w:bCs/>
          <w:sz w:val="28"/>
          <w:szCs w:val="28"/>
          <w:lang w:val="en-GB"/>
        </w:rPr>
        <w:t>Methods</w:t>
      </w:r>
      <w:r w:rsidR="001043B1" w:rsidRPr="006C09BD">
        <w:rPr>
          <w:rFonts w:cs="Arial"/>
          <w:b/>
          <w:bCs/>
          <w:sz w:val="28"/>
          <w:szCs w:val="28"/>
          <w:lang w:val="en-GB"/>
        </w:rPr>
        <w:t xml:space="preserve"> {</w:t>
      </w:r>
      <w:r w:rsidR="0004066B" w:rsidRPr="006C09BD">
        <w:rPr>
          <w:rFonts w:cs="Arial"/>
          <w:b/>
          <w:bCs/>
          <w:sz w:val="28"/>
          <w:szCs w:val="28"/>
          <w:lang w:val="en-GB"/>
        </w:rPr>
        <w:t>11</w:t>
      </w:r>
      <w:r w:rsidR="001043B1" w:rsidRPr="006C09BD">
        <w:rPr>
          <w:rFonts w:cs="Arial"/>
          <w:b/>
          <w:bCs/>
          <w:sz w:val="28"/>
          <w:szCs w:val="28"/>
          <w:lang w:val="en-GB"/>
        </w:rPr>
        <w:t>}</w:t>
      </w:r>
      <w:r w:rsidRPr="006C09BD">
        <w:rPr>
          <w:rFonts w:cs="Arial"/>
          <w:b/>
          <w:bCs/>
          <w:sz w:val="28"/>
          <w:szCs w:val="28"/>
          <w:lang w:val="en-GB"/>
        </w:rPr>
        <w:t>: Patient and public involvement, trial design</w:t>
      </w:r>
    </w:p>
    <w:p w14:paraId="01CBC75A" w14:textId="083C8E1A" w:rsidR="006233A8" w:rsidRPr="006C09BD" w:rsidRDefault="006233A8" w:rsidP="006233A8">
      <w:pPr>
        <w:pStyle w:val="BodyA"/>
        <w:widowControl w:val="0"/>
        <w:spacing w:line="360" w:lineRule="auto"/>
        <w:rPr>
          <w:rFonts w:cs="Arial"/>
          <w:color w:val="000000" w:themeColor="text1"/>
          <w:lang w:val="en-GB"/>
        </w:rPr>
      </w:pPr>
      <w:r w:rsidRPr="006C09BD">
        <w:rPr>
          <w:rFonts w:cs="Arial"/>
          <w:lang w:val="en-GB"/>
        </w:rPr>
        <w:t xml:space="preserve">Healthcare professionals and neonatal patients/parents were involved in developing the design of the trial and the comparator arms </w:t>
      </w:r>
      <w:r w:rsidR="000F2BED" w:rsidRPr="006C09BD">
        <w:rPr>
          <w:rFonts w:cs="Arial"/>
          <w:lang w:val="en-GB"/>
        </w:rPr>
        <w:t xml:space="preserve">[7, </w:t>
      </w:r>
      <w:r w:rsidR="00D93981" w:rsidRPr="006C09BD">
        <w:rPr>
          <w:rFonts w:cs="Arial"/>
          <w:noProof/>
          <w:lang w:val="en-GB"/>
        </w:rPr>
        <w:t>1</w:t>
      </w:r>
      <w:r w:rsidR="00E65880" w:rsidRPr="006C09BD">
        <w:rPr>
          <w:rFonts w:cs="Arial"/>
          <w:noProof/>
          <w:lang w:val="en-GB"/>
        </w:rPr>
        <w:t>5</w:t>
      </w:r>
      <w:r w:rsidR="00FB1581" w:rsidRPr="006C09BD">
        <w:rPr>
          <w:rFonts w:cs="Arial"/>
          <w:noProof/>
          <w:lang w:val="en-GB"/>
        </w:rPr>
        <w:t>]</w:t>
      </w:r>
      <w:r w:rsidR="00CC4DB3" w:rsidRPr="006C09BD">
        <w:rPr>
          <w:rFonts w:cs="Arial"/>
          <w:noProof/>
          <w:lang w:val="en-GB"/>
        </w:rPr>
        <w:t>.</w:t>
      </w:r>
    </w:p>
    <w:p w14:paraId="0B87B614" w14:textId="7060E62B" w:rsidR="006233A8" w:rsidRPr="006C09BD" w:rsidRDefault="006233A8" w:rsidP="001E507E">
      <w:pPr>
        <w:pStyle w:val="BodyA"/>
        <w:widowControl w:val="0"/>
        <w:spacing w:line="360" w:lineRule="auto"/>
        <w:rPr>
          <w:rFonts w:cs="Arial"/>
          <w:lang w:val="en-GB"/>
        </w:rPr>
      </w:pPr>
    </w:p>
    <w:p w14:paraId="3F9E1779" w14:textId="7988ADFD" w:rsidR="00614DFB" w:rsidRPr="006C09BD" w:rsidRDefault="00614DFB" w:rsidP="001E507E">
      <w:pPr>
        <w:pStyle w:val="BodyA"/>
        <w:widowControl w:val="0"/>
        <w:spacing w:line="360" w:lineRule="auto"/>
        <w:rPr>
          <w:rFonts w:cs="Arial"/>
          <w:lang w:val="en-GB"/>
        </w:rPr>
      </w:pPr>
      <w:r w:rsidRPr="006C09BD">
        <w:rPr>
          <w:rFonts w:cs="Arial"/>
          <w:lang w:val="en-GB"/>
        </w:rPr>
        <w:t>Twenty-four parents with neonatal experience were involved in a consensus process to identify</w:t>
      </w:r>
      <w:r w:rsidR="00773C38" w:rsidRPr="006C09BD">
        <w:rPr>
          <w:rFonts w:cs="Arial"/>
          <w:lang w:val="en-GB"/>
        </w:rPr>
        <w:t xml:space="preserve"> </w:t>
      </w:r>
    </w:p>
    <w:p w14:paraId="2EF74F3B" w14:textId="77777777" w:rsidR="00614DFB" w:rsidRPr="006C09BD" w:rsidRDefault="00614DFB" w:rsidP="001E507E">
      <w:pPr>
        <w:pStyle w:val="BodyA"/>
        <w:widowControl w:val="0"/>
        <w:spacing w:line="360" w:lineRule="auto"/>
        <w:rPr>
          <w:rFonts w:cs="Arial"/>
          <w:lang w:val="en-GB"/>
        </w:rPr>
      </w:pPr>
      <w:r w:rsidRPr="006C09BD">
        <w:rPr>
          <w:rFonts w:cs="Arial"/>
          <w:lang w:val="en-GB"/>
        </w:rPr>
        <w:t>outcomes for neoGASTRIC; this also included healthcare professionals, methodologists and</w:t>
      </w:r>
    </w:p>
    <w:p w14:paraId="60A74ED7" w14:textId="47E29ACD" w:rsidR="00614DFB" w:rsidRPr="006C09BD" w:rsidRDefault="00614DFB" w:rsidP="001E507E">
      <w:pPr>
        <w:pStyle w:val="BodyA"/>
        <w:widowControl w:val="0"/>
        <w:spacing w:line="360" w:lineRule="auto"/>
        <w:rPr>
          <w:rFonts w:cs="Arial"/>
          <w:lang w:val="en-GB"/>
        </w:rPr>
      </w:pPr>
      <w:r w:rsidRPr="006C09BD">
        <w:rPr>
          <w:rFonts w:cs="Arial"/>
          <w:lang w:val="en-GB"/>
        </w:rPr>
        <w:t xml:space="preserve">researchers. ‘Time to full feeds’ and </w:t>
      </w:r>
      <w:r w:rsidR="009136F5" w:rsidRPr="006C09BD">
        <w:rPr>
          <w:rFonts w:cs="Arial"/>
          <w:lang w:val="en-GB"/>
        </w:rPr>
        <w:t>the diagnosis</w:t>
      </w:r>
      <w:r w:rsidRPr="006C09BD">
        <w:rPr>
          <w:rFonts w:cs="Arial"/>
          <w:lang w:val="en-GB"/>
        </w:rPr>
        <w:t xml:space="preserve"> of </w:t>
      </w:r>
      <w:r w:rsidR="002E7D95" w:rsidRPr="006C09BD">
        <w:rPr>
          <w:rFonts w:cs="Arial"/>
          <w:lang w:val="en-GB"/>
        </w:rPr>
        <w:t>NEC</w:t>
      </w:r>
      <w:r w:rsidRPr="006C09BD">
        <w:rPr>
          <w:rFonts w:cs="Arial"/>
          <w:lang w:val="en-GB"/>
        </w:rPr>
        <w:t xml:space="preserve"> were prioritised as primary</w:t>
      </w:r>
    </w:p>
    <w:p w14:paraId="4AF8F7A8" w14:textId="768752A1" w:rsidR="00614DFB" w:rsidRPr="006C09BD" w:rsidRDefault="00614DFB" w:rsidP="001E507E">
      <w:pPr>
        <w:pStyle w:val="BodyA"/>
        <w:widowControl w:val="0"/>
        <w:spacing w:line="360" w:lineRule="auto"/>
        <w:rPr>
          <w:rFonts w:cs="Arial"/>
          <w:lang w:val="en-GB"/>
        </w:rPr>
      </w:pPr>
      <w:r w:rsidRPr="006C09BD">
        <w:rPr>
          <w:rFonts w:cs="Arial"/>
          <w:lang w:val="en-GB"/>
        </w:rPr>
        <w:t>outcomes</w:t>
      </w:r>
      <w:r w:rsidR="00551FEA" w:rsidRPr="006C09BD">
        <w:rPr>
          <w:rFonts w:cs="Arial"/>
          <w:lang w:val="en-GB"/>
        </w:rPr>
        <w:t xml:space="preserve"> </w:t>
      </w:r>
      <w:r w:rsidR="00FB1581" w:rsidRPr="006C09BD">
        <w:rPr>
          <w:rFonts w:cs="Arial"/>
          <w:noProof/>
          <w:lang w:val="en-GB"/>
        </w:rPr>
        <w:t>[16]</w:t>
      </w:r>
      <w:r w:rsidR="00551FEA" w:rsidRPr="006C09BD">
        <w:rPr>
          <w:rFonts w:cs="Arial"/>
          <w:lang w:val="en-GB"/>
        </w:rPr>
        <w:t>.</w:t>
      </w:r>
      <w:r w:rsidRPr="006C09BD">
        <w:rPr>
          <w:rFonts w:cs="Arial"/>
          <w:lang w:val="en-GB"/>
        </w:rPr>
        <w:t xml:space="preserve"> </w:t>
      </w:r>
    </w:p>
    <w:p w14:paraId="5389BD65" w14:textId="77777777" w:rsidR="00614DFB" w:rsidRPr="006C09BD" w:rsidRDefault="00614DFB" w:rsidP="001E507E">
      <w:pPr>
        <w:pStyle w:val="BodyA"/>
        <w:widowControl w:val="0"/>
        <w:spacing w:line="360" w:lineRule="auto"/>
        <w:rPr>
          <w:rFonts w:cs="Arial"/>
          <w:lang w:val="en-GB"/>
        </w:rPr>
      </w:pPr>
    </w:p>
    <w:p w14:paraId="57246AEB" w14:textId="77777777" w:rsidR="00614DFB" w:rsidRPr="006C09BD" w:rsidRDefault="00614DFB" w:rsidP="001E507E">
      <w:pPr>
        <w:pStyle w:val="BodyA"/>
        <w:widowControl w:val="0"/>
        <w:spacing w:line="360" w:lineRule="auto"/>
        <w:rPr>
          <w:rFonts w:cs="Arial"/>
          <w:lang w:val="en-GB"/>
        </w:rPr>
      </w:pPr>
      <w:r w:rsidRPr="006C09BD">
        <w:rPr>
          <w:rFonts w:cs="Arial"/>
          <w:lang w:val="en-GB"/>
        </w:rPr>
        <w:t>Parents and patients have been involved in the development of the opt-out approach to consent in</w:t>
      </w:r>
    </w:p>
    <w:p w14:paraId="2B268C18" w14:textId="39AB8B7C" w:rsidR="00614DFB" w:rsidRPr="006C09BD" w:rsidRDefault="00614DFB" w:rsidP="001E507E">
      <w:pPr>
        <w:pStyle w:val="BodyA"/>
        <w:widowControl w:val="0"/>
        <w:spacing w:line="360" w:lineRule="auto"/>
        <w:rPr>
          <w:rFonts w:cs="Arial"/>
          <w:lang w:val="en-GB"/>
        </w:rPr>
      </w:pPr>
      <w:r w:rsidRPr="006C09BD">
        <w:rPr>
          <w:rFonts w:cs="Arial"/>
          <w:lang w:val="en-GB"/>
        </w:rPr>
        <w:t>neonatal comparative effectiveness research</w:t>
      </w:r>
      <w:r w:rsidR="00BB5534" w:rsidRPr="006C09BD">
        <w:rPr>
          <w:rFonts w:cs="Arial"/>
          <w:lang w:val="en-GB"/>
        </w:rPr>
        <w:t xml:space="preserve"> that</w:t>
      </w:r>
      <w:r w:rsidRPr="006C09BD">
        <w:rPr>
          <w:rFonts w:cs="Arial"/>
          <w:lang w:val="en-GB"/>
        </w:rPr>
        <w:t xml:space="preserve"> will be used in neoGASTRIC</w:t>
      </w:r>
      <w:r w:rsidR="006E0BC9" w:rsidRPr="006C09BD">
        <w:rPr>
          <w:rFonts w:cs="Arial"/>
          <w:lang w:val="en-GB"/>
        </w:rPr>
        <w:t xml:space="preserve"> </w:t>
      </w:r>
      <w:r w:rsidR="00692054" w:rsidRPr="006C09BD">
        <w:rPr>
          <w:rFonts w:cs="Arial"/>
          <w:lang w:val="en-GB"/>
        </w:rPr>
        <w:t xml:space="preserve">[18]. </w:t>
      </w:r>
      <w:r w:rsidRPr="006C09BD">
        <w:rPr>
          <w:rFonts w:cs="Arial"/>
          <w:lang w:val="en-GB"/>
        </w:rPr>
        <w:t>Two parents of</w:t>
      </w:r>
    </w:p>
    <w:p w14:paraId="00D93C94" w14:textId="05D3076D" w:rsidR="00614DFB" w:rsidRPr="006C09BD" w:rsidRDefault="00614DFB" w:rsidP="001E507E">
      <w:pPr>
        <w:pStyle w:val="BodyA"/>
        <w:widowControl w:val="0"/>
        <w:spacing w:line="360" w:lineRule="auto"/>
        <w:rPr>
          <w:rFonts w:cs="Arial"/>
          <w:lang w:val="en-GB"/>
        </w:rPr>
      </w:pPr>
      <w:r w:rsidRPr="006C09BD">
        <w:rPr>
          <w:rFonts w:cs="Arial"/>
          <w:lang w:val="en-GB"/>
        </w:rPr>
        <w:t xml:space="preserve">extremely preterm </w:t>
      </w:r>
      <w:r w:rsidR="002A35BF" w:rsidRPr="006C09BD">
        <w:rPr>
          <w:rFonts w:cs="Arial"/>
          <w:lang w:val="en-GB"/>
        </w:rPr>
        <w:t>infants</w:t>
      </w:r>
      <w:r w:rsidRPr="006C09BD">
        <w:rPr>
          <w:rFonts w:cs="Arial"/>
          <w:lang w:val="en-GB"/>
        </w:rPr>
        <w:t xml:space="preserve"> and the national neonatal charity </w:t>
      </w:r>
      <w:r w:rsidR="00984F52" w:rsidRPr="006C09BD">
        <w:rPr>
          <w:rFonts w:cs="Arial"/>
          <w:lang w:val="en-GB"/>
        </w:rPr>
        <w:t>Bliss</w:t>
      </w:r>
      <w:r w:rsidRPr="006C09BD">
        <w:rPr>
          <w:rFonts w:cs="Arial"/>
          <w:lang w:val="en-GB"/>
        </w:rPr>
        <w:t xml:space="preserve"> developed this approach to simplif</w:t>
      </w:r>
      <w:r w:rsidR="006F1672" w:rsidRPr="006C09BD">
        <w:rPr>
          <w:rFonts w:cs="Arial"/>
          <w:lang w:val="en-GB"/>
        </w:rPr>
        <w:t>y</w:t>
      </w:r>
    </w:p>
    <w:p w14:paraId="231EEB15" w14:textId="7E478D73" w:rsidR="00614DFB" w:rsidRPr="006C09BD" w:rsidRDefault="00614DFB" w:rsidP="001E507E">
      <w:pPr>
        <w:pStyle w:val="BodyA"/>
        <w:widowControl w:val="0"/>
        <w:spacing w:line="360" w:lineRule="auto"/>
        <w:rPr>
          <w:rFonts w:cs="Arial"/>
          <w:lang w:val="en-GB"/>
        </w:rPr>
      </w:pPr>
      <w:r w:rsidRPr="006C09BD">
        <w:rPr>
          <w:rFonts w:cs="Arial"/>
          <w:lang w:val="en-GB"/>
        </w:rPr>
        <w:t>opt-out consent</w:t>
      </w:r>
      <w:r w:rsidR="00D35E58" w:rsidRPr="006C09BD">
        <w:rPr>
          <w:rFonts w:cs="Arial"/>
          <w:lang w:val="en-GB"/>
        </w:rPr>
        <w:t xml:space="preserve"> which </w:t>
      </w:r>
      <w:r w:rsidRPr="006C09BD">
        <w:rPr>
          <w:rFonts w:cs="Arial"/>
          <w:lang w:val="en-GB"/>
        </w:rPr>
        <w:t xml:space="preserve">was </w:t>
      </w:r>
      <w:r w:rsidR="00D35E58" w:rsidRPr="006C09BD">
        <w:rPr>
          <w:rFonts w:cs="Arial"/>
          <w:lang w:val="en-GB"/>
        </w:rPr>
        <w:t xml:space="preserve">subsequently </w:t>
      </w:r>
      <w:r w:rsidRPr="006C09BD">
        <w:rPr>
          <w:rFonts w:cs="Arial"/>
          <w:lang w:val="en-GB"/>
        </w:rPr>
        <w:t>piloted in the WHEAT trial and qualitatively evaluated in 11 families who experienced opt-out</w:t>
      </w:r>
      <w:r w:rsidR="00D35E58" w:rsidRPr="006C09BD">
        <w:rPr>
          <w:rFonts w:cs="Arial"/>
          <w:lang w:val="en-GB"/>
        </w:rPr>
        <w:t xml:space="preserve"> </w:t>
      </w:r>
      <w:r w:rsidRPr="006C09BD">
        <w:rPr>
          <w:rFonts w:cs="Arial"/>
          <w:lang w:val="en-GB"/>
        </w:rPr>
        <w:t xml:space="preserve">consent </w:t>
      </w:r>
      <w:r w:rsidR="00FB1581" w:rsidRPr="006C09BD">
        <w:rPr>
          <w:rFonts w:cs="Arial"/>
          <w:noProof/>
          <w:lang w:val="en-GB"/>
        </w:rPr>
        <w:t>[1</w:t>
      </w:r>
      <w:r w:rsidR="00E65880" w:rsidRPr="006C09BD">
        <w:rPr>
          <w:rFonts w:cs="Arial"/>
          <w:noProof/>
          <w:lang w:val="en-GB"/>
        </w:rPr>
        <w:t>5</w:t>
      </w:r>
      <w:r w:rsidR="00FB1581" w:rsidRPr="006C09BD">
        <w:rPr>
          <w:rFonts w:cs="Arial"/>
          <w:noProof/>
          <w:lang w:val="en-GB"/>
        </w:rPr>
        <w:t>, 1</w:t>
      </w:r>
      <w:r w:rsidR="00692054" w:rsidRPr="006C09BD">
        <w:rPr>
          <w:rFonts w:cs="Arial"/>
          <w:noProof/>
          <w:lang w:val="en-GB"/>
        </w:rPr>
        <w:t>9</w:t>
      </w:r>
      <w:r w:rsidR="00FB1581" w:rsidRPr="006C09BD">
        <w:rPr>
          <w:rFonts w:cs="Arial"/>
          <w:noProof/>
          <w:lang w:val="en-GB"/>
        </w:rPr>
        <w:t>]</w:t>
      </w:r>
      <w:r w:rsidR="00551FEA" w:rsidRPr="006C09BD">
        <w:rPr>
          <w:rFonts w:cs="Arial"/>
          <w:lang w:val="en-GB"/>
        </w:rPr>
        <w:t>.</w:t>
      </w:r>
      <w:r w:rsidRPr="006C09BD">
        <w:rPr>
          <w:rFonts w:cs="Arial"/>
          <w:lang w:val="en-GB"/>
        </w:rPr>
        <w:t xml:space="preserve"> The opt-out approach to consent was</w:t>
      </w:r>
      <w:r w:rsidR="000648F9" w:rsidRPr="006C09BD">
        <w:rPr>
          <w:rFonts w:cs="Arial"/>
          <w:lang w:val="en-GB"/>
        </w:rPr>
        <w:t xml:space="preserve"> </w:t>
      </w:r>
      <w:r w:rsidRPr="006C09BD">
        <w:rPr>
          <w:rFonts w:cs="Arial"/>
          <w:lang w:val="en-GB"/>
        </w:rPr>
        <w:t>considered feasible and normalised research while preserving parent autonomy. Th</w:t>
      </w:r>
      <w:r w:rsidR="00395E01" w:rsidRPr="006C09BD">
        <w:rPr>
          <w:rFonts w:cs="Arial"/>
          <w:lang w:val="en-GB"/>
        </w:rPr>
        <w:t>is</w:t>
      </w:r>
      <w:r w:rsidRPr="006C09BD">
        <w:rPr>
          <w:rFonts w:cs="Arial"/>
          <w:lang w:val="en-GB"/>
        </w:rPr>
        <w:t xml:space="preserve"> opt-out approach</w:t>
      </w:r>
      <w:r w:rsidR="000648F9" w:rsidRPr="006C09BD">
        <w:rPr>
          <w:rFonts w:cs="Arial"/>
          <w:lang w:val="en-GB"/>
        </w:rPr>
        <w:t xml:space="preserve"> </w:t>
      </w:r>
      <w:r w:rsidRPr="006C09BD">
        <w:rPr>
          <w:rFonts w:cs="Arial"/>
          <w:lang w:val="en-GB"/>
        </w:rPr>
        <w:t xml:space="preserve">to </w:t>
      </w:r>
      <w:r w:rsidR="008C45F6">
        <w:rPr>
          <w:rFonts w:cs="Arial"/>
          <w:lang w:val="en-GB"/>
        </w:rPr>
        <w:t xml:space="preserve">consent </w:t>
      </w:r>
      <w:r w:rsidRPr="006C09BD">
        <w:rPr>
          <w:rFonts w:cs="Arial"/>
          <w:lang w:val="en-GB"/>
        </w:rPr>
        <w:t>has been refined based upon this qualitative work.</w:t>
      </w:r>
    </w:p>
    <w:p w14:paraId="65AFEC18" w14:textId="77777777" w:rsidR="00614DFB" w:rsidRPr="006C09BD" w:rsidRDefault="00614DFB" w:rsidP="001E507E">
      <w:pPr>
        <w:pStyle w:val="BodyA"/>
        <w:widowControl w:val="0"/>
        <w:spacing w:line="360" w:lineRule="auto"/>
        <w:rPr>
          <w:rFonts w:cs="Arial"/>
          <w:lang w:val="en-GB"/>
        </w:rPr>
      </w:pPr>
    </w:p>
    <w:p w14:paraId="742D57B9" w14:textId="6633A0E2" w:rsidR="00614DFB" w:rsidRPr="006C09BD" w:rsidRDefault="00614DFB" w:rsidP="001E507E">
      <w:pPr>
        <w:pStyle w:val="BodyA"/>
        <w:widowControl w:val="0"/>
        <w:spacing w:line="360" w:lineRule="auto"/>
        <w:rPr>
          <w:rFonts w:cs="Arial"/>
          <w:lang w:val="en-GB"/>
        </w:rPr>
      </w:pPr>
      <w:r w:rsidRPr="006C09BD">
        <w:rPr>
          <w:rFonts w:cs="Arial"/>
          <w:lang w:val="en-GB"/>
        </w:rPr>
        <w:t>For the Australian component of the trial an Australian Parent Advisory Group has been convened</w:t>
      </w:r>
    </w:p>
    <w:p w14:paraId="0A8B3EE9" w14:textId="5FB49869" w:rsidR="00614DFB" w:rsidRPr="006C09BD" w:rsidRDefault="00614DFB" w:rsidP="001E507E">
      <w:pPr>
        <w:pStyle w:val="BodyA"/>
        <w:widowControl w:val="0"/>
        <w:spacing w:line="360" w:lineRule="auto"/>
        <w:rPr>
          <w:rFonts w:cs="Arial"/>
          <w:lang w:val="en-GB"/>
        </w:rPr>
      </w:pPr>
      <w:r w:rsidRPr="006C09BD">
        <w:rPr>
          <w:rFonts w:cs="Arial"/>
          <w:lang w:val="en-GB"/>
        </w:rPr>
        <w:t xml:space="preserve">including several parents of extremely preterm </w:t>
      </w:r>
      <w:r w:rsidR="002A35BF" w:rsidRPr="006C09BD">
        <w:rPr>
          <w:rFonts w:cs="Arial"/>
          <w:lang w:val="en-GB"/>
        </w:rPr>
        <w:t>infants</w:t>
      </w:r>
      <w:r w:rsidRPr="006C09BD">
        <w:rPr>
          <w:rFonts w:cs="Arial"/>
          <w:lang w:val="en-GB"/>
        </w:rPr>
        <w:t xml:space="preserve"> and an extremely preterm born adult. They were</w:t>
      </w:r>
    </w:p>
    <w:p w14:paraId="1AF916EF" w14:textId="77777777" w:rsidR="00614DFB" w:rsidRPr="006C09BD" w:rsidRDefault="00614DFB" w:rsidP="001E507E">
      <w:pPr>
        <w:pStyle w:val="BodyA"/>
        <w:widowControl w:val="0"/>
        <w:spacing w:line="360" w:lineRule="auto"/>
        <w:rPr>
          <w:rFonts w:cs="Arial"/>
          <w:lang w:val="en-GB"/>
        </w:rPr>
      </w:pPr>
      <w:r w:rsidRPr="006C09BD">
        <w:rPr>
          <w:rFonts w:cs="Arial"/>
          <w:lang w:val="en-GB"/>
        </w:rPr>
        <w:t>positive about the benefits of the trial and specifically felt the opt-out consent process was appropriate</w:t>
      </w:r>
    </w:p>
    <w:p w14:paraId="01D08E88" w14:textId="670ED148" w:rsidR="00614DFB" w:rsidRPr="006C09BD" w:rsidRDefault="009136F5" w:rsidP="00614DFB">
      <w:pPr>
        <w:pStyle w:val="BodyA"/>
        <w:widowControl w:val="0"/>
        <w:spacing w:line="360" w:lineRule="auto"/>
        <w:rPr>
          <w:rFonts w:cs="Arial"/>
          <w:lang w:val="en-GB"/>
        </w:rPr>
      </w:pPr>
      <w:r w:rsidRPr="006C09BD">
        <w:rPr>
          <w:rFonts w:cs="Arial"/>
          <w:lang w:val="en-GB"/>
        </w:rPr>
        <w:t>if</w:t>
      </w:r>
      <w:r w:rsidR="00614DFB" w:rsidRPr="006C09BD">
        <w:rPr>
          <w:rFonts w:cs="Arial"/>
          <w:lang w:val="en-GB"/>
        </w:rPr>
        <w:t xml:space="preserve"> the provided information was sufficiently clear. </w:t>
      </w:r>
    </w:p>
    <w:p w14:paraId="22C1BF93" w14:textId="2DB0B59D" w:rsidR="00614DFB" w:rsidRPr="006C09BD" w:rsidRDefault="00614DFB" w:rsidP="00614DFB">
      <w:pPr>
        <w:pStyle w:val="BodyA"/>
        <w:widowControl w:val="0"/>
        <w:spacing w:line="360" w:lineRule="auto"/>
        <w:rPr>
          <w:rFonts w:cs="Arial"/>
          <w:lang w:val="en-GB"/>
        </w:rPr>
      </w:pPr>
    </w:p>
    <w:p w14:paraId="5CE34288" w14:textId="2AA31888" w:rsidR="00614DFB" w:rsidRPr="006C09BD" w:rsidRDefault="00A02B7A" w:rsidP="00614DFB">
      <w:pPr>
        <w:pStyle w:val="BodyA"/>
        <w:widowControl w:val="0"/>
        <w:spacing w:line="360" w:lineRule="auto"/>
        <w:rPr>
          <w:rFonts w:cs="Arial"/>
          <w:lang w:val="en-GB"/>
        </w:rPr>
      </w:pPr>
      <w:r w:rsidRPr="006C09BD">
        <w:rPr>
          <w:rFonts w:cs="Arial"/>
          <w:lang w:val="en-GB"/>
        </w:rPr>
        <w:t>Parents</w:t>
      </w:r>
      <w:r w:rsidR="00614DFB" w:rsidRPr="006C09BD">
        <w:rPr>
          <w:rFonts w:cs="Arial"/>
          <w:lang w:val="en-GB"/>
        </w:rPr>
        <w:t xml:space="preserve"> with neonatal experience will be part of a Parent Advisory Group (PAG). The group will help to inform the parent facing material such as Parent Information Sheets and posters and will review any updates made during the conduct of the trial. After results are available the PAG together with relevant charities such as B</w:t>
      </w:r>
      <w:r w:rsidR="00984F52" w:rsidRPr="006C09BD">
        <w:rPr>
          <w:rFonts w:cs="Arial"/>
          <w:lang w:val="en-GB"/>
        </w:rPr>
        <w:t xml:space="preserve">liss </w:t>
      </w:r>
      <w:r w:rsidR="00614DFB" w:rsidRPr="006C09BD">
        <w:rPr>
          <w:rFonts w:cs="Arial"/>
          <w:lang w:val="en-GB"/>
        </w:rPr>
        <w:t>and</w:t>
      </w:r>
      <w:r w:rsidR="001E507E" w:rsidRPr="006C09BD">
        <w:rPr>
          <w:rFonts w:cs="Arial"/>
          <w:lang w:val="en-GB"/>
        </w:rPr>
        <w:t xml:space="preserve"> National </w:t>
      </w:r>
      <w:r w:rsidR="00614DFB" w:rsidRPr="006C09BD">
        <w:rPr>
          <w:rFonts w:cs="Arial"/>
          <w:lang w:val="en-GB"/>
        </w:rPr>
        <w:t>Maternity Voices, will help with communication of results</w:t>
      </w:r>
      <w:r w:rsidR="000F0331" w:rsidRPr="006C09BD">
        <w:rPr>
          <w:rFonts w:cs="Arial"/>
          <w:lang w:val="en-GB"/>
        </w:rPr>
        <w:t xml:space="preserve"> to health professionals.</w:t>
      </w:r>
    </w:p>
    <w:p w14:paraId="2F379A99" w14:textId="23F7BC4C" w:rsidR="000F0331" w:rsidRPr="006C09BD" w:rsidRDefault="000F0331" w:rsidP="00614DFB">
      <w:pPr>
        <w:pStyle w:val="BodyA"/>
        <w:widowControl w:val="0"/>
        <w:spacing w:line="360" w:lineRule="auto"/>
        <w:rPr>
          <w:rFonts w:cs="Arial"/>
          <w:lang w:val="en-GB"/>
        </w:rPr>
      </w:pPr>
    </w:p>
    <w:p w14:paraId="0C8F26C2" w14:textId="77777777" w:rsidR="00FD52A4" w:rsidRPr="006C09BD" w:rsidRDefault="00FD52A4" w:rsidP="00FD52A4">
      <w:pPr>
        <w:pStyle w:val="BodyA"/>
        <w:widowControl w:val="0"/>
        <w:spacing w:line="360" w:lineRule="auto"/>
        <w:rPr>
          <w:rFonts w:cs="Arial"/>
          <w:b/>
          <w:bCs/>
          <w:sz w:val="24"/>
          <w:szCs w:val="24"/>
          <w:lang w:val="en-GB"/>
        </w:rPr>
      </w:pPr>
      <w:r w:rsidRPr="006C09BD">
        <w:rPr>
          <w:rFonts w:cs="Arial"/>
          <w:b/>
          <w:bCs/>
          <w:sz w:val="28"/>
          <w:szCs w:val="28"/>
          <w:lang w:val="en-GB"/>
        </w:rPr>
        <w:t>Trial design {12}</w:t>
      </w:r>
    </w:p>
    <w:p w14:paraId="6ACE98F8" w14:textId="77777777" w:rsidR="00FD52A4" w:rsidRPr="006C09BD" w:rsidRDefault="00FD52A4" w:rsidP="00FD52A4">
      <w:pPr>
        <w:pStyle w:val="BodyA"/>
        <w:widowControl w:val="0"/>
        <w:spacing w:line="360" w:lineRule="auto"/>
        <w:rPr>
          <w:rFonts w:cs="Arial"/>
          <w:color w:val="auto"/>
          <w:u w:color="004C7F"/>
          <w:lang w:val="en-GB"/>
        </w:rPr>
      </w:pPr>
      <w:r w:rsidRPr="006C09BD">
        <w:rPr>
          <w:rFonts w:cs="Arial"/>
          <w:color w:val="auto"/>
          <w:u w:color="004C7F"/>
          <w:lang w:val="en-GB"/>
        </w:rPr>
        <w:t xml:space="preserve">Multi-centre, pragmatic, unblinded, two-arm, parallel group, </w:t>
      </w:r>
      <w:r w:rsidRPr="006C09BD">
        <w:rPr>
          <w:rFonts w:cs="Arial"/>
          <w:lang w:val="en-GB"/>
        </w:rPr>
        <w:t>randomised controlled trial with a superiority primary outcome and a non-inferiority key secondary safety outcome,</w:t>
      </w:r>
      <w:r w:rsidRPr="006C09BD">
        <w:rPr>
          <w:rFonts w:cs="Arial"/>
          <w:b/>
          <w:bCs/>
          <w:lang w:val="en-GB"/>
        </w:rPr>
        <w:t xml:space="preserve"> </w:t>
      </w:r>
      <w:r w:rsidRPr="006C09BD">
        <w:rPr>
          <w:rFonts w:cs="Arial"/>
          <w:lang w:val="en-GB"/>
        </w:rPr>
        <w:t>using opt-out consent</w:t>
      </w:r>
      <w:r w:rsidRPr="006C09BD">
        <w:rPr>
          <w:rFonts w:cs="Arial"/>
          <w:color w:val="auto"/>
          <w:u w:color="004C7F"/>
          <w:lang w:val="en-GB"/>
        </w:rPr>
        <w:t>, with an internal pilot (and embedded process evaluation), and an integrated costing study.</w:t>
      </w:r>
    </w:p>
    <w:p w14:paraId="4299423E" w14:textId="77777777" w:rsidR="00FD52A4" w:rsidRPr="006C09BD" w:rsidRDefault="00FD52A4" w:rsidP="00614DFB">
      <w:pPr>
        <w:pStyle w:val="BodyA"/>
        <w:widowControl w:val="0"/>
        <w:spacing w:line="360" w:lineRule="auto"/>
        <w:rPr>
          <w:rFonts w:cs="Arial"/>
          <w:lang w:val="en-GB"/>
        </w:rPr>
      </w:pPr>
    </w:p>
    <w:p w14:paraId="5010CC06" w14:textId="0E821845" w:rsidR="0050292B" w:rsidRPr="006C09BD" w:rsidRDefault="00551CF0">
      <w:pPr>
        <w:pStyle w:val="BodyA"/>
        <w:widowControl w:val="0"/>
        <w:spacing w:line="360" w:lineRule="auto"/>
        <w:rPr>
          <w:rFonts w:cs="Arial"/>
          <w:b/>
          <w:bCs/>
          <w:sz w:val="24"/>
          <w:szCs w:val="24"/>
          <w:lang w:val="en-GB"/>
        </w:rPr>
      </w:pPr>
      <w:r w:rsidRPr="006C09BD">
        <w:rPr>
          <w:rFonts w:cs="Arial"/>
          <w:b/>
          <w:bCs/>
          <w:sz w:val="28"/>
          <w:szCs w:val="28"/>
          <w:lang w:val="en-GB"/>
        </w:rPr>
        <w:t>Methods: Participants, interventions and outcomes</w:t>
      </w:r>
    </w:p>
    <w:p w14:paraId="2F6FE1B7" w14:textId="4FA8985B" w:rsidR="0050292B" w:rsidRPr="006C09BD" w:rsidRDefault="00FD52A4">
      <w:pPr>
        <w:pStyle w:val="BodyA"/>
        <w:widowControl w:val="0"/>
        <w:spacing w:line="360" w:lineRule="auto"/>
        <w:rPr>
          <w:rFonts w:cs="Arial"/>
          <w:b/>
          <w:bCs/>
          <w:sz w:val="24"/>
          <w:szCs w:val="24"/>
          <w:lang w:val="en-GB"/>
        </w:rPr>
      </w:pPr>
      <w:r w:rsidRPr="006C09BD">
        <w:rPr>
          <w:rFonts w:cs="Arial"/>
          <w:b/>
          <w:bCs/>
          <w:sz w:val="24"/>
          <w:szCs w:val="24"/>
          <w:lang w:val="en-GB"/>
        </w:rPr>
        <w:t xml:space="preserve">Trial </w:t>
      </w:r>
      <w:r w:rsidR="00551CF0" w:rsidRPr="006C09BD">
        <w:rPr>
          <w:rFonts w:cs="Arial"/>
          <w:b/>
          <w:bCs/>
          <w:sz w:val="24"/>
          <w:szCs w:val="24"/>
          <w:lang w:val="en-GB"/>
        </w:rPr>
        <w:t>setting {</w:t>
      </w:r>
      <w:r w:rsidR="0004066B" w:rsidRPr="006C09BD">
        <w:rPr>
          <w:rFonts w:cs="Arial"/>
          <w:b/>
          <w:bCs/>
          <w:sz w:val="24"/>
          <w:szCs w:val="24"/>
          <w:lang w:val="en-GB"/>
        </w:rPr>
        <w:t>13</w:t>
      </w:r>
      <w:r w:rsidR="006D5E8E" w:rsidRPr="006C09BD">
        <w:rPr>
          <w:rFonts w:cs="Arial"/>
          <w:b/>
          <w:bCs/>
          <w:sz w:val="24"/>
          <w:szCs w:val="24"/>
          <w:lang w:val="en-GB"/>
        </w:rPr>
        <w:t>, 14b</w:t>
      </w:r>
      <w:r w:rsidR="00551CF0" w:rsidRPr="006C09BD">
        <w:rPr>
          <w:rFonts w:cs="Arial"/>
          <w:b/>
          <w:bCs/>
          <w:sz w:val="24"/>
          <w:szCs w:val="24"/>
          <w:lang w:val="en-GB"/>
        </w:rPr>
        <w:t>}</w:t>
      </w:r>
    </w:p>
    <w:p w14:paraId="3FB9DD36" w14:textId="296BA614" w:rsidR="008F2FB2" w:rsidRPr="006C09BD" w:rsidRDefault="00D23FC9">
      <w:pPr>
        <w:pStyle w:val="BodyA"/>
        <w:widowControl w:val="0"/>
        <w:spacing w:line="360" w:lineRule="auto"/>
        <w:rPr>
          <w:rStyle w:val="NoneA"/>
          <w:rFonts w:cs="Arial"/>
          <w:lang w:val="en-GB"/>
        </w:rPr>
      </w:pPr>
      <w:r w:rsidRPr="006C09BD">
        <w:rPr>
          <w:rStyle w:val="NoneA"/>
          <w:rFonts w:cs="Arial"/>
          <w:lang w:val="en-GB"/>
        </w:rPr>
        <w:lastRenderedPageBreak/>
        <w:t xml:space="preserve">Neonatal units caring for preterm </w:t>
      </w:r>
      <w:r w:rsidR="002A35BF" w:rsidRPr="006C09BD">
        <w:rPr>
          <w:rFonts w:cs="Arial"/>
          <w:lang w:val="en-GB"/>
        </w:rPr>
        <w:t>infants</w:t>
      </w:r>
      <w:r w:rsidRPr="006C09BD">
        <w:rPr>
          <w:rStyle w:val="NoneA"/>
          <w:rFonts w:cs="Arial"/>
          <w:lang w:val="en-GB"/>
        </w:rPr>
        <w:t>, including the following levels of neonatal units: Neonatal Intensive Care Units (NICUs), Local Neonatal Units (LNUs) and Special Care Baby Units (SCBUs) in the United Kingdom</w:t>
      </w:r>
      <w:r w:rsidR="004E5CEC" w:rsidRPr="006C09BD">
        <w:rPr>
          <w:rStyle w:val="NoneA"/>
          <w:rFonts w:cs="Arial"/>
          <w:lang w:val="en-GB"/>
        </w:rPr>
        <w:t>,</w:t>
      </w:r>
      <w:r w:rsidRPr="006C09BD">
        <w:rPr>
          <w:rStyle w:val="NoneA"/>
          <w:rFonts w:cs="Arial"/>
          <w:lang w:val="en-GB"/>
        </w:rPr>
        <w:t xml:space="preserve"> and tertiary </w:t>
      </w:r>
      <w:r w:rsidR="00F92419" w:rsidRPr="006C09BD">
        <w:rPr>
          <w:rStyle w:val="NoneA"/>
          <w:rFonts w:cs="Arial"/>
          <w:lang w:val="en-GB"/>
        </w:rPr>
        <w:t>NICUs</w:t>
      </w:r>
      <w:r w:rsidRPr="006C09BD">
        <w:rPr>
          <w:rStyle w:val="NoneA"/>
          <w:rFonts w:cs="Arial"/>
          <w:lang w:val="en-GB"/>
        </w:rPr>
        <w:t xml:space="preserve"> in Australia. </w:t>
      </w:r>
      <w:r w:rsidR="009517C5" w:rsidRPr="006C09BD">
        <w:rPr>
          <w:rStyle w:val="NoneA"/>
          <w:rFonts w:cs="Arial"/>
          <w:lang w:val="en-GB"/>
        </w:rPr>
        <w:t xml:space="preserve">See </w:t>
      </w:r>
      <w:r w:rsidR="002F6108">
        <w:rPr>
          <w:rStyle w:val="NoneA"/>
          <w:rFonts w:cs="Arial"/>
          <w:lang w:val="en-GB"/>
        </w:rPr>
        <w:t>a</w:t>
      </w:r>
      <w:r w:rsidR="009517C5" w:rsidRPr="006C09BD">
        <w:rPr>
          <w:rStyle w:val="NoneA"/>
          <w:rFonts w:cs="Arial"/>
          <w:lang w:val="en-GB"/>
        </w:rPr>
        <w:t>dditional file 1</w:t>
      </w:r>
      <w:r w:rsidR="000A3223" w:rsidRPr="006C09BD">
        <w:rPr>
          <w:rStyle w:val="NoneA"/>
          <w:rFonts w:cs="Arial"/>
          <w:lang w:val="en-GB"/>
        </w:rPr>
        <w:t xml:space="preserve">, </w:t>
      </w:r>
      <w:r w:rsidR="0078461D" w:rsidRPr="006C09BD">
        <w:rPr>
          <w:rStyle w:val="NoneA"/>
          <w:rFonts w:cs="Arial"/>
          <w:lang w:val="en-GB"/>
        </w:rPr>
        <w:t>T</w:t>
      </w:r>
      <w:r w:rsidR="000A3223" w:rsidRPr="006C09BD">
        <w:rPr>
          <w:rStyle w:val="NoneA"/>
          <w:rFonts w:cs="Arial"/>
          <w:lang w:val="en-GB"/>
        </w:rPr>
        <w:t>ables 1a and 1b,</w:t>
      </w:r>
      <w:r w:rsidR="009517C5" w:rsidRPr="006C09BD">
        <w:rPr>
          <w:rStyle w:val="NoneA"/>
          <w:rFonts w:cs="Arial"/>
          <w:lang w:val="en-GB"/>
        </w:rPr>
        <w:t xml:space="preserve"> for the full list of study sites.</w:t>
      </w:r>
    </w:p>
    <w:p w14:paraId="36073F2F" w14:textId="46E8ECA8" w:rsidR="0050292B" w:rsidRPr="006C09BD" w:rsidRDefault="00551CF0">
      <w:pPr>
        <w:pStyle w:val="BodyA"/>
        <w:widowControl w:val="0"/>
        <w:spacing w:line="360" w:lineRule="auto"/>
        <w:rPr>
          <w:rFonts w:cs="Arial"/>
          <w:b/>
          <w:bCs/>
          <w:sz w:val="24"/>
          <w:szCs w:val="24"/>
          <w:lang w:val="en-GB"/>
        </w:rPr>
      </w:pPr>
      <w:r w:rsidRPr="006C09BD">
        <w:rPr>
          <w:rFonts w:cs="Arial"/>
          <w:b/>
          <w:bCs/>
          <w:sz w:val="24"/>
          <w:szCs w:val="24"/>
          <w:lang w:val="en-GB"/>
        </w:rPr>
        <w:t>Eligibility criteria</w:t>
      </w:r>
      <w:r w:rsidR="00FD52A4" w:rsidRPr="006C09BD">
        <w:rPr>
          <w:rFonts w:cs="Arial"/>
          <w:b/>
          <w:bCs/>
          <w:sz w:val="24"/>
          <w:szCs w:val="24"/>
          <w:lang w:val="en-GB"/>
        </w:rPr>
        <w:t xml:space="preserve"> for participants</w:t>
      </w:r>
      <w:r w:rsidRPr="006C09BD">
        <w:rPr>
          <w:rFonts w:cs="Arial"/>
          <w:b/>
          <w:bCs/>
          <w:sz w:val="24"/>
          <w:szCs w:val="24"/>
          <w:lang w:val="en-GB"/>
        </w:rPr>
        <w:t xml:space="preserve"> {</w:t>
      </w:r>
      <w:r w:rsidR="0004066B" w:rsidRPr="006C09BD">
        <w:rPr>
          <w:rFonts w:cs="Arial"/>
          <w:b/>
          <w:bCs/>
          <w:sz w:val="24"/>
          <w:szCs w:val="24"/>
          <w:lang w:val="en-GB"/>
        </w:rPr>
        <w:t>14a</w:t>
      </w:r>
      <w:r w:rsidRPr="006C09BD">
        <w:rPr>
          <w:rFonts w:cs="Arial"/>
          <w:b/>
          <w:bCs/>
          <w:sz w:val="24"/>
          <w:szCs w:val="24"/>
          <w:lang w:val="en-GB"/>
        </w:rPr>
        <w:t>}</w:t>
      </w:r>
    </w:p>
    <w:p w14:paraId="1FA6715B" w14:textId="687FCB3D" w:rsidR="00D23FC9" w:rsidRPr="006C09BD" w:rsidRDefault="00D23FC9" w:rsidP="00D23FC9">
      <w:pPr>
        <w:pStyle w:val="BodyA"/>
        <w:widowControl w:val="0"/>
        <w:spacing w:line="360" w:lineRule="auto"/>
        <w:rPr>
          <w:rFonts w:cs="Arial"/>
          <w:color w:val="auto"/>
          <w:u w:val="single"/>
          <w:lang w:val="en-GB"/>
        </w:rPr>
      </w:pPr>
      <w:r w:rsidRPr="006C09BD">
        <w:rPr>
          <w:rFonts w:cs="Arial"/>
          <w:color w:val="auto"/>
          <w:u w:val="single"/>
          <w:lang w:val="en-GB"/>
        </w:rPr>
        <w:t>Inclusion Criteria</w:t>
      </w:r>
    </w:p>
    <w:p w14:paraId="4F5776B7" w14:textId="77777777" w:rsidR="00D23FC9" w:rsidRPr="006C09BD" w:rsidRDefault="00D23FC9" w:rsidP="00D23FC9">
      <w:pPr>
        <w:pStyle w:val="BodyA"/>
        <w:widowControl w:val="0"/>
        <w:spacing w:line="360" w:lineRule="auto"/>
        <w:rPr>
          <w:rFonts w:cs="Arial"/>
          <w:color w:val="auto"/>
          <w:u w:color="004C7F"/>
          <w:lang w:val="en-GB"/>
        </w:rPr>
      </w:pPr>
      <w:r w:rsidRPr="006C09BD">
        <w:rPr>
          <w:rFonts w:cs="Arial"/>
          <w:color w:val="auto"/>
          <w:u w:color="004C7F"/>
          <w:lang w:val="en-GB"/>
        </w:rPr>
        <w:t>1.</w:t>
      </w:r>
      <w:r w:rsidRPr="006C09BD">
        <w:rPr>
          <w:rFonts w:cs="Arial"/>
          <w:color w:val="auto"/>
          <w:u w:color="004C7F"/>
          <w:lang w:val="en-GB"/>
        </w:rPr>
        <w:tab/>
        <w:t>Gestational age at birth less than 34+0 gestational weeks+days (up to and including 33+6 gestational weeks+days)</w:t>
      </w:r>
    </w:p>
    <w:p w14:paraId="69722F55" w14:textId="77777777" w:rsidR="00D23FC9" w:rsidRPr="006C09BD" w:rsidRDefault="00D23FC9" w:rsidP="00D23FC9">
      <w:pPr>
        <w:pStyle w:val="BodyA"/>
        <w:widowControl w:val="0"/>
        <w:spacing w:line="360" w:lineRule="auto"/>
        <w:rPr>
          <w:rFonts w:cs="Arial"/>
          <w:color w:val="auto"/>
          <w:u w:color="004C7F"/>
          <w:lang w:val="en-GB"/>
        </w:rPr>
      </w:pPr>
      <w:r w:rsidRPr="006C09BD">
        <w:rPr>
          <w:rFonts w:cs="Arial"/>
          <w:color w:val="auto"/>
          <w:u w:color="004C7F"/>
          <w:lang w:val="en-GB"/>
        </w:rPr>
        <w:t>2.</w:t>
      </w:r>
      <w:r w:rsidRPr="006C09BD">
        <w:rPr>
          <w:rFonts w:cs="Arial"/>
          <w:color w:val="auto"/>
          <w:u w:color="004C7F"/>
          <w:lang w:val="en-GB"/>
        </w:rPr>
        <w:tab/>
        <w:t>Nasogastric or orogastric tube in place</w:t>
      </w:r>
    </w:p>
    <w:p w14:paraId="5C8EBC73" w14:textId="133A340C" w:rsidR="00D23FC9" w:rsidRPr="006C09BD" w:rsidRDefault="00D23FC9" w:rsidP="00D23FC9">
      <w:pPr>
        <w:pStyle w:val="BodyA"/>
        <w:widowControl w:val="0"/>
        <w:spacing w:line="360" w:lineRule="auto"/>
        <w:rPr>
          <w:rFonts w:cs="Arial"/>
          <w:color w:val="auto"/>
          <w:u w:val="single"/>
          <w:lang w:val="en-GB"/>
        </w:rPr>
      </w:pPr>
      <w:r w:rsidRPr="006C09BD">
        <w:rPr>
          <w:rFonts w:cs="Arial"/>
          <w:color w:val="auto"/>
          <w:u w:val="single"/>
          <w:lang w:val="en-GB"/>
        </w:rPr>
        <w:t>Exclusion Criteria</w:t>
      </w:r>
    </w:p>
    <w:p w14:paraId="6AE0692F" w14:textId="7DC9130A" w:rsidR="00D23FC9" w:rsidRPr="006C09BD" w:rsidRDefault="00D23FC9" w:rsidP="00D23FC9">
      <w:pPr>
        <w:pStyle w:val="BodyA"/>
        <w:widowControl w:val="0"/>
        <w:spacing w:line="360" w:lineRule="auto"/>
        <w:rPr>
          <w:rFonts w:cs="Arial"/>
          <w:color w:val="auto"/>
          <w:u w:color="004C7F"/>
          <w:lang w:val="en-GB"/>
        </w:rPr>
      </w:pPr>
      <w:r w:rsidRPr="006C09BD">
        <w:rPr>
          <w:rFonts w:cs="Arial"/>
          <w:color w:val="auto"/>
          <w:u w:color="004C7F"/>
          <w:lang w:val="en-GB"/>
        </w:rPr>
        <w:t>1.</w:t>
      </w:r>
      <w:r w:rsidRPr="006C09BD">
        <w:rPr>
          <w:rFonts w:cs="Arial"/>
          <w:color w:val="auto"/>
          <w:u w:color="004C7F"/>
          <w:lang w:val="en-GB"/>
        </w:rPr>
        <w:tab/>
      </w:r>
      <w:r w:rsidR="000A2F7A" w:rsidRPr="006C09BD">
        <w:rPr>
          <w:rFonts w:cs="Arial"/>
          <w:color w:val="auto"/>
          <w:u w:color="004C7F"/>
          <w:lang w:val="en-GB"/>
        </w:rPr>
        <w:t>Infant</w:t>
      </w:r>
      <w:r w:rsidR="007A07AB" w:rsidRPr="006C09BD">
        <w:rPr>
          <w:rFonts w:cs="Arial"/>
          <w:color w:val="auto"/>
          <w:u w:color="004C7F"/>
          <w:lang w:val="en-GB"/>
        </w:rPr>
        <w:t xml:space="preserve"> </w:t>
      </w:r>
      <w:r w:rsidRPr="006C09BD">
        <w:rPr>
          <w:rFonts w:cs="Arial"/>
          <w:color w:val="auto"/>
          <w:u w:color="004C7F"/>
          <w:lang w:val="en-GB"/>
        </w:rPr>
        <w:t>has received more than 15 ml/kg/day of milk for more than 24 hours</w:t>
      </w:r>
    </w:p>
    <w:p w14:paraId="3E300F02" w14:textId="7501D213" w:rsidR="00D23FC9" w:rsidRPr="006C09BD" w:rsidRDefault="00D23FC9" w:rsidP="00D23FC9">
      <w:pPr>
        <w:pStyle w:val="BodyA"/>
        <w:widowControl w:val="0"/>
        <w:spacing w:line="360" w:lineRule="auto"/>
        <w:rPr>
          <w:rFonts w:cs="Arial"/>
          <w:color w:val="auto"/>
          <w:u w:color="004C7F"/>
          <w:lang w:val="en-GB"/>
        </w:rPr>
      </w:pPr>
      <w:r w:rsidRPr="006C09BD">
        <w:rPr>
          <w:rFonts w:cs="Arial"/>
          <w:color w:val="auto"/>
          <w:u w:color="004C7F"/>
          <w:lang w:val="en-GB"/>
        </w:rPr>
        <w:t>2.</w:t>
      </w:r>
      <w:r w:rsidRPr="006C09BD">
        <w:rPr>
          <w:rFonts w:cs="Arial"/>
          <w:color w:val="auto"/>
          <w:u w:color="004C7F"/>
          <w:lang w:val="en-GB"/>
        </w:rPr>
        <w:tab/>
        <w:t xml:space="preserve">Gastrointestinal surgical condition (including suspected </w:t>
      </w:r>
      <w:r w:rsidR="00FE1312" w:rsidRPr="006C09BD">
        <w:rPr>
          <w:rFonts w:cs="Arial"/>
          <w:color w:val="auto"/>
          <w:u w:color="004C7F"/>
          <w:lang w:val="en-GB"/>
        </w:rPr>
        <w:t>NEC</w:t>
      </w:r>
      <w:r w:rsidRPr="006C09BD">
        <w:rPr>
          <w:rFonts w:cs="Arial"/>
          <w:color w:val="auto"/>
          <w:u w:color="004C7F"/>
          <w:lang w:val="en-GB"/>
        </w:rPr>
        <w:t xml:space="preserve"> and focal intestinal perforation) prior to randomisation</w:t>
      </w:r>
    </w:p>
    <w:p w14:paraId="54BC9EF6" w14:textId="77777777" w:rsidR="00D23FC9" w:rsidRPr="006C09BD" w:rsidRDefault="00D23FC9" w:rsidP="00D23FC9">
      <w:pPr>
        <w:pStyle w:val="BodyA"/>
        <w:widowControl w:val="0"/>
        <w:spacing w:line="360" w:lineRule="auto"/>
        <w:rPr>
          <w:rFonts w:cs="Arial"/>
          <w:color w:val="auto"/>
          <w:u w:color="004C7F"/>
          <w:lang w:val="en-GB"/>
        </w:rPr>
      </w:pPr>
      <w:r w:rsidRPr="006C09BD">
        <w:rPr>
          <w:rFonts w:cs="Arial"/>
          <w:color w:val="auto"/>
          <w:u w:color="004C7F"/>
          <w:lang w:val="en-GB"/>
        </w:rPr>
        <w:t>3.</w:t>
      </w:r>
      <w:r w:rsidRPr="006C09BD">
        <w:rPr>
          <w:rFonts w:cs="Arial"/>
          <w:color w:val="auto"/>
          <w:u w:color="004C7F"/>
          <w:lang w:val="en-GB"/>
        </w:rPr>
        <w:tab/>
        <w:t>Major congenital abnormalities</w:t>
      </w:r>
    </w:p>
    <w:p w14:paraId="632B1809" w14:textId="77777777" w:rsidR="00D23FC9" w:rsidRPr="006C09BD" w:rsidRDefault="00D23FC9" w:rsidP="00D23FC9">
      <w:pPr>
        <w:pStyle w:val="BodyA"/>
        <w:widowControl w:val="0"/>
        <w:spacing w:line="360" w:lineRule="auto"/>
        <w:rPr>
          <w:rFonts w:cs="Arial"/>
          <w:color w:val="auto"/>
          <w:u w:color="004C7F"/>
          <w:lang w:val="en-GB"/>
        </w:rPr>
      </w:pPr>
      <w:r w:rsidRPr="006C09BD">
        <w:rPr>
          <w:rFonts w:cs="Arial"/>
          <w:color w:val="auto"/>
          <w:u w:color="004C7F"/>
          <w:lang w:val="en-GB"/>
        </w:rPr>
        <w:t>4.</w:t>
      </w:r>
      <w:r w:rsidRPr="006C09BD">
        <w:rPr>
          <w:rFonts w:cs="Arial"/>
          <w:color w:val="auto"/>
          <w:u w:color="004C7F"/>
          <w:lang w:val="en-GB"/>
        </w:rPr>
        <w:tab/>
        <w:t>No realistic prospect of survival</w:t>
      </w:r>
    </w:p>
    <w:p w14:paraId="7DA31004" w14:textId="3BA3C359" w:rsidR="00D23FC9" w:rsidRPr="006C09BD" w:rsidRDefault="00D23FC9" w:rsidP="00D23FC9">
      <w:pPr>
        <w:pStyle w:val="BodyA"/>
        <w:widowControl w:val="0"/>
        <w:spacing w:line="360" w:lineRule="auto"/>
        <w:rPr>
          <w:rFonts w:cs="Arial"/>
          <w:color w:val="auto"/>
          <w:u w:color="004C7F"/>
          <w:lang w:val="en-GB"/>
        </w:rPr>
      </w:pPr>
      <w:r w:rsidRPr="006C09BD">
        <w:rPr>
          <w:rFonts w:cs="Arial"/>
          <w:color w:val="auto"/>
          <w:u w:color="004C7F"/>
          <w:lang w:val="en-GB"/>
        </w:rPr>
        <w:t>5.</w:t>
      </w:r>
      <w:r w:rsidRPr="006C09BD">
        <w:rPr>
          <w:rFonts w:cs="Arial"/>
          <w:color w:val="auto"/>
          <w:u w:color="004C7F"/>
          <w:lang w:val="en-GB"/>
        </w:rPr>
        <w:tab/>
        <w:t xml:space="preserve">A parent has opted out of </w:t>
      </w:r>
      <w:r w:rsidR="000A2F7A" w:rsidRPr="006C09BD">
        <w:rPr>
          <w:rFonts w:cs="Arial"/>
          <w:color w:val="auto"/>
          <w:u w:color="004C7F"/>
          <w:lang w:val="en-GB"/>
        </w:rPr>
        <w:t>infant</w:t>
      </w:r>
      <w:r w:rsidRPr="006C09BD">
        <w:rPr>
          <w:rFonts w:cs="Arial"/>
          <w:color w:val="auto"/>
          <w:u w:color="004C7F"/>
          <w:lang w:val="en-GB"/>
        </w:rPr>
        <w:t>’s participation in neoGASTRIC</w:t>
      </w:r>
    </w:p>
    <w:p w14:paraId="087E27E8" w14:textId="77777777" w:rsidR="00E050D3" w:rsidRPr="006C09BD" w:rsidRDefault="00E050D3" w:rsidP="00D23FC9">
      <w:pPr>
        <w:pStyle w:val="BodyA"/>
        <w:widowControl w:val="0"/>
        <w:spacing w:line="360" w:lineRule="auto"/>
        <w:rPr>
          <w:rFonts w:cs="Arial"/>
          <w:color w:val="auto"/>
          <w:u w:color="004C7F"/>
          <w:lang w:val="en-GB"/>
        </w:rPr>
      </w:pPr>
    </w:p>
    <w:p w14:paraId="2A86986A" w14:textId="25D1EA2F" w:rsidR="0050292B" w:rsidRPr="006C09BD" w:rsidRDefault="00D35E58">
      <w:pPr>
        <w:pStyle w:val="BodyA"/>
        <w:widowControl w:val="0"/>
        <w:spacing w:line="360" w:lineRule="auto"/>
        <w:rPr>
          <w:rFonts w:cs="Arial"/>
          <w:lang w:val="en-GB"/>
        </w:rPr>
      </w:pPr>
      <w:r w:rsidRPr="006C09BD">
        <w:rPr>
          <w:rFonts w:cs="Arial"/>
          <w:lang w:val="en-GB"/>
        </w:rPr>
        <w:t xml:space="preserve">Infants enrolled in other interventional studies are eligible for participation in the neoGASTRIC trial wherever </w:t>
      </w:r>
      <w:r w:rsidR="00F92419" w:rsidRPr="006C09BD">
        <w:rPr>
          <w:rFonts w:cs="Arial"/>
          <w:lang w:val="en-GB"/>
        </w:rPr>
        <w:t>this is</w:t>
      </w:r>
      <w:r w:rsidRPr="006C09BD">
        <w:rPr>
          <w:rFonts w:cs="Arial"/>
          <w:lang w:val="en-GB"/>
        </w:rPr>
        <w:t xml:space="preserve"> possible, to be confirmed for individual trials.</w:t>
      </w:r>
    </w:p>
    <w:p w14:paraId="0111E173" w14:textId="77777777" w:rsidR="00FD52A4" w:rsidRPr="006C09BD" w:rsidRDefault="00FD52A4">
      <w:pPr>
        <w:pStyle w:val="BodyA"/>
        <w:widowControl w:val="0"/>
        <w:spacing w:line="360" w:lineRule="auto"/>
        <w:rPr>
          <w:rFonts w:cs="Arial"/>
          <w:lang w:val="en-GB"/>
        </w:rPr>
      </w:pPr>
    </w:p>
    <w:p w14:paraId="44F27DD3" w14:textId="7A5F1E36" w:rsidR="00FD52A4" w:rsidRPr="006C09BD" w:rsidRDefault="00FD52A4" w:rsidP="00FD52A4">
      <w:pPr>
        <w:pStyle w:val="BodyA"/>
        <w:widowControl w:val="0"/>
        <w:spacing w:line="360" w:lineRule="auto"/>
        <w:rPr>
          <w:rFonts w:cs="Arial"/>
          <w:b/>
          <w:bCs/>
          <w:sz w:val="24"/>
          <w:szCs w:val="24"/>
          <w:lang w:val="en-GB"/>
        </w:rPr>
      </w:pPr>
      <w:r w:rsidRPr="006C09BD">
        <w:rPr>
          <w:rFonts w:cs="Arial"/>
          <w:b/>
          <w:bCs/>
          <w:sz w:val="24"/>
          <w:szCs w:val="24"/>
          <w:lang w:val="en-GB"/>
        </w:rPr>
        <w:t>Eligibility criteria for sites and those delivering interventions {14a}</w:t>
      </w:r>
    </w:p>
    <w:p w14:paraId="13AF3E37" w14:textId="7694CB5A" w:rsidR="00FD52A4" w:rsidRPr="006C09BD" w:rsidRDefault="002E0018">
      <w:pPr>
        <w:pStyle w:val="BodyA"/>
        <w:widowControl w:val="0"/>
        <w:spacing w:line="360" w:lineRule="auto"/>
        <w:rPr>
          <w:rStyle w:val="NoneA"/>
          <w:rFonts w:cs="Arial"/>
          <w:lang w:val="en-GB"/>
        </w:rPr>
      </w:pPr>
      <w:r w:rsidRPr="006C09BD">
        <w:rPr>
          <w:rStyle w:val="NoneA"/>
          <w:rFonts w:cs="Arial"/>
          <w:lang w:val="en-GB"/>
        </w:rPr>
        <w:t xml:space="preserve">National Health Service (NHS) </w:t>
      </w:r>
      <w:r w:rsidR="00E83DEC" w:rsidRPr="006C09BD">
        <w:rPr>
          <w:rStyle w:val="NoneA"/>
          <w:rFonts w:cs="Arial"/>
          <w:lang w:val="en-GB"/>
        </w:rPr>
        <w:t>Neonatal Intensive Care Units (NICUs), Local Neonatal Units (LNUs) and Special Care Baby Units (SCBUs) in the United Kingdom</w:t>
      </w:r>
      <w:r w:rsidRPr="006C09BD">
        <w:rPr>
          <w:rStyle w:val="NoneA"/>
          <w:rFonts w:cs="Arial"/>
          <w:lang w:val="en-GB"/>
        </w:rPr>
        <w:t>;</w:t>
      </w:r>
      <w:r w:rsidR="00E83DEC" w:rsidRPr="006C09BD">
        <w:rPr>
          <w:rStyle w:val="NoneA"/>
          <w:rFonts w:cs="Arial"/>
          <w:lang w:val="en-GB"/>
        </w:rPr>
        <w:t xml:space="preserve"> tertiary NICUs in Australia</w:t>
      </w:r>
      <w:r w:rsidRPr="006C09BD">
        <w:rPr>
          <w:rStyle w:val="NoneA"/>
          <w:rFonts w:cs="Arial"/>
          <w:lang w:val="en-GB"/>
        </w:rPr>
        <w:t>.</w:t>
      </w:r>
    </w:p>
    <w:p w14:paraId="6C70FF4D" w14:textId="77777777" w:rsidR="00E83DEC" w:rsidRPr="006C09BD" w:rsidRDefault="00E83DEC">
      <w:pPr>
        <w:pStyle w:val="BodyA"/>
        <w:widowControl w:val="0"/>
        <w:spacing w:line="360" w:lineRule="auto"/>
        <w:rPr>
          <w:rStyle w:val="NoneA"/>
          <w:rFonts w:cs="Arial"/>
          <w:sz w:val="24"/>
          <w:szCs w:val="24"/>
          <w:lang w:val="en-GB"/>
        </w:rPr>
      </w:pPr>
    </w:p>
    <w:p w14:paraId="0891F0AE" w14:textId="3AC80ABB" w:rsidR="0050292B" w:rsidRPr="006C09BD" w:rsidRDefault="00551CF0">
      <w:pPr>
        <w:pStyle w:val="BodyA"/>
        <w:widowControl w:val="0"/>
        <w:spacing w:line="360" w:lineRule="auto"/>
        <w:rPr>
          <w:rFonts w:cs="Arial"/>
          <w:b/>
          <w:bCs/>
          <w:sz w:val="24"/>
          <w:szCs w:val="24"/>
          <w:lang w:val="en-GB"/>
        </w:rPr>
      </w:pPr>
      <w:r w:rsidRPr="006C09BD">
        <w:rPr>
          <w:rFonts w:cs="Arial"/>
          <w:b/>
          <w:bCs/>
          <w:sz w:val="24"/>
          <w:szCs w:val="24"/>
          <w:lang w:val="en-GB"/>
        </w:rPr>
        <w:t>Who will take informed consent? {</w:t>
      </w:r>
      <w:r w:rsidR="003079CF" w:rsidRPr="006C09BD">
        <w:rPr>
          <w:rFonts w:cs="Arial"/>
          <w:b/>
          <w:bCs/>
          <w:sz w:val="24"/>
          <w:szCs w:val="24"/>
          <w:lang w:val="en-GB"/>
        </w:rPr>
        <w:t>32</w:t>
      </w:r>
      <w:r w:rsidRPr="006C09BD">
        <w:rPr>
          <w:rFonts w:cs="Arial"/>
          <w:b/>
          <w:bCs/>
          <w:sz w:val="24"/>
          <w:szCs w:val="24"/>
          <w:lang w:val="en-GB"/>
        </w:rPr>
        <w:t>a}</w:t>
      </w:r>
    </w:p>
    <w:p w14:paraId="3557EC1A" w14:textId="7CD24C7B" w:rsidR="00D23FC9" w:rsidRPr="006C09BD" w:rsidRDefault="00D23FC9" w:rsidP="00D23FC9">
      <w:pPr>
        <w:pStyle w:val="BodyA"/>
        <w:widowControl w:val="0"/>
        <w:spacing w:line="360" w:lineRule="auto"/>
        <w:rPr>
          <w:rFonts w:cs="Arial"/>
          <w:color w:val="auto"/>
          <w:u w:color="004C7F"/>
          <w:lang w:val="en-GB"/>
        </w:rPr>
      </w:pPr>
      <w:r w:rsidRPr="006C09BD">
        <w:rPr>
          <w:rFonts w:cs="Arial"/>
          <w:color w:val="auto"/>
          <w:u w:color="004C7F"/>
          <w:lang w:val="en-GB"/>
        </w:rPr>
        <w:t xml:space="preserve">In UK and Australian units potential participants meeting the eligibility criteria will be identified by </w:t>
      </w:r>
      <w:r w:rsidR="004E5CEC" w:rsidRPr="006C09BD">
        <w:rPr>
          <w:rFonts w:cs="Arial"/>
          <w:color w:val="auto"/>
          <w:u w:color="004C7F"/>
          <w:lang w:val="en-GB"/>
        </w:rPr>
        <w:t>appropriately trained and experienced neonatal doctors and nurses</w:t>
      </w:r>
      <w:r w:rsidR="007242F4" w:rsidRPr="006C09BD">
        <w:rPr>
          <w:rFonts w:cs="Arial"/>
          <w:color w:val="auto"/>
          <w:u w:color="004C7F"/>
          <w:lang w:val="en-GB"/>
        </w:rPr>
        <w:t xml:space="preserve"> either</w:t>
      </w:r>
      <w:r w:rsidR="004E5CEC" w:rsidRPr="006C09BD">
        <w:rPr>
          <w:rFonts w:cs="Arial"/>
          <w:color w:val="auto"/>
          <w:u w:color="004C7F"/>
          <w:lang w:val="en-GB"/>
        </w:rPr>
        <w:t xml:space="preserve"> before or </w:t>
      </w:r>
      <w:r w:rsidRPr="006C09BD">
        <w:rPr>
          <w:rFonts w:cs="Arial"/>
          <w:color w:val="auto"/>
          <w:u w:color="004C7F"/>
          <w:lang w:val="en-GB"/>
        </w:rPr>
        <w:t>after admission.</w:t>
      </w:r>
      <w:r w:rsidR="004E5CEC" w:rsidRPr="006C09BD">
        <w:rPr>
          <w:rFonts w:cs="Arial"/>
          <w:color w:val="auto"/>
          <w:u w:color="004C7F"/>
          <w:lang w:val="en-GB"/>
        </w:rPr>
        <w:t xml:space="preserve"> The neoGASTRIC trial will use an opt-out approach to consent</w:t>
      </w:r>
      <w:r w:rsidR="00FB1581" w:rsidRPr="006C09BD">
        <w:rPr>
          <w:rFonts w:cs="Arial"/>
          <w:noProof/>
          <w:color w:val="auto"/>
          <w:u w:color="004C7F"/>
          <w:lang w:val="en-GB"/>
        </w:rPr>
        <w:t xml:space="preserve"> [16]</w:t>
      </w:r>
      <w:r w:rsidR="004E5CEC" w:rsidRPr="006C09BD">
        <w:rPr>
          <w:rFonts w:cs="Arial"/>
          <w:color w:val="auto"/>
          <w:u w:color="004C7F"/>
          <w:lang w:val="en-GB"/>
        </w:rPr>
        <w:t>. Parents or carers will be informed about neoGASTRIC through posters, a leaflet and electronic media</w:t>
      </w:r>
      <w:r w:rsidR="006703FF" w:rsidRPr="006C09BD">
        <w:rPr>
          <w:rFonts w:cs="Arial"/>
          <w:color w:val="auto"/>
          <w:u w:color="004C7F"/>
          <w:lang w:val="en-GB"/>
        </w:rPr>
        <w:t>,</w:t>
      </w:r>
      <w:r w:rsidR="004E5CEC" w:rsidRPr="006C09BD">
        <w:rPr>
          <w:rFonts w:cs="Arial"/>
          <w:color w:val="auto"/>
          <w:u w:color="004C7F"/>
          <w:lang w:val="en-GB"/>
        </w:rPr>
        <w:t xml:space="preserve"> </w:t>
      </w:r>
      <w:r w:rsidR="006703FF" w:rsidRPr="006C09BD">
        <w:rPr>
          <w:rFonts w:cs="Arial"/>
          <w:color w:val="auto"/>
          <w:u w:color="004C7F"/>
          <w:lang w:val="en-GB"/>
        </w:rPr>
        <w:t xml:space="preserve">provided </w:t>
      </w:r>
      <w:r w:rsidR="004E5CEC" w:rsidRPr="006C09BD">
        <w:rPr>
          <w:rFonts w:cs="Arial"/>
          <w:color w:val="auto"/>
          <w:u w:color="004C7F"/>
          <w:lang w:val="en-GB"/>
        </w:rPr>
        <w:t xml:space="preserve">when their </w:t>
      </w:r>
      <w:r w:rsidR="000A2F7A" w:rsidRPr="006C09BD">
        <w:rPr>
          <w:rFonts w:cs="Arial"/>
          <w:color w:val="auto"/>
          <w:u w:color="004C7F"/>
          <w:lang w:val="en-GB"/>
        </w:rPr>
        <w:t>infant</w:t>
      </w:r>
      <w:r w:rsidR="004E5CEC" w:rsidRPr="006C09BD">
        <w:rPr>
          <w:rFonts w:cs="Arial"/>
          <w:color w:val="auto"/>
          <w:u w:color="004C7F"/>
          <w:lang w:val="en-GB"/>
        </w:rPr>
        <w:t xml:space="preserve"> is admitted to the neonatal uni</w:t>
      </w:r>
      <w:r w:rsidR="00D35E58" w:rsidRPr="006C09BD">
        <w:rPr>
          <w:rFonts w:cs="Arial"/>
          <w:color w:val="auto"/>
          <w:u w:color="004C7F"/>
          <w:lang w:val="en-GB"/>
        </w:rPr>
        <w:t>t and</w:t>
      </w:r>
      <w:r w:rsidR="004E5CEC" w:rsidRPr="006C09BD">
        <w:rPr>
          <w:rFonts w:cs="Arial"/>
          <w:color w:val="auto"/>
          <w:u w:color="004C7F"/>
          <w:lang w:val="en-GB"/>
        </w:rPr>
        <w:t xml:space="preserve"> prior to randomisation. After this information is made available, </w:t>
      </w:r>
      <w:r w:rsidR="002A35BF" w:rsidRPr="006C09BD">
        <w:rPr>
          <w:rFonts w:cs="Arial"/>
          <w:lang w:val="en-GB"/>
        </w:rPr>
        <w:t>infants</w:t>
      </w:r>
      <w:r w:rsidR="004E5CEC" w:rsidRPr="006C09BD">
        <w:rPr>
          <w:rFonts w:cs="Arial"/>
          <w:color w:val="auto"/>
          <w:u w:color="004C7F"/>
          <w:lang w:val="en-GB"/>
        </w:rPr>
        <w:t xml:space="preserve"> meeting the eligibility criteria will automatically be included in the trial. Parents will have the option to opt out </w:t>
      </w:r>
      <w:r w:rsidR="00823404" w:rsidRPr="006C09BD">
        <w:rPr>
          <w:rFonts w:cs="Arial"/>
          <w:color w:val="auto"/>
          <w:u w:color="004C7F"/>
          <w:lang w:val="en-GB"/>
        </w:rPr>
        <w:t xml:space="preserve">prior to randomisation </w:t>
      </w:r>
      <w:r w:rsidR="004E5CEC" w:rsidRPr="006C09BD">
        <w:rPr>
          <w:rFonts w:cs="Arial"/>
          <w:color w:val="auto"/>
          <w:u w:color="004C7F"/>
          <w:lang w:val="en-GB"/>
        </w:rPr>
        <w:t>if they do not w</w:t>
      </w:r>
      <w:r w:rsidR="006703FF" w:rsidRPr="006C09BD">
        <w:rPr>
          <w:rFonts w:cs="Arial"/>
          <w:color w:val="auto"/>
          <w:u w:color="004C7F"/>
          <w:lang w:val="en-GB"/>
        </w:rPr>
        <w:t>ish</w:t>
      </w:r>
      <w:r w:rsidR="004E5CEC" w:rsidRPr="006C09BD">
        <w:rPr>
          <w:rFonts w:cs="Arial"/>
          <w:color w:val="auto"/>
          <w:u w:color="004C7F"/>
          <w:lang w:val="en-GB"/>
        </w:rPr>
        <w:t xml:space="preserve"> their </w:t>
      </w:r>
      <w:r w:rsidR="000A2F7A" w:rsidRPr="006C09BD">
        <w:rPr>
          <w:rFonts w:cs="Arial"/>
          <w:color w:val="auto"/>
          <w:u w:color="004C7F"/>
          <w:lang w:val="en-GB"/>
        </w:rPr>
        <w:t xml:space="preserve">infant </w:t>
      </w:r>
      <w:r w:rsidR="00E050D3" w:rsidRPr="006C09BD">
        <w:rPr>
          <w:rFonts w:cs="Arial"/>
          <w:color w:val="auto"/>
          <w:u w:color="004C7F"/>
          <w:lang w:val="en-GB"/>
        </w:rPr>
        <w:t xml:space="preserve">to be </w:t>
      </w:r>
      <w:r w:rsidR="00823404" w:rsidRPr="006C09BD">
        <w:rPr>
          <w:rFonts w:cs="Arial"/>
          <w:color w:val="auto"/>
          <w:u w:color="004C7F"/>
          <w:lang w:val="en-GB"/>
        </w:rPr>
        <w:t xml:space="preserve">included </w:t>
      </w:r>
      <w:r w:rsidR="004E5CEC" w:rsidRPr="006C09BD">
        <w:rPr>
          <w:rFonts w:cs="Arial"/>
          <w:color w:val="auto"/>
          <w:u w:color="004C7F"/>
          <w:lang w:val="en-GB"/>
        </w:rPr>
        <w:t xml:space="preserve">in the trial. They will </w:t>
      </w:r>
      <w:r w:rsidR="00EC03DC" w:rsidRPr="006C09BD">
        <w:rPr>
          <w:rFonts w:cs="Arial"/>
          <w:color w:val="auto"/>
          <w:u w:color="004C7F"/>
          <w:lang w:val="en-GB"/>
        </w:rPr>
        <w:t xml:space="preserve">almost always </w:t>
      </w:r>
      <w:r w:rsidR="004E5CEC" w:rsidRPr="006C09BD">
        <w:rPr>
          <w:rFonts w:cs="Arial"/>
          <w:color w:val="auto"/>
          <w:u w:color="004C7F"/>
          <w:lang w:val="en-GB"/>
        </w:rPr>
        <w:t>have at least 24</w:t>
      </w:r>
      <w:r w:rsidR="0078461D" w:rsidRPr="006C09BD">
        <w:rPr>
          <w:rFonts w:cs="Arial"/>
          <w:lang w:val="en-GB"/>
        </w:rPr>
        <w:t>–</w:t>
      </w:r>
      <w:r w:rsidR="004E5CEC" w:rsidRPr="006C09BD">
        <w:rPr>
          <w:rFonts w:cs="Arial"/>
          <w:color w:val="auto"/>
          <w:u w:color="004C7F"/>
          <w:lang w:val="en-GB"/>
        </w:rPr>
        <w:t xml:space="preserve">48 hours to do this, and in many </w:t>
      </w:r>
      <w:r w:rsidR="002C0C34" w:rsidRPr="006C09BD">
        <w:rPr>
          <w:rFonts w:cs="Arial"/>
          <w:color w:val="auto"/>
          <w:u w:color="004C7F"/>
          <w:lang w:val="en-GB"/>
        </w:rPr>
        <w:t>cases,</w:t>
      </w:r>
      <w:r w:rsidR="00EC03DC" w:rsidRPr="006C09BD">
        <w:rPr>
          <w:rFonts w:cs="Arial"/>
          <w:color w:val="auto"/>
          <w:u w:color="004C7F"/>
          <w:lang w:val="en-GB"/>
        </w:rPr>
        <w:t xml:space="preserve"> they will have</w:t>
      </w:r>
      <w:r w:rsidR="004E5CEC" w:rsidRPr="006C09BD">
        <w:rPr>
          <w:rFonts w:cs="Arial"/>
          <w:color w:val="auto"/>
          <w:u w:color="004C7F"/>
          <w:lang w:val="en-GB"/>
        </w:rPr>
        <w:t xml:space="preserve"> </w:t>
      </w:r>
      <w:r w:rsidR="00823404" w:rsidRPr="006C09BD">
        <w:rPr>
          <w:rFonts w:cs="Arial"/>
          <w:color w:val="auto"/>
          <w:u w:color="004C7F"/>
          <w:lang w:val="en-GB"/>
        </w:rPr>
        <w:t>substantially</w:t>
      </w:r>
      <w:r w:rsidR="004E5CEC" w:rsidRPr="006C09BD">
        <w:rPr>
          <w:rFonts w:cs="Arial"/>
          <w:color w:val="auto"/>
          <w:u w:color="004C7F"/>
          <w:lang w:val="en-GB"/>
        </w:rPr>
        <w:t xml:space="preserve"> longer (</w:t>
      </w:r>
      <w:r w:rsidR="00823404" w:rsidRPr="006C09BD">
        <w:rPr>
          <w:rFonts w:cs="Arial"/>
          <w:color w:val="auto"/>
          <w:u w:color="004C7F"/>
          <w:lang w:val="en-GB"/>
        </w:rPr>
        <w:t>considering the time taken</w:t>
      </w:r>
      <w:r w:rsidR="004E5CEC" w:rsidRPr="006C09BD">
        <w:rPr>
          <w:rFonts w:cs="Arial"/>
          <w:color w:val="auto"/>
          <w:u w:color="004C7F"/>
          <w:lang w:val="en-GB"/>
        </w:rPr>
        <w:t xml:space="preserve"> to </w:t>
      </w:r>
      <w:r w:rsidR="00395E01" w:rsidRPr="006C09BD">
        <w:rPr>
          <w:rFonts w:cs="Arial"/>
          <w:color w:val="auto"/>
          <w:u w:color="004C7F"/>
          <w:lang w:val="en-GB"/>
        </w:rPr>
        <w:t xml:space="preserve">reach </w:t>
      </w:r>
      <w:r w:rsidR="004E5CEC" w:rsidRPr="006C09BD">
        <w:rPr>
          <w:rFonts w:cs="Arial"/>
          <w:color w:val="auto"/>
          <w:u w:color="004C7F"/>
          <w:lang w:val="en-GB"/>
        </w:rPr>
        <w:t xml:space="preserve">feeds </w:t>
      </w:r>
      <w:r w:rsidR="00395E01" w:rsidRPr="006C09BD">
        <w:rPr>
          <w:rFonts w:cs="Arial"/>
          <w:color w:val="auto"/>
          <w:u w:color="004C7F"/>
          <w:lang w:val="en-GB"/>
        </w:rPr>
        <w:t xml:space="preserve">greater than </w:t>
      </w:r>
      <w:r w:rsidR="004E5CEC" w:rsidRPr="006C09BD">
        <w:rPr>
          <w:rFonts w:cs="Arial"/>
          <w:color w:val="auto"/>
          <w:u w:color="004C7F"/>
          <w:lang w:val="en-GB"/>
        </w:rPr>
        <w:t xml:space="preserve">15 ml/kg/day in many neonatal units). They will also be able to </w:t>
      </w:r>
      <w:r w:rsidR="002C0C34" w:rsidRPr="006C09BD">
        <w:rPr>
          <w:rFonts w:cs="Arial"/>
          <w:color w:val="auto"/>
          <w:u w:color="004C7F"/>
          <w:lang w:val="en-GB"/>
        </w:rPr>
        <w:t xml:space="preserve">withdraw from the </w:t>
      </w:r>
      <w:r w:rsidR="004E5CEC" w:rsidRPr="006C09BD">
        <w:rPr>
          <w:rFonts w:cs="Arial"/>
          <w:color w:val="auto"/>
          <w:u w:color="004C7F"/>
          <w:lang w:val="en-GB"/>
        </w:rPr>
        <w:t xml:space="preserve">study at any point after their </w:t>
      </w:r>
      <w:r w:rsidR="000A2F7A" w:rsidRPr="006C09BD">
        <w:rPr>
          <w:rFonts w:cs="Arial"/>
          <w:color w:val="auto"/>
          <w:u w:color="004C7F"/>
          <w:lang w:val="en-GB"/>
        </w:rPr>
        <w:t>infant</w:t>
      </w:r>
      <w:r w:rsidR="004E5CEC" w:rsidRPr="006C09BD">
        <w:rPr>
          <w:rFonts w:cs="Arial"/>
          <w:color w:val="auto"/>
          <w:u w:color="004C7F"/>
          <w:lang w:val="en-GB"/>
        </w:rPr>
        <w:t xml:space="preserve"> is randomised. The opt-out nature of neoGASTRIC means that there will not be a signed consent form.</w:t>
      </w:r>
    </w:p>
    <w:p w14:paraId="0A65F9CC" w14:textId="77777777" w:rsidR="004E5CEC" w:rsidRPr="006C09BD" w:rsidRDefault="004E5CEC" w:rsidP="00D23FC9">
      <w:pPr>
        <w:pStyle w:val="BodyA"/>
        <w:widowControl w:val="0"/>
        <w:spacing w:line="360" w:lineRule="auto"/>
        <w:rPr>
          <w:rFonts w:cs="Arial"/>
          <w:color w:val="006600"/>
          <w:u w:color="004C7F"/>
          <w:lang w:val="en-GB"/>
        </w:rPr>
      </w:pPr>
    </w:p>
    <w:p w14:paraId="77AC2F66" w14:textId="2750776F" w:rsidR="0050292B" w:rsidRPr="006C09BD" w:rsidRDefault="00551CF0">
      <w:pPr>
        <w:pStyle w:val="BodyA"/>
        <w:widowControl w:val="0"/>
        <w:spacing w:line="360" w:lineRule="auto"/>
        <w:rPr>
          <w:rFonts w:cs="Arial"/>
          <w:b/>
          <w:bCs/>
          <w:lang w:val="en-GB"/>
        </w:rPr>
      </w:pPr>
      <w:r w:rsidRPr="006C09BD">
        <w:rPr>
          <w:rFonts w:cs="Arial"/>
          <w:b/>
          <w:bCs/>
          <w:lang w:val="en-GB"/>
        </w:rPr>
        <w:t>Additional consent provisions for collection and use of participant data and biological specimens {</w:t>
      </w:r>
      <w:r w:rsidR="003079CF" w:rsidRPr="006C09BD">
        <w:rPr>
          <w:rFonts w:cs="Arial"/>
          <w:b/>
          <w:bCs/>
          <w:lang w:val="en-GB"/>
        </w:rPr>
        <w:t>32</w:t>
      </w:r>
      <w:r w:rsidRPr="006C09BD">
        <w:rPr>
          <w:rFonts w:cs="Arial"/>
          <w:b/>
          <w:bCs/>
          <w:lang w:val="en-GB"/>
        </w:rPr>
        <w:t>b}</w:t>
      </w:r>
    </w:p>
    <w:p w14:paraId="23A36147" w14:textId="130798B3" w:rsidR="0050292B" w:rsidRPr="006C09BD" w:rsidRDefault="004E5CEC">
      <w:pPr>
        <w:pStyle w:val="BodyA"/>
        <w:widowControl w:val="0"/>
        <w:spacing w:line="360" w:lineRule="auto"/>
        <w:rPr>
          <w:rFonts w:cs="Arial"/>
          <w:color w:val="auto"/>
          <w:u w:color="004C7F"/>
          <w:lang w:val="en-GB"/>
        </w:rPr>
      </w:pPr>
      <w:r w:rsidRPr="006C09BD">
        <w:rPr>
          <w:rFonts w:cs="Arial"/>
          <w:color w:val="auto"/>
          <w:u w:color="004C7F"/>
          <w:lang w:val="en-GB"/>
        </w:rPr>
        <w:t>Using the same opt</w:t>
      </w:r>
      <w:r w:rsidR="0078461D" w:rsidRPr="006C09BD">
        <w:rPr>
          <w:rFonts w:cs="Arial"/>
          <w:color w:val="auto"/>
          <w:u w:color="004C7F"/>
          <w:lang w:val="en-GB"/>
        </w:rPr>
        <w:t>-</w:t>
      </w:r>
      <w:r w:rsidRPr="006C09BD">
        <w:rPr>
          <w:rFonts w:cs="Arial"/>
          <w:color w:val="auto"/>
          <w:u w:color="004C7F"/>
          <w:lang w:val="en-GB"/>
        </w:rPr>
        <w:t xml:space="preserve">out process, consent will be obtained for linkage to and use of routinely recorded clinical </w:t>
      </w:r>
      <w:r w:rsidRPr="006C09BD">
        <w:rPr>
          <w:rFonts w:cs="Arial"/>
          <w:color w:val="auto"/>
          <w:u w:color="004C7F"/>
          <w:lang w:val="en-GB"/>
        </w:rPr>
        <w:lastRenderedPageBreak/>
        <w:t>data for trial purposes. No biological specimens are to be collected.</w:t>
      </w:r>
    </w:p>
    <w:p w14:paraId="4DD7B922" w14:textId="77777777" w:rsidR="0050292B" w:rsidRPr="006C09BD" w:rsidRDefault="0050292B">
      <w:pPr>
        <w:pStyle w:val="BodyA"/>
        <w:widowControl w:val="0"/>
        <w:spacing w:line="360" w:lineRule="auto"/>
        <w:rPr>
          <w:rFonts w:cs="Arial"/>
          <w:b/>
          <w:bCs/>
          <w:lang w:val="en-GB"/>
        </w:rPr>
      </w:pPr>
    </w:p>
    <w:p w14:paraId="67E62D1C" w14:textId="454A305C" w:rsidR="0050292B" w:rsidRPr="006C09BD" w:rsidRDefault="00551CF0">
      <w:pPr>
        <w:pStyle w:val="BodyA"/>
        <w:widowControl w:val="0"/>
        <w:spacing w:line="360" w:lineRule="auto"/>
        <w:rPr>
          <w:rFonts w:cs="Arial"/>
          <w:b/>
          <w:bCs/>
          <w:sz w:val="28"/>
          <w:szCs w:val="28"/>
          <w:lang w:val="en-GB"/>
        </w:rPr>
      </w:pPr>
      <w:r w:rsidRPr="006C09BD">
        <w:rPr>
          <w:rFonts w:cs="Arial"/>
          <w:b/>
          <w:bCs/>
          <w:sz w:val="28"/>
          <w:szCs w:val="28"/>
          <w:lang w:val="en-GB"/>
        </w:rPr>
        <w:t>Intervention</w:t>
      </w:r>
      <w:r w:rsidR="00FD52A4" w:rsidRPr="006C09BD">
        <w:rPr>
          <w:rFonts w:cs="Arial"/>
          <w:b/>
          <w:bCs/>
          <w:sz w:val="28"/>
          <w:szCs w:val="28"/>
          <w:lang w:val="en-GB"/>
        </w:rPr>
        <w:t xml:space="preserve"> and comparator</w:t>
      </w:r>
    </w:p>
    <w:p w14:paraId="72A1CEE4" w14:textId="77777777" w:rsidR="009048E6" w:rsidRPr="006C09BD" w:rsidRDefault="009048E6" w:rsidP="009048E6">
      <w:pPr>
        <w:pStyle w:val="BodyA"/>
        <w:widowControl w:val="0"/>
        <w:spacing w:line="360" w:lineRule="auto"/>
        <w:rPr>
          <w:rStyle w:val="NoneA"/>
          <w:rFonts w:cs="Arial"/>
          <w:lang w:val="en-GB"/>
        </w:rPr>
      </w:pPr>
    </w:p>
    <w:p w14:paraId="500F0B80" w14:textId="21C31800" w:rsidR="001962F7" w:rsidRPr="006C09BD" w:rsidRDefault="00551CF0" w:rsidP="00BC5BBC">
      <w:pPr>
        <w:pStyle w:val="BodyA"/>
        <w:widowControl w:val="0"/>
        <w:spacing w:line="360" w:lineRule="auto"/>
        <w:rPr>
          <w:rFonts w:cs="Arial"/>
          <w:color w:val="006600"/>
          <w:u w:color="004C7F"/>
          <w:lang w:val="en-GB"/>
        </w:rPr>
      </w:pPr>
      <w:r w:rsidRPr="006C09BD">
        <w:rPr>
          <w:rFonts w:cs="Arial"/>
          <w:b/>
          <w:bCs/>
          <w:sz w:val="24"/>
          <w:szCs w:val="24"/>
          <w:lang w:val="en-GB"/>
        </w:rPr>
        <w:t xml:space="preserve">Intervention </w:t>
      </w:r>
      <w:r w:rsidR="00FD52A4" w:rsidRPr="006C09BD">
        <w:rPr>
          <w:rFonts w:cs="Arial"/>
          <w:b/>
          <w:bCs/>
          <w:sz w:val="24"/>
          <w:szCs w:val="24"/>
          <w:lang w:val="en-GB"/>
        </w:rPr>
        <w:t xml:space="preserve">and comparator </w:t>
      </w:r>
      <w:r w:rsidRPr="006C09BD">
        <w:rPr>
          <w:rFonts w:cs="Arial"/>
          <w:b/>
          <w:bCs/>
          <w:sz w:val="24"/>
          <w:szCs w:val="24"/>
          <w:lang w:val="en-GB"/>
        </w:rPr>
        <w:t>description {</w:t>
      </w:r>
      <w:r w:rsidR="003079CF" w:rsidRPr="006C09BD">
        <w:rPr>
          <w:rFonts w:cs="Arial"/>
          <w:b/>
          <w:bCs/>
          <w:sz w:val="24"/>
          <w:szCs w:val="24"/>
          <w:lang w:val="en-GB"/>
        </w:rPr>
        <w:t>15</w:t>
      </w:r>
      <w:r w:rsidRPr="006C09BD">
        <w:rPr>
          <w:rFonts w:cs="Arial"/>
          <w:b/>
          <w:bCs/>
          <w:sz w:val="24"/>
          <w:szCs w:val="24"/>
          <w:lang w:val="en-GB"/>
        </w:rPr>
        <w:t>a}</w:t>
      </w:r>
      <w:r w:rsidRPr="006C09BD">
        <w:rPr>
          <w:rFonts w:cs="Arial"/>
          <w:lang w:val="en-GB"/>
        </w:rPr>
        <w:br/>
      </w:r>
      <w:r w:rsidR="001962F7" w:rsidRPr="006C09BD">
        <w:rPr>
          <w:rStyle w:val="NoneA"/>
          <w:b/>
          <w:bCs/>
          <w:lang w:val="en-GB"/>
        </w:rPr>
        <w:t>No routine measurement of gastric residual volumes:</w:t>
      </w:r>
      <w:r w:rsidR="001962F7" w:rsidRPr="006C09BD">
        <w:rPr>
          <w:rStyle w:val="NoneA"/>
          <w:lang w:val="en-GB"/>
        </w:rPr>
        <w:t xml:space="preserve"> Within this pathway of care</w:t>
      </w:r>
      <w:r w:rsidR="008C45F6">
        <w:rPr>
          <w:rStyle w:val="NoneA"/>
          <w:lang w:val="en-GB"/>
        </w:rPr>
        <w:t>,</w:t>
      </w:r>
      <w:r w:rsidR="001962F7" w:rsidRPr="006C09BD">
        <w:rPr>
          <w:rStyle w:val="NoneA"/>
          <w:lang w:val="en-GB"/>
        </w:rPr>
        <w:t xml:space="preserve"> gastric residual volumes will not be measured routinely, although a small volume of </w:t>
      </w:r>
      <w:r w:rsidR="001962F7" w:rsidRPr="006C09BD">
        <w:rPr>
          <w:u w:color="004C7F"/>
          <w:lang w:val="en-GB"/>
        </w:rPr>
        <w:t>gastric fluid will be aspirated for pH testing to confirm gastric tube position as per local/national guidance.</w:t>
      </w:r>
      <w:r w:rsidR="001962F7" w:rsidRPr="006C09BD">
        <w:rPr>
          <w:rStyle w:val="NoneA"/>
          <w:lang w:val="en-GB"/>
        </w:rPr>
        <w:t xml:space="preserve"> Feed tolerance will be assessed by monitoring the </w:t>
      </w:r>
      <w:r w:rsidR="000A2F7A" w:rsidRPr="006C09BD">
        <w:rPr>
          <w:u w:color="004C7F"/>
          <w:lang w:val="en-GB"/>
        </w:rPr>
        <w:t>infant</w:t>
      </w:r>
      <w:r w:rsidR="001962F7" w:rsidRPr="006C09BD">
        <w:rPr>
          <w:rStyle w:val="NoneA"/>
          <w:lang w:val="en-GB"/>
        </w:rPr>
        <w:t xml:space="preserve"> for symptoms such as vomiting, abdominal tenderness, discolouration or distension, bloody stools or clinical deterioration; </w:t>
      </w:r>
      <w:r w:rsidR="002F6108">
        <w:rPr>
          <w:rStyle w:val="NoneA"/>
          <w:lang w:val="en-GB"/>
        </w:rPr>
        <w:t xml:space="preserve">See additional file 2, </w:t>
      </w:r>
      <w:r w:rsidR="001962F7" w:rsidRPr="006C09BD">
        <w:rPr>
          <w:rStyle w:val="NoneA"/>
          <w:lang w:val="en-GB"/>
        </w:rPr>
        <w:t xml:space="preserve">Figure 1a. </w:t>
      </w:r>
    </w:p>
    <w:p w14:paraId="48154C9A" w14:textId="77777777" w:rsidR="001962F7" w:rsidRPr="006C09BD" w:rsidRDefault="001962F7" w:rsidP="007679CE">
      <w:pPr>
        <w:pStyle w:val="NORMLAnospacing"/>
        <w:ind w:left="360"/>
        <w:rPr>
          <w:color w:val="000000" w:themeColor="text1"/>
          <w:sz w:val="21"/>
          <w:szCs w:val="21"/>
        </w:rPr>
      </w:pPr>
    </w:p>
    <w:p w14:paraId="35078D38" w14:textId="59B37B9D" w:rsidR="00052C41" w:rsidRPr="006C09BD" w:rsidRDefault="00052C41" w:rsidP="002C0C34">
      <w:pPr>
        <w:pStyle w:val="Indenttable"/>
        <w:spacing w:line="360" w:lineRule="auto"/>
        <w:ind w:left="0" w:firstLine="0"/>
        <w:rPr>
          <w:color w:val="000000" w:themeColor="text1"/>
          <w:szCs w:val="20"/>
        </w:rPr>
      </w:pPr>
      <w:r w:rsidRPr="006C09BD">
        <w:rPr>
          <w:b/>
          <w:bCs/>
          <w:color w:val="000000" w:themeColor="text1"/>
          <w:szCs w:val="20"/>
        </w:rPr>
        <w:t xml:space="preserve">Routine, </w:t>
      </w:r>
      <w:r w:rsidR="00395E01" w:rsidRPr="006C09BD">
        <w:rPr>
          <w:b/>
          <w:bCs/>
          <w:color w:val="000000" w:themeColor="text1"/>
          <w:szCs w:val="20"/>
        </w:rPr>
        <w:t>at least</w:t>
      </w:r>
      <w:r w:rsidRPr="006C09BD">
        <w:rPr>
          <w:b/>
          <w:bCs/>
          <w:color w:val="000000" w:themeColor="text1"/>
          <w:szCs w:val="20"/>
        </w:rPr>
        <w:t xml:space="preserve"> 6-hourly, measurement of gastric residual volumes:</w:t>
      </w:r>
      <w:r w:rsidRPr="006C09BD">
        <w:rPr>
          <w:color w:val="000000" w:themeColor="text1"/>
          <w:szCs w:val="20"/>
        </w:rPr>
        <w:t xml:space="preserve"> Within this pathway</w:t>
      </w:r>
      <w:r w:rsidR="0075294E" w:rsidRPr="006C09BD">
        <w:rPr>
          <w:color w:val="000000" w:themeColor="text1"/>
          <w:szCs w:val="20"/>
        </w:rPr>
        <w:t xml:space="preserve"> of care</w:t>
      </w:r>
      <w:r w:rsidRPr="006C09BD">
        <w:rPr>
          <w:color w:val="000000" w:themeColor="text1"/>
          <w:szCs w:val="20"/>
        </w:rPr>
        <w:t>,</w:t>
      </w:r>
      <w:r w:rsidR="00395E01" w:rsidRPr="006C09BD">
        <w:rPr>
          <w:color w:val="000000" w:themeColor="text1"/>
          <w:szCs w:val="20"/>
        </w:rPr>
        <w:t xml:space="preserve"> </w:t>
      </w:r>
      <w:r w:rsidRPr="006C09BD">
        <w:rPr>
          <w:color w:val="000000" w:themeColor="text1"/>
          <w:szCs w:val="20"/>
        </w:rPr>
        <w:t>gastric</w:t>
      </w:r>
      <w:r w:rsidR="00395E01" w:rsidRPr="006C09BD">
        <w:rPr>
          <w:color w:val="000000" w:themeColor="text1"/>
          <w:szCs w:val="20"/>
        </w:rPr>
        <w:t xml:space="preserve"> </w:t>
      </w:r>
      <w:r w:rsidRPr="006C09BD">
        <w:rPr>
          <w:color w:val="000000" w:themeColor="text1"/>
          <w:szCs w:val="20"/>
        </w:rPr>
        <w:t>residual volumes will be measured at least every 6 hours and used to evaluate feed tolerance as</w:t>
      </w:r>
    </w:p>
    <w:p w14:paraId="4F07305A" w14:textId="77777777" w:rsidR="00052C41" w:rsidRPr="006C09BD" w:rsidRDefault="00052C41" w:rsidP="002C0C34">
      <w:pPr>
        <w:pStyle w:val="Indenttable"/>
        <w:spacing w:line="360" w:lineRule="auto"/>
        <w:ind w:left="0" w:firstLine="0"/>
        <w:rPr>
          <w:color w:val="000000" w:themeColor="text1"/>
          <w:szCs w:val="20"/>
        </w:rPr>
      </w:pPr>
      <w:r w:rsidRPr="006C09BD">
        <w:rPr>
          <w:color w:val="000000" w:themeColor="text1"/>
          <w:szCs w:val="20"/>
        </w:rPr>
        <w:t>specified by existing local practice. Where local practice is not standardised, units can use the</w:t>
      </w:r>
    </w:p>
    <w:p w14:paraId="086998D7" w14:textId="0C69573F" w:rsidR="009048E6" w:rsidRPr="006C09BD" w:rsidRDefault="00052C41" w:rsidP="002C0C34">
      <w:pPr>
        <w:pStyle w:val="Indenttable"/>
        <w:spacing w:line="360" w:lineRule="auto"/>
        <w:ind w:left="0" w:firstLine="0"/>
        <w:rPr>
          <w:color w:val="000000" w:themeColor="text1"/>
          <w:szCs w:val="20"/>
        </w:rPr>
      </w:pPr>
      <w:r w:rsidRPr="006C09BD">
        <w:rPr>
          <w:color w:val="000000" w:themeColor="text1"/>
          <w:szCs w:val="20"/>
        </w:rPr>
        <w:t xml:space="preserve">neoGASTRIC trial suggested gastric residual assessment guidance; </w:t>
      </w:r>
      <w:r w:rsidR="002F6108">
        <w:rPr>
          <w:color w:val="000000" w:themeColor="text1"/>
          <w:szCs w:val="20"/>
        </w:rPr>
        <w:t xml:space="preserve">See additional file 2, </w:t>
      </w:r>
      <w:r w:rsidR="006703FF" w:rsidRPr="006C09BD">
        <w:rPr>
          <w:color w:val="000000" w:themeColor="text1"/>
          <w:szCs w:val="20"/>
        </w:rPr>
        <w:t>F</w:t>
      </w:r>
      <w:r w:rsidRPr="006C09BD">
        <w:rPr>
          <w:color w:val="000000" w:themeColor="text1"/>
          <w:szCs w:val="20"/>
        </w:rPr>
        <w:t>igure 1b.</w:t>
      </w:r>
    </w:p>
    <w:p w14:paraId="0A92F0D3" w14:textId="46AD53BB" w:rsidR="009048E6" w:rsidRPr="006C09BD" w:rsidRDefault="009048E6" w:rsidP="006233A8">
      <w:pPr>
        <w:pStyle w:val="BodyA"/>
        <w:widowControl w:val="0"/>
        <w:spacing w:line="360" w:lineRule="auto"/>
        <w:rPr>
          <w:rFonts w:cs="Arial"/>
          <w:lang w:val="en-GB"/>
        </w:rPr>
      </w:pPr>
    </w:p>
    <w:p w14:paraId="3500F83C" w14:textId="4A2E0C38" w:rsidR="0050292B" w:rsidRPr="006C09BD" w:rsidRDefault="00551CF0">
      <w:pPr>
        <w:pStyle w:val="BodyA"/>
        <w:widowControl w:val="0"/>
        <w:spacing w:line="360" w:lineRule="auto"/>
        <w:rPr>
          <w:rFonts w:cs="Arial"/>
          <w:b/>
          <w:bCs/>
          <w:sz w:val="24"/>
          <w:szCs w:val="24"/>
          <w:lang w:val="en-GB"/>
        </w:rPr>
      </w:pPr>
      <w:r w:rsidRPr="006C09BD">
        <w:rPr>
          <w:rFonts w:cs="Arial"/>
          <w:b/>
          <w:bCs/>
          <w:sz w:val="24"/>
          <w:szCs w:val="24"/>
          <w:lang w:val="en-GB"/>
        </w:rPr>
        <w:t>Criteria for discontinuing or modifying allocated intervention</w:t>
      </w:r>
      <w:r w:rsidR="007132D8" w:rsidRPr="006C09BD">
        <w:rPr>
          <w:rFonts w:cs="Arial"/>
          <w:b/>
          <w:bCs/>
          <w:sz w:val="24"/>
          <w:szCs w:val="24"/>
          <w:lang w:val="en-GB"/>
        </w:rPr>
        <w:t>/comparator</w:t>
      </w:r>
      <w:r w:rsidRPr="006C09BD">
        <w:rPr>
          <w:rFonts w:cs="Arial"/>
          <w:b/>
          <w:bCs/>
          <w:sz w:val="24"/>
          <w:szCs w:val="24"/>
          <w:lang w:val="en-GB"/>
        </w:rPr>
        <w:t xml:space="preserve"> {1</w:t>
      </w:r>
      <w:r w:rsidR="003079CF" w:rsidRPr="006C09BD">
        <w:rPr>
          <w:rFonts w:cs="Arial"/>
          <w:b/>
          <w:bCs/>
          <w:sz w:val="24"/>
          <w:szCs w:val="24"/>
          <w:lang w:val="en-GB"/>
        </w:rPr>
        <w:t>5</w:t>
      </w:r>
      <w:r w:rsidRPr="006C09BD">
        <w:rPr>
          <w:rFonts w:cs="Arial"/>
          <w:b/>
          <w:bCs/>
          <w:sz w:val="24"/>
          <w:szCs w:val="24"/>
          <w:lang w:val="en-GB"/>
        </w:rPr>
        <w:t>b}</w:t>
      </w:r>
    </w:p>
    <w:p w14:paraId="0E0F3FE1" w14:textId="0B2590E5" w:rsidR="009048E6" w:rsidRPr="006C09BD" w:rsidRDefault="009048E6">
      <w:pPr>
        <w:pStyle w:val="BodyA"/>
        <w:widowControl w:val="0"/>
        <w:spacing w:line="360" w:lineRule="auto"/>
        <w:rPr>
          <w:rStyle w:val="NoneA"/>
          <w:rFonts w:cs="Arial"/>
          <w:lang w:val="en-GB"/>
        </w:rPr>
      </w:pPr>
      <w:r w:rsidRPr="006C09BD">
        <w:rPr>
          <w:rStyle w:val="NoneA"/>
          <w:rFonts w:cs="Arial"/>
          <w:lang w:val="en-GB"/>
        </w:rPr>
        <w:t>Where a</w:t>
      </w:r>
      <w:r w:rsidR="000A2F7A" w:rsidRPr="006C09BD">
        <w:rPr>
          <w:rStyle w:val="NoneA"/>
          <w:rFonts w:cs="Arial"/>
          <w:lang w:val="en-GB"/>
        </w:rPr>
        <w:t>n</w:t>
      </w:r>
      <w:r w:rsidRPr="006C09BD">
        <w:rPr>
          <w:rStyle w:val="NoneA"/>
          <w:rFonts w:cs="Arial"/>
          <w:lang w:val="en-GB"/>
        </w:rPr>
        <w:t xml:space="preserve"> </w:t>
      </w:r>
      <w:r w:rsidR="000A2F7A" w:rsidRPr="006C09BD">
        <w:rPr>
          <w:rFonts w:cs="Arial"/>
          <w:color w:val="auto"/>
          <w:u w:color="004C7F"/>
          <w:lang w:val="en-GB"/>
        </w:rPr>
        <w:t>infant</w:t>
      </w:r>
      <w:r w:rsidRPr="006C09BD">
        <w:rPr>
          <w:rStyle w:val="NoneA"/>
          <w:rFonts w:cs="Arial"/>
          <w:lang w:val="en-GB"/>
        </w:rPr>
        <w:t xml:space="preserve"> develops a condition for which gastric residual measurement is clinically indicated – for example</w:t>
      </w:r>
      <w:r w:rsidR="0078461D" w:rsidRPr="006C09BD">
        <w:rPr>
          <w:rStyle w:val="NoneA"/>
          <w:rFonts w:cs="Arial"/>
          <w:lang w:val="en-GB"/>
        </w:rPr>
        <w:t>,</w:t>
      </w:r>
      <w:r w:rsidRPr="006C09BD">
        <w:rPr>
          <w:rStyle w:val="NoneA"/>
          <w:rFonts w:cs="Arial"/>
          <w:lang w:val="en-GB"/>
        </w:rPr>
        <w:t xml:space="preserve"> suspected </w:t>
      </w:r>
      <w:r w:rsidR="00FE1312" w:rsidRPr="006C09BD">
        <w:rPr>
          <w:rStyle w:val="NoneA"/>
          <w:rFonts w:cs="Arial"/>
          <w:lang w:val="en-GB"/>
        </w:rPr>
        <w:t>NEC</w:t>
      </w:r>
      <w:r w:rsidRPr="006C09BD">
        <w:rPr>
          <w:rStyle w:val="NoneA"/>
          <w:rFonts w:cs="Arial"/>
          <w:lang w:val="en-GB"/>
        </w:rPr>
        <w:t xml:space="preserve"> or gastrointestinal obstruction</w:t>
      </w:r>
      <w:r w:rsidR="00052C41" w:rsidRPr="006C09BD">
        <w:rPr>
          <w:rStyle w:val="NoneA"/>
          <w:rFonts w:cs="Arial"/>
          <w:lang w:val="en-GB"/>
        </w:rPr>
        <w:t>, or following abdominal surgery</w:t>
      </w:r>
      <w:r w:rsidRPr="006C09BD">
        <w:rPr>
          <w:rStyle w:val="NoneA"/>
          <w:rFonts w:cs="Arial"/>
          <w:lang w:val="en-GB"/>
        </w:rPr>
        <w:t xml:space="preserve"> – such gastric residual measurement is no longer ‘routine’ so should be undertaken as clinically indicated in both trial arms. When gastric residual measurement is no longer clinically indicated the</w:t>
      </w:r>
      <w:r w:rsidR="000A2F7A" w:rsidRPr="006C09BD">
        <w:rPr>
          <w:rFonts w:cs="Arial"/>
          <w:color w:val="auto"/>
          <w:u w:color="004C7F"/>
          <w:lang w:val="en-GB"/>
        </w:rPr>
        <w:t xml:space="preserve"> infant</w:t>
      </w:r>
      <w:r w:rsidR="000A2F7A" w:rsidRPr="006C09BD">
        <w:rPr>
          <w:rStyle w:val="NoneA"/>
          <w:rFonts w:cs="Arial"/>
          <w:lang w:val="en-GB"/>
        </w:rPr>
        <w:t xml:space="preserve"> </w:t>
      </w:r>
      <w:r w:rsidRPr="006C09BD">
        <w:rPr>
          <w:rStyle w:val="NoneA"/>
          <w:rFonts w:cs="Arial"/>
          <w:lang w:val="en-GB"/>
        </w:rPr>
        <w:t>should resume their allocated care pathway if this is considered clinically appropriate.</w:t>
      </w:r>
    </w:p>
    <w:p w14:paraId="41D06E63" w14:textId="77777777" w:rsidR="009048E6" w:rsidRPr="006C09BD" w:rsidRDefault="009048E6">
      <w:pPr>
        <w:pStyle w:val="BodyA"/>
        <w:widowControl w:val="0"/>
        <w:spacing w:line="360" w:lineRule="auto"/>
        <w:rPr>
          <w:rStyle w:val="NoneA"/>
          <w:rFonts w:cs="Arial"/>
          <w:lang w:val="en-GB"/>
        </w:rPr>
      </w:pPr>
    </w:p>
    <w:p w14:paraId="1E73A92A" w14:textId="63978F2B" w:rsidR="0050292B" w:rsidRPr="006C09BD" w:rsidRDefault="00551CF0">
      <w:pPr>
        <w:pStyle w:val="BodyA"/>
        <w:widowControl w:val="0"/>
        <w:spacing w:line="360" w:lineRule="auto"/>
        <w:rPr>
          <w:rFonts w:cs="Arial"/>
          <w:b/>
          <w:bCs/>
          <w:sz w:val="24"/>
          <w:szCs w:val="24"/>
          <w:lang w:val="en-GB"/>
        </w:rPr>
      </w:pPr>
      <w:r w:rsidRPr="006C09BD">
        <w:rPr>
          <w:rFonts w:cs="Arial"/>
          <w:b/>
          <w:bCs/>
          <w:sz w:val="24"/>
          <w:szCs w:val="24"/>
          <w:lang w:val="en-GB"/>
        </w:rPr>
        <w:t>Strategies to improve adherence to intervention</w:t>
      </w:r>
      <w:r w:rsidR="007132D8" w:rsidRPr="006C09BD">
        <w:rPr>
          <w:rFonts w:cs="Arial"/>
          <w:b/>
          <w:bCs/>
          <w:sz w:val="24"/>
          <w:szCs w:val="24"/>
          <w:lang w:val="en-GB"/>
        </w:rPr>
        <w:t>/comparator</w:t>
      </w:r>
      <w:r w:rsidRPr="006C09BD">
        <w:rPr>
          <w:rFonts w:cs="Arial"/>
          <w:b/>
          <w:bCs/>
          <w:sz w:val="24"/>
          <w:szCs w:val="24"/>
          <w:lang w:val="en-GB"/>
        </w:rPr>
        <w:t xml:space="preserve"> {1</w:t>
      </w:r>
      <w:r w:rsidR="003079CF" w:rsidRPr="006C09BD">
        <w:rPr>
          <w:rFonts w:cs="Arial"/>
          <w:b/>
          <w:bCs/>
          <w:sz w:val="24"/>
          <w:szCs w:val="24"/>
          <w:lang w:val="en-GB"/>
        </w:rPr>
        <w:t>5</w:t>
      </w:r>
      <w:r w:rsidRPr="006C09BD">
        <w:rPr>
          <w:rFonts w:cs="Arial"/>
          <w:b/>
          <w:bCs/>
          <w:sz w:val="24"/>
          <w:szCs w:val="24"/>
          <w:lang w:val="en-GB"/>
        </w:rPr>
        <w:t>c}</w:t>
      </w:r>
    </w:p>
    <w:p w14:paraId="23E2542D" w14:textId="165380DA" w:rsidR="008649CA" w:rsidRPr="006C09BD" w:rsidRDefault="008649CA" w:rsidP="001F73AA">
      <w:pPr>
        <w:pStyle w:val="BodyA"/>
        <w:widowControl w:val="0"/>
        <w:spacing w:before="120" w:line="360" w:lineRule="auto"/>
        <w:rPr>
          <w:rStyle w:val="NoneA"/>
          <w:rFonts w:cs="Arial"/>
          <w:lang w:val="en-GB"/>
        </w:rPr>
      </w:pPr>
      <w:r w:rsidRPr="006C09BD">
        <w:rPr>
          <w:rStyle w:val="NoneA"/>
          <w:rFonts w:cs="Arial"/>
          <w:lang w:val="en-GB"/>
        </w:rPr>
        <w:t xml:space="preserve">Adherence to the allocated care pathway will be recorded at sites </w:t>
      </w:r>
      <w:r w:rsidR="00052C41" w:rsidRPr="006C09BD">
        <w:rPr>
          <w:rStyle w:val="NoneA"/>
          <w:rFonts w:cs="Arial"/>
          <w:lang w:val="en-GB"/>
        </w:rPr>
        <w:t xml:space="preserve">by </w:t>
      </w:r>
      <w:r w:rsidRPr="006C09BD">
        <w:rPr>
          <w:rStyle w:val="NoneA"/>
          <w:rFonts w:cs="Arial"/>
          <w:lang w:val="en-GB"/>
        </w:rPr>
        <w:t xml:space="preserve">recording the number of gastric residual volume measurements per calendar day until </w:t>
      </w:r>
      <w:r w:rsidR="006632F0" w:rsidRPr="006C09BD">
        <w:rPr>
          <w:rStyle w:val="NoneA"/>
          <w:rFonts w:cs="Arial"/>
          <w:lang w:val="en-GB"/>
        </w:rPr>
        <w:t>a</w:t>
      </w:r>
      <w:r w:rsidR="00FE3D44" w:rsidRPr="006C09BD">
        <w:rPr>
          <w:rStyle w:val="NoneA"/>
          <w:rFonts w:cs="Arial"/>
          <w:lang w:val="en-GB"/>
        </w:rPr>
        <w:t>n</w:t>
      </w:r>
      <w:r w:rsidRPr="006C09BD">
        <w:rPr>
          <w:rStyle w:val="NoneA"/>
          <w:rFonts w:cs="Arial"/>
          <w:lang w:val="en-GB"/>
        </w:rPr>
        <w:t xml:space="preserve"> </w:t>
      </w:r>
      <w:r w:rsidR="000A2F7A" w:rsidRPr="006C09BD">
        <w:rPr>
          <w:rFonts w:cs="Arial"/>
          <w:color w:val="auto"/>
          <w:u w:color="004C7F"/>
          <w:lang w:val="en-GB"/>
        </w:rPr>
        <w:t>infant</w:t>
      </w:r>
      <w:r w:rsidRPr="006C09BD">
        <w:rPr>
          <w:rStyle w:val="NoneA"/>
          <w:rFonts w:cs="Arial"/>
          <w:lang w:val="en-GB"/>
        </w:rPr>
        <w:t xml:space="preserve"> achieves the primary outcome (full enteral feeds). Tools to assist adherence to the trial arm such </w:t>
      </w:r>
      <w:r w:rsidR="00052C41" w:rsidRPr="006C09BD">
        <w:rPr>
          <w:rStyle w:val="NoneA"/>
          <w:rFonts w:cs="Arial"/>
          <w:lang w:val="en-GB"/>
        </w:rPr>
        <w:t xml:space="preserve">as </w:t>
      </w:r>
      <w:r w:rsidRPr="006C09BD">
        <w:rPr>
          <w:rStyle w:val="NoneA"/>
          <w:rFonts w:cs="Arial"/>
          <w:lang w:val="en-GB"/>
        </w:rPr>
        <w:t>cot cards</w:t>
      </w:r>
      <w:r w:rsidR="00052C41" w:rsidRPr="006C09BD">
        <w:rPr>
          <w:rStyle w:val="NoneA"/>
          <w:rFonts w:cs="Arial"/>
          <w:lang w:val="en-GB"/>
        </w:rPr>
        <w:t xml:space="preserve"> and stickers to attach to gastric tubes</w:t>
      </w:r>
      <w:r w:rsidRPr="006C09BD">
        <w:rPr>
          <w:rStyle w:val="NoneA"/>
          <w:rFonts w:cs="Arial"/>
          <w:lang w:val="en-GB"/>
        </w:rPr>
        <w:t xml:space="preserve"> will be provided to site</w:t>
      </w:r>
      <w:r w:rsidR="001F7EAB" w:rsidRPr="006C09BD">
        <w:rPr>
          <w:rStyle w:val="NoneA"/>
          <w:rFonts w:cs="Arial"/>
          <w:lang w:val="en-GB"/>
        </w:rPr>
        <w:t>s</w:t>
      </w:r>
      <w:r w:rsidR="00052C41" w:rsidRPr="006C09BD">
        <w:rPr>
          <w:rStyle w:val="NoneA"/>
          <w:rFonts w:cs="Arial"/>
          <w:lang w:val="en-GB"/>
        </w:rPr>
        <w:t>,</w:t>
      </w:r>
      <w:r w:rsidRPr="006C09BD">
        <w:rPr>
          <w:rStyle w:val="NoneA"/>
          <w:rFonts w:cs="Arial"/>
          <w:lang w:val="en-GB"/>
        </w:rPr>
        <w:t xml:space="preserve"> and site monitoring reports indicating non-adherence will be provided</w:t>
      </w:r>
      <w:r w:rsidR="00BB5534" w:rsidRPr="006C09BD">
        <w:rPr>
          <w:rStyle w:val="NoneA"/>
          <w:rFonts w:cs="Arial"/>
          <w:lang w:val="en-GB"/>
        </w:rPr>
        <w:t xml:space="preserve"> quarterly</w:t>
      </w:r>
      <w:r w:rsidRPr="006C09BD">
        <w:rPr>
          <w:rStyle w:val="NoneA"/>
          <w:rFonts w:cs="Arial"/>
          <w:lang w:val="en-GB"/>
        </w:rPr>
        <w:t xml:space="preserve"> to sites for discussion</w:t>
      </w:r>
      <w:r w:rsidR="00052C41" w:rsidRPr="006C09BD">
        <w:rPr>
          <w:rStyle w:val="NoneA"/>
          <w:rFonts w:cs="Arial"/>
          <w:lang w:val="en-GB"/>
        </w:rPr>
        <w:t xml:space="preserve"> and to inform local practice</w:t>
      </w:r>
      <w:r w:rsidRPr="006C09BD">
        <w:rPr>
          <w:rStyle w:val="NoneA"/>
          <w:rFonts w:cs="Arial"/>
          <w:lang w:val="en-GB"/>
        </w:rPr>
        <w:t>.</w:t>
      </w:r>
      <w:r w:rsidR="00C26512" w:rsidRPr="006C09BD">
        <w:rPr>
          <w:rStyle w:val="NoneA"/>
          <w:rFonts w:cs="Arial"/>
          <w:lang w:val="en-GB"/>
        </w:rPr>
        <w:t xml:space="preserve"> </w:t>
      </w:r>
      <w:r w:rsidR="00C26512" w:rsidRPr="006C09BD">
        <w:rPr>
          <w:rFonts w:cs="Arial"/>
          <w:lang w:val="en-GB"/>
        </w:rPr>
        <w:t>Strategies to improve adherence will also be explored in the embedded process evaluation.</w:t>
      </w:r>
      <w:r w:rsidRPr="006C09BD">
        <w:rPr>
          <w:rStyle w:val="NoneA"/>
          <w:rFonts w:cs="Arial"/>
          <w:lang w:val="en-GB"/>
        </w:rPr>
        <w:t xml:space="preserve"> </w:t>
      </w:r>
    </w:p>
    <w:p w14:paraId="265F24A6" w14:textId="77777777" w:rsidR="0050292B" w:rsidRPr="006C09BD" w:rsidRDefault="0050292B">
      <w:pPr>
        <w:pStyle w:val="BodyA"/>
        <w:widowControl w:val="0"/>
        <w:spacing w:line="360" w:lineRule="auto"/>
        <w:rPr>
          <w:rStyle w:val="NoneA"/>
          <w:rFonts w:cs="Arial"/>
          <w:sz w:val="24"/>
          <w:szCs w:val="24"/>
          <w:lang w:val="en-GB"/>
        </w:rPr>
      </w:pPr>
    </w:p>
    <w:p w14:paraId="2B0DB040" w14:textId="1C82E8B7" w:rsidR="0050292B" w:rsidRPr="006C09BD" w:rsidRDefault="007132D8">
      <w:pPr>
        <w:pStyle w:val="BodyA"/>
        <w:widowControl w:val="0"/>
        <w:spacing w:line="360" w:lineRule="auto"/>
        <w:rPr>
          <w:rFonts w:cs="Arial"/>
          <w:b/>
          <w:bCs/>
          <w:sz w:val="24"/>
          <w:szCs w:val="24"/>
          <w:lang w:val="en-GB"/>
        </w:rPr>
      </w:pPr>
      <w:r w:rsidRPr="006C09BD">
        <w:rPr>
          <w:rFonts w:cs="Arial"/>
          <w:b/>
          <w:bCs/>
          <w:sz w:val="24"/>
          <w:szCs w:val="24"/>
          <w:lang w:val="en-GB"/>
        </w:rPr>
        <w:t>C</w:t>
      </w:r>
      <w:r w:rsidR="00551CF0" w:rsidRPr="006C09BD">
        <w:rPr>
          <w:rFonts w:cs="Arial"/>
          <w:b/>
          <w:bCs/>
          <w:sz w:val="24"/>
          <w:szCs w:val="24"/>
          <w:lang w:val="en-GB"/>
        </w:rPr>
        <w:t>oncomitant care permitted or prohibited during the trial {1</w:t>
      </w:r>
      <w:r w:rsidR="003079CF" w:rsidRPr="006C09BD">
        <w:rPr>
          <w:rFonts w:cs="Arial"/>
          <w:b/>
          <w:bCs/>
          <w:sz w:val="24"/>
          <w:szCs w:val="24"/>
          <w:lang w:val="en-GB"/>
        </w:rPr>
        <w:t>5</w:t>
      </w:r>
      <w:r w:rsidR="00551CF0" w:rsidRPr="006C09BD">
        <w:rPr>
          <w:rFonts w:cs="Arial"/>
          <w:b/>
          <w:bCs/>
          <w:sz w:val="24"/>
          <w:szCs w:val="24"/>
          <w:lang w:val="en-GB"/>
        </w:rPr>
        <w:t>d}</w:t>
      </w:r>
    </w:p>
    <w:p w14:paraId="6A5FADEF" w14:textId="38AEC791" w:rsidR="00E43887" w:rsidRPr="006C09BD" w:rsidRDefault="00052C41" w:rsidP="00E43887">
      <w:pPr>
        <w:pStyle w:val="BodyA"/>
        <w:widowControl w:val="0"/>
        <w:spacing w:before="120" w:line="360" w:lineRule="auto"/>
        <w:rPr>
          <w:rFonts w:cs="Arial"/>
          <w:bCs/>
          <w:lang w:val="en-GB"/>
        </w:rPr>
      </w:pPr>
      <w:r w:rsidRPr="006C09BD">
        <w:rPr>
          <w:rFonts w:cs="Arial"/>
          <w:lang w:val="en-GB"/>
        </w:rPr>
        <w:t xml:space="preserve">Other aspects of nutritional practice will </w:t>
      </w:r>
      <w:r w:rsidR="00CF7DB6" w:rsidRPr="006C09BD">
        <w:rPr>
          <w:rFonts w:cs="Arial"/>
          <w:lang w:val="en-GB"/>
        </w:rPr>
        <w:t>follow</w:t>
      </w:r>
      <w:r w:rsidR="008A5BEE" w:rsidRPr="006C09BD">
        <w:rPr>
          <w:rFonts w:cs="Arial"/>
          <w:lang w:val="en-GB"/>
        </w:rPr>
        <w:t xml:space="preserve"> the</w:t>
      </w:r>
      <w:r w:rsidRPr="006C09BD">
        <w:rPr>
          <w:rFonts w:cs="Arial"/>
          <w:lang w:val="en-GB"/>
        </w:rPr>
        <w:t xml:space="preserve"> unit</w:t>
      </w:r>
      <w:r w:rsidR="008A5BEE" w:rsidRPr="006C09BD">
        <w:rPr>
          <w:rFonts w:cs="Arial"/>
          <w:lang w:val="en-GB"/>
        </w:rPr>
        <w:t>’s usual</w:t>
      </w:r>
      <w:r w:rsidRPr="006C09BD">
        <w:rPr>
          <w:rFonts w:cs="Arial"/>
          <w:lang w:val="en-GB"/>
        </w:rPr>
        <w:t xml:space="preserve"> practice. This includes, but is not limited to, timing of commencement of feeds, speed of increase of enteral feeds and choice of milk where mother’s milk is insufficient. </w:t>
      </w:r>
      <w:r w:rsidR="00E43887" w:rsidRPr="006C09BD">
        <w:rPr>
          <w:rFonts w:cs="Arial"/>
          <w:lang w:val="en-GB"/>
        </w:rPr>
        <w:t xml:space="preserve">There are no contraindicated medications or interventions, and </w:t>
      </w:r>
      <w:r w:rsidR="002A35BF" w:rsidRPr="006C09BD">
        <w:rPr>
          <w:rFonts w:cs="Arial"/>
          <w:lang w:val="en-GB"/>
        </w:rPr>
        <w:t>infants</w:t>
      </w:r>
      <w:r w:rsidR="00E43887" w:rsidRPr="006C09BD">
        <w:rPr>
          <w:rFonts w:cs="Arial"/>
          <w:lang w:val="en-GB"/>
        </w:rPr>
        <w:t xml:space="preserve"> will be able to have all medicines normally prescribed for this population during the trial</w:t>
      </w:r>
      <w:r w:rsidR="00E43887" w:rsidRPr="006C09BD">
        <w:rPr>
          <w:rFonts w:cs="Arial"/>
          <w:bCs/>
          <w:lang w:val="en-GB"/>
        </w:rPr>
        <w:t>.</w:t>
      </w:r>
    </w:p>
    <w:p w14:paraId="7BB8AE8C" w14:textId="65266CD3" w:rsidR="0050292B" w:rsidRPr="006C09BD" w:rsidRDefault="00551CF0">
      <w:pPr>
        <w:pStyle w:val="BodyA"/>
        <w:widowControl w:val="0"/>
        <w:spacing w:before="120" w:line="360" w:lineRule="auto"/>
        <w:rPr>
          <w:rFonts w:cs="Arial"/>
          <w:b/>
          <w:bCs/>
          <w:sz w:val="24"/>
          <w:szCs w:val="24"/>
          <w:lang w:val="en-GB"/>
        </w:rPr>
      </w:pPr>
      <w:r w:rsidRPr="006C09BD">
        <w:rPr>
          <w:rFonts w:cs="Arial"/>
          <w:b/>
          <w:bCs/>
          <w:sz w:val="24"/>
          <w:szCs w:val="24"/>
          <w:lang w:val="en-GB"/>
        </w:rPr>
        <w:br/>
      </w:r>
      <w:r w:rsidR="007822A1" w:rsidRPr="006C09BD">
        <w:rPr>
          <w:rFonts w:cs="Arial"/>
          <w:b/>
          <w:bCs/>
          <w:sz w:val="24"/>
          <w:szCs w:val="24"/>
          <w:lang w:val="en-GB"/>
        </w:rPr>
        <w:t>Ancillary and</w:t>
      </w:r>
      <w:r w:rsidRPr="006C09BD">
        <w:rPr>
          <w:rFonts w:cs="Arial"/>
          <w:b/>
          <w:bCs/>
          <w:sz w:val="24"/>
          <w:szCs w:val="24"/>
          <w:lang w:val="en-GB"/>
        </w:rPr>
        <w:t xml:space="preserve"> post-trial care {3</w:t>
      </w:r>
      <w:r w:rsidR="003079CF" w:rsidRPr="006C09BD">
        <w:rPr>
          <w:rFonts w:cs="Arial"/>
          <w:b/>
          <w:bCs/>
          <w:sz w:val="24"/>
          <w:szCs w:val="24"/>
          <w:lang w:val="en-GB"/>
        </w:rPr>
        <w:t>4</w:t>
      </w:r>
      <w:r w:rsidRPr="006C09BD">
        <w:rPr>
          <w:rFonts w:cs="Arial"/>
          <w:b/>
          <w:bCs/>
          <w:sz w:val="24"/>
          <w:szCs w:val="24"/>
          <w:lang w:val="en-GB"/>
        </w:rPr>
        <w:t>}</w:t>
      </w:r>
    </w:p>
    <w:p w14:paraId="05BCC1D0" w14:textId="553BEAF9" w:rsidR="0023663D" w:rsidRDefault="0023663D">
      <w:pPr>
        <w:pStyle w:val="BodyA"/>
        <w:widowControl w:val="0"/>
        <w:spacing w:line="360" w:lineRule="auto"/>
        <w:rPr>
          <w:rFonts w:cs="Arial"/>
          <w:color w:val="auto"/>
          <w:u w:color="004C7F"/>
          <w:lang w:val="en-GB"/>
        </w:rPr>
      </w:pPr>
      <w:r w:rsidRPr="006C09BD">
        <w:rPr>
          <w:rFonts w:cs="Arial"/>
          <w:color w:val="auto"/>
          <w:u w:color="004C7F"/>
          <w:lang w:val="en-GB"/>
        </w:rPr>
        <w:lastRenderedPageBreak/>
        <w:t>After a</w:t>
      </w:r>
      <w:r w:rsidR="00DD51D3" w:rsidRPr="006C09BD">
        <w:rPr>
          <w:rFonts w:cs="Arial"/>
          <w:color w:val="auto"/>
          <w:u w:color="004C7F"/>
          <w:lang w:val="en-GB"/>
        </w:rPr>
        <w:t>n</w:t>
      </w:r>
      <w:r w:rsidRPr="006C09BD">
        <w:rPr>
          <w:rFonts w:cs="Arial"/>
          <w:color w:val="auto"/>
          <w:u w:color="004C7F"/>
          <w:lang w:val="en-GB"/>
        </w:rPr>
        <w:t xml:space="preserve"> </w:t>
      </w:r>
      <w:r w:rsidR="000A2F7A" w:rsidRPr="006C09BD">
        <w:rPr>
          <w:rFonts w:cs="Arial"/>
          <w:color w:val="auto"/>
          <w:u w:color="004C7F"/>
          <w:lang w:val="en-GB"/>
        </w:rPr>
        <w:t>infant</w:t>
      </w:r>
      <w:r w:rsidRPr="006C09BD">
        <w:rPr>
          <w:rFonts w:cs="Arial"/>
          <w:color w:val="auto"/>
          <w:u w:color="004C7F"/>
          <w:lang w:val="en-GB"/>
        </w:rPr>
        <w:t xml:space="preserve"> reaches the primary outcome, full milk feeds for three consecutive days, trial sites </w:t>
      </w:r>
      <w:r w:rsidR="00181B0F" w:rsidRPr="006C09BD">
        <w:rPr>
          <w:rFonts w:cs="Arial"/>
          <w:color w:val="auto"/>
          <w:u w:color="004C7F"/>
          <w:lang w:val="en-GB"/>
        </w:rPr>
        <w:t xml:space="preserve">will be </w:t>
      </w:r>
      <w:r w:rsidRPr="006C09BD">
        <w:rPr>
          <w:rFonts w:cs="Arial"/>
          <w:color w:val="auto"/>
          <w:u w:color="004C7F"/>
          <w:lang w:val="en-GB"/>
        </w:rPr>
        <w:t>asked to continue to practi</w:t>
      </w:r>
      <w:r w:rsidR="008C45F6">
        <w:rPr>
          <w:rFonts w:cs="Arial"/>
          <w:color w:val="auto"/>
          <w:u w:color="004C7F"/>
          <w:lang w:val="en-GB"/>
        </w:rPr>
        <w:t>s</w:t>
      </w:r>
      <w:r w:rsidRPr="006C09BD">
        <w:rPr>
          <w:rFonts w:cs="Arial"/>
          <w:color w:val="auto"/>
          <w:u w:color="004C7F"/>
          <w:lang w:val="en-GB"/>
        </w:rPr>
        <w:t xml:space="preserve">e the allocated trial arm. Daily monitoring of adherence to the allocated trial arm will not occur after the primary outcome is reached, </w:t>
      </w:r>
      <w:r w:rsidR="00BB54DC" w:rsidRPr="006C09BD">
        <w:rPr>
          <w:rFonts w:cs="Arial"/>
          <w:color w:val="auto"/>
          <w:u w:color="004C7F"/>
          <w:lang w:val="en-GB"/>
        </w:rPr>
        <w:t xml:space="preserve">but presence or absence of routine measuring in the previous calendar day will be recorded </w:t>
      </w:r>
      <w:r w:rsidRPr="006C09BD">
        <w:rPr>
          <w:rFonts w:cs="Arial"/>
          <w:color w:val="auto"/>
          <w:u w:color="004C7F"/>
          <w:lang w:val="en-GB"/>
        </w:rPr>
        <w:t>when a</w:t>
      </w:r>
      <w:r w:rsidR="000A2F7A" w:rsidRPr="006C09BD">
        <w:rPr>
          <w:rFonts w:cs="Arial"/>
          <w:color w:val="auto"/>
          <w:u w:color="004C7F"/>
          <w:lang w:val="en-GB"/>
        </w:rPr>
        <w:t xml:space="preserve">n infant </w:t>
      </w:r>
      <w:r w:rsidRPr="006C09BD">
        <w:rPr>
          <w:rFonts w:cs="Arial"/>
          <w:color w:val="auto"/>
          <w:u w:color="004C7F"/>
          <w:lang w:val="en-GB"/>
        </w:rPr>
        <w:t xml:space="preserve">develops signs consistent with possible </w:t>
      </w:r>
      <w:r w:rsidR="006218BD" w:rsidRPr="006C09BD">
        <w:rPr>
          <w:rFonts w:cs="Arial"/>
          <w:color w:val="auto"/>
          <w:u w:color="004C7F"/>
          <w:lang w:val="en-GB"/>
        </w:rPr>
        <w:t>NEC</w:t>
      </w:r>
      <w:r w:rsidRPr="006C09BD">
        <w:rPr>
          <w:rFonts w:cs="Arial"/>
          <w:color w:val="auto"/>
          <w:u w:color="004C7F"/>
          <w:lang w:val="en-GB"/>
        </w:rPr>
        <w:t>.</w:t>
      </w:r>
      <w:r w:rsidR="00060663" w:rsidRPr="006C09BD">
        <w:rPr>
          <w:rFonts w:cs="Arial"/>
          <w:color w:val="auto"/>
          <w:u w:color="004C7F"/>
          <w:lang w:val="en-GB"/>
        </w:rPr>
        <w:t xml:space="preserve"> As both pathways are routinely practi</w:t>
      </w:r>
      <w:r w:rsidR="008C45F6">
        <w:rPr>
          <w:rFonts w:cs="Arial"/>
          <w:color w:val="auto"/>
          <w:u w:color="004C7F"/>
          <w:lang w:val="en-GB"/>
        </w:rPr>
        <w:t>s</w:t>
      </w:r>
      <w:r w:rsidR="00060663" w:rsidRPr="006C09BD">
        <w:rPr>
          <w:rFonts w:cs="Arial"/>
          <w:color w:val="auto"/>
          <w:u w:color="004C7F"/>
          <w:lang w:val="en-GB"/>
        </w:rPr>
        <w:t xml:space="preserve">ed in the UK and Australia, we do not believe there are any additional risks for </w:t>
      </w:r>
      <w:r w:rsidR="007A46D6">
        <w:rPr>
          <w:rFonts w:cs="Arial"/>
          <w:color w:val="auto"/>
          <w:u w:color="004C7F"/>
          <w:lang w:val="en-GB"/>
        </w:rPr>
        <w:t>infant</w:t>
      </w:r>
      <w:r w:rsidR="007A46D6" w:rsidRPr="006C09BD">
        <w:rPr>
          <w:rFonts w:cs="Arial"/>
          <w:color w:val="auto"/>
          <w:u w:color="004C7F"/>
          <w:lang w:val="en-GB"/>
        </w:rPr>
        <w:t xml:space="preserve">s </w:t>
      </w:r>
      <w:r w:rsidR="00060663" w:rsidRPr="006C09BD">
        <w:rPr>
          <w:rFonts w:cs="Arial"/>
          <w:color w:val="auto"/>
          <w:u w:color="004C7F"/>
          <w:lang w:val="en-GB"/>
        </w:rPr>
        <w:t xml:space="preserve">taking part in this trial. Once the </w:t>
      </w:r>
      <w:r w:rsidR="007A46D6">
        <w:rPr>
          <w:rFonts w:cs="Arial"/>
          <w:color w:val="auto"/>
          <w:u w:color="004C7F"/>
          <w:lang w:val="en-GB"/>
        </w:rPr>
        <w:t>infant</w:t>
      </w:r>
      <w:r w:rsidR="007A46D6" w:rsidRPr="006C09BD">
        <w:rPr>
          <w:rFonts w:cs="Arial"/>
          <w:color w:val="auto"/>
          <w:u w:color="004C7F"/>
          <w:lang w:val="en-GB"/>
        </w:rPr>
        <w:t xml:space="preserve"> </w:t>
      </w:r>
      <w:r w:rsidR="00060663" w:rsidRPr="006C09BD">
        <w:rPr>
          <w:rFonts w:cs="Arial"/>
          <w:color w:val="auto"/>
          <w:u w:color="004C7F"/>
          <w:lang w:val="en-GB"/>
        </w:rPr>
        <w:t xml:space="preserve">completes the trial, </w:t>
      </w:r>
      <w:r w:rsidR="007A46D6">
        <w:rPr>
          <w:rFonts w:cs="Arial"/>
          <w:color w:val="auto"/>
          <w:u w:color="004C7F"/>
          <w:lang w:val="en-GB"/>
        </w:rPr>
        <w:t xml:space="preserve">at </w:t>
      </w:r>
      <w:r w:rsidR="000A1B89" w:rsidRPr="006C09BD">
        <w:rPr>
          <w:lang w:val="en-GB"/>
        </w:rPr>
        <w:t xml:space="preserve">discharge home or 44+0 gestational weeks+days (whichever is sooner), </w:t>
      </w:r>
      <w:r w:rsidR="00C44A79">
        <w:rPr>
          <w:rFonts w:cs="Arial"/>
          <w:color w:val="auto"/>
          <w:u w:color="004C7F"/>
          <w:lang w:val="en-GB"/>
        </w:rPr>
        <w:t xml:space="preserve">the care of the </w:t>
      </w:r>
      <w:r w:rsidR="007A46D6">
        <w:rPr>
          <w:rFonts w:cs="Arial"/>
          <w:color w:val="auto"/>
          <w:u w:color="004C7F"/>
          <w:lang w:val="en-GB"/>
        </w:rPr>
        <w:t>infants</w:t>
      </w:r>
      <w:r w:rsidR="007A46D6" w:rsidRPr="006C09BD">
        <w:rPr>
          <w:rFonts w:cs="Arial"/>
          <w:color w:val="auto"/>
          <w:u w:color="004C7F"/>
          <w:lang w:val="en-GB"/>
        </w:rPr>
        <w:t xml:space="preserve"> </w:t>
      </w:r>
      <w:r w:rsidR="00060663" w:rsidRPr="006C09BD">
        <w:rPr>
          <w:rFonts w:cs="Arial"/>
          <w:color w:val="auto"/>
          <w:u w:color="004C7F"/>
          <w:lang w:val="en-GB"/>
        </w:rPr>
        <w:t>will revert to local practice.</w:t>
      </w:r>
    </w:p>
    <w:p w14:paraId="76B231D6" w14:textId="77777777" w:rsidR="00D6611A" w:rsidRPr="006C09BD" w:rsidRDefault="00D6611A">
      <w:pPr>
        <w:pStyle w:val="BodyA"/>
        <w:widowControl w:val="0"/>
        <w:spacing w:line="360" w:lineRule="auto"/>
        <w:rPr>
          <w:rFonts w:cs="Arial"/>
          <w:color w:val="auto"/>
          <w:u w:color="004C7F"/>
          <w:lang w:val="en-GB"/>
        </w:rPr>
      </w:pPr>
    </w:p>
    <w:p w14:paraId="074D918A" w14:textId="6DB8FB78" w:rsidR="0050292B" w:rsidRPr="006C09BD" w:rsidRDefault="00551CF0">
      <w:pPr>
        <w:pStyle w:val="BodyA"/>
        <w:widowControl w:val="0"/>
        <w:spacing w:line="360" w:lineRule="auto"/>
        <w:rPr>
          <w:rFonts w:cs="Arial"/>
          <w:b/>
          <w:bCs/>
          <w:sz w:val="24"/>
          <w:szCs w:val="24"/>
          <w:lang w:val="en-GB"/>
        </w:rPr>
      </w:pPr>
      <w:r w:rsidRPr="006C09BD">
        <w:rPr>
          <w:rFonts w:cs="Arial"/>
          <w:b/>
          <w:bCs/>
          <w:sz w:val="24"/>
          <w:szCs w:val="24"/>
          <w:lang w:val="en-GB"/>
        </w:rPr>
        <w:t>Outcomes {1</w:t>
      </w:r>
      <w:r w:rsidR="003079CF" w:rsidRPr="006C09BD">
        <w:rPr>
          <w:rFonts w:cs="Arial"/>
          <w:b/>
          <w:bCs/>
          <w:sz w:val="24"/>
          <w:szCs w:val="24"/>
          <w:lang w:val="en-GB"/>
        </w:rPr>
        <w:t>6</w:t>
      </w:r>
      <w:r w:rsidRPr="006C09BD">
        <w:rPr>
          <w:rFonts w:cs="Arial"/>
          <w:b/>
          <w:bCs/>
          <w:sz w:val="24"/>
          <w:szCs w:val="24"/>
          <w:lang w:val="en-GB"/>
        </w:rPr>
        <w:t>}</w:t>
      </w:r>
    </w:p>
    <w:p w14:paraId="6DCFA5C6" w14:textId="77777777" w:rsidR="00E43887" w:rsidRPr="006C09BD" w:rsidRDefault="00E43887" w:rsidP="00E43887">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4819"/>
        <w:gridCol w:w="2410"/>
      </w:tblGrid>
      <w:tr w:rsidR="00E43887" w:rsidRPr="006C09BD" w14:paraId="32CF0E57" w14:textId="77777777" w:rsidTr="00E757CD">
        <w:trPr>
          <w:trHeight w:val="338"/>
        </w:trPr>
        <w:tc>
          <w:tcPr>
            <w:tcW w:w="2689" w:type="dxa"/>
            <w:shd w:val="clear" w:color="auto" w:fill="auto"/>
            <w:tcMar>
              <w:bottom w:w="57" w:type="dxa"/>
            </w:tcMar>
          </w:tcPr>
          <w:p w14:paraId="0003B251" w14:textId="77777777" w:rsidR="00E43887" w:rsidRPr="006C09BD" w:rsidRDefault="00E43887" w:rsidP="005A3E88">
            <w:pPr>
              <w:pStyle w:val="NORMLAnospacing"/>
              <w:rPr>
                <w:rStyle w:val="Strong"/>
              </w:rPr>
            </w:pPr>
            <w:r w:rsidRPr="006C09BD">
              <w:rPr>
                <w:rStyle w:val="Strong"/>
              </w:rPr>
              <w:t>Primary outcome</w:t>
            </w:r>
          </w:p>
        </w:tc>
        <w:tc>
          <w:tcPr>
            <w:tcW w:w="4819" w:type="dxa"/>
            <w:shd w:val="clear" w:color="auto" w:fill="auto"/>
            <w:tcMar>
              <w:bottom w:w="57" w:type="dxa"/>
            </w:tcMar>
          </w:tcPr>
          <w:p w14:paraId="28DC6B79" w14:textId="77777777" w:rsidR="00E43887" w:rsidRPr="006C09BD" w:rsidRDefault="00E43887" w:rsidP="005A3E88">
            <w:pPr>
              <w:pStyle w:val="NORMLAnospacing"/>
              <w:rPr>
                <w:rStyle w:val="Strong"/>
              </w:rPr>
            </w:pPr>
            <w:r w:rsidRPr="006C09BD">
              <w:rPr>
                <w:rStyle w:val="Strong"/>
              </w:rPr>
              <w:t>Primary outcome measure</w:t>
            </w:r>
          </w:p>
        </w:tc>
        <w:tc>
          <w:tcPr>
            <w:tcW w:w="2410" w:type="dxa"/>
            <w:shd w:val="clear" w:color="auto" w:fill="auto"/>
            <w:tcMar>
              <w:bottom w:w="57" w:type="dxa"/>
            </w:tcMar>
          </w:tcPr>
          <w:p w14:paraId="2B13D494" w14:textId="77777777" w:rsidR="00E43887" w:rsidRPr="006C09BD" w:rsidRDefault="00E43887" w:rsidP="005A3E88">
            <w:pPr>
              <w:pStyle w:val="NORMLAnospacing"/>
              <w:rPr>
                <w:rStyle w:val="Strong"/>
              </w:rPr>
            </w:pPr>
            <w:r w:rsidRPr="006C09BD">
              <w:rPr>
                <w:rStyle w:val="Strong"/>
              </w:rPr>
              <w:t>Time point</w:t>
            </w:r>
          </w:p>
        </w:tc>
      </w:tr>
      <w:tr w:rsidR="00E43887" w:rsidRPr="006C09BD" w14:paraId="23D56A6D" w14:textId="77777777" w:rsidTr="00E757CD">
        <w:trPr>
          <w:trHeight w:val="338"/>
        </w:trPr>
        <w:tc>
          <w:tcPr>
            <w:tcW w:w="2689" w:type="dxa"/>
            <w:tcBorders>
              <w:bottom w:val="single" w:sz="4" w:space="0" w:color="auto"/>
            </w:tcBorders>
            <w:tcMar>
              <w:bottom w:w="57" w:type="dxa"/>
            </w:tcMar>
          </w:tcPr>
          <w:p w14:paraId="4C65F642" w14:textId="77777777" w:rsidR="00E43887" w:rsidRPr="006C09BD" w:rsidRDefault="00E43887" w:rsidP="005A3E88">
            <w:pPr>
              <w:pStyle w:val="NORMLAnospacing"/>
            </w:pPr>
            <w:r w:rsidRPr="006C09BD">
              <w:t xml:space="preserve">Primary outcome </w:t>
            </w:r>
            <w:r w:rsidRPr="006C09BD">
              <w:br/>
              <w:t>(superiority outcome)</w:t>
            </w:r>
          </w:p>
        </w:tc>
        <w:tc>
          <w:tcPr>
            <w:tcW w:w="4819" w:type="dxa"/>
            <w:tcBorders>
              <w:bottom w:val="single" w:sz="4" w:space="0" w:color="auto"/>
            </w:tcBorders>
            <w:tcMar>
              <w:bottom w:w="57" w:type="dxa"/>
            </w:tcMar>
          </w:tcPr>
          <w:p w14:paraId="7EA53194" w14:textId="053EDEA5" w:rsidR="00E43887" w:rsidRPr="006C09BD" w:rsidRDefault="00E43887" w:rsidP="005A3E88">
            <w:pPr>
              <w:pStyle w:val="NORMLAnospacing"/>
            </w:pPr>
            <w:r w:rsidRPr="006C09BD">
              <w:t>Time</w:t>
            </w:r>
            <w:r w:rsidR="0023663D" w:rsidRPr="006C09BD">
              <w:t xml:space="preserve"> (in days)</w:t>
            </w:r>
            <w:r w:rsidRPr="006C09BD">
              <w:t xml:space="preserve"> from birth to reach full milk feeds for 3 consecutive days (at least 145 ml/kg/day where this is considered full enteral feeds, or where breastfeeding and any additional milk is considered equivalent to full enteral feeds)</w:t>
            </w:r>
          </w:p>
        </w:tc>
        <w:tc>
          <w:tcPr>
            <w:tcW w:w="2410" w:type="dxa"/>
            <w:tcBorders>
              <w:bottom w:val="single" w:sz="4" w:space="0" w:color="auto"/>
            </w:tcBorders>
            <w:tcMar>
              <w:bottom w:w="57" w:type="dxa"/>
            </w:tcMar>
          </w:tcPr>
          <w:p w14:paraId="226BFCFE" w14:textId="22F59125" w:rsidR="00E43887" w:rsidRPr="006C09BD" w:rsidRDefault="0023663D" w:rsidP="005A3E88">
            <w:pPr>
              <w:pStyle w:val="NORMLAnospacing"/>
            </w:pPr>
            <w:r w:rsidRPr="006C09BD">
              <w:rPr>
                <w:szCs w:val="20"/>
              </w:rPr>
              <w:t>Up to discharge home or 44+0 gestational weeks+days (whichever is sooner)</w:t>
            </w:r>
          </w:p>
        </w:tc>
      </w:tr>
      <w:tr w:rsidR="00E43887" w:rsidRPr="006C09BD" w14:paraId="443C29CF" w14:textId="77777777" w:rsidTr="00E757CD">
        <w:trPr>
          <w:trHeight w:val="338"/>
        </w:trPr>
        <w:tc>
          <w:tcPr>
            <w:tcW w:w="2689" w:type="dxa"/>
            <w:tcBorders>
              <w:bottom w:val="nil"/>
            </w:tcBorders>
            <w:shd w:val="clear" w:color="auto" w:fill="auto"/>
            <w:tcMar>
              <w:bottom w:w="57" w:type="dxa"/>
            </w:tcMar>
          </w:tcPr>
          <w:p w14:paraId="4D609C62" w14:textId="77777777" w:rsidR="00E43887" w:rsidRPr="006C09BD" w:rsidRDefault="00E43887" w:rsidP="005A3E88">
            <w:pPr>
              <w:pStyle w:val="NORMLAnospacing"/>
              <w:rPr>
                <w:rStyle w:val="Strong"/>
              </w:rPr>
            </w:pPr>
            <w:r w:rsidRPr="006C09BD">
              <w:rPr>
                <w:rStyle w:val="Strong"/>
              </w:rPr>
              <w:t>Secondary outcomes</w:t>
            </w:r>
          </w:p>
        </w:tc>
        <w:tc>
          <w:tcPr>
            <w:tcW w:w="4819" w:type="dxa"/>
            <w:tcBorders>
              <w:bottom w:val="nil"/>
            </w:tcBorders>
            <w:shd w:val="clear" w:color="auto" w:fill="auto"/>
            <w:tcMar>
              <w:bottom w:w="57" w:type="dxa"/>
            </w:tcMar>
          </w:tcPr>
          <w:p w14:paraId="0E5C2BB4" w14:textId="77777777" w:rsidR="00E43887" w:rsidRPr="006C09BD" w:rsidRDefault="00E43887" w:rsidP="005A3E88">
            <w:pPr>
              <w:pStyle w:val="NORMLAnospacing"/>
              <w:rPr>
                <w:rStyle w:val="Strong"/>
              </w:rPr>
            </w:pPr>
            <w:r w:rsidRPr="006C09BD">
              <w:rPr>
                <w:rStyle w:val="Strong"/>
              </w:rPr>
              <w:t>Secondary clinical outcome measures</w:t>
            </w:r>
          </w:p>
        </w:tc>
        <w:tc>
          <w:tcPr>
            <w:tcW w:w="2410" w:type="dxa"/>
            <w:tcBorders>
              <w:bottom w:val="nil"/>
            </w:tcBorders>
            <w:shd w:val="clear" w:color="auto" w:fill="auto"/>
            <w:tcMar>
              <w:bottom w:w="57" w:type="dxa"/>
            </w:tcMar>
          </w:tcPr>
          <w:p w14:paraId="0105528A" w14:textId="77777777" w:rsidR="00E43887" w:rsidRPr="006C09BD" w:rsidRDefault="00E43887" w:rsidP="005A3E88">
            <w:pPr>
              <w:pStyle w:val="NORMLAnospacing"/>
              <w:rPr>
                <w:rStyle w:val="Strong"/>
              </w:rPr>
            </w:pPr>
            <w:r w:rsidRPr="006C09BD">
              <w:rPr>
                <w:rStyle w:val="Strong"/>
              </w:rPr>
              <w:t xml:space="preserve">Time point(s) of evaluation </w:t>
            </w:r>
          </w:p>
        </w:tc>
      </w:tr>
      <w:tr w:rsidR="0023663D" w:rsidRPr="006C09BD" w14:paraId="3580C579" w14:textId="77777777" w:rsidTr="00E757CD">
        <w:trPr>
          <w:trHeight w:val="338"/>
        </w:trPr>
        <w:tc>
          <w:tcPr>
            <w:tcW w:w="2689" w:type="dxa"/>
            <w:tcBorders>
              <w:top w:val="nil"/>
            </w:tcBorders>
            <w:tcMar>
              <w:bottom w:w="57" w:type="dxa"/>
            </w:tcMar>
          </w:tcPr>
          <w:p w14:paraId="531CD473" w14:textId="77777777" w:rsidR="0023663D" w:rsidRPr="006C09BD" w:rsidRDefault="0023663D" w:rsidP="005A3E88">
            <w:pPr>
              <w:pStyle w:val="NORMLAnospacing"/>
            </w:pPr>
            <w:r w:rsidRPr="006C09BD">
              <w:t>Key secondary outcome</w:t>
            </w:r>
            <w:r w:rsidRPr="006C09BD">
              <w:br/>
              <w:t>(non-inferiority outcome)</w:t>
            </w:r>
          </w:p>
        </w:tc>
        <w:tc>
          <w:tcPr>
            <w:tcW w:w="4819" w:type="dxa"/>
            <w:tcBorders>
              <w:top w:val="nil"/>
            </w:tcBorders>
            <w:tcMar>
              <w:bottom w:w="57" w:type="dxa"/>
            </w:tcMar>
          </w:tcPr>
          <w:p w14:paraId="140F1473" w14:textId="17D40E0E" w:rsidR="0023663D" w:rsidRPr="006C09BD" w:rsidRDefault="0023663D" w:rsidP="001F7EAB">
            <w:pPr>
              <w:pStyle w:val="NORMLAnospacing"/>
              <w:rPr>
                <w:highlight w:val="yellow"/>
              </w:rPr>
            </w:pPr>
            <w:r w:rsidRPr="006C09BD">
              <w:t>NEC: modified Bell’s stage 2 or greate</w:t>
            </w:r>
            <w:r w:rsidR="00FB1581" w:rsidRPr="006C09BD">
              <w:t>r</w:t>
            </w:r>
            <w:r w:rsidR="002C1B83" w:rsidRPr="006C09BD">
              <w:t xml:space="preserve"> [1</w:t>
            </w:r>
            <w:r w:rsidR="00E65880" w:rsidRPr="006C09BD">
              <w:t>5</w:t>
            </w:r>
            <w:r w:rsidR="002C1B83" w:rsidRPr="006C09BD">
              <w:t>]</w:t>
            </w:r>
            <w:r w:rsidRPr="006C09BD">
              <w:t xml:space="preserve">, evaluated by blinded endpoint review committee </w:t>
            </w:r>
            <w:r w:rsidR="00BC5BBC" w:rsidRPr="006C09BD">
              <w:t>(BERC)</w:t>
            </w:r>
          </w:p>
        </w:tc>
        <w:tc>
          <w:tcPr>
            <w:tcW w:w="2410" w:type="dxa"/>
            <w:vMerge w:val="restart"/>
            <w:tcBorders>
              <w:top w:val="nil"/>
            </w:tcBorders>
            <w:tcMar>
              <w:bottom w:w="57" w:type="dxa"/>
            </w:tcMar>
          </w:tcPr>
          <w:p w14:paraId="21903CFF" w14:textId="3A1147E9" w:rsidR="0023663D" w:rsidRPr="006C09BD" w:rsidRDefault="0023663D" w:rsidP="005A3E88">
            <w:pPr>
              <w:pStyle w:val="NORMLAnospacing"/>
            </w:pPr>
            <w:r w:rsidRPr="006C09BD">
              <w:rPr>
                <w:szCs w:val="20"/>
              </w:rPr>
              <w:t>Up to discharge home or 44+0 gestational weeks+days (whichever is sooner)</w:t>
            </w:r>
          </w:p>
        </w:tc>
      </w:tr>
      <w:tr w:rsidR="0023663D" w:rsidRPr="006C09BD" w14:paraId="709B1E04" w14:textId="77777777" w:rsidTr="00E43887">
        <w:trPr>
          <w:trHeight w:val="338"/>
        </w:trPr>
        <w:tc>
          <w:tcPr>
            <w:tcW w:w="2689" w:type="dxa"/>
            <w:vMerge w:val="restart"/>
            <w:tcMar>
              <w:bottom w:w="57" w:type="dxa"/>
            </w:tcMar>
          </w:tcPr>
          <w:p w14:paraId="28248DB2" w14:textId="77777777" w:rsidR="0023663D" w:rsidRPr="006C09BD" w:rsidRDefault="0023663D" w:rsidP="005A3E88">
            <w:pPr>
              <w:pStyle w:val="NORMLAnospacing"/>
            </w:pPr>
            <w:r w:rsidRPr="006C09BD">
              <w:t xml:space="preserve">Other secondary outcomes </w:t>
            </w:r>
          </w:p>
        </w:tc>
        <w:tc>
          <w:tcPr>
            <w:tcW w:w="4819" w:type="dxa"/>
            <w:tcMar>
              <w:bottom w:w="57" w:type="dxa"/>
            </w:tcMar>
          </w:tcPr>
          <w:p w14:paraId="1D5CBE3B" w14:textId="52740890" w:rsidR="0023663D" w:rsidRPr="006C09BD" w:rsidRDefault="0023663D" w:rsidP="005A3E88">
            <w:pPr>
              <w:pStyle w:val="Tablebulletpoint"/>
              <w:rPr>
                <w:rFonts w:cs="Arial"/>
              </w:rPr>
            </w:pPr>
            <w:r w:rsidRPr="006C09BD">
              <w:rPr>
                <w:rFonts w:cs="Arial"/>
              </w:rPr>
              <w:t>Severe NEC, confirmed at surgery or leading to death</w:t>
            </w:r>
            <w:r w:rsidR="00940EB5" w:rsidRPr="006C09BD">
              <w:rPr>
                <w:rFonts w:cs="Arial"/>
              </w:rPr>
              <w:t xml:space="preserve">, evaluated by </w:t>
            </w:r>
            <w:r w:rsidR="00181B0F" w:rsidRPr="006C09BD">
              <w:t>BERC</w:t>
            </w:r>
          </w:p>
        </w:tc>
        <w:tc>
          <w:tcPr>
            <w:tcW w:w="2410" w:type="dxa"/>
            <w:vMerge/>
            <w:tcMar>
              <w:bottom w:w="57" w:type="dxa"/>
            </w:tcMar>
          </w:tcPr>
          <w:p w14:paraId="09FAABBD" w14:textId="77777777" w:rsidR="0023663D" w:rsidRPr="006C09BD" w:rsidRDefault="0023663D" w:rsidP="005A3E88">
            <w:pPr>
              <w:pStyle w:val="NORMLAnospacing"/>
            </w:pPr>
          </w:p>
        </w:tc>
      </w:tr>
      <w:tr w:rsidR="0023663D" w:rsidRPr="006C09BD" w14:paraId="7165331B" w14:textId="77777777" w:rsidTr="00E43887">
        <w:trPr>
          <w:trHeight w:val="338"/>
        </w:trPr>
        <w:tc>
          <w:tcPr>
            <w:tcW w:w="2689" w:type="dxa"/>
            <w:vMerge/>
            <w:tcMar>
              <w:bottom w:w="57" w:type="dxa"/>
            </w:tcMar>
          </w:tcPr>
          <w:p w14:paraId="09DB6DAD" w14:textId="77777777" w:rsidR="0023663D" w:rsidRPr="006C09BD" w:rsidRDefault="0023663D" w:rsidP="005A3E88">
            <w:pPr>
              <w:pStyle w:val="NORMLAnospacing"/>
            </w:pPr>
          </w:p>
        </w:tc>
        <w:tc>
          <w:tcPr>
            <w:tcW w:w="4819" w:type="dxa"/>
            <w:tcMar>
              <w:bottom w:w="57" w:type="dxa"/>
            </w:tcMar>
          </w:tcPr>
          <w:p w14:paraId="420B40D1" w14:textId="77777777" w:rsidR="0023663D" w:rsidRPr="006C09BD" w:rsidRDefault="0023663D" w:rsidP="005A3E88">
            <w:pPr>
              <w:pStyle w:val="Tablebulletpoint"/>
              <w:rPr>
                <w:rFonts w:cs="Arial"/>
              </w:rPr>
            </w:pPr>
            <w:r w:rsidRPr="006C09BD">
              <w:rPr>
                <w:rFonts w:cs="Arial"/>
              </w:rPr>
              <w:t xml:space="preserve">All-cause mortality </w:t>
            </w:r>
          </w:p>
        </w:tc>
        <w:tc>
          <w:tcPr>
            <w:tcW w:w="2410" w:type="dxa"/>
            <w:vMerge/>
            <w:tcMar>
              <w:bottom w:w="57" w:type="dxa"/>
            </w:tcMar>
          </w:tcPr>
          <w:p w14:paraId="44C269E4" w14:textId="77777777" w:rsidR="0023663D" w:rsidRPr="006C09BD" w:rsidRDefault="0023663D" w:rsidP="005A3E88">
            <w:pPr>
              <w:pStyle w:val="NORMLAnospacing"/>
            </w:pPr>
          </w:p>
        </w:tc>
      </w:tr>
      <w:tr w:rsidR="0023663D" w:rsidRPr="006C09BD" w14:paraId="3DB920CC" w14:textId="77777777" w:rsidTr="00E43887">
        <w:trPr>
          <w:trHeight w:val="338"/>
        </w:trPr>
        <w:tc>
          <w:tcPr>
            <w:tcW w:w="2689" w:type="dxa"/>
            <w:vMerge/>
            <w:tcMar>
              <w:bottom w:w="57" w:type="dxa"/>
            </w:tcMar>
          </w:tcPr>
          <w:p w14:paraId="5266867F" w14:textId="77777777" w:rsidR="0023663D" w:rsidRPr="006C09BD" w:rsidRDefault="0023663D" w:rsidP="005A3E88">
            <w:pPr>
              <w:pStyle w:val="NORMLAnospacing"/>
            </w:pPr>
          </w:p>
        </w:tc>
        <w:tc>
          <w:tcPr>
            <w:tcW w:w="4819" w:type="dxa"/>
            <w:tcMar>
              <w:bottom w:w="57" w:type="dxa"/>
            </w:tcMar>
          </w:tcPr>
          <w:p w14:paraId="4242A15C" w14:textId="48796FC7" w:rsidR="0023663D" w:rsidRPr="006C09BD" w:rsidRDefault="0023663D" w:rsidP="005A3E88">
            <w:pPr>
              <w:pStyle w:val="Tablebulletpoint"/>
              <w:rPr>
                <w:rFonts w:cs="Arial"/>
              </w:rPr>
            </w:pPr>
            <w:r w:rsidRPr="006C09BD">
              <w:rPr>
                <w:rFonts w:cs="Arial"/>
              </w:rPr>
              <w:t>Focal intestinal perforation</w:t>
            </w:r>
            <w:r w:rsidR="00940EB5" w:rsidRPr="006C09BD">
              <w:rPr>
                <w:rFonts w:cs="Arial"/>
              </w:rPr>
              <w:t xml:space="preserve">, evaluated by </w:t>
            </w:r>
            <w:r w:rsidR="00181B0F" w:rsidRPr="006C09BD">
              <w:t>BERC</w:t>
            </w:r>
          </w:p>
        </w:tc>
        <w:tc>
          <w:tcPr>
            <w:tcW w:w="2410" w:type="dxa"/>
            <w:vMerge/>
            <w:tcMar>
              <w:bottom w:w="57" w:type="dxa"/>
            </w:tcMar>
          </w:tcPr>
          <w:p w14:paraId="11351D7E" w14:textId="77777777" w:rsidR="0023663D" w:rsidRPr="006C09BD" w:rsidRDefault="0023663D" w:rsidP="005A3E88">
            <w:pPr>
              <w:pStyle w:val="NORMLAnospacing"/>
            </w:pPr>
          </w:p>
        </w:tc>
      </w:tr>
      <w:tr w:rsidR="0023663D" w:rsidRPr="006C09BD" w14:paraId="48FE7292" w14:textId="77777777" w:rsidTr="00E43887">
        <w:trPr>
          <w:trHeight w:val="338"/>
        </w:trPr>
        <w:tc>
          <w:tcPr>
            <w:tcW w:w="2689" w:type="dxa"/>
            <w:vMerge/>
            <w:tcMar>
              <w:bottom w:w="57" w:type="dxa"/>
            </w:tcMar>
          </w:tcPr>
          <w:p w14:paraId="022C0A87" w14:textId="77777777" w:rsidR="0023663D" w:rsidRPr="006C09BD" w:rsidRDefault="0023663D" w:rsidP="005A3E88">
            <w:pPr>
              <w:pStyle w:val="NORMLAnospacing"/>
            </w:pPr>
          </w:p>
        </w:tc>
        <w:tc>
          <w:tcPr>
            <w:tcW w:w="4819" w:type="dxa"/>
            <w:tcMar>
              <w:bottom w:w="57" w:type="dxa"/>
            </w:tcMar>
          </w:tcPr>
          <w:p w14:paraId="6E9C9D67" w14:textId="77777777" w:rsidR="0023663D" w:rsidRPr="006C09BD" w:rsidRDefault="0023663D" w:rsidP="005A3E88">
            <w:pPr>
              <w:pStyle w:val="Tablebulletpoint"/>
              <w:rPr>
                <w:rFonts w:cs="Arial"/>
              </w:rPr>
            </w:pPr>
            <w:r w:rsidRPr="006C09BD">
              <w:rPr>
                <w:rFonts w:cs="Arial"/>
              </w:rPr>
              <w:t>Gastrointestinal surgery</w:t>
            </w:r>
          </w:p>
        </w:tc>
        <w:tc>
          <w:tcPr>
            <w:tcW w:w="2410" w:type="dxa"/>
            <w:vMerge/>
            <w:tcMar>
              <w:bottom w:w="57" w:type="dxa"/>
            </w:tcMar>
          </w:tcPr>
          <w:p w14:paraId="094F79C0" w14:textId="77777777" w:rsidR="0023663D" w:rsidRPr="006C09BD" w:rsidRDefault="0023663D" w:rsidP="005A3E88">
            <w:pPr>
              <w:pStyle w:val="NORMLAnospacing"/>
            </w:pPr>
          </w:p>
        </w:tc>
      </w:tr>
      <w:tr w:rsidR="0023663D" w:rsidRPr="006C09BD" w14:paraId="6B166D73" w14:textId="77777777" w:rsidTr="00E43887">
        <w:trPr>
          <w:trHeight w:val="338"/>
        </w:trPr>
        <w:tc>
          <w:tcPr>
            <w:tcW w:w="2689" w:type="dxa"/>
            <w:vMerge/>
            <w:tcMar>
              <w:bottom w:w="57" w:type="dxa"/>
            </w:tcMar>
          </w:tcPr>
          <w:p w14:paraId="647E313D" w14:textId="77777777" w:rsidR="0023663D" w:rsidRPr="006C09BD" w:rsidRDefault="0023663D" w:rsidP="005A3E88">
            <w:pPr>
              <w:pStyle w:val="NORMLAnospacing"/>
            </w:pPr>
          </w:p>
        </w:tc>
        <w:tc>
          <w:tcPr>
            <w:tcW w:w="4819" w:type="dxa"/>
            <w:tcMar>
              <w:bottom w:w="57" w:type="dxa"/>
            </w:tcMar>
          </w:tcPr>
          <w:p w14:paraId="5833E812" w14:textId="77C04592" w:rsidR="0023663D" w:rsidRPr="006C09BD" w:rsidRDefault="0023663D" w:rsidP="00FB5D0A">
            <w:pPr>
              <w:pStyle w:val="Tablebulletpoint"/>
              <w:rPr>
                <w:rFonts w:cs="Arial"/>
              </w:rPr>
            </w:pPr>
            <w:r w:rsidRPr="006C09BD">
              <w:rPr>
                <w:rFonts w:cs="Arial"/>
              </w:rPr>
              <w:t>Late-onset infection (&gt;72 hours after birth): microbiologically-confirmed</w:t>
            </w:r>
            <w:r w:rsidR="002C1B83" w:rsidRPr="006C09BD">
              <w:rPr>
                <w:rFonts w:cs="Arial"/>
              </w:rPr>
              <w:t xml:space="preserve"> [1</w:t>
            </w:r>
            <w:r w:rsidR="00692054" w:rsidRPr="006C09BD">
              <w:rPr>
                <w:rFonts w:cs="Arial"/>
              </w:rPr>
              <w:t>9</w:t>
            </w:r>
            <w:r w:rsidR="002C1B83" w:rsidRPr="006C09BD">
              <w:rPr>
                <w:rFonts w:cs="Arial"/>
              </w:rPr>
              <w:t xml:space="preserve">, </w:t>
            </w:r>
            <w:r w:rsidR="00692054" w:rsidRPr="006C09BD">
              <w:rPr>
                <w:rFonts w:cs="Arial"/>
              </w:rPr>
              <w:t>20</w:t>
            </w:r>
            <w:r w:rsidR="002C1B83" w:rsidRPr="006C09BD">
              <w:rPr>
                <w:rFonts w:cs="Arial"/>
              </w:rPr>
              <w:t>]</w:t>
            </w:r>
            <w:r w:rsidRPr="006C09BD">
              <w:rPr>
                <w:rFonts w:cs="Arial"/>
              </w:rPr>
              <w:fldChar w:fldCharType="begin">
                <w:fldData xml:space="preserve">PEVuZE5vdGU+PENpdGU+PEF1dGhvcj5FTUE8L0F1dGhvcj48WWVhcj4yMDEwPC9ZZWFyPjxSZWNO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=
</w:fldData>
              </w:fldChar>
            </w:r>
            <w:r w:rsidRPr="006C09BD">
              <w:rPr>
                <w:rFonts w:cs="Arial"/>
              </w:rPr>
              <w:instrText xml:space="preserve"> ADDIN EN.CITE </w:instrText>
            </w:r>
            <w:r w:rsidRPr="006C09BD">
              <w:rPr>
                <w:rFonts w:cs="Arial"/>
              </w:rPr>
              <w:fldChar w:fldCharType="begin">
                <w:fldData xml:space="preserve">PEVuZE5vdGU+PENpdGU+PEF1dGhvcj5FTUE8L0F1dGhvcj48WWVhcj4yMDEwPC9ZZWFyPjxSZWNO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=
</w:fldData>
              </w:fldChar>
            </w:r>
            <w:r w:rsidRPr="006C09BD">
              <w:rPr>
                <w:rFonts w:cs="Arial"/>
              </w:rPr>
              <w:instrText xml:space="preserve"> ADDIN EN.CITE.DATA </w:instrText>
            </w:r>
            <w:r w:rsidRPr="006C09BD">
              <w:rPr>
                <w:rFonts w:cs="Arial"/>
              </w:rPr>
            </w:r>
            <w:r w:rsidRPr="006C09BD">
              <w:rPr>
                <w:rFonts w:cs="Arial"/>
              </w:rPr>
              <w:fldChar w:fldCharType="end"/>
            </w:r>
            <w:r w:rsidRPr="006C09BD">
              <w:rPr>
                <w:rFonts w:cs="Arial"/>
              </w:rPr>
            </w:r>
            <w:r w:rsidRPr="006C09BD">
              <w:rPr>
                <w:rFonts w:cs="Arial"/>
              </w:rPr>
              <w:fldChar w:fldCharType="separate"/>
            </w:r>
            <w:r w:rsidR="00FB5D0A" w:rsidRPr="006C09BD">
              <w:rPr>
                <w:rFonts w:cs="Arial"/>
                <w:noProof/>
              </w:rPr>
              <w:t xml:space="preserve"> </w:t>
            </w:r>
            <w:r w:rsidRPr="006C09BD">
              <w:rPr>
                <w:rFonts w:cs="Arial"/>
              </w:rPr>
              <w:fldChar w:fldCharType="end"/>
            </w:r>
            <w:r w:rsidRPr="006C09BD">
              <w:rPr>
                <w:rFonts w:cs="Arial"/>
              </w:rPr>
              <w:t>or clinically</w:t>
            </w:r>
            <w:r w:rsidR="006424FB">
              <w:rPr>
                <w:rFonts w:cs="Arial"/>
              </w:rPr>
              <w:t>-</w:t>
            </w:r>
            <w:r w:rsidRPr="006C09BD">
              <w:rPr>
                <w:rFonts w:cs="Arial"/>
              </w:rPr>
              <w:t>suspected infection</w:t>
            </w:r>
            <w:r w:rsidR="002C1B83" w:rsidRPr="006C09BD">
              <w:rPr>
                <w:rFonts w:cs="Arial"/>
              </w:rPr>
              <w:t xml:space="preserve"> [2</w:t>
            </w:r>
            <w:r w:rsidR="00692054" w:rsidRPr="006C09BD">
              <w:rPr>
                <w:rFonts w:cs="Arial"/>
              </w:rPr>
              <w:t>1</w:t>
            </w:r>
            <w:r w:rsidR="002C1B83" w:rsidRPr="006C09BD">
              <w:rPr>
                <w:rFonts w:cs="Arial"/>
              </w:rPr>
              <w:t>]</w:t>
            </w:r>
            <w:r w:rsidRPr="006C09BD">
              <w:rPr>
                <w:rFonts w:cs="Arial"/>
              </w:rPr>
              <w:t xml:space="preserve"> evaluated by </w:t>
            </w:r>
            <w:r w:rsidR="00181B0F" w:rsidRPr="006C09BD">
              <w:t>BERC</w:t>
            </w:r>
          </w:p>
        </w:tc>
        <w:tc>
          <w:tcPr>
            <w:tcW w:w="2410" w:type="dxa"/>
            <w:vMerge/>
            <w:tcMar>
              <w:bottom w:w="57" w:type="dxa"/>
            </w:tcMar>
          </w:tcPr>
          <w:p w14:paraId="5A5ADE7E" w14:textId="77777777" w:rsidR="0023663D" w:rsidRPr="006C09BD" w:rsidRDefault="0023663D" w:rsidP="005A3E88">
            <w:pPr>
              <w:pStyle w:val="NORMLAnospacing"/>
            </w:pPr>
          </w:p>
        </w:tc>
      </w:tr>
      <w:tr w:rsidR="0023663D" w:rsidRPr="006C09BD" w14:paraId="6045172C" w14:textId="77777777" w:rsidTr="00E43887">
        <w:trPr>
          <w:trHeight w:val="338"/>
        </w:trPr>
        <w:tc>
          <w:tcPr>
            <w:tcW w:w="2689" w:type="dxa"/>
            <w:vMerge/>
            <w:tcMar>
              <w:bottom w:w="57" w:type="dxa"/>
            </w:tcMar>
          </w:tcPr>
          <w:p w14:paraId="5671C146" w14:textId="77777777" w:rsidR="0023663D" w:rsidRPr="006C09BD" w:rsidRDefault="0023663D" w:rsidP="005A3E88">
            <w:pPr>
              <w:pStyle w:val="NORMLAnospacing"/>
            </w:pPr>
          </w:p>
        </w:tc>
        <w:tc>
          <w:tcPr>
            <w:tcW w:w="4819" w:type="dxa"/>
            <w:tcMar>
              <w:bottom w:w="57" w:type="dxa"/>
            </w:tcMar>
          </w:tcPr>
          <w:p w14:paraId="651074DE" w14:textId="77777777" w:rsidR="0023663D" w:rsidRPr="006C09BD" w:rsidRDefault="0023663D" w:rsidP="005A3E88">
            <w:pPr>
              <w:pStyle w:val="Tablebulletpoint"/>
              <w:rPr>
                <w:rFonts w:cs="Arial"/>
              </w:rPr>
            </w:pPr>
            <w:r w:rsidRPr="006C09BD">
              <w:rPr>
                <w:rFonts w:cs="Arial"/>
              </w:rPr>
              <w:t xml:space="preserve">Duration of neonatal unit stay, in days, including all levels of care </w:t>
            </w:r>
          </w:p>
        </w:tc>
        <w:tc>
          <w:tcPr>
            <w:tcW w:w="2410" w:type="dxa"/>
            <w:vMerge/>
            <w:tcMar>
              <w:bottom w:w="57" w:type="dxa"/>
            </w:tcMar>
          </w:tcPr>
          <w:p w14:paraId="43604BB4" w14:textId="77777777" w:rsidR="0023663D" w:rsidRPr="006C09BD" w:rsidRDefault="0023663D" w:rsidP="005A3E88">
            <w:pPr>
              <w:pStyle w:val="NORMLAnospacing"/>
            </w:pPr>
          </w:p>
        </w:tc>
      </w:tr>
      <w:tr w:rsidR="0023663D" w:rsidRPr="006C09BD" w14:paraId="25657439" w14:textId="77777777" w:rsidTr="00E43887">
        <w:trPr>
          <w:trHeight w:val="338"/>
        </w:trPr>
        <w:tc>
          <w:tcPr>
            <w:tcW w:w="2689" w:type="dxa"/>
            <w:vMerge/>
            <w:tcMar>
              <w:bottom w:w="57" w:type="dxa"/>
            </w:tcMar>
          </w:tcPr>
          <w:p w14:paraId="5596EA92" w14:textId="77777777" w:rsidR="0023663D" w:rsidRPr="006C09BD" w:rsidRDefault="0023663D" w:rsidP="005A3E88">
            <w:pPr>
              <w:pStyle w:val="NORMLAnospacing"/>
            </w:pPr>
          </w:p>
        </w:tc>
        <w:tc>
          <w:tcPr>
            <w:tcW w:w="4819" w:type="dxa"/>
            <w:tcMar>
              <w:bottom w:w="57" w:type="dxa"/>
            </w:tcMar>
          </w:tcPr>
          <w:p w14:paraId="19B1B8FC" w14:textId="77777777" w:rsidR="0023663D" w:rsidRPr="006C09BD" w:rsidRDefault="0023663D" w:rsidP="005A3E88">
            <w:pPr>
              <w:pStyle w:val="Tablebulletpoint"/>
              <w:rPr>
                <w:rFonts w:cs="Arial"/>
              </w:rPr>
            </w:pPr>
            <w:r w:rsidRPr="006C09BD">
              <w:rPr>
                <w:rFonts w:cs="Arial"/>
              </w:rPr>
              <w:t xml:space="preserve">Duration of any parenteral nutrition, in days </w:t>
            </w:r>
          </w:p>
        </w:tc>
        <w:tc>
          <w:tcPr>
            <w:tcW w:w="2410" w:type="dxa"/>
            <w:vMerge/>
            <w:tcMar>
              <w:bottom w:w="57" w:type="dxa"/>
            </w:tcMar>
          </w:tcPr>
          <w:p w14:paraId="52125C22" w14:textId="77777777" w:rsidR="0023663D" w:rsidRPr="006C09BD" w:rsidRDefault="0023663D" w:rsidP="005A3E88">
            <w:pPr>
              <w:pStyle w:val="NORMLAnospacing"/>
            </w:pPr>
          </w:p>
        </w:tc>
      </w:tr>
      <w:tr w:rsidR="0023663D" w:rsidRPr="006C09BD" w14:paraId="04534231" w14:textId="77777777" w:rsidTr="00E43887">
        <w:trPr>
          <w:trHeight w:val="338"/>
        </w:trPr>
        <w:tc>
          <w:tcPr>
            <w:tcW w:w="2689" w:type="dxa"/>
            <w:vMerge/>
            <w:tcMar>
              <w:bottom w:w="57" w:type="dxa"/>
            </w:tcMar>
          </w:tcPr>
          <w:p w14:paraId="40286973" w14:textId="77777777" w:rsidR="0023663D" w:rsidRPr="006C09BD" w:rsidRDefault="0023663D" w:rsidP="005A3E88">
            <w:pPr>
              <w:pStyle w:val="NORMLAnospacing"/>
            </w:pPr>
          </w:p>
        </w:tc>
        <w:tc>
          <w:tcPr>
            <w:tcW w:w="4819" w:type="dxa"/>
            <w:tcMar>
              <w:bottom w:w="57" w:type="dxa"/>
            </w:tcMar>
          </w:tcPr>
          <w:p w14:paraId="69624A33" w14:textId="77777777" w:rsidR="0023663D" w:rsidRPr="006C09BD" w:rsidRDefault="0023663D" w:rsidP="005A3E88">
            <w:pPr>
              <w:pStyle w:val="Tablebulletpoint"/>
              <w:rPr>
                <w:rFonts w:cs="Arial"/>
              </w:rPr>
            </w:pPr>
            <w:r w:rsidRPr="006C09BD">
              <w:rPr>
                <w:rFonts w:cs="Arial"/>
              </w:rPr>
              <w:t xml:space="preserve">Duration with a central venous line in situ, in days </w:t>
            </w:r>
          </w:p>
        </w:tc>
        <w:tc>
          <w:tcPr>
            <w:tcW w:w="2410" w:type="dxa"/>
            <w:vMerge/>
            <w:tcMar>
              <w:bottom w:w="57" w:type="dxa"/>
            </w:tcMar>
          </w:tcPr>
          <w:p w14:paraId="7AC5762B" w14:textId="77777777" w:rsidR="0023663D" w:rsidRPr="006C09BD" w:rsidRDefault="0023663D" w:rsidP="005A3E88">
            <w:pPr>
              <w:pStyle w:val="NORMLAnospacing"/>
            </w:pPr>
          </w:p>
        </w:tc>
      </w:tr>
      <w:tr w:rsidR="0023663D" w:rsidRPr="006C09BD" w14:paraId="26499202" w14:textId="77777777" w:rsidTr="00E43887">
        <w:trPr>
          <w:trHeight w:val="338"/>
        </w:trPr>
        <w:tc>
          <w:tcPr>
            <w:tcW w:w="2689" w:type="dxa"/>
            <w:vMerge/>
            <w:tcMar>
              <w:bottom w:w="57" w:type="dxa"/>
            </w:tcMar>
          </w:tcPr>
          <w:p w14:paraId="091EFAF1" w14:textId="77777777" w:rsidR="0023663D" w:rsidRPr="006C09BD" w:rsidRDefault="0023663D" w:rsidP="005A3E88">
            <w:pPr>
              <w:pStyle w:val="NORMLAnospacing"/>
            </w:pPr>
          </w:p>
        </w:tc>
        <w:tc>
          <w:tcPr>
            <w:tcW w:w="4819" w:type="dxa"/>
            <w:tcMar>
              <w:bottom w:w="57" w:type="dxa"/>
            </w:tcMar>
          </w:tcPr>
          <w:p w14:paraId="048D9851" w14:textId="487EBF33" w:rsidR="0023663D" w:rsidRPr="006C09BD" w:rsidRDefault="0023663D" w:rsidP="005A3E88">
            <w:pPr>
              <w:pStyle w:val="Tablebulletpoint"/>
              <w:rPr>
                <w:rFonts w:cs="Arial"/>
              </w:rPr>
            </w:pPr>
            <w:r w:rsidRPr="006C09BD">
              <w:rPr>
                <w:rFonts w:cs="Arial"/>
              </w:rPr>
              <w:t>Weight</w:t>
            </w:r>
            <w:r w:rsidR="00ED4F9D" w:rsidRPr="006C09BD">
              <w:rPr>
                <w:rFonts w:cs="Arial"/>
              </w:rPr>
              <w:t xml:space="preserve"> for gestational age</w:t>
            </w:r>
            <w:r w:rsidRPr="006C09BD">
              <w:rPr>
                <w:rFonts w:cs="Arial"/>
              </w:rPr>
              <w:t xml:space="preserve"> standard deviation score</w:t>
            </w:r>
          </w:p>
        </w:tc>
        <w:tc>
          <w:tcPr>
            <w:tcW w:w="2410" w:type="dxa"/>
            <w:vMerge/>
            <w:tcMar>
              <w:bottom w:w="57" w:type="dxa"/>
            </w:tcMar>
          </w:tcPr>
          <w:p w14:paraId="471907B5" w14:textId="77777777" w:rsidR="0023663D" w:rsidRPr="006C09BD" w:rsidRDefault="0023663D" w:rsidP="005A3E88">
            <w:pPr>
              <w:pStyle w:val="NORMLAnospacing"/>
            </w:pPr>
          </w:p>
        </w:tc>
      </w:tr>
      <w:tr w:rsidR="0023663D" w:rsidRPr="006C09BD" w14:paraId="38294DD8" w14:textId="77777777" w:rsidTr="00E43887">
        <w:trPr>
          <w:trHeight w:val="338"/>
        </w:trPr>
        <w:tc>
          <w:tcPr>
            <w:tcW w:w="2689" w:type="dxa"/>
            <w:vMerge/>
            <w:tcMar>
              <w:bottom w:w="57" w:type="dxa"/>
            </w:tcMar>
          </w:tcPr>
          <w:p w14:paraId="6F7315BD" w14:textId="77777777" w:rsidR="0023663D" w:rsidRPr="006C09BD" w:rsidRDefault="0023663D" w:rsidP="005A3E88">
            <w:pPr>
              <w:pStyle w:val="NORMLAnospacing"/>
            </w:pPr>
          </w:p>
        </w:tc>
        <w:tc>
          <w:tcPr>
            <w:tcW w:w="4819" w:type="dxa"/>
            <w:tcMar>
              <w:bottom w:w="57" w:type="dxa"/>
            </w:tcMar>
          </w:tcPr>
          <w:p w14:paraId="2D15EAA6" w14:textId="511E5FEE" w:rsidR="0023663D" w:rsidRPr="006C09BD" w:rsidRDefault="0023663D" w:rsidP="005A3E88">
            <w:pPr>
              <w:pStyle w:val="Tablebulletpoint"/>
              <w:rPr>
                <w:rFonts w:cs="Arial"/>
              </w:rPr>
            </w:pPr>
            <w:r w:rsidRPr="006C09BD">
              <w:rPr>
                <w:rFonts w:cs="Arial"/>
              </w:rPr>
              <w:t xml:space="preserve">Head circumference </w:t>
            </w:r>
            <w:r w:rsidR="00ED4F9D" w:rsidRPr="006C09BD">
              <w:rPr>
                <w:rFonts w:cs="Arial"/>
              </w:rPr>
              <w:t xml:space="preserve">for gestational age </w:t>
            </w:r>
            <w:r w:rsidRPr="006C09BD">
              <w:rPr>
                <w:rFonts w:cs="Arial"/>
              </w:rPr>
              <w:t>standard deviation score</w:t>
            </w:r>
          </w:p>
        </w:tc>
        <w:tc>
          <w:tcPr>
            <w:tcW w:w="2410" w:type="dxa"/>
            <w:vMerge/>
            <w:tcMar>
              <w:bottom w:w="57" w:type="dxa"/>
            </w:tcMar>
          </w:tcPr>
          <w:p w14:paraId="3CD7A6DD" w14:textId="77777777" w:rsidR="0023663D" w:rsidRPr="006C09BD" w:rsidRDefault="0023663D" w:rsidP="005A3E88">
            <w:pPr>
              <w:pStyle w:val="NORMLAnospacing"/>
            </w:pPr>
          </w:p>
        </w:tc>
      </w:tr>
      <w:tr w:rsidR="0023663D" w:rsidRPr="006C09BD" w14:paraId="13F415D5" w14:textId="77777777" w:rsidTr="00E43887">
        <w:trPr>
          <w:trHeight w:val="338"/>
        </w:trPr>
        <w:tc>
          <w:tcPr>
            <w:tcW w:w="2689" w:type="dxa"/>
            <w:vMerge/>
            <w:tcMar>
              <w:bottom w:w="57" w:type="dxa"/>
            </w:tcMar>
          </w:tcPr>
          <w:p w14:paraId="239C1DFA" w14:textId="77777777" w:rsidR="0023663D" w:rsidRPr="006C09BD" w:rsidRDefault="0023663D" w:rsidP="005A3E88">
            <w:pPr>
              <w:pStyle w:val="NORMLAnospacing"/>
            </w:pPr>
          </w:p>
        </w:tc>
        <w:tc>
          <w:tcPr>
            <w:tcW w:w="4819" w:type="dxa"/>
            <w:tcMar>
              <w:bottom w:w="57" w:type="dxa"/>
            </w:tcMar>
          </w:tcPr>
          <w:p w14:paraId="3736D6BD" w14:textId="77777777" w:rsidR="0023663D" w:rsidRPr="006C09BD" w:rsidRDefault="0023663D" w:rsidP="005A3E88">
            <w:pPr>
              <w:pStyle w:val="Tablebulletpoint"/>
              <w:rPr>
                <w:rFonts w:cs="Arial"/>
              </w:rPr>
            </w:pPr>
            <w:r w:rsidRPr="006C09BD">
              <w:rPr>
                <w:rFonts w:cs="Arial"/>
              </w:rPr>
              <w:t xml:space="preserve">Duration of invasive ventilation, in days </w:t>
            </w:r>
          </w:p>
        </w:tc>
        <w:tc>
          <w:tcPr>
            <w:tcW w:w="2410" w:type="dxa"/>
            <w:vMerge/>
            <w:tcMar>
              <w:bottom w:w="57" w:type="dxa"/>
            </w:tcMar>
          </w:tcPr>
          <w:p w14:paraId="4DD8DF1C" w14:textId="77777777" w:rsidR="0023663D" w:rsidRPr="006C09BD" w:rsidRDefault="0023663D" w:rsidP="005A3E88">
            <w:pPr>
              <w:pStyle w:val="NORMLAnospacing"/>
            </w:pPr>
          </w:p>
        </w:tc>
      </w:tr>
      <w:tr w:rsidR="0023663D" w:rsidRPr="006C09BD" w14:paraId="21AB53BA" w14:textId="77777777" w:rsidTr="00E43887">
        <w:trPr>
          <w:trHeight w:val="338"/>
        </w:trPr>
        <w:tc>
          <w:tcPr>
            <w:tcW w:w="2689" w:type="dxa"/>
            <w:vMerge/>
            <w:tcMar>
              <w:bottom w:w="57" w:type="dxa"/>
            </w:tcMar>
          </w:tcPr>
          <w:p w14:paraId="15F64BFF" w14:textId="77777777" w:rsidR="0023663D" w:rsidRPr="006C09BD" w:rsidRDefault="0023663D" w:rsidP="005A3E88">
            <w:pPr>
              <w:pStyle w:val="NORMLAnospacing"/>
            </w:pPr>
          </w:p>
        </w:tc>
        <w:tc>
          <w:tcPr>
            <w:tcW w:w="4819" w:type="dxa"/>
            <w:tcMar>
              <w:bottom w:w="57" w:type="dxa"/>
            </w:tcMar>
          </w:tcPr>
          <w:p w14:paraId="24CE3148" w14:textId="48FD0876" w:rsidR="0023663D" w:rsidRPr="006C09BD" w:rsidRDefault="0023663D" w:rsidP="005A3E88">
            <w:pPr>
              <w:pStyle w:val="Tablebulletpoint"/>
              <w:rPr>
                <w:rFonts w:cs="Arial"/>
              </w:rPr>
            </w:pPr>
            <w:r w:rsidRPr="006C09BD">
              <w:rPr>
                <w:rFonts w:cs="Arial"/>
              </w:rPr>
              <w:t>Chronic lung disease: receiving</w:t>
            </w:r>
            <w:r w:rsidRPr="006C09BD" w:rsidDel="000A787A">
              <w:rPr>
                <w:rFonts w:cs="Arial"/>
              </w:rPr>
              <w:t xml:space="preserve"> </w:t>
            </w:r>
            <w:r w:rsidRPr="006C09BD">
              <w:rPr>
                <w:rFonts w:cs="Arial"/>
              </w:rPr>
              <w:t>oxygen or respiratory support at 36 weeks’ corrected gestation</w:t>
            </w:r>
            <w:r w:rsidR="0078461D" w:rsidRPr="006C09BD">
              <w:rPr>
                <w:rFonts w:cs="Arial"/>
              </w:rPr>
              <w:t>al</w:t>
            </w:r>
            <w:r w:rsidRPr="006C09BD">
              <w:rPr>
                <w:rFonts w:cs="Arial"/>
              </w:rPr>
              <w:t xml:space="preserve"> age </w:t>
            </w:r>
          </w:p>
        </w:tc>
        <w:tc>
          <w:tcPr>
            <w:tcW w:w="2410" w:type="dxa"/>
            <w:vMerge/>
            <w:tcMar>
              <w:bottom w:w="57" w:type="dxa"/>
            </w:tcMar>
          </w:tcPr>
          <w:p w14:paraId="1545611D" w14:textId="77777777" w:rsidR="0023663D" w:rsidRPr="006C09BD" w:rsidRDefault="0023663D" w:rsidP="005A3E88">
            <w:pPr>
              <w:pStyle w:val="NORMLAnospacing"/>
            </w:pPr>
          </w:p>
        </w:tc>
      </w:tr>
      <w:tr w:rsidR="0023663D" w:rsidRPr="006C09BD" w14:paraId="25436CEA" w14:textId="77777777" w:rsidTr="00E43887">
        <w:trPr>
          <w:trHeight w:val="338"/>
        </w:trPr>
        <w:tc>
          <w:tcPr>
            <w:tcW w:w="2689" w:type="dxa"/>
            <w:vMerge/>
            <w:tcMar>
              <w:bottom w:w="57" w:type="dxa"/>
            </w:tcMar>
          </w:tcPr>
          <w:p w14:paraId="44B7D745" w14:textId="77777777" w:rsidR="0023663D" w:rsidRPr="006C09BD" w:rsidRDefault="0023663D" w:rsidP="005A3E88">
            <w:pPr>
              <w:pStyle w:val="NORMLAnospacing"/>
            </w:pPr>
          </w:p>
        </w:tc>
        <w:tc>
          <w:tcPr>
            <w:tcW w:w="4819" w:type="dxa"/>
            <w:tcMar>
              <w:bottom w:w="57" w:type="dxa"/>
            </w:tcMar>
          </w:tcPr>
          <w:p w14:paraId="5BCA3D98" w14:textId="24DD694F" w:rsidR="0023663D" w:rsidRPr="006C09BD" w:rsidRDefault="0023663D" w:rsidP="00FB5D0A">
            <w:pPr>
              <w:pStyle w:val="Tablebulletpoint"/>
              <w:rPr>
                <w:rFonts w:cs="Arial"/>
              </w:rPr>
            </w:pPr>
            <w:r w:rsidRPr="006C09BD">
              <w:rPr>
                <w:rFonts w:cs="Arial"/>
              </w:rPr>
              <w:t>Retinopathy of prematurity</w:t>
            </w:r>
            <w:r w:rsidRPr="006C09BD" w:rsidDel="000A787A">
              <w:rPr>
                <w:rFonts w:cs="Arial"/>
              </w:rPr>
              <w:t>:</w:t>
            </w:r>
            <w:r w:rsidRPr="006C09BD">
              <w:rPr>
                <w:rFonts w:cs="Arial"/>
              </w:rPr>
              <w:t xml:space="preserve"> treated medically or surgically</w:t>
            </w:r>
            <w:r w:rsidR="00CC4DB3" w:rsidRPr="006C09BD">
              <w:rPr>
                <w:rFonts w:cs="Arial"/>
              </w:rPr>
              <w:t xml:space="preserve"> [2</w:t>
            </w:r>
            <w:r w:rsidR="00692054" w:rsidRPr="006C09BD">
              <w:rPr>
                <w:rFonts w:cs="Arial"/>
              </w:rPr>
              <w:t>2</w:t>
            </w:r>
            <w:r w:rsidR="00CC4DB3" w:rsidRPr="006C09BD">
              <w:rPr>
                <w:rFonts w:cs="Arial"/>
              </w:rPr>
              <w:t>]</w:t>
            </w:r>
            <w:r w:rsidRPr="006C09BD">
              <w:rPr>
                <w:rFonts w:cs="Arial"/>
              </w:rPr>
              <w:fldChar w:fldCharType="begin"/>
            </w:r>
            <w:r w:rsidRPr="006C09BD">
              <w:rPr>
                <w:rFonts w:cs="Arial"/>
              </w:rPr>
              <w:instrText xml:space="preserve"> ADDIN EN.CITE &lt;EndNote&gt;&lt;Cite&gt;&lt;Author&gt;International Committee for the Classification of Retinopathy of&lt;/Author&gt;&lt;Year&gt;2005&lt;/Year&gt;&lt;RecNum&gt;20&lt;/RecNum&gt;&lt;DisplayText&gt;(24)&lt;/DisplayText&gt;&lt;record&gt;&lt;rec-number&gt;20&lt;/rec-number&gt;&lt;foreign-keys&gt;&lt;key app="EN" db-id="ftr2dtpwtff0r1e522tvxv2cvzv5d2vrxs5z" timestamp="1660050024"&gt;20&lt;/key&gt;&lt;/foreign-keys&gt;&lt;ref-type name="Journal Article"&gt;17&lt;/ref-type&gt;&lt;contributors&gt;&lt;authors&gt;&lt;author&gt;International Committee for the Classification of Retinopathy of, Prematurity&lt;/author&gt;&lt;/authors&gt;&lt;/contributors&gt;&lt;titles&gt;&lt;title&gt;The International Classification of Retinopathy of Prematurity revisited&lt;/title&gt;&lt;secondary-title&gt;Arch Ophthalmol&lt;/secondary-title&gt;&lt;/titles&gt;&lt;periodical&gt;&lt;full-title&gt;Arch Ophthalmol&lt;/full-title&gt;&lt;/periodical&gt;&lt;pages&gt;991-9&lt;/pages&gt;&lt;volume&gt;123&lt;/volume&gt;&lt;number&gt;7&lt;/number&gt;&lt;edition&gt;2005/07/13&lt;/edition&gt;&lt;keywords&gt;&lt;keyword&gt;Humans&lt;/keyword&gt;&lt;keyword&gt;Infant, Newborn&lt;/keyword&gt;&lt;keyword&gt;*International Classification of Diseases&lt;/keyword&gt;&lt;keyword&gt;Retinal Vessels/pathology&lt;/keyword&gt;&lt;keyword&gt;Retinopathy of Prematurity/*classification/diagnosis&lt;/keyword&gt;&lt;/keywords&gt;&lt;dates&gt;&lt;year&gt;2005&lt;/year&gt;&lt;pub-dates&gt;&lt;date&gt;Jul&lt;/date&gt;&lt;/pub-dates&gt;&lt;/dates&gt;&lt;isbn&gt;0003-9950 (Print)&amp;#xD;0003-9950 (Linking)&lt;/isbn&gt;&lt;accession-num&gt;16009843&lt;/accession-num&gt;&lt;urls&gt;&lt;related-urls&gt;&lt;url&gt;https://www.ncbi.nlm.nih.gov/pubmed/16009843&lt;/url&gt;&lt;/related-urls&gt;&lt;/urls&gt;&lt;electronic-resource-num&gt;10.1001/archopht.123.7.991&lt;/electronic-resource-num&gt;&lt;/record&gt;&lt;/Cite&gt;&lt;/EndNote&gt;</w:instrText>
            </w:r>
            <w:r w:rsidRPr="006C09BD">
              <w:rPr>
                <w:rFonts w:cs="Arial"/>
              </w:rPr>
              <w:fldChar w:fldCharType="separate"/>
            </w:r>
            <w:r w:rsidR="00FB5D0A" w:rsidRPr="006C09BD">
              <w:rPr>
                <w:rFonts w:cs="Arial"/>
                <w:noProof/>
              </w:rPr>
              <w:t xml:space="preserve"> </w:t>
            </w:r>
            <w:r w:rsidRPr="006C09BD">
              <w:rPr>
                <w:rFonts w:cs="Arial"/>
              </w:rPr>
              <w:fldChar w:fldCharType="end"/>
            </w:r>
          </w:p>
        </w:tc>
        <w:tc>
          <w:tcPr>
            <w:tcW w:w="2410" w:type="dxa"/>
            <w:vMerge/>
            <w:tcMar>
              <w:bottom w:w="57" w:type="dxa"/>
            </w:tcMar>
          </w:tcPr>
          <w:p w14:paraId="78A9CDA7" w14:textId="77777777" w:rsidR="0023663D" w:rsidRPr="006C09BD" w:rsidRDefault="0023663D" w:rsidP="005A3E88">
            <w:pPr>
              <w:pStyle w:val="NORMLAnospacing"/>
            </w:pPr>
          </w:p>
        </w:tc>
      </w:tr>
      <w:tr w:rsidR="0023663D" w:rsidRPr="006C09BD" w14:paraId="01E634CF" w14:textId="77777777" w:rsidTr="00E43887">
        <w:trPr>
          <w:trHeight w:val="338"/>
        </w:trPr>
        <w:tc>
          <w:tcPr>
            <w:tcW w:w="2689" w:type="dxa"/>
            <w:vMerge/>
            <w:tcMar>
              <w:bottom w:w="57" w:type="dxa"/>
            </w:tcMar>
          </w:tcPr>
          <w:p w14:paraId="26B6208E" w14:textId="77777777" w:rsidR="0023663D" w:rsidRPr="006C09BD" w:rsidRDefault="0023663D" w:rsidP="005A3E88">
            <w:pPr>
              <w:pStyle w:val="NORMLAnospacing"/>
            </w:pPr>
          </w:p>
        </w:tc>
        <w:tc>
          <w:tcPr>
            <w:tcW w:w="4819" w:type="dxa"/>
            <w:tcMar>
              <w:bottom w:w="57" w:type="dxa"/>
            </w:tcMar>
          </w:tcPr>
          <w:p w14:paraId="340BAF5E" w14:textId="5B5F6EC5" w:rsidR="0023663D" w:rsidRPr="006C09BD" w:rsidRDefault="0023663D" w:rsidP="00FB5D0A">
            <w:pPr>
              <w:pStyle w:val="Tablebulletpoint"/>
              <w:rPr>
                <w:rFonts w:cs="Arial"/>
              </w:rPr>
            </w:pPr>
            <w:r w:rsidRPr="006C09BD">
              <w:rPr>
                <w:rFonts w:cs="Arial"/>
              </w:rPr>
              <w:t>Brain injury on imaging: intraventricular haemorrhage grade 3 or 4 and/or cystic periventricular leukomalacia</w:t>
            </w:r>
            <w:r w:rsidR="00CC4DB3" w:rsidRPr="006C09BD">
              <w:rPr>
                <w:rFonts w:cs="Arial"/>
              </w:rPr>
              <w:t xml:space="preserve"> [2</w:t>
            </w:r>
            <w:r w:rsidR="00692054" w:rsidRPr="006C09BD">
              <w:rPr>
                <w:rFonts w:cs="Arial"/>
              </w:rPr>
              <w:t>3</w:t>
            </w:r>
            <w:r w:rsidR="00CC4DB3" w:rsidRPr="006C09BD">
              <w:rPr>
                <w:rFonts w:cs="Arial"/>
              </w:rPr>
              <w:t>]</w:t>
            </w:r>
          </w:p>
        </w:tc>
        <w:tc>
          <w:tcPr>
            <w:tcW w:w="2410" w:type="dxa"/>
            <w:vMerge/>
            <w:tcMar>
              <w:bottom w:w="57" w:type="dxa"/>
            </w:tcMar>
          </w:tcPr>
          <w:p w14:paraId="3F538370" w14:textId="77777777" w:rsidR="0023663D" w:rsidRPr="006C09BD" w:rsidRDefault="0023663D" w:rsidP="005A3E88">
            <w:pPr>
              <w:pStyle w:val="NORMLAnospacing"/>
            </w:pPr>
          </w:p>
        </w:tc>
      </w:tr>
      <w:tr w:rsidR="00E43887" w:rsidRPr="006C09BD" w14:paraId="4CAEEED5" w14:textId="77777777" w:rsidTr="00E43887">
        <w:trPr>
          <w:trHeight w:val="338"/>
        </w:trPr>
        <w:tc>
          <w:tcPr>
            <w:tcW w:w="2689" w:type="dxa"/>
            <w:vMerge/>
            <w:tcMar>
              <w:bottom w:w="57" w:type="dxa"/>
            </w:tcMar>
          </w:tcPr>
          <w:p w14:paraId="7784A9DC" w14:textId="77777777" w:rsidR="00E43887" w:rsidRPr="006C09BD" w:rsidRDefault="00E43887" w:rsidP="005A3E88">
            <w:pPr>
              <w:pStyle w:val="NORMLAnospacing"/>
            </w:pPr>
          </w:p>
        </w:tc>
        <w:tc>
          <w:tcPr>
            <w:tcW w:w="4819" w:type="dxa"/>
            <w:tcMar>
              <w:bottom w:w="57" w:type="dxa"/>
            </w:tcMar>
          </w:tcPr>
          <w:p w14:paraId="377553C3" w14:textId="77777777" w:rsidR="00E43887" w:rsidRPr="006C09BD" w:rsidRDefault="00E43887" w:rsidP="005A3E88">
            <w:pPr>
              <w:pStyle w:val="Tablebulletpoint"/>
              <w:rPr>
                <w:rFonts w:cs="Arial"/>
              </w:rPr>
            </w:pPr>
            <w:r w:rsidRPr="006C09BD">
              <w:rPr>
                <w:rFonts w:cs="Arial"/>
              </w:rPr>
              <w:t>Any vomiting resulting in feeds being withheld</w:t>
            </w:r>
          </w:p>
        </w:tc>
        <w:tc>
          <w:tcPr>
            <w:tcW w:w="2410" w:type="dxa"/>
            <w:tcMar>
              <w:bottom w:w="57" w:type="dxa"/>
            </w:tcMar>
          </w:tcPr>
          <w:p w14:paraId="2B1B2D8B" w14:textId="77777777" w:rsidR="00E43887" w:rsidRPr="006C09BD" w:rsidRDefault="00E43887" w:rsidP="005A3E88">
            <w:pPr>
              <w:pStyle w:val="NORMLAnospacing"/>
            </w:pPr>
            <w:r w:rsidRPr="006C09BD">
              <w:t>Up to 14 days from randomisation</w:t>
            </w:r>
          </w:p>
        </w:tc>
      </w:tr>
      <w:tr w:rsidR="00E43887" w:rsidRPr="006C09BD" w14:paraId="557F8BFD" w14:textId="77777777" w:rsidTr="00E43887">
        <w:trPr>
          <w:trHeight w:val="338"/>
        </w:trPr>
        <w:tc>
          <w:tcPr>
            <w:tcW w:w="2689" w:type="dxa"/>
            <w:vMerge/>
            <w:tcMar>
              <w:bottom w:w="57" w:type="dxa"/>
            </w:tcMar>
          </w:tcPr>
          <w:p w14:paraId="6E0D4A33" w14:textId="77777777" w:rsidR="00E43887" w:rsidRPr="006C09BD" w:rsidRDefault="00E43887" w:rsidP="005A3E88">
            <w:pPr>
              <w:pStyle w:val="NORMLAnospacing"/>
            </w:pPr>
          </w:p>
        </w:tc>
        <w:tc>
          <w:tcPr>
            <w:tcW w:w="4819" w:type="dxa"/>
            <w:tcMar>
              <w:bottom w:w="57" w:type="dxa"/>
            </w:tcMar>
          </w:tcPr>
          <w:p w14:paraId="0EE48B27" w14:textId="77777777" w:rsidR="00E43887" w:rsidRPr="006C09BD" w:rsidRDefault="00E43887" w:rsidP="005A3E88">
            <w:pPr>
              <w:pStyle w:val="Tablebulletpoint"/>
              <w:rPr>
                <w:rFonts w:cs="Arial"/>
              </w:rPr>
            </w:pPr>
            <w:r w:rsidRPr="006C09BD">
              <w:rPr>
                <w:rFonts w:cs="Arial"/>
              </w:rPr>
              <w:t>Number of days feeds withheld at least once</w:t>
            </w:r>
          </w:p>
        </w:tc>
        <w:tc>
          <w:tcPr>
            <w:tcW w:w="2410" w:type="dxa"/>
            <w:tcMar>
              <w:bottom w:w="57" w:type="dxa"/>
            </w:tcMar>
          </w:tcPr>
          <w:p w14:paraId="70BB1E1F" w14:textId="77777777" w:rsidR="00E43887" w:rsidRPr="006C09BD" w:rsidRDefault="00E43887" w:rsidP="005A3E88">
            <w:pPr>
              <w:pStyle w:val="NORMLAnospacing"/>
            </w:pPr>
            <w:r w:rsidRPr="006C09BD">
              <w:t>Up to 14 days from randomisation</w:t>
            </w:r>
          </w:p>
        </w:tc>
      </w:tr>
      <w:tr w:rsidR="00E43887" w:rsidRPr="006C09BD" w14:paraId="45F08FD7" w14:textId="77777777" w:rsidTr="00E43887">
        <w:trPr>
          <w:trHeight w:val="338"/>
        </w:trPr>
        <w:tc>
          <w:tcPr>
            <w:tcW w:w="2689" w:type="dxa"/>
            <w:vMerge/>
            <w:tcMar>
              <w:bottom w:w="57" w:type="dxa"/>
            </w:tcMar>
          </w:tcPr>
          <w:p w14:paraId="192A4526" w14:textId="77777777" w:rsidR="00E43887" w:rsidRPr="006C09BD" w:rsidRDefault="00E43887" w:rsidP="005A3E88">
            <w:pPr>
              <w:pStyle w:val="NORMLAnospacing"/>
            </w:pPr>
          </w:p>
        </w:tc>
        <w:tc>
          <w:tcPr>
            <w:tcW w:w="4819" w:type="dxa"/>
            <w:tcMar>
              <w:bottom w:w="57" w:type="dxa"/>
            </w:tcMar>
          </w:tcPr>
          <w:p w14:paraId="05AB8D4A" w14:textId="77777777" w:rsidR="00E43887" w:rsidRPr="006C09BD" w:rsidRDefault="00E43887" w:rsidP="005A3E88">
            <w:pPr>
              <w:pStyle w:val="Tablebulletpoint"/>
              <w:rPr>
                <w:rFonts w:cs="Arial"/>
              </w:rPr>
            </w:pPr>
            <w:r w:rsidRPr="006C09BD">
              <w:rPr>
                <w:rFonts w:cs="Arial"/>
              </w:rPr>
              <w:t>Total number of hours feeds withheld</w:t>
            </w:r>
          </w:p>
        </w:tc>
        <w:tc>
          <w:tcPr>
            <w:tcW w:w="2410" w:type="dxa"/>
            <w:tcMar>
              <w:bottom w:w="57" w:type="dxa"/>
            </w:tcMar>
          </w:tcPr>
          <w:p w14:paraId="2157F221" w14:textId="77777777" w:rsidR="00E43887" w:rsidRPr="006C09BD" w:rsidRDefault="00E43887" w:rsidP="005A3E88">
            <w:pPr>
              <w:pStyle w:val="NORMLAnospacing"/>
            </w:pPr>
            <w:r w:rsidRPr="006C09BD">
              <w:t>Up to 14 days from randomisation</w:t>
            </w:r>
          </w:p>
        </w:tc>
      </w:tr>
      <w:tr w:rsidR="00ED4F9D" w:rsidRPr="006C09BD" w14:paraId="76F684B1" w14:textId="77777777" w:rsidTr="00E43887">
        <w:trPr>
          <w:trHeight w:val="338"/>
        </w:trPr>
        <w:tc>
          <w:tcPr>
            <w:tcW w:w="2689" w:type="dxa"/>
            <w:vMerge/>
            <w:tcMar>
              <w:bottom w:w="57" w:type="dxa"/>
            </w:tcMar>
          </w:tcPr>
          <w:p w14:paraId="38CAF942" w14:textId="77777777" w:rsidR="00ED4F9D" w:rsidRPr="006C09BD" w:rsidRDefault="00ED4F9D" w:rsidP="005A3E88">
            <w:pPr>
              <w:pStyle w:val="NORMLAnospacing"/>
            </w:pPr>
          </w:p>
        </w:tc>
        <w:tc>
          <w:tcPr>
            <w:tcW w:w="4819" w:type="dxa"/>
            <w:tcMar>
              <w:bottom w:w="57" w:type="dxa"/>
            </w:tcMar>
          </w:tcPr>
          <w:p w14:paraId="5DC91DC2" w14:textId="77777777" w:rsidR="00ED4F9D" w:rsidRPr="006C09BD" w:rsidRDefault="00ED4F9D" w:rsidP="005A3E88">
            <w:pPr>
              <w:pStyle w:val="Tablebulletpoint"/>
              <w:rPr>
                <w:rFonts w:cs="Arial"/>
              </w:rPr>
            </w:pPr>
            <w:r w:rsidRPr="006C09BD">
              <w:rPr>
                <w:rFonts w:cs="Arial"/>
              </w:rPr>
              <w:t>Breastfeeding</w:t>
            </w:r>
          </w:p>
        </w:tc>
        <w:tc>
          <w:tcPr>
            <w:tcW w:w="2410" w:type="dxa"/>
            <w:vMerge w:val="restart"/>
            <w:tcMar>
              <w:bottom w:w="57" w:type="dxa"/>
            </w:tcMar>
          </w:tcPr>
          <w:p w14:paraId="078791F1" w14:textId="734D2AB6" w:rsidR="00ED4F9D" w:rsidRPr="006C09BD" w:rsidRDefault="00ED4F9D" w:rsidP="005A3E88">
            <w:pPr>
              <w:pStyle w:val="NORMLAnospacing"/>
            </w:pPr>
            <w:r w:rsidRPr="006C09BD">
              <w:t>At discharge home or 44+0 gestational weeks+days (whichever is sooner)</w:t>
            </w:r>
          </w:p>
        </w:tc>
      </w:tr>
      <w:tr w:rsidR="00ED4F9D" w:rsidRPr="006C09BD" w14:paraId="14D74D26" w14:textId="77777777" w:rsidTr="00E43887">
        <w:trPr>
          <w:trHeight w:val="338"/>
        </w:trPr>
        <w:tc>
          <w:tcPr>
            <w:tcW w:w="2689" w:type="dxa"/>
            <w:vMerge/>
            <w:tcMar>
              <w:bottom w:w="57" w:type="dxa"/>
            </w:tcMar>
          </w:tcPr>
          <w:p w14:paraId="6A4D78B4" w14:textId="77777777" w:rsidR="00ED4F9D" w:rsidRPr="006C09BD" w:rsidRDefault="00ED4F9D" w:rsidP="005A3E88">
            <w:pPr>
              <w:pStyle w:val="NORMLAnospacing"/>
            </w:pPr>
          </w:p>
        </w:tc>
        <w:tc>
          <w:tcPr>
            <w:tcW w:w="4819" w:type="dxa"/>
            <w:tcBorders>
              <w:bottom w:val="single" w:sz="4" w:space="0" w:color="auto"/>
            </w:tcBorders>
            <w:tcMar>
              <w:bottom w:w="57" w:type="dxa"/>
            </w:tcMar>
          </w:tcPr>
          <w:p w14:paraId="391C7BB7" w14:textId="77777777" w:rsidR="00ED4F9D" w:rsidRPr="006C09BD" w:rsidRDefault="00ED4F9D" w:rsidP="005A3E88">
            <w:pPr>
              <w:pStyle w:val="Tablebulletpoint"/>
              <w:rPr>
                <w:rFonts w:cs="Arial"/>
              </w:rPr>
            </w:pPr>
            <w:r w:rsidRPr="006C09BD">
              <w:rPr>
                <w:rFonts w:cs="Arial"/>
              </w:rPr>
              <w:t xml:space="preserve">Receiving maternal breastmilk </w:t>
            </w:r>
          </w:p>
        </w:tc>
        <w:tc>
          <w:tcPr>
            <w:tcW w:w="2410" w:type="dxa"/>
            <w:vMerge/>
            <w:tcBorders>
              <w:bottom w:val="single" w:sz="4" w:space="0" w:color="auto"/>
            </w:tcBorders>
            <w:tcMar>
              <w:bottom w:w="57" w:type="dxa"/>
            </w:tcMar>
          </w:tcPr>
          <w:p w14:paraId="14C2EBA8" w14:textId="2D23D95F" w:rsidR="00ED4F9D" w:rsidRPr="006C09BD" w:rsidRDefault="00ED4F9D" w:rsidP="005A3E88">
            <w:pPr>
              <w:pStyle w:val="NORMLAnospacing"/>
            </w:pPr>
          </w:p>
        </w:tc>
      </w:tr>
      <w:tr w:rsidR="00E43887" w:rsidRPr="006C09BD" w14:paraId="56359323" w14:textId="77777777" w:rsidTr="00E757CD">
        <w:trPr>
          <w:trHeight w:val="338"/>
        </w:trPr>
        <w:tc>
          <w:tcPr>
            <w:tcW w:w="2689" w:type="dxa"/>
            <w:shd w:val="clear" w:color="auto" w:fill="auto"/>
            <w:tcMar>
              <w:bottom w:w="57" w:type="dxa"/>
            </w:tcMar>
          </w:tcPr>
          <w:p w14:paraId="22B7585D" w14:textId="4E734D7A" w:rsidR="00E43887" w:rsidRPr="006C09BD" w:rsidRDefault="00BB54DC" w:rsidP="005A3E88">
            <w:pPr>
              <w:pStyle w:val="NORMLAnospacing"/>
              <w:rPr>
                <w:rStyle w:val="Strong"/>
              </w:rPr>
            </w:pPr>
            <w:r w:rsidRPr="006C09BD">
              <w:rPr>
                <w:rStyle w:val="Strong"/>
              </w:rPr>
              <w:t>Costing study</w:t>
            </w:r>
          </w:p>
        </w:tc>
        <w:tc>
          <w:tcPr>
            <w:tcW w:w="4819" w:type="dxa"/>
            <w:shd w:val="clear" w:color="auto" w:fill="auto"/>
            <w:tcMar>
              <w:bottom w:w="57" w:type="dxa"/>
            </w:tcMar>
          </w:tcPr>
          <w:p w14:paraId="6EC5AC0B" w14:textId="77777777" w:rsidR="00E43887" w:rsidRPr="006C09BD" w:rsidRDefault="00E43887" w:rsidP="005A3E88">
            <w:pPr>
              <w:pStyle w:val="NORMLAnospacing"/>
              <w:rPr>
                <w:rStyle w:val="Strong"/>
              </w:rPr>
            </w:pPr>
          </w:p>
        </w:tc>
        <w:tc>
          <w:tcPr>
            <w:tcW w:w="2410" w:type="dxa"/>
            <w:shd w:val="clear" w:color="auto" w:fill="auto"/>
            <w:tcMar>
              <w:bottom w:w="57" w:type="dxa"/>
            </w:tcMar>
          </w:tcPr>
          <w:p w14:paraId="30660E0B" w14:textId="77777777" w:rsidR="00E43887" w:rsidRPr="006C09BD" w:rsidRDefault="00E43887" w:rsidP="005A3E88">
            <w:pPr>
              <w:pStyle w:val="NORMLAnospacing"/>
              <w:rPr>
                <w:rStyle w:val="Strong"/>
              </w:rPr>
            </w:pPr>
          </w:p>
        </w:tc>
      </w:tr>
      <w:tr w:rsidR="00ED4F9D" w:rsidRPr="006C09BD" w14:paraId="587E7320" w14:textId="77777777" w:rsidTr="00E43887">
        <w:trPr>
          <w:trHeight w:val="338"/>
        </w:trPr>
        <w:tc>
          <w:tcPr>
            <w:tcW w:w="2689" w:type="dxa"/>
            <w:tcMar>
              <w:bottom w:w="57" w:type="dxa"/>
            </w:tcMar>
          </w:tcPr>
          <w:p w14:paraId="605A8911" w14:textId="77777777" w:rsidR="00ED4F9D" w:rsidRPr="006C09BD" w:rsidRDefault="00ED4F9D" w:rsidP="00ED4F9D">
            <w:pPr>
              <w:pStyle w:val="NORMLAnospacing"/>
              <w:rPr>
                <w:rStyle w:val="Strong"/>
              </w:rPr>
            </w:pPr>
          </w:p>
        </w:tc>
        <w:tc>
          <w:tcPr>
            <w:tcW w:w="4819" w:type="dxa"/>
            <w:tcMar>
              <w:bottom w:w="57" w:type="dxa"/>
            </w:tcMar>
          </w:tcPr>
          <w:p w14:paraId="0C494BD6" w14:textId="69DEA9A7" w:rsidR="00ED4F9D" w:rsidRPr="006C09BD" w:rsidRDefault="00ED4F9D" w:rsidP="00ED4F9D">
            <w:pPr>
              <w:pStyle w:val="Tablebulletpoint"/>
              <w:ind w:left="306" w:hanging="357"/>
              <w:rPr>
                <w:rStyle w:val="Strong"/>
                <w:rFonts w:cs="Arial"/>
              </w:rPr>
            </w:pPr>
            <w:r w:rsidRPr="006C09BD">
              <w:rPr>
                <w:rFonts w:cs="Arial"/>
              </w:rPr>
              <w:t>Number of gastric residual volume measurements</w:t>
            </w:r>
          </w:p>
        </w:tc>
        <w:tc>
          <w:tcPr>
            <w:tcW w:w="2410" w:type="dxa"/>
            <w:tcMar>
              <w:bottom w:w="57" w:type="dxa"/>
            </w:tcMar>
          </w:tcPr>
          <w:p w14:paraId="72EF117A" w14:textId="2AF08F98" w:rsidR="00ED4F9D" w:rsidRPr="006C09BD" w:rsidRDefault="00ED4F9D" w:rsidP="00ED4F9D">
            <w:pPr>
              <w:pStyle w:val="NORMLAnospacing"/>
              <w:rPr>
                <w:rStyle w:val="Strong"/>
              </w:rPr>
            </w:pPr>
            <w:r w:rsidRPr="006C09BD">
              <w:t>Up to 14 days from randomisation</w:t>
            </w:r>
          </w:p>
        </w:tc>
      </w:tr>
      <w:tr w:rsidR="00ED4F9D" w:rsidRPr="006C09BD" w14:paraId="73CC8F7D" w14:textId="77777777" w:rsidTr="00E43887">
        <w:trPr>
          <w:trHeight w:val="382"/>
        </w:trPr>
        <w:tc>
          <w:tcPr>
            <w:tcW w:w="2689" w:type="dxa"/>
            <w:tcMar>
              <w:bottom w:w="57" w:type="dxa"/>
            </w:tcMar>
          </w:tcPr>
          <w:p w14:paraId="06136B92" w14:textId="77777777" w:rsidR="00ED4F9D" w:rsidRPr="006C09BD" w:rsidRDefault="00ED4F9D" w:rsidP="00ED4F9D">
            <w:pPr>
              <w:pStyle w:val="NORMLAnospacing"/>
            </w:pPr>
          </w:p>
        </w:tc>
        <w:tc>
          <w:tcPr>
            <w:tcW w:w="4819" w:type="dxa"/>
            <w:tcMar>
              <w:bottom w:w="57" w:type="dxa"/>
            </w:tcMar>
          </w:tcPr>
          <w:p w14:paraId="32126475" w14:textId="77777777" w:rsidR="00ED4F9D" w:rsidRPr="006C09BD" w:rsidRDefault="00ED4F9D" w:rsidP="00ED4F9D">
            <w:pPr>
              <w:pStyle w:val="Tablebulletpoint"/>
              <w:ind w:left="306" w:hanging="357"/>
              <w:rPr>
                <w:rFonts w:cs="Arial"/>
              </w:rPr>
            </w:pPr>
            <w:r w:rsidRPr="006C09BD">
              <w:rPr>
                <w:rFonts w:cs="Arial"/>
              </w:rPr>
              <w:t>Abdominal x-ray investigations</w:t>
            </w:r>
            <w:r w:rsidRPr="00C44A79">
              <w:rPr>
                <w:rFonts w:cs="Arial"/>
                <w:vertAlign w:val="superscript"/>
              </w:rPr>
              <w:t>†</w:t>
            </w:r>
          </w:p>
        </w:tc>
        <w:tc>
          <w:tcPr>
            <w:tcW w:w="2410" w:type="dxa"/>
            <w:vMerge w:val="restart"/>
            <w:tcMar>
              <w:bottom w:w="57" w:type="dxa"/>
            </w:tcMar>
          </w:tcPr>
          <w:p w14:paraId="747EF2F3" w14:textId="77777777" w:rsidR="00ED4F9D" w:rsidRPr="006C09BD" w:rsidRDefault="00ED4F9D" w:rsidP="00ED4F9D">
            <w:pPr>
              <w:pStyle w:val="NORMLAnospacing"/>
            </w:pPr>
            <w:r w:rsidRPr="006C09BD">
              <w:rPr>
                <w:szCs w:val="20"/>
              </w:rPr>
              <w:t>Up to discharge home or 44+0 gestational weeks+days (whichever is sooner)</w:t>
            </w:r>
          </w:p>
          <w:p w14:paraId="06A49AA0" w14:textId="07A55A78" w:rsidR="00ED4F9D" w:rsidRPr="006C09BD" w:rsidRDefault="00ED4F9D" w:rsidP="00ED4F9D">
            <w:pPr>
              <w:pStyle w:val="NORMLAnospacing"/>
            </w:pPr>
          </w:p>
        </w:tc>
      </w:tr>
      <w:tr w:rsidR="00ED4F9D" w:rsidRPr="006C09BD" w14:paraId="0C0B1AFC" w14:textId="77777777" w:rsidTr="00E43887">
        <w:trPr>
          <w:trHeight w:val="338"/>
        </w:trPr>
        <w:tc>
          <w:tcPr>
            <w:tcW w:w="2689" w:type="dxa"/>
            <w:tcMar>
              <w:bottom w:w="57" w:type="dxa"/>
            </w:tcMar>
          </w:tcPr>
          <w:p w14:paraId="09A9A46D" w14:textId="77777777" w:rsidR="00ED4F9D" w:rsidRPr="006C09BD" w:rsidRDefault="00ED4F9D" w:rsidP="00ED4F9D">
            <w:pPr>
              <w:pStyle w:val="NORMLAnospacing"/>
            </w:pPr>
          </w:p>
        </w:tc>
        <w:tc>
          <w:tcPr>
            <w:tcW w:w="4819" w:type="dxa"/>
            <w:tcMar>
              <w:bottom w:w="57" w:type="dxa"/>
            </w:tcMar>
          </w:tcPr>
          <w:p w14:paraId="4C15A05F" w14:textId="77777777" w:rsidR="00ED4F9D" w:rsidRPr="006C09BD" w:rsidRDefault="00ED4F9D" w:rsidP="00ED4F9D">
            <w:pPr>
              <w:pStyle w:val="Tablebulletpoint"/>
              <w:ind w:left="306" w:hanging="357"/>
              <w:rPr>
                <w:rFonts w:cs="Arial"/>
              </w:rPr>
            </w:pPr>
            <w:r w:rsidRPr="006C09BD">
              <w:rPr>
                <w:rFonts w:cs="Arial"/>
              </w:rPr>
              <w:t xml:space="preserve">Antibiotic use and surgery for NEC or focal intestinal perforation </w:t>
            </w:r>
          </w:p>
        </w:tc>
        <w:tc>
          <w:tcPr>
            <w:tcW w:w="2410" w:type="dxa"/>
            <w:vMerge/>
            <w:tcMar>
              <w:bottom w:w="57" w:type="dxa"/>
            </w:tcMar>
          </w:tcPr>
          <w:p w14:paraId="74B62DE2" w14:textId="7D20F5B4" w:rsidR="00ED4F9D" w:rsidRPr="006C09BD" w:rsidRDefault="00ED4F9D" w:rsidP="00ED4F9D">
            <w:pPr>
              <w:pStyle w:val="NORMLAnospacing"/>
            </w:pPr>
          </w:p>
        </w:tc>
      </w:tr>
      <w:tr w:rsidR="00ED4F9D" w:rsidRPr="006C09BD" w14:paraId="134B261A" w14:textId="77777777" w:rsidTr="00E43887">
        <w:trPr>
          <w:trHeight w:val="338"/>
        </w:trPr>
        <w:tc>
          <w:tcPr>
            <w:tcW w:w="2689" w:type="dxa"/>
            <w:tcMar>
              <w:bottom w:w="57" w:type="dxa"/>
            </w:tcMar>
          </w:tcPr>
          <w:p w14:paraId="2116EDF8" w14:textId="77777777" w:rsidR="00ED4F9D" w:rsidRPr="006C09BD" w:rsidRDefault="00ED4F9D" w:rsidP="00ED4F9D">
            <w:pPr>
              <w:pStyle w:val="NORMLAnospacing"/>
            </w:pPr>
          </w:p>
        </w:tc>
        <w:tc>
          <w:tcPr>
            <w:tcW w:w="4819" w:type="dxa"/>
            <w:tcMar>
              <w:bottom w:w="57" w:type="dxa"/>
            </w:tcMar>
          </w:tcPr>
          <w:p w14:paraId="07B41452" w14:textId="2201016E" w:rsidR="00ED4F9D" w:rsidRPr="006C09BD" w:rsidRDefault="00ED4F9D" w:rsidP="00ED4F9D">
            <w:pPr>
              <w:pStyle w:val="Tablebulletpoint"/>
              <w:ind w:left="306" w:hanging="357"/>
              <w:rPr>
                <w:rFonts w:cs="Arial"/>
              </w:rPr>
            </w:pPr>
            <w:r w:rsidRPr="006C09BD">
              <w:rPr>
                <w:rFonts w:cs="Arial"/>
              </w:rPr>
              <w:t>Healthcare costs</w:t>
            </w:r>
            <w:r w:rsidR="00EC03DC" w:rsidRPr="00C44A79">
              <w:rPr>
                <w:rFonts w:cs="Arial"/>
                <w:vertAlign w:val="superscript"/>
              </w:rPr>
              <w:t>‡</w:t>
            </w:r>
          </w:p>
        </w:tc>
        <w:tc>
          <w:tcPr>
            <w:tcW w:w="2410" w:type="dxa"/>
            <w:vMerge/>
            <w:tcMar>
              <w:bottom w:w="57" w:type="dxa"/>
            </w:tcMar>
          </w:tcPr>
          <w:p w14:paraId="227C3D5F" w14:textId="0368F96A" w:rsidR="00ED4F9D" w:rsidRPr="006C09BD" w:rsidRDefault="00ED4F9D" w:rsidP="00ED4F9D">
            <w:pPr>
              <w:pStyle w:val="NORMLAnospacing"/>
            </w:pPr>
          </w:p>
        </w:tc>
      </w:tr>
    </w:tbl>
    <w:p w14:paraId="45017CF3" w14:textId="3A1CF5EB" w:rsidR="00E43887" w:rsidRPr="006C09BD" w:rsidRDefault="00E43887" w:rsidP="009E60BE">
      <w:pPr>
        <w:pStyle w:val="Footnote"/>
        <w:jc w:val="left"/>
      </w:pPr>
      <w:r w:rsidRPr="006C09BD">
        <w:rPr>
          <w:vertAlign w:val="superscript"/>
        </w:rPr>
        <w:t>†</w:t>
      </w:r>
      <w:r w:rsidRPr="006C09BD">
        <w:t xml:space="preserve"> Data to inform this outcome will be recorded within the pilot study/process evaluation</w:t>
      </w:r>
    </w:p>
    <w:p w14:paraId="0412F96A" w14:textId="112DA2FB" w:rsidR="00EC03DC" w:rsidRPr="006C09BD" w:rsidRDefault="00EC03DC" w:rsidP="009E60BE">
      <w:pPr>
        <w:pStyle w:val="Footnote"/>
        <w:jc w:val="left"/>
        <w:rPr>
          <w:lang w:eastAsia="en-GB"/>
        </w:rPr>
      </w:pPr>
      <w:r w:rsidRPr="00C44A79">
        <w:rPr>
          <w:vertAlign w:val="superscript"/>
        </w:rPr>
        <w:t>‡</w:t>
      </w:r>
      <w:r w:rsidR="00E93B56">
        <w:t xml:space="preserve"> W</w:t>
      </w:r>
      <w:r w:rsidRPr="006C09BD">
        <w:t>ill also include costs of key care items listed under secondary outcomes, for example duration of neonatal unit stay by level of care</w:t>
      </w:r>
    </w:p>
    <w:p w14:paraId="02E33694" w14:textId="77777777" w:rsidR="007822A1" w:rsidRPr="006C09BD" w:rsidRDefault="007822A1">
      <w:pPr>
        <w:pStyle w:val="BodyA"/>
        <w:widowControl w:val="0"/>
        <w:spacing w:line="360" w:lineRule="auto"/>
        <w:rPr>
          <w:rFonts w:cs="Arial"/>
          <w:sz w:val="24"/>
          <w:szCs w:val="24"/>
          <w:lang w:val="en-GB"/>
        </w:rPr>
      </w:pPr>
    </w:p>
    <w:p w14:paraId="03318E10" w14:textId="49F287C8" w:rsidR="007822A1" w:rsidRPr="006C09BD" w:rsidRDefault="007822A1" w:rsidP="007822A1">
      <w:pPr>
        <w:pStyle w:val="BodyA"/>
        <w:widowControl w:val="0"/>
        <w:spacing w:line="360" w:lineRule="auto"/>
        <w:rPr>
          <w:rStyle w:val="None"/>
          <w:rFonts w:cs="Arial"/>
          <w:b/>
          <w:bCs/>
          <w:sz w:val="24"/>
          <w:szCs w:val="24"/>
          <w:lang w:val="en-GB"/>
        </w:rPr>
      </w:pPr>
      <w:r w:rsidRPr="006C09BD">
        <w:rPr>
          <w:rStyle w:val="None"/>
          <w:rFonts w:cs="Arial"/>
          <w:b/>
          <w:bCs/>
          <w:sz w:val="24"/>
          <w:szCs w:val="24"/>
          <w:lang w:val="en-GB"/>
        </w:rPr>
        <w:t>Harms {17}</w:t>
      </w:r>
    </w:p>
    <w:p w14:paraId="1F23A699" w14:textId="77777777" w:rsidR="007822A1" w:rsidRPr="006C09BD" w:rsidRDefault="007822A1" w:rsidP="007822A1">
      <w:pPr>
        <w:pStyle w:val="BodyA"/>
        <w:widowControl w:val="0"/>
        <w:spacing w:line="360" w:lineRule="auto"/>
        <w:rPr>
          <w:rFonts w:cs="Arial"/>
          <w:lang w:val="en-GB"/>
        </w:rPr>
      </w:pPr>
      <w:r w:rsidRPr="006C09BD">
        <w:rPr>
          <w:rFonts w:cs="Arial"/>
          <w:lang w:val="en-GB"/>
        </w:rPr>
        <w:t>The safety reporting window for this trial will be from randomisation until the end of trial follow-up (discharge home or 44+0 gestational weeks+days, whichever is sooner).</w:t>
      </w:r>
    </w:p>
    <w:p w14:paraId="35BB0A8F" w14:textId="77777777" w:rsidR="007822A1" w:rsidRPr="006C09BD" w:rsidRDefault="007822A1" w:rsidP="007822A1">
      <w:pPr>
        <w:pStyle w:val="BodyA"/>
        <w:widowControl w:val="0"/>
        <w:spacing w:line="360" w:lineRule="auto"/>
        <w:rPr>
          <w:rFonts w:cs="Arial"/>
          <w:lang w:val="en-GB"/>
        </w:rPr>
      </w:pPr>
    </w:p>
    <w:p w14:paraId="6390EBA9" w14:textId="77777777" w:rsidR="007822A1" w:rsidRPr="006C09BD" w:rsidRDefault="007822A1" w:rsidP="007822A1">
      <w:pPr>
        <w:pStyle w:val="BodyA"/>
        <w:widowControl w:val="0"/>
        <w:spacing w:line="360" w:lineRule="auto"/>
        <w:rPr>
          <w:rFonts w:cs="Arial"/>
          <w:lang w:val="en-GB"/>
        </w:rPr>
      </w:pPr>
      <w:r w:rsidRPr="006C09BD">
        <w:rPr>
          <w:rFonts w:cs="Arial"/>
          <w:lang w:val="en-GB"/>
        </w:rPr>
        <w:t xml:space="preserve">Due to the nature of the patient population, neonates in intensive care, a high incidence of adverse events is foreseeable during their routine care and treatment. Consequently, only those adverse events identified as serious will be recorded for the trial. </w:t>
      </w:r>
    </w:p>
    <w:p w14:paraId="49AD98D2" w14:textId="77777777" w:rsidR="007822A1" w:rsidRPr="006C09BD" w:rsidRDefault="007822A1" w:rsidP="007822A1">
      <w:pPr>
        <w:pStyle w:val="BodyA"/>
        <w:widowControl w:val="0"/>
        <w:spacing w:line="360" w:lineRule="auto"/>
        <w:rPr>
          <w:rFonts w:cs="Arial"/>
          <w:lang w:val="en-GB"/>
        </w:rPr>
      </w:pPr>
    </w:p>
    <w:p w14:paraId="23CC95BE" w14:textId="77777777" w:rsidR="007822A1" w:rsidRPr="006C09BD" w:rsidRDefault="007822A1" w:rsidP="007822A1">
      <w:pPr>
        <w:pStyle w:val="BodyA"/>
        <w:widowControl w:val="0"/>
        <w:spacing w:line="360" w:lineRule="auto"/>
        <w:rPr>
          <w:rFonts w:cs="Arial"/>
          <w:u w:val="single"/>
          <w:lang w:val="en-GB"/>
        </w:rPr>
      </w:pPr>
      <w:r w:rsidRPr="006C09BD">
        <w:rPr>
          <w:rFonts w:cs="Arial"/>
          <w:u w:val="single"/>
          <w:lang w:val="en-GB"/>
        </w:rPr>
        <w:t>Foreseeable SAEs which do not require expedited reporting</w:t>
      </w:r>
    </w:p>
    <w:p w14:paraId="7A99719D" w14:textId="198DA04E" w:rsidR="007822A1" w:rsidRPr="006C09BD" w:rsidRDefault="007822A1" w:rsidP="007822A1">
      <w:pPr>
        <w:pStyle w:val="BodyA"/>
        <w:widowControl w:val="0"/>
        <w:spacing w:line="360" w:lineRule="auto"/>
        <w:rPr>
          <w:rFonts w:cs="Arial"/>
          <w:lang w:val="en-GB"/>
        </w:rPr>
      </w:pPr>
      <w:r w:rsidRPr="006C09BD">
        <w:rPr>
          <w:rFonts w:cs="Arial"/>
          <w:lang w:val="en-GB"/>
        </w:rPr>
        <w:t>The following events are expected in the population, and information will be collected by recruiting sites during the intervention period as outcomes</w:t>
      </w:r>
      <w:r w:rsidR="000F657C">
        <w:rPr>
          <w:rFonts w:cs="Arial"/>
          <w:lang w:val="en-GB"/>
        </w:rPr>
        <w:t>;</w:t>
      </w:r>
      <w:r w:rsidRPr="006C09BD">
        <w:rPr>
          <w:rFonts w:cs="Arial"/>
          <w:lang w:val="en-GB"/>
        </w:rPr>
        <w:t xml:space="preserve"> therefore</w:t>
      </w:r>
      <w:r w:rsidR="000F657C">
        <w:rPr>
          <w:rFonts w:cs="Arial"/>
          <w:lang w:val="en-GB"/>
        </w:rPr>
        <w:t>,</w:t>
      </w:r>
      <w:r w:rsidRPr="006C09BD">
        <w:rPr>
          <w:rFonts w:cs="Arial"/>
          <w:lang w:val="en-GB"/>
        </w:rPr>
        <w:t xml:space="preserve"> they do not require reporting as SAEs. Data pertaining to these events will be reviewed by the DMC at a frequency to be determined by the DMC (at least annually).</w:t>
      </w:r>
    </w:p>
    <w:p w14:paraId="6BA87AD6" w14:textId="77777777" w:rsidR="007822A1" w:rsidRPr="006C09BD" w:rsidRDefault="007822A1" w:rsidP="007822A1">
      <w:pPr>
        <w:pStyle w:val="BodyA"/>
        <w:widowControl w:val="0"/>
        <w:numPr>
          <w:ilvl w:val="0"/>
          <w:numId w:val="16"/>
        </w:numPr>
        <w:spacing w:line="360" w:lineRule="auto"/>
        <w:rPr>
          <w:rFonts w:cs="Arial"/>
          <w:lang w:val="en-GB"/>
        </w:rPr>
      </w:pPr>
      <w:r w:rsidRPr="006C09BD">
        <w:rPr>
          <w:rFonts w:cs="Arial"/>
          <w:lang w:val="en-GB"/>
        </w:rPr>
        <w:t xml:space="preserve">Death (unless cause not anticipated in this population) </w:t>
      </w:r>
    </w:p>
    <w:p w14:paraId="397D45AD" w14:textId="77777777" w:rsidR="007822A1" w:rsidRPr="006C09BD" w:rsidRDefault="007822A1" w:rsidP="007822A1">
      <w:pPr>
        <w:pStyle w:val="BodyA"/>
        <w:widowControl w:val="0"/>
        <w:numPr>
          <w:ilvl w:val="0"/>
          <w:numId w:val="16"/>
        </w:numPr>
        <w:spacing w:line="360" w:lineRule="auto"/>
        <w:rPr>
          <w:rFonts w:cs="Arial"/>
          <w:lang w:val="en-GB"/>
        </w:rPr>
      </w:pPr>
      <w:r w:rsidRPr="006C09BD">
        <w:rPr>
          <w:rFonts w:cs="Arial"/>
          <w:lang w:val="en-GB"/>
        </w:rPr>
        <w:lastRenderedPageBreak/>
        <w:t xml:space="preserve">NEC or gastrointestinal perforation </w:t>
      </w:r>
    </w:p>
    <w:p w14:paraId="15E6C0E9" w14:textId="77777777" w:rsidR="007822A1" w:rsidRPr="006C09BD" w:rsidRDefault="007822A1" w:rsidP="007822A1">
      <w:pPr>
        <w:pStyle w:val="BodyA"/>
        <w:widowControl w:val="0"/>
        <w:numPr>
          <w:ilvl w:val="0"/>
          <w:numId w:val="16"/>
        </w:numPr>
        <w:spacing w:line="360" w:lineRule="auto"/>
        <w:rPr>
          <w:rFonts w:cs="Arial"/>
          <w:lang w:val="en-GB"/>
        </w:rPr>
      </w:pPr>
      <w:r w:rsidRPr="006C09BD">
        <w:rPr>
          <w:rFonts w:cs="Arial"/>
          <w:lang w:val="en-GB"/>
        </w:rPr>
        <w:t>Bronchopulmonary dysplasia or chronic lung disease</w:t>
      </w:r>
    </w:p>
    <w:p w14:paraId="508373EC" w14:textId="77777777" w:rsidR="007822A1" w:rsidRPr="006C09BD" w:rsidRDefault="007822A1" w:rsidP="007822A1">
      <w:pPr>
        <w:pStyle w:val="BodyA"/>
        <w:widowControl w:val="0"/>
        <w:numPr>
          <w:ilvl w:val="0"/>
          <w:numId w:val="16"/>
        </w:numPr>
        <w:spacing w:line="360" w:lineRule="auto"/>
        <w:rPr>
          <w:rFonts w:cs="Arial"/>
          <w:lang w:val="en-GB"/>
        </w:rPr>
      </w:pPr>
      <w:r w:rsidRPr="006C09BD">
        <w:rPr>
          <w:rFonts w:cs="Arial"/>
          <w:lang w:val="en-GB"/>
        </w:rPr>
        <w:t>Late-onset infection</w:t>
      </w:r>
    </w:p>
    <w:p w14:paraId="5E03174C" w14:textId="77777777" w:rsidR="007822A1" w:rsidRPr="006C09BD" w:rsidRDefault="007822A1" w:rsidP="007822A1">
      <w:pPr>
        <w:pStyle w:val="BodyA"/>
        <w:widowControl w:val="0"/>
        <w:numPr>
          <w:ilvl w:val="0"/>
          <w:numId w:val="16"/>
        </w:numPr>
        <w:spacing w:line="360" w:lineRule="auto"/>
        <w:rPr>
          <w:rFonts w:cs="Arial"/>
          <w:lang w:val="en-GB"/>
        </w:rPr>
      </w:pPr>
      <w:r w:rsidRPr="006C09BD">
        <w:rPr>
          <w:rFonts w:cs="Arial"/>
          <w:lang w:val="en-GB"/>
        </w:rPr>
        <w:t>Brain injury on imaging: intraventricular haemorrhage grade 3 or 4 and/or cystic periventricular leukomalacia</w:t>
      </w:r>
    </w:p>
    <w:p w14:paraId="37A1B466" w14:textId="77777777" w:rsidR="007822A1" w:rsidRPr="006C09BD" w:rsidRDefault="007822A1" w:rsidP="007822A1">
      <w:pPr>
        <w:pStyle w:val="BodyA"/>
        <w:widowControl w:val="0"/>
        <w:spacing w:line="360" w:lineRule="auto"/>
        <w:rPr>
          <w:rFonts w:cs="Arial"/>
          <w:lang w:val="en-GB"/>
        </w:rPr>
      </w:pPr>
    </w:p>
    <w:p w14:paraId="51927536" w14:textId="77777777" w:rsidR="007822A1" w:rsidRPr="006C09BD" w:rsidRDefault="007822A1" w:rsidP="007822A1">
      <w:pPr>
        <w:pStyle w:val="BodyA"/>
        <w:widowControl w:val="0"/>
        <w:spacing w:line="360" w:lineRule="auto"/>
        <w:rPr>
          <w:rFonts w:cs="Arial"/>
          <w:u w:val="single"/>
          <w:lang w:val="en-GB"/>
        </w:rPr>
      </w:pPr>
      <w:r w:rsidRPr="006C09BD">
        <w:rPr>
          <w:rFonts w:cs="Arial"/>
          <w:u w:val="single"/>
          <w:lang w:val="en-GB"/>
        </w:rPr>
        <w:t>Foreseeable SAEs relating to known complication(s) of prematurity</w:t>
      </w:r>
    </w:p>
    <w:p w14:paraId="7AA76F62" w14:textId="77777777" w:rsidR="007822A1" w:rsidRPr="006C09BD" w:rsidRDefault="007822A1" w:rsidP="007822A1">
      <w:pPr>
        <w:pStyle w:val="BodyA"/>
        <w:widowControl w:val="0"/>
        <w:spacing w:line="360" w:lineRule="auto"/>
        <w:rPr>
          <w:rFonts w:cs="Arial"/>
          <w:lang w:val="en-GB"/>
        </w:rPr>
      </w:pPr>
      <w:r w:rsidRPr="006C09BD">
        <w:rPr>
          <w:rFonts w:cs="Arial"/>
          <w:lang w:val="en-GB"/>
        </w:rPr>
        <w:t xml:space="preserve">Any serious event that is deemed by the investigator to be a known complication of prematurity at that gestational age should not be reported as an SAE but should be recorded in the </w:t>
      </w:r>
      <w:r w:rsidRPr="006C09BD">
        <w:rPr>
          <w:rFonts w:cs="Arial"/>
          <w:color w:val="auto"/>
          <w:u w:color="004C7F"/>
          <w:lang w:val="en-GB"/>
        </w:rPr>
        <w:t>infant</w:t>
      </w:r>
      <w:r w:rsidRPr="006C09BD">
        <w:rPr>
          <w:rFonts w:cs="Arial"/>
          <w:lang w:val="en-GB"/>
        </w:rPr>
        <w:t>’s medical notes, as per usual practice. They do not require reporting by trial centres as SAEs unless considered that they may be causally related to the allocated pathway of care.</w:t>
      </w:r>
    </w:p>
    <w:p w14:paraId="0468E97B" w14:textId="77777777" w:rsidR="007822A1" w:rsidRPr="006C09BD" w:rsidRDefault="007822A1" w:rsidP="007822A1">
      <w:pPr>
        <w:pStyle w:val="BodyA"/>
        <w:widowControl w:val="0"/>
        <w:spacing w:line="360" w:lineRule="auto"/>
        <w:rPr>
          <w:rFonts w:cs="Arial"/>
          <w:lang w:val="en-GB"/>
        </w:rPr>
      </w:pPr>
    </w:p>
    <w:p w14:paraId="47D1D64B" w14:textId="77777777" w:rsidR="007822A1" w:rsidRPr="006C09BD" w:rsidRDefault="007822A1" w:rsidP="007822A1">
      <w:pPr>
        <w:pStyle w:val="BodyA"/>
        <w:widowControl w:val="0"/>
        <w:spacing w:line="360" w:lineRule="auto"/>
        <w:rPr>
          <w:rFonts w:cs="Arial"/>
          <w:u w:val="single"/>
          <w:lang w:val="en-GB"/>
        </w:rPr>
      </w:pPr>
      <w:r w:rsidRPr="006C09BD">
        <w:rPr>
          <w:rFonts w:cs="Arial"/>
          <w:u w:val="single"/>
          <w:lang w:val="en-GB"/>
        </w:rPr>
        <w:t xml:space="preserve">SAEs which require expedited reporting </w:t>
      </w:r>
    </w:p>
    <w:p w14:paraId="5816E771" w14:textId="77777777" w:rsidR="007822A1" w:rsidRPr="006C09BD" w:rsidRDefault="007822A1" w:rsidP="007822A1">
      <w:pPr>
        <w:pStyle w:val="BodyA"/>
        <w:widowControl w:val="0"/>
        <w:spacing w:line="360" w:lineRule="auto"/>
        <w:rPr>
          <w:rFonts w:cs="Arial"/>
          <w:lang w:val="en-GB"/>
        </w:rPr>
      </w:pPr>
      <w:r w:rsidRPr="006C09BD">
        <w:rPr>
          <w:rFonts w:cs="Arial"/>
          <w:lang w:val="en-GB"/>
        </w:rPr>
        <w:t xml:space="preserve">Any other SAEs not detailed above are classed as unforeseeable SAEs and must be reported. </w:t>
      </w:r>
    </w:p>
    <w:p w14:paraId="01B9BEFC" w14:textId="77777777" w:rsidR="007822A1" w:rsidRPr="006C09BD" w:rsidRDefault="007822A1" w:rsidP="007822A1">
      <w:pPr>
        <w:pStyle w:val="BodyA"/>
        <w:widowControl w:val="0"/>
        <w:spacing w:line="360" w:lineRule="auto"/>
        <w:rPr>
          <w:rFonts w:cs="Arial"/>
          <w:u w:val="single"/>
          <w:lang w:val="en-GB"/>
        </w:rPr>
      </w:pPr>
    </w:p>
    <w:p w14:paraId="4DE0705C" w14:textId="77777777" w:rsidR="007822A1" w:rsidRPr="006C09BD" w:rsidRDefault="007822A1" w:rsidP="007822A1">
      <w:pPr>
        <w:pStyle w:val="BodyA"/>
        <w:widowControl w:val="0"/>
        <w:spacing w:line="360" w:lineRule="auto"/>
        <w:rPr>
          <w:rFonts w:cs="Arial"/>
          <w:u w:val="single"/>
          <w:lang w:val="en-GB"/>
        </w:rPr>
      </w:pPr>
      <w:r w:rsidRPr="006C09BD">
        <w:rPr>
          <w:rFonts w:cs="Arial"/>
          <w:u w:val="single"/>
          <w:lang w:val="en-GB"/>
        </w:rPr>
        <w:t>Reporting Procedures for SAEs</w:t>
      </w:r>
    </w:p>
    <w:p w14:paraId="364356B6" w14:textId="77777777" w:rsidR="007822A1" w:rsidRPr="006C09BD" w:rsidRDefault="007822A1" w:rsidP="007822A1">
      <w:pPr>
        <w:pStyle w:val="BodyA"/>
        <w:widowControl w:val="0"/>
        <w:spacing w:line="360" w:lineRule="auto"/>
        <w:rPr>
          <w:rFonts w:cs="Arial"/>
          <w:lang w:val="en-GB"/>
        </w:rPr>
      </w:pPr>
      <w:r w:rsidRPr="006C09BD">
        <w:rPr>
          <w:rFonts w:cs="Arial"/>
          <w:lang w:val="en-GB"/>
        </w:rPr>
        <w:t>SAEs requiring expedited reporting must be reported as soon as possible after the site becomes aware of the event being defined as serious. The relationship of each adverse event to the allocated pathway of care will be determined by a medically qualified individual and all SAEs labelled possibly, probably or definitely will be considered as related to the allocated pathway of care. An SAE that is deemed to be related to the allocated care pathway will be assessed by the CI or the Australian CI (or other appropriate delegate) to determine whether the event is expected or unexpected in terms of the current known safety profile of the allocated pathway of care. All related and unexpected SAEs will be submitted to the sponsor and the Research Ethics Committee (REC) that gave a favourable opinion of the trial within 15 days of the CI becoming aware of the event, and also to the DMC, sponsor and the R&amp;D offices.</w:t>
      </w:r>
    </w:p>
    <w:p w14:paraId="50625411" w14:textId="77777777" w:rsidR="007822A1" w:rsidRPr="006C09BD" w:rsidRDefault="007822A1" w:rsidP="007822A1">
      <w:pPr>
        <w:pStyle w:val="BodyA"/>
        <w:widowControl w:val="0"/>
        <w:spacing w:line="360" w:lineRule="auto"/>
        <w:rPr>
          <w:rStyle w:val="None"/>
          <w:rFonts w:cs="Arial"/>
          <w:color w:val="006600"/>
          <w:u w:color="004C7F"/>
          <w:lang w:val="en-GB"/>
        </w:rPr>
      </w:pPr>
    </w:p>
    <w:p w14:paraId="1853B738" w14:textId="09A4AAD8" w:rsidR="0050292B" w:rsidRPr="006C09BD" w:rsidRDefault="00551CF0">
      <w:pPr>
        <w:pStyle w:val="BodyA"/>
        <w:widowControl w:val="0"/>
        <w:spacing w:line="360" w:lineRule="auto"/>
        <w:rPr>
          <w:rFonts w:cs="Arial"/>
          <w:sz w:val="24"/>
          <w:szCs w:val="24"/>
          <w:lang w:val="en-GB"/>
        </w:rPr>
      </w:pPr>
      <w:r w:rsidRPr="006C09BD">
        <w:rPr>
          <w:rFonts w:cs="Arial"/>
          <w:b/>
          <w:bCs/>
          <w:sz w:val="24"/>
          <w:szCs w:val="24"/>
          <w:lang w:val="en-GB"/>
        </w:rPr>
        <w:t>Participant timeline {1</w:t>
      </w:r>
      <w:r w:rsidR="003079CF" w:rsidRPr="006C09BD">
        <w:rPr>
          <w:rFonts w:cs="Arial"/>
          <w:b/>
          <w:bCs/>
          <w:sz w:val="24"/>
          <w:szCs w:val="24"/>
          <w:lang w:val="en-GB"/>
        </w:rPr>
        <w:t>8</w:t>
      </w:r>
      <w:r w:rsidRPr="006C09BD">
        <w:rPr>
          <w:rFonts w:cs="Arial"/>
          <w:b/>
          <w:bCs/>
          <w:sz w:val="24"/>
          <w:szCs w:val="24"/>
          <w:lang w:val="en-GB"/>
        </w:rPr>
        <w:t>}</w:t>
      </w:r>
    </w:p>
    <w:p w14:paraId="5EA89FEE" w14:textId="732EE462" w:rsidR="0050292B" w:rsidRPr="006C09BD" w:rsidRDefault="0050292B">
      <w:pPr>
        <w:pStyle w:val="BodyA"/>
        <w:widowControl w:val="0"/>
        <w:spacing w:line="360" w:lineRule="auto"/>
        <w:rPr>
          <w:rStyle w:val="None"/>
          <w:rFonts w:cs="Arial"/>
          <w:color w:val="006600"/>
          <w:u w:color="004C7F"/>
          <w:lang w:val="en-GB"/>
        </w:rPr>
      </w:pPr>
    </w:p>
    <w:tbl>
      <w:tblPr>
        <w:tblStyle w:val="TableGrid"/>
        <w:tblW w:w="9923" w:type="dxa"/>
        <w:tblInd w:w="-5" w:type="dxa"/>
        <w:tblLayout w:type="fixed"/>
        <w:tblLook w:val="04A0" w:firstRow="1" w:lastRow="0" w:firstColumn="1" w:lastColumn="0" w:noHBand="0" w:noVBand="1"/>
      </w:tblPr>
      <w:tblGrid>
        <w:gridCol w:w="2835"/>
        <w:gridCol w:w="851"/>
        <w:gridCol w:w="1276"/>
        <w:gridCol w:w="850"/>
        <w:gridCol w:w="851"/>
        <w:gridCol w:w="850"/>
        <w:gridCol w:w="673"/>
        <w:gridCol w:w="1737"/>
      </w:tblGrid>
      <w:tr w:rsidR="00E43887" w:rsidRPr="006C09BD" w14:paraId="51185EE6" w14:textId="77777777" w:rsidTr="00C44A79">
        <w:tc>
          <w:tcPr>
            <w:tcW w:w="2835" w:type="dxa"/>
            <w:vMerge w:val="restart"/>
            <w:shd w:val="clear" w:color="auto" w:fill="auto"/>
          </w:tcPr>
          <w:p w14:paraId="067FD6EE" w14:textId="77777777" w:rsidR="00E43887" w:rsidRPr="00C44A79" w:rsidRDefault="00E43887" w:rsidP="005A3E88">
            <w:pPr>
              <w:pStyle w:val="NoSpacing"/>
              <w:rPr>
                <w:rStyle w:val="Strong"/>
                <w:rFonts w:ascii="Arial" w:hAnsi="Arial" w:cs="Arial"/>
                <w:lang w:val="en-GB"/>
              </w:rPr>
            </w:pPr>
          </w:p>
        </w:tc>
        <w:tc>
          <w:tcPr>
            <w:tcW w:w="7088" w:type="dxa"/>
            <w:gridSpan w:val="7"/>
            <w:shd w:val="clear" w:color="auto" w:fill="auto"/>
          </w:tcPr>
          <w:p w14:paraId="71652A65" w14:textId="77777777" w:rsidR="00E43887" w:rsidRPr="00C44A79" w:rsidRDefault="00E43887" w:rsidP="005A3E88">
            <w:pPr>
              <w:pStyle w:val="NoSpacing"/>
              <w:jc w:val="center"/>
              <w:rPr>
                <w:rStyle w:val="Strong"/>
                <w:rFonts w:ascii="Arial" w:hAnsi="Arial" w:cs="Arial"/>
                <w:lang w:val="en-GB"/>
              </w:rPr>
            </w:pPr>
            <w:r w:rsidRPr="00C44A79">
              <w:rPr>
                <w:rStyle w:val="Strong"/>
                <w:rFonts w:ascii="Arial" w:hAnsi="Arial" w:cs="Arial"/>
                <w:lang w:val="en-GB"/>
              </w:rPr>
              <w:t>PERIOD</w:t>
            </w:r>
          </w:p>
        </w:tc>
      </w:tr>
      <w:tr w:rsidR="00E43887" w:rsidRPr="006C09BD" w14:paraId="7A5B77DC" w14:textId="77777777" w:rsidTr="00C44A79">
        <w:tc>
          <w:tcPr>
            <w:tcW w:w="2835" w:type="dxa"/>
            <w:vMerge/>
            <w:shd w:val="clear" w:color="auto" w:fill="auto"/>
          </w:tcPr>
          <w:p w14:paraId="2EFD8149" w14:textId="77777777" w:rsidR="00E43887" w:rsidRPr="00C44A79" w:rsidRDefault="00E43887" w:rsidP="005A3E88">
            <w:pPr>
              <w:pStyle w:val="NoSpacing"/>
              <w:rPr>
                <w:rStyle w:val="Strong"/>
                <w:rFonts w:ascii="Arial" w:hAnsi="Arial" w:cs="Arial"/>
                <w:lang w:val="en-GB"/>
              </w:rPr>
            </w:pPr>
          </w:p>
        </w:tc>
        <w:tc>
          <w:tcPr>
            <w:tcW w:w="2127" w:type="dxa"/>
            <w:gridSpan w:val="2"/>
            <w:shd w:val="clear" w:color="auto" w:fill="auto"/>
          </w:tcPr>
          <w:p w14:paraId="4E559E4B" w14:textId="77777777" w:rsidR="00E43887" w:rsidRPr="00C44A79" w:rsidRDefault="00E43887" w:rsidP="005A3E88">
            <w:pPr>
              <w:pStyle w:val="NoSpacing"/>
              <w:rPr>
                <w:rStyle w:val="Strong"/>
                <w:rFonts w:ascii="Arial" w:hAnsi="Arial" w:cs="Arial"/>
                <w:lang w:val="en-GB"/>
              </w:rPr>
            </w:pPr>
            <w:r w:rsidRPr="00C44A79">
              <w:rPr>
                <w:rStyle w:val="Strong"/>
                <w:rFonts w:ascii="Arial" w:hAnsi="Arial" w:cs="Arial"/>
                <w:lang w:val="en-GB"/>
              </w:rPr>
              <w:t>Enrolment</w:t>
            </w:r>
          </w:p>
        </w:tc>
        <w:tc>
          <w:tcPr>
            <w:tcW w:w="3224" w:type="dxa"/>
            <w:gridSpan w:val="4"/>
            <w:shd w:val="clear" w:color="auto" w:fill="auto"/>
          </w:tcPr>
          <w:p w14:paraId="45A675BE" w14:textId="71FFB7FE" w:rsidR="00E43887" w:rsidRPr="00C44A79" w:rsidRDefault="00125A6A" w:rsidP="005A3E88">
            <w:pPr>
              <w:pStyle w:val="NoSpacing"/>
              <w:rPr>
                <w:rStyle w:val="Strong"/>
                <w:rFonts w:ascii="Arial" w:hAnsi="Arial" w:cs="Arial"/>
                <w:lang w:val="en-GB"/>
              </w:rPr>
            </w:pPr>
            <w:r w:rsidRPr="00C44A79">
              <w:rPr>
                <w:rStyle w:val="Strong"/>
                <w:rFonts w:ascii="Arial" w:hAnsi="Arial" w:cs="Arial"/>
                <w:lang w:val="en-GB"/>
              </w:rPr>
              <w:t xml:space="preserve">Post-Randomisation </w:t>
            </w:r>
          </w:p>
        </w:tc>
        <w:tc>
          <w:tcPr>
            <w:tcW w:w="1737" w:type="dxa"/>
            <w:shd w:val="clear" w:color="auto" w:fill="auto"/>
          </w:tcPr>
          <w:p w14:paraId="1DFFD357" w14:textId="77777777" w:rsidR="00E43887" w:rsidRPr="00C44A79" w:rsidRDefault="00E43887" w:rsidP="005A3E88">
            <w:pPr>
              <w:pStyle w:val="NoSpacing"/>
              <w:rPr>
                <w:rStyle w:val="Strong"/>
                <w:rFonts w:ascii="Arial" w:hAnsi="Arial" w:cs="Arial"/>
                <w:lang w:val="en-GB"/>
              </w:rPr>
            </w:pPr>
            <w:r w:rsidRPr="00C44A79">
              <w:rPr>
                <w:rStyle w:val="Strong"/>
                <w:rFonts w:ascii="Arial" w:hAnsi="Arial" w:cs="Arial"/>
                <w:lang w:val="en-GB"/>
              </w:rPr>
              <w:t>Close-out</w:t>
            </w:r>
          </w:p>
        </w:tc>
      </w:tr>
      <w:tr w:rsidR="00E43887" w:rsidRPr="006C09BD" w14:paraId="0B573B03" w14:textId="77777777" w:rsidTr="00C44A79">
        <w:tc>
          <w:tcPr>
            <w:tcW w:w="2835" w:type="dxa"/>
            <w:tcBorders>
              <w:bottom w:val="single" w:sz="4" w:space="0" w:color="auto"/>
            </w:tcBorders>
            <w:shd w:val="clear" w:color="auto" w:fill="auto"/>
          </w:tcPr>
          <w:p w14:paraId="22122929" w14:textId="77777777" w:rsidR="00E43887" w:rsidRPr="00C44A79" w:rsidRDefault="00E43887" w:rsidP="005A3E88">
            <w:pPr>
              <w:pStyle w:val="NoSpacing"/>
              <w:rPr>
                <w:rStyle w:val="Strong"/>
                <w:rFonts w:ascii="Arial" w:hAnsi="Arial" w:cs="Arial"/>
                <w:lang w:val="en-GB"/>
              </w:rPr>
            </w:pPr>
            <w:r w:rsidRPr="00C44A79">
              <w:rPr>
                <w:rStyle w:val="Strong"/>
                <w:rFonts w:ascii="Arial" w:hAnsi="Arial" w:cs="Arial"/>
                <w:lang w:val="en-GB"/>
              </w:rPr>
              <w:t>TIMEPOINT</w:t>
            </w:r>
          </w:p>
        </w:tc>
        <w:tc>
          <w:tcPr>
            <w:tcW w:w="851" w:type="dxa"/>
            <w:tcBorders>
              <w:bottom w:val="single" w:sz="4" w:space="0" w:color="auto"/>
            </w:tcBorders>
            <w:shd w:val="clear" w:color="auto" w:fill="auto"/>
            <w:tcMar>
              <w:left w:w="108" w:type="dxa"/>
              <w:right w:w="108" w:type="dxa"/>
            </w:tcMar>
            <w:vAlign w:val="center"/>
          </w:tcPr>
          <w:p w14:paraId="2DC1D5A6" w14:textId="77777777" w:rsidR="00E43887" w:rsidRPr="00C44A79" w:rsidRDefault="00E43887" w:rsidP="005A3E88">
            <w:pPr>
              <w:pStyle w:val="NoSpacing"/>
              <w:rPr>
                <w:rStyle w:val="Strong"/>
                <w:rFonts w:ascii="Arial" w:hAnsi="Arial" w:cs="Arial"/>
                <w:sz w:val="20"/>
                <w:szCs w:val="20"/>
                <w:lang w:val="en-GB"/>
              </w:rPr>
            </w:pPr>
            <w:r w:rsidRPr="00C44A79">
              <w:rPr>
                <w:rStyle w:val="Strong"/>
                <w:rFonts w:ascii="Arial" w:hAnsi="Arial" w:cs="Arial"/>
                <w:sz w:val="20"/>
                <w:szCs w:val="20"/>
                <w:lang w:val="en-GB"/>
              </w:rPr>
              <w:t>After birth</w:t>
            </w:r>
          </w:p>
        </w:tc>
        <w:tc>
          <w:tcPr>
            <w:tcW w:w="1276" w:type="dxa"/>
            <w:tcBorders>
              <w:bottom w:val="single" w:sz="4" w:space="0" w:color="auto"/>
            </w:tcBorders>
            <w:shd w:val="clear" w:color="auto" w:fill="auto"/>
          </w:tcPr>
          <w:p w14:paraId="002E0D49" w14:textId="77777777" w:rsidR="00E43887" w:rsidRPr="00C44A79" w:rsidRDefault="00E43887" w:rsidP="005A3E88">
            <w:pPr>
              <w:pStyle w:val="NoSpacing"/>
              <w:rPr>
                <w:rStyle w:val="Strong"/>
                <w:rFonts w:ascii="Arial" w:hAnsi="Arial" w:cs="Arial"/>
                <w:sz w:val="20"/>
                <w:szCs w:val="20"/>
                <w:lang w:val="en-GB"/>
              </w:rPr>
            </w:pPr>
          </w:p>
          <w:p w14:paraId="01C0640B" w14:textId="77777777" w:rsidR="00E43887" w:rsidRPr="00C44A79" w:rsidRDefault="00E43887" w:rsidP="005A3E88">
            <w:pPr>
              <w:pStyle w:val="NoSpacing"/>
              <w:rPr>
                <w:rStyle w:val="Strong"/>
                <w:rFonts w:ascii="Arial" w:hAnsi="Arial" w:cs="Arial"/>
                <w:sz w:val="20"/>
                <w:szCs w:val="20"/>
                <w:lang w:val="en-GB"/>
              </w:rPr>
            </w:pPr>
            <w:r w:rsidRPr="00C44A79">
              <w:rPr>
                <w:rStyle w:val="Strong"/>
                <w:rFonts w:ascii="Arial" w:hAnsi="Arial" w:cs="Arial"/>
                <w:sz w:val="20"/>
                <w:szCs w:val="20"/>
                <w:lang w:val="en-GB"/>
              </w:rPr>
              <w:t>After eligibility confirmed</w:t>
            </w:r>
          </w:p>
        </w:tc>
        <w:tc>
          <w:tcPr>
            <w:tcW w:w="850" w:type="dxa"/>
            <w:tcBorders>
              <w:bottom w:val="single" w:sz="4" w:space="0" w:color="auto"/>
            </w:tcBorders>
            <w:shd w:val="clear" w:color="auto" w:fill="auto"/>
            <w:tcMar>
              <w:left w:w="108" w:type="dxa"/>
              <w:right w:w="108" w:type="dxa"/>
            </w:tcMar>
            <w:vAlign w:val="center"/>
          </w:tcPr>
          <w:p w14:paraId="4CCAA827" w14:textId="77777777" w:rsidR="00E43887" w:rsidRPr="00C44A79" w:rsidRDefault="00E43887" w:rsidP="005A3E88">
            <w:pPr>
              <w:pStyle w:val="NoSpacing"/>
              <w:rPr>
                <w:rStyle w:val="Strong"/>
                <w:rFonts w:ascii="Arial" w:hAnsi="Arial" w:cs="Arial"/>
                <w:sz w:val="20"/>
                <w:szCs w:val="20"/>
                <w:lang w:val="en-GB"/>
              </w:rPr>
            </w:pPr>
            <w:r w:rsidRPr="00C44A79">
              <w:rPr>
                <w:rStyle w:val="Strong"/>
                <w:rFonts w:ascii="Arial" w:hAnsi="Arial" w:cs="Arial"/>
                <w:sz w:val="20"/>
                <w:szCs w:val="20"/>
                <w:lang w:val="en-GB"/>
              </w:rPr>
              <w:t>Day 1</w:t>
            </w:r>
          </w:p>
        </w:tc>
        <w:tc>
          <w:tcPr>
            <w:tcW w:w="851" w:type="dxa"/>
            <w:tcBorders>
              <w:bottom w:val="single" w:sz="4" w:space="0" w:color="auto"/>
            </w:tcBorders>
            <w:shd w:val="clear" w:color="auto" w:fill="auto"/>
            <w:tcMar>
              <w:left w:w="108" w:type="dxa"/>
              <w:right w:w="108" w:type="dxa"/>
            </w:tcMar>
            <w:vAlign w:val="center"/>
          </w:tcPr>
          <w:p w14:paraId="15A1C430" w14:textId="77777777" w:rsidR="00E43887" w:rsidRPr="00C44A79" w:rsidRDefault="00E43887" w:rsidP="005A3E88">
            <w:pPr>
              <w:pStyle w:val="NoSpacing"/>
              <w:rPr>
                <w:rStyle w:val="Strong"/>
                <w:rFonts w:ascii="Arial" w:hAnsi="Arial" w:cs="Arial"/>
                <w:sz w:val="20"/>
                <w:szCs w:val="20"/>
                <w:lang w:val="en-GB"/>
              </w:rPr>
            </w:pPr>
            <w:r w:rsidRPr="00C44A79">
              <w:rPr>
                <w:rStyle w:val="Strong"/>
                <w:rFonts w:ascii="Arial" w:hAnsi="Arial" w:cs="Arial"/>
                <w:sz w:val="20"/>
                <w:szCs w:val="20"/>
                <w:lang w:val="en-GB"/>
              </w:rPr>
              <w:t>Day 2</w:t>
            </w:r>
          </w:p>
        </w:tc>
        <w:tc>
          <w:tcPr>
            <w:tcW w:w="850" w:type="dxa"/>
            <w:tcBorders>
              <w:bottom w:val="single" w:sz="4" w:space="0" w:color="auto"/>
            </w:tcBorders>
            <w:shd w:val="clear" w:color="auto" w:fill="auto"/>
            <w:tcMar>
              <w:left w:w="108" w:type="dxa"/>
              <w:right w:w="108" w:type="dxa"/>
            </w:tcMar>
            <w:vAlign w:val="center"/>
          </w:tcPr>
          <w:p w14:paraId="79F02BCB" w14:textId="77777777" w:rsidR="00E43887" w:rsidRPr="00C44A79" w:rsidRDefault="00E43887" w:rsidP="005A3E88">
            <w:pPr>
              <w:pStyle w:val="NoSpacing"/>
              <w:rPr>
                <w:rStyle w:val="Strong"/>
                <w:rFonts w:ascii="Arial" w:hAnsi="Arial" w:cs="Arial"/>
                <w:sz w:val="20"/>
                <w:szCs w:val="20"/>
                <w:lang w:val="en-GB"/>
              </w:rPr>
            </w:pPr>
            <w:r w:rsidRPr="00C44A79">
              <w:rPr>
                <w:rStyle w:val="Strong"/>
                <w:rFonts w:ascii="Arial" w:hAnsi="Arial" w:cs="Arial"/>
                <w:sz w:val="20"/>
                <w:szCs w:val="20"/>
                <w:lang w:val="en-GB"/>
              </w:rPr>
              <w:t>Day 3</w:t>
            </w:r>
          </w:p>
        </w:tc>
        <w:tc>
          <w:tcPr>
            <w:tcW w:w="673" w:type="dxa"/>
            <w:tcBorders>
              <w:bottom w:val="single" w:sz="4" w:space="0" w:color="auto"/>
            </w:tcBorders>
            <w:shd w:val="clear" w:color="auto" w:fill="auto"/>
            <w:tcMar>
              <w:left w:w="108" w:type="dxa"/>
              <w:right w:w="108" w:type="dxa"/>
            </w:tcMar>
            <w:vAlign w:val="center"/>
          </w:tcPr>
          <w:p w14:paraId="0DCCFA18" w14:textId="77777777" w:rsidR="00E43887" w:rsidRPr="00C44A79" w:rsidRDefault="00E43887" w:rsidP="005A3E88">
            <w:pPr>
              <w:pStyle w:val="NoSpacing"/>
              <w:rPr>
                <w:rStyle w:val="Strong"/>
                <w:rFonts w:ascii="Arial" w:hAnsi="Arial" w:cs="Arial"/>
                <w:sz w:val="20"/>
                <w:szCs w:val="20"/>
                <w:lang w:val="en-GB"/>
              </w:rPr>
            </w:pPr>
            <w:r w:rsidRPr="00C44A79">
              <w:rPr>
                <w:rStyle w:val="Strong"/>
                <w:rFonts w:ascii="Arial" w:hAnsi="Arial" w:cs="Arial"/>
                <w:sz w:val="20"/>
                <w:szCs w:val="20"/>
                <w:lang w:val="en-GB"/>
              </w:rPr>
              <w:t>etc.</w:t>
            </w:r>
          </w:p>
        </w:tc>
        <w:tc>
          <w:tcPr>
            <w:tcW w:w="1737" w:type="dxa"/>
            <w:tcBorders>
              <w:bottom w:val="single" w:sz="4" w:space="0" w:color="auto"/>
            </w:tcBorders>
            <w:shd w:val="clear" w:color="auto" w:fill="auto"/>
            <w:tcMar>
              <w:left w:w="108" w:type="dxa"/>
              <w:right w:w="108" w:type="dxa"/>
            </w:tcMar>
            <w:vAlign w:val="center"/>
          </w:tcPr>
          <w:p w14:paraId="0BA31B33" w14:textId="77777777" w:rsidR="00E43887" w:rsidRPr="00C44A79" w:rsidRDefault="00E43887" w:rsidP="005A3E88">
            <w:pPr>
              <w:pStyle w:val="NoSpacing"/>
              <w:rPr>
                <w:rStyle w:val="Strong"/>
                <w:rFonts w:ascii="Arial" w:hAnsi="Arial" w:cs="Arial"/>
                <w:sz w:val="20"/>
                <w:szCs w:val="20"/>
                <w:lang w:val="en-GB"/>
              </w:rPr>
            </w:pPr>
            <w:r w:rsidRPr="00C44A79">
              <w:rPr>
                <w:rStyle w:val="Strong"/>
                <w:rFonts w:ascii="Arial" w:hAnsi="Arial" w:cs="Arial"/>
                <w:sz w:val="20"/>
                <w:szCs w:val="20"/>
                <w:lang w:val="en-GB"/>
              </w:rPr>
              <w:t>Discharge from neonatal unit or 44</w:t>
            </w:r>
            <w:r w:rsidRPr="00C44A79">
              <w:rPr>
                <w:rFonts w:ascii="Arial" w:hAnsi="Arial" w:cs="Arial"/>
                <w:b/>
                <w:sz w:val="20"/>
                <w:szCs w:val="20"/>
                <w:lang w:val="en-GB"/>
              </w:rPr>
              <w:t>+0</w:t>
            </w:r>
            <w:r w:rsidRPr="00C44A79">
              <w:rPr>
                <w:rStyle w:val="Strong"/>
                <w:rFonts w:ascii="Arial" w:hAnsi="Arial" w:cs="Arial"/>
                <w:sz w:val="20"/>
                <w:szCs w:val="20"/>
                <w:lang w:val="en-GB"/>
              </w:rPr>
              <w:t xml:space="preserve"> gestational weeks</w:t>
            </w:r>
            <w:r w:rsidRPr="00C44A79">
              <w:rPr>
                <w:rFonts w:ascii="Arial" w:hAnsi="Arial" w:cs="Arial"/>
                <w:b/>
                <w:sz w:val="20"/>
                <w:szCs w:val="20"/>
                <w:lang w:val="en-GB"/>
              </w:rPr>
              <w:t>+days</w:t>
            </w:r>
          </w:p>
        </w:tc>
      </w:tr>
      <w:tr w:rsidR="00E43887" w:rsidRPr="006C09BD" w14:paraId="373D5A78" w14:textId="77777777" w:rsidTr="00C44A79">
        <w:tc>
          <w:tcPr>
            <w:tcW w:w="9923" w:type="dxa"/>
            <w:gridSpan w:val="8"/>
            <w:shd w:val="clear" w:color="auto" w:fill="auto"/>
          </w:tcPr>
          <w:p w14:paraId="2C7FA082" w14:textId="77777777" w:rsidR="00E43887" w:rsidRPr="006C09BD" w:rsidRDefault="00E43887" w:rsidP="005A3E88">
            <w:pPr>
              <w:pStyle w:val="NORMLAnospacing"/>
            </w:pPr>
            <w:r w:rsidRPr="006C09BD">
              <w:t>ENROLMENT</w:t>
            </w:r>
          </w:p>
        </w:tc>
      </w:tr>
      <w:tr w:rsidR="00E43887" w:rsidRPr="006C09BD" w14:paraId="08510936" w14:textId="77777777" w:rsidTr="00DC2200">
        <w:tc>
          <w:tcPr>
            <w:tcW w:w="2835" w:type="dxa"/>
          </w:tcPr>
          <w:p w14:paraId="47C46CC2" w14:textId="77777777" w:rsidR="00E43887" w:rsidRPr="006C09BD" w:rsidRDefault="00E43887" w:rsidP="005A3E88">
            <w:pPr>
              <w:pStyle w:val="NORMLAnospacing"/>
            </w:pPr>
            <w:r w:rsidRPr="006C09BD">
              <w:t>Eligibility screen</w:t>
            </w:r>
          </w:p>
        </w:tc>
        <w:tc>
          <w:tcPr>
            <w:tcW w:w="851" w:type="dxa"/>
          </w:tcPr>
          <w:p w14:paraId="558D2D09"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1276" w:type="dxa"/>
          </w:tcPr>
          <w:p w14:paraId="240594F4" w14:textId="77777777" w:rsidR="00E43887" w:rsidRPr="006C09BD" w:rsidRDefault="00E43887" w:rsidP="00DC2200">
            <w:pPr>
              <w:pStyle w:val="NoSpacing"/>
              <w:jc w:val="center"/>
              <w:rPr>
                <w:rFonts w:ascii="Arial" w:hAnsi="Arial" w:cs="Arial"/>
                <w:lang w:val="en-GB"/>
              </w:rPr>
            </w:pPr>
          </w:p>
        </w:tc>
        <w:tc>
          <w:tcPr>
            <w:tcW w:w="850" w:type="dxa"/>
          </w:tcPr>
          <w:p w14:paraId="05301096" w14:textId="77777777" w:rsidR="00E43887" w:rsidRPr="006C09BD" w:rsidRDefault="00E43887" w:rsidP="00DC2200">
            <w:pPr>
              <w:pStyle w:val="NoSpacing"/>
              <w:jc w:val="center"/>
              <w:rPr>
                <w:rFonts w:ascii="Arial" w:hAnsi="Arial" w:cs="Arial"/>
                <w:lang w:val="en-GB"/>
              </w:rPr>
            </w:pPr>
          </w:p>
        </w:tc>
        <w:tc>
          <w:tcPr>
            <w:tcW w:w="851" w:type="dxa"/>
          </w:tcPr>
          <w:p w14:paraId="1FF909F5" w14:textId="77777777" w:rsidR="00E43887" w:rsidRPr="006C09BD" w:rsidRDefault="00E43887" w:rsidP="00DC2200">
            <w:pPr>
              <w:pStyle w:val="NoSpacing"/>
              <w:jc w:val="center"/>
              <w:rPr>
                <w:rFonts w:ascii="Arial" w:hAnsi="Arial" w:cs="Arial"/>
                <w:lang w:val="en-GB"/>
              </w:rPr>
            </w:pPr>
          </w:p>
        </w:tc>
        <w:tc>
          <w:tcPr>
            <w:tcW w:w="850" w:type="dxa"/>
          </w:tcPr>
          <w:p w14:paraId="2FFFD013" w14:textId="77777777" w:rsidR="00E43887" w:rsidRPr="006C09BD" w:rsidRDefault="00E43887" w:rsidP="00DC2200">
            <w:pPr>
              <w:pStyle w:val="NoSpacing"/>
              <w:jc w:val="center"/>
              <w:rPr>
                <w:rFonts w:ascii="Arial" w:hAnsi="Arial" w:cs="Arial"/>
                <w:lang w:val="en-GB"/>
              </w:rPr>
            </w:pPr>
          </w:p>
        </w:tc>
        <w:tc>
          <w:tcPr>
            <w:tcW w:w="673" w:type="dxa"/>
          </w:tcPr>
          <w:p w14:paraId="03DE3B1A" w14:textId="77777777" w:rsidR="00E43887" w:rsidRPr="006C09BD" w:rsidRDefault="00E43887" w:rsidP="00DC2200">
            <w:pPr>
              <w:pStyle w:val="NoSpacing"/>
              <w:jc w:val="center"/>
              <w:rPr>
                <w:rFonts w:ascii="Arial" w:hAnsi="Arial" w:cs="Arial"/>
                <w:lang w:val="en-GB"/>
              </w:rPr>
            </w:pPr>
          </w:p>
        </w:tc>
        <w:tc>
          <w:tcPr>
            <w:tcW w:w="1737" w:type="dxa"/>
          </w:tcPr>
          <w:p w14:paraId="7F8E11E2" w14:textId="77777777" w:rsidR="00E43887" w:rsidRPr="006C09BD" w:rsidRDefault="00E43887" w:rsidP="00DC2200">
            <w:pPr>
              <w:pStyle w:val="NoSpacing"/>
              <w:jc w:val="center"/>
              <w:rPr>
                <w:rFonts w:ascii="Arial" w:hAnsi="Arial" w:cs="Arial"/>
                <w:lang w:val="en-GB"/>
              </w:rPr>
            </w:pPr>
          </w:p>
        </w:tc>
      </w:tr>
      <w:tr w:rsidR="00E43887" w:rsidRPr="006C09BD" w14:paraId="5D93B23F" w14:textId="77777777" w:rsidTr="00DC2200">
        <w:tc>
          <w:tcPr>
            <w:tcW w:w="2835" w:type="dxa"/>
          </w:tcPr>
          <w:p w14:paraId="27DB04B5" w14:textId="77777777" w:rsidR="00E43887" w:rsidRPr="006C09BD" w:rsidRDefault="00E43887" w:rsidP="005A3E88">
            <w:pPr>
              <w:pStyle w:val="NORMLAnospacing"/>
            </w:pPr>
            <w:r w:rsidRPr="006C09BD">
              <w:t>Opt-out consent</w:t>
            </w:r>
          </w:p>
        </w:tc>
        <w:tc>
          <w:tcPr>
            <w:tcW w:w="851" w:type="dxa"/>
          </w:tcPr>
          <w:p w14:paraId="18504E0D"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1276" w:type="dxa"/>
          </w:tcPr>
          <w:p w14:paraId="5BCF0856" w14:textId="77777777" w:rsidR="00E43887" w:rsidRPr="006C09BD" w:rsidRDefault="00E43887" w:rsidP="00DC2200">
            <w:pPr>
              <w:pStyle w:val="NoSpacing"/>
              <w:jc w:val="center"/>
              <w:rPr>
                <w:rFonts w:ascii="Arial" w:hAnsi="Arial" w:cs="Arial"/>
                <w:lang w:val="en-GB"/>
              </w:rPr>
            </w:pPr>
          </w:p>
        </w:tc>
        <w:tc>
          <w:tcPr>
            <w:tcW w:w="850" w:type="dxa"/>
          </w:tcPr>
          <w:p w14:paraId="307FAD40" w14:textId="77777777" w:rsidR="00E43887" w:rsidRPr="006C09BD" w:rsidRDefault="00E43887" w:rsidP="00DC2200">
            <w:pPr>
              <w:pStyle w:val="NoSpacing"/>
              <w:jc w:val="center"/>
              <w:rPr>
                <w:rFonts w:ascii="Arial" w:hAnsi="Arial" w:cs="Arial"/>
                <w:lang w:val="en-GB"/>
              </w:rPr>
            </w:pPr>
          </w:p>
        </w:tc>
        <w:tc>
          <w:tcPr>
            <w:tcW w:w="851" w:type="dxa"/>
          </w:tcPr>
          <w:p w14:paraId="2D263A35" w14:textId="77777777" w:rsidR="00E43887" w:rsidRPr="006C09BD" w:rsidRDefault="00E43887" w:rsidP="00DC2200">
            <w:pPr>
              <w:pStyle w:val="NoSpacing"/>
              <w:jc w:val="center"/>
              <w:rPr>
                <w:rFonts w:ascii="Arial" w:hAnsi="Arial" w:cs="Arial"/>
                <w:lang w:val="en-GB"/>
              </w:rPr>
            </w:pPr>
          </w:p>
        </w:tc>
        <w:tc>
          <w:tcPr>
            <w:tcW w:w="850" w:type="dxa"/>
          </w:tcPr>
          <w:p w14:paraId="2E93C172" w14:textId="77777777" w:rsidR="00E43887" w:rsidRPr="006C09BD" w:rsidRDefault="00E43887" w:rsidP="00DC2200">
            <w:pPr>
              <w:pStyle w:val="NoSpacing"/>
              <w:jc w:val="center"/>
              <w:rPr>
                <w:rFonts w:ascii="Arial" w:hAnsi="Arial" w:cs="Arial"/>
                <w:lang w:val="en-GB"/>
              </w:rPr>
            </w:pPr>
          </w:p>
        </w:tc>
        <w:tc>
          <w:tcPr>
            <w:tcW w:w="673" w:type="dxa"/>
          </w:tcPr>
          <w:p w14:paraId="7571031C" w14:textId="77777777" w:rsidR="00E43887" w:rsidRPr="006C09BD" w:rsidRDefault="00E43887" w:rsidP="00DC2200">
            <w:pPr>
              <w:pStyle w:val="NoSpacing"/>
              <w:jc w:val="center"/>
              <w:rPr>
                <w:rFonts w:ascii="Arial" w:hAnsi="Arial" w:cs="Arial"/>
                <w:lang w:val="en-GB"/>
              </w:rPr>
            </w:pPr>
          </w:p>
        </w:tc>
        <w:tc>
          <w:tcPr>
            <w:tcW w:w="1737" w:type="dxa"/>
          </w:tcPr>
          <w:p w14:paraId="0B913B11" w14:textId="77777777" w:rsidR="00E43887" w:rsidRPr="006C09BD" w:rsidRDefault="00E43887" w:rsidP="00DC2200">
            <w:pPr>
              <w:pStyle w:val="NoSpacing"/>
              <w:jc w:val="center"/>
              <w:rPr>
                <w:rFonts w:ascii="Arial" w:hAnsi="Arial" w:cs="Arial"/>
                <w:lang w:val="en-GB"/>
              </w:rPr>
            </w:pPr>
          </w:p>
        </w:tc>
      </w:tr>
      <w:tr w:rsidR="00E43887" w:rsidRPr="006C09BD" w14:paraId="7F7E429B" w14:textId="77777777" w:rsidTr="00DC2200">
        <w:tc>
          <w:tcPr>
            <w:tcW w:w="2835" w:type="dxa"/>
          </w:tcPr>
          <w:p w14:paraId="062A0823" w14:textId="77777777" w:rsidR="00E43887" w:rsidRPr="006C09BD" w:rsidRDefault="00E43887" w:rsidP="005A3E88">
            <w:pPr>
              <w:pStyle w:val="NORMLAnospacing"/>
            </w:pPr>
            <w:r w:rsidRPr="006C09BD">
              <w:t>Randomisation</w:t>
            </w:r>
          </w:p>
        </w:tc>
        <w:tc>
          <w:tcPr>
            <w:tcW w:w="851" w:type="dxa"/>
          </w:tcPr>
          <w:p w14:paraId="1586D3C0" w14:textId="77777777" w:rsidR="00E43887" w:rsidRPr="006C09BD" w:rsidRDefault="00E43887" w:rsidP="00DC2200">
            <w:pPr>
              <w:pStyle w:val="NoSpacing"/>
              <w:jc w:val="center"/>
              <w:rPr>
                <w:rFonts w:ascii="Arial" w:hAnsi="Arial" w:cs="Arial"/>
                <w:lang w:val="en-GB"/>
              </w:rPr>
            </w:pPr>
          </w:p>
        </w:tc>
        <w:tc>
          <w:tcPr>
            <w:tcW w:w="1276" w:type="dxa"/>
          </w:tcPr>
          <w:p w14:paraId="70762698"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850" w:type="dxa"/>
          </w:tcPr>
          <w:p w14:paraId="7FB377BF" w14:textId="77777777" w:rsidR="00E43887" w:rsidRPr="006C09BD" w:rsidRDefault="00E43887" w:rsidP="00DC2200">
            <w:pPr>
              <w:pStyle w:val="NoSpacing"/>
              <w:jc w:val="center"/>
              <w:rPr>
                <w:rFonts w:ascii="Arial" w:hAnsi="Arial" w:cs="Arial"/>
                <w:lang w:val="en-GB"/>
              </w:rPr>
            </w:pPr>
          </w:p>
        </w:tc>
        <w:tc>
          <w:tcPr>
            <w:tcW w:w="851" w:type="dxa"/>
          </w:tcPr>
          <w:p w14:paraId="2305D532" w14:textId="77777777" w:rsidR="00E43887" w:rsidRPr="006C09BD" w:rsidRDefault="00E43887" w:rsidP="00DC2200">
            <w:pPr>
              <w:pStyle w:val="NoSpacing"/>
              <w:jc w:val="center"/>
              <w:rPr>
                <w:rFonts w:ascii="Arial" w:hAnsi="Arial" w:cs="Arial"/>
                <w:lang w:val="en-GB"/>
              </w:rPr>
            </w:pPr>
          </w:p>
        </w:tc>
        <w:tc>
          <w:tcPr>
            <w:tcW w:w="850" w:type="dxa"/>
          </w:tcPr>
          <w:p w14:paraId="31D0ADEA" w14:textId="77777777" w:rsidR="00E43887" w:rsidRPr="006C09BD" w:rsidRDefault="00E43887" w:rsidP="00DC2200">
            <w:pPr>
              <w:pStyle w:val="NoSpacing"/>
              <w:jc w:val="center"/>
              <w:rPr>
                <w:rFonts w:ascii="Arial" w:hAnsi="Arial" w:cs="Arial"/>
                <w:lang w:val="en-GB"/>
              </w:rPr>
            </w:pPr>
          </w:p>
        </w:tc>
        <w:tc>
          <w:tcPr>
            <w:tcW w:w="673" w:type="dxa"/>
          </w:tcPr>
          <w:p w14:paraId="2DACC02D" w14:textId="77777777" w:rsidR="00E43887" w:rsidRPr="006C09BD" w:rsidRDefault="00E43887" w:rsidP="00DC2200">
            <w:pPr>
              <w:pStyle w:val="NoSpacing"/>
              <w:jc w:val="center"/>
              <w:rPr>
                <w:rFonts w:ascii="Arial" w:hAnsi="Arial" w:cs="Arial"/>
                <w:lang w:val="en-GB"/>
              </w:rPr>
            </w:pPr>
          </w:p>
        </w:tc>
        <w:tc>
          <w:tcPr>
            <w:tcW w:w="1737" w:type="dxa"/>
          </w:tcPr>
          <w:p w14:paraId="575553D7" w14:textId="77777777" w:rsidR="00E43887" w:rsidRPr="006C09BD" w:rsidRDefault="00E43887" w:rsidP="00DC2200">
            <w:pPr>
              <w:pStyle w:val="NoSpacing"/>
              <w:jc w:val="center"/>
              <w:rPr>
                <w:rFonts w:ascii="Arial" w:hAnsi="Arial" w:cs="Arial"/>
                <w:lang w:val="en-GB"/>
              </w:rPr>
            </w:pPr>
          </w:p>
        </w:tc>
      </w:tr>
      <w:tr w:rsidR="00E43887" w:rsidRPr="006C09BD" w14:paraId="47478917" w14:textId="77777777" w:rsidTr="00DC2200">
        <w:tc>
          <w:tcPr>
            <w:tcW w:w="2835" w:type="dxa"/>
          </w:tcPr>
          <w:p w14:paraId="29CE3CE8" w14:textId="77777777" w:rsidR="00E43887" w:rsidRPr="006C09BD" w:rsidRDefault="00E43887" w:rsidP="005A3E88">
            <w:pPr>
              <w:pStyle w:val="NORMLAnospacing"/>
            </w:pPr>
            <w:r w:rsidRPr="006C09BD">
              <w:t>Baseline data</w:t>
            </w:r>
          </w:p>
        </w:tc>
        <w:tc>
          <w:tcPr>
            <w:tcW w:w="851" w:type="dxa"/>
          </w:tcPr>
          <w:p w14:paraId="680348DA" w14:textId="77777777" w:rsidR="00E43887" w:rsidRPr="006C09BD" w:rsidRDefault="00E43887" w:rsidP="00DC2200">
            <w:pPr>
              <w:pStyle w:val="NoSpacing"/>
              <w:jc w:val="center"/>
              <w:rPr>
                <w:rFonts w:ascii="Arial" w:hAnsi="Arial" w:cs="Arial"/>
                <w:lang w:val="en-GB"/>
              </w:rPr>
            </w:pPr>
          </w:p>
        </w:tc>
        <w:tc>
          <w:tcPr>
            <w:tcW w:w="1276" w:type="dxa"/>
          </w:tcPr>
          <w:p w14:paraId="610EB25A"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850" w:type="dxa"/>
          </w:tcPr>
          <w:p w14:paraId="0BDD1AC3" w14:textId="77777777" w:rsidR="00E43887" w:rsidRPr="006C09BD" w:rsidRDefault="00E43887" w:rsidP="00DC2200">
            <w:pPr>
              <w:pStyle w:val="NoSpacing"/>
              <w:jc w:val="center"/>
              <w:rPr>
                <w:rFonts w:ascii="Arial" w:hAnsi="Arial" w:cs="Arial"/>
                <w:lang w:val="en-GB"/>
              </w:rPr>
            </w:pPr>
          </w:p>
        </w:tc>
        <w:tc>
          <w:tcPr>
            <w:tcW w:w="851" w:type="dxa"/>
          </w:tcPr>
          <w:p w14:paraId="3C586C2E" w14:textId="77777777" w:rsidR="00E43887" w:rsidRPr="006C09BD" w:rsidRDefault="00E43887" w:rsidP="00DC2200">
            <w:pPr>
              <w:pStyle w:val="NoSpacing"/>
              <w:jc w:val="center"/>
              <w:rPr>
                <w:rFonts w:ascii="Arial" w:hAnsi="Arial" w:cs="Arial"/>
                <w:lang w:val="en-GB"/>
              </w:rPr>
            </w:pPr>
          </w:p>
        </w:tc>
        <w:tc>
          <w:tcPr>
            <w:tcW w:w="850" w:type="dxa"/>
          </w:tcPr>
          <w:p w14:paraId="273AE32D" w14:textId="77777777" w:rsidR="00E43887" w:rsidRPr="006C09BD" w:rsidRDefault="00E43887" w:rsidP="00DC2200">
            <w:pPr>
              <w:pStyle w:val="NoSpacing"/>
              <w:jc w:val="center"/>
              <w:rPr>
                <w:rFonts w:ascii="Arial" w:hAnsi="Arial" w:cs="Arial"/>
                <w:lang w:val="en-GB"/>
              </w:rPr>
            </w:pPr>
          </w:p>
        </w:tc>
        <w:tc>
          <w:tcPr>
            <w:tcW w:w="673" w:type="dxa"/>
          </w:tcPr>
          <w:p w14:paraId="1929ED3F" w14:textId="77777777" w:rsidR="00E43887" w:rsidRPr="006C09BD" w:rsidRDefault="00E43887" w:rsidP="00DC2200">
            <w:pPr>
              <w:pStyle w:val="NoSpacing"/>
              <w:jc w:val="center"/>
              <w:rPr>
                <w:rFonts w:ascii="Arial" w:hAnsi="Arial" w:cs="Arial"/>
                <w:lang w:val="en-GB"/>
              </w:rPr>
            </w:pPr>
          </w:p>
        </w:tc>
        <w:tc>
          <w:tcPr>
            <w:tcW w:w="1737" w:type="dxa"/>
          </w:tcPr>
          <w:p w14:paraId="787F50B1" w14:textId="77777777" w:rsidR="00E43887" w:rsidRPr="006C09BD" w:rsidRDefault="00E43887" w:rsidP="00DC2200">
            <w:pPr>
              <w:pStyle w:val="NoSpacing"/>
              <w:jc w:val="center"/>
              <w:rPr>
                <w:rFonts w:ascii="Arial" w:hAnsi="Arial" w:cs="Arial"/>
                <w:lang w:val="en-GB"/>
              </w:rPr>
            </w:pPr>
          </w:p>
        </w:tc>
      </w:tr>
      <w:tr w:rsidR="00E43887" w:rsidRPr="006C09BD" w14:paraId="5B29EABB" w14:textId="77777777" w:rsidTr="00C44A79">
        <w:tc>
          <w:tcPr>
            <w:tcW w:w="9923" w:type="dxa"/>
            <w:gridSpan w:val="8"/>
            <w:shd w:val="clear" w:color="auto" w:fill="auto"/>
          </w:tcPr>
          <w:p w14:paraId="1E631BB0" w14:textId="2139B03D" w:rsidR="00E43887" w:rsidRPr="006C09BD" w:rsidRDefault="00125A6A" w:rsidP="005A3E88">
            <w:pPr>
              <w:pStyle w:val="NORMLAnospacing"/>
            </w:pPr>
            <w:r w:rsidRPr="006C09BD">
              <w:t>INTERVENTION/</w:t>
            </w:r>
            <w:r w:rsidR="00E43887" w:rsidRPr="006C09BD">
              <w:t>COMPARATOR</w:t>
            </w:r>
          </w:p>
        </w:tc>
      </w:tr>
      <w:tr w:rsidR="00E43887" w:rsidRPr="006C09BD" w14:paraId="405C7B5B" w14:textId="77777777" w:rsidTr="00DC2200">
        <w:tc>
          <w:tcPr>
            <w:tcW w:w="2835" w:type="dxa"/>
          </w:tcPr>
          <w:p w14:paraId="721EDFD2" w14:textId="77777777" w:rsidR="00E43887" w:rsidRPr="006C09BD" w:rsidRDefault="00E43887" w:rsidP="005A3E88">
            <w:pPr>
              <w:pStyle w:val="NORMLAnospacing"/>
            </w:pPr>
            <w:r w:rsidRPr="006C09BD">
              <w:rPr>
                <w:i/>
                <w:iCs/>
              </w:rPr>
              <w:t>Routine</w:t>
            </w:r>
            <w:r w:rsidRPr="006C09BD">
              <w:t xml:space="preserve"> or </w:t>
            </w:r>
            <w:r w:rsidRPr="006C09BD">
              <w:rPr>
                <w:i/>
                <w:iCs/>
              </w:rPr>
              <w:t>no</w:t>
            </w:r>
            <w:r w:rsidRPr="006C09BD">
              <w:t xml:space="preserve"> measurement of gastric residual volumes</w:t>
            </w:r>
          </w:p>
        </w:tc>
        <w:tc>
          <w:tcPr>
            <w:tcW w:w="851" w:type="dxa"/>
          </w:tcPr>
          <w:p w14:paraId="257D7DF7" w14:textId="77777777" w:rsidR="00E43887" w:rsidRPr="006C09BD" w:rsidRDefault="00E43887" w:rsidP="00DC2200">
            <w:pPr>
              <w:pStyle w:val="NoSpacing"/>
              <w:jc w:val="center"/>
              <w:rPr>
                <w:rFonts w:ascii="Arial" w:hAnsi="Arial" w:cs="Arial"/>
                <w:lang w:val="en-GB"/>
              </w:rPr>
            </w:pPr>
          </w:p>
        </w:tc>
        <w:tc>
          <w:tcPr>
            <w:tcW w:w="1276" w:type="dxa"/>
          </w:tcPr>
          <w:p w14:paraId="5A563E2D" w14:textId="77777777" w:rsidR="00E43887" w:rsidRPr="006C09BD" w:rsidRDefault="00E43887" w:rsidP="00DC2200">
            <w:pPr>
              <w:pStyle w:val="NoSpacing"/>
              <w:jc w:val="center"/>
              <w:rPr>
                <w:rFonts w:ascii="Arial" w:hAnsi="Arial" w:cs="Arial"/>
                <w:lang w:val="en-GB"/>
              </w:rPr>
            </w:pPr>
          </w:p>
        </w:tc>
        <w:tc>
          <w:tcPr>
            <w:tcW w:w="850" w:type="dxa"/>
            <w:vAlign w:val="center"/>
          </w:tcPr>
          <w:p w14:paraId="399C2F32"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851" w:type="dxa"/>
            <w:vAlign w:val="center"/>
          </w:tcPr>
          <w:p w14:paraId="37CB6BC1"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850" w:type="dxa"/>
            <w:vAlign w:val="center"/>
          </w:tcPr>
          <w:p w14:paraId="11F195BF"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673" w:type="dxa"/>
            <w:vAlign w:val="center"/>
          </w:tcPr>
          <w:p w14:paraId="7C0A7090"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1737" w:type="dxa"/>
            <w:vAlign w:val="center"/>
          </w:tcPr>
          <w:p w14:paraId="378D3CA6" w14:textId="77777777" w:rsidR="00E43887" w:rsidRPr="006C09BD" w:rsidRDefault="00E43887" w:rsidP="00DC2200">
            <w:pPr>
              <w:pStyle w:val="NoSpacing"/>
              <w:jc w:val="center"/>
              <w:rPr>
                <w:rFonts w:ascii="Arial" w:hAnsi="Arial" w:cs="Arial"/>
                <w:lang w:val="en-GB"/>
              </w:rPr>
            </w:pPr>
          </w:p>
        </w:tc>
      </w:tr>
      <w:tr w:rsidR="00E43887" w:rsidRPr="006C09BD" w14:paraId="7482A0AB" w14:textId="77777777" w:rsidTr="00C44A79">
        <w:tc>
          <w:tcPr>
            <w:tcW w:w="9923" w:type="dxa"/>
            <w:gridSpan w:val="8"/>
            <w:shd w:val="clear" w:color="auto" w:fill="auto"/>
          </w:tcPr>
          <w:p w14:paraId="36F51DBD" w14:textId="77777777" w:rsidR="00E43887" w:rsidRPr="006C09BD" w:rsidRDefault="00E43887" w:rsidP="005A3E88">
            <w:pPr>
              <w:pStyle w:val="NORMLAnospacing"/>
            </w:pPr>
            <w:r w:rsidRPr="006C09BD">
              <w:lastRenderedPageBreak/>
              <w:t>ASSESSMENTS</w:t>
            </w:r>
          </w:p>
        </w:tc>
      </w:tr>
      <w:tr w:rsidR="00E43887" w:rsidRPr="006C09BD" w14:paraId="2897D7B8" w14:textId="77777777" w:rsidTr="00DC2200">
        <w:tc>
          <w:tcPr>
            <w:tcW w:w="2835" w:type="dxa"/>
          </w:tcPr>
          <w:p w14:paraId="525AA520" w14:textId="77777777" w:rsidR="00E43887" w:rsidRPr="006C09BD" w:rsidRDefault="00E43887" w:rsidP="005A3E88">
            <w:pPr>
              <w:pStyle w:val="NORMLAnospacing"/>
            </w:pPr>
            <w:r w:rsidRPr="006C09BD">
              <w:t>Daily feeding log</w:t>
            </w:r>
          </w:p>
        </w:tc>
        <w:tc>
          <w:tcPr>
            <w:tcW w:w="851" w:type="dxa"/>
          </w:tcPr>
          <w:p w14:paraId="7A7D90C4" w14:textId="77777777" w:rsidR="00E43887" w:rsidRPr="006C09BD" w:rsidRDefault="00E43887" w:rsidP="00DC2200">
            <w:pPr>
              <w:pStyle w:val="NoSpacing"/>
              <w:jc w:val="center"/>
              <w:rPr>
                <w:rFonts w:ascii="Arial" w:hAnsi="Arial" w:cs="Arial"/>
                <w:lang w:val="en-GB"/>
              </w:rPr>
            </w:pPr>
          </w:p>
        </w:tc>
        <w:tc>
          <w:tcPr>
            <w:tcW w:w="1276" w:type="dxa"/>
          </w:tcPr>
          <w:p w14:paraId="3E27AEBB" w14:textId="77777777" w:rsidR="00E43887" w:rsidRPr="006C09BD" w:rsidRDefault="00E43887" w:rsidP="00DC2200">
            <w:pPr>
              <w:pStyle w:val="NoSpacing"/>
              <w:jc w:val="center"/>
              <w:rPr>
                <w:rFonts w:ascii="Arial" w:hAnsi="Arial" w:cs="Arial"/>
                <w:lang w:val="en-GB"/>
              </w:rPr>
            </w:pPr>
          </w:p>
        </w:tc>
        <w:tc>
          <w:tcPr>
            <w:tcW w:w="850" w:type="dxa"/>
            <w:vAlign w:val="center"/>
          </w:tcPr>
          <w:p w14:paraId="13671BC5"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851" w:type="dxa"/>
            <w:vAlign w:val="center"/>
          </w:tcPr>
          <w:p w14:paraId="75A11441"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850" w:type="dxa"/>
            <w:vAlign w:val="center"/>
          </w:tcPr>
          <w:p w14:paraId="3F92EA97"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p>
        </w:tc>
        <w:tc>
          <w:tcPr>
            <w:tcW w:w="673" w:type="dxa"/>
            <w:vAlign w:val="center"/>
          </w:tcPr>
          <w:p w14:paraId="023E68C5" w14:textId="77777777" w:rsidR="00E43887" w:rsidRPr="006C09BD" w:rsidRDefault="00E43887" w:rsidP="00DC2200">
            <w:pPr>
              <w:pStyle w:val="NoSpacing"/>
              <w:jc w:val="center"/>
              <w:rPr>
                <w:rFonts w:ascii="Arial" w:hAnsi="Arial" w:cs="Arial"/>
                <w:vertAlign w:val="superscript"/>
                <w:lang w:val="en-GB"/>
              </w:rPr>
            </w:pPr>
            <w:r w:rsidRPr="006C09BD">
              <w:rPr>
                <w:rFonts w:ascii="Arial" w:hAnsi="Arial" w:cs="Arial"/>
                <w:lang w:val="en-GB"/>
              </w:rPr>
              <w:t>X</w:t>
            </w:r>
            <w:r w:rsidRPr="006C09BD">
              <w:rPr>
                <w:rFonts w:ascii="Arial" w:hAnsi="Arial" w:cs="Arial"/>
                <w:vertAlign w:val="superscript"/>
                <w:lang w:val="en-GB"/>
              </w:rPr>
              <w:t>1</w:t>
            </w:r>
          </w:p>
        </w:tc>
        <w:tc>
          <w:tcPr>
            <w:tcW w:w="1737" w:type="dxa"/>
          </w:tcPr>
          <w:p w14:paraId="2F45ECBD" w14:textId="77777777" w:rsidR="00E43887" w:rsidRPr="006C09BD" w:rsidRDefault="00E43887" w:rsidP="00DC2200">
            <w:pPr>
              <w:pStyle w:val="NoSpacing"/>
              <w:jc w:val="center"/>
              <w:rPr>
                <w:rFonts w:ascii="Arial" w:hAnsi="Arial" w:cs="Arial"/>
                <w:lang w:val="en-GB"/>
              </w:rPr>
            </w:pPr>
          </w:p>
        </w:tc>
      </w:tr>
      <w:tr w:rsidR="00E43887" w:rsidRPr="006C09BD" w14:paraId="66EE647C" w14:textId="77777777" w:rsidTr="00DC2200">
        <w:tc>
          <w:tcPr>
            <w:tcW w:w="2835" w:type="dxa"/>
          </w:tcPr>
          <w:p w14:paraId="643B7C24" w14:textId="77777777" w:rsidR="00E43887" w:rsidRPr="006C09BD" w:rsidRDefault="00E43887" w:rsidP="005A3E88">
            <w:pPr>
              <w:pStyle w:val="NORMLAnospacing"/>
            </w:pPr>
            <w:r w:rsidRPr="006C09BD">
              <w:t>Late-onset infection and gut signs</w:t>
            </w:r>
          </w:p>
        </w:tc>
        <w:tc>
          <w:tcPr>
            <w:tcW w:w="851" w:type="dxa"/>
          </w:tcPr>
          <w:p w14:paraId="59166A29" w14:textId="77777777" w:rsidR="00E43887" w:rsidRPr="006C09BD" w:rsidRDefault="00E43887" w:rsidP="00DC2200">
            <w:pPr>
              <w:pStyle w:val="NoSpacing"/>
              <w:jc w:val="center"/>
              <w:rPr>
                <w:rFonts w:ascii="Arial" w:hAnsi="Arial" w:cs="Arial"/>
                <w:lang w:val="en-GB"/>
              </w:rPr>
            </w:pPr>
          </w:p>
        </w:tc>
        <w:tc>
          <w:tcPr>
            <w:tcW w:w="1276" w:type="dxa"/>
          </w:tcPr>
          <w:p w14:paraId="4BF3951D" w14:textId="77777777" w:rsidR="00E43887" w:rsidRPr="006C09BD" w:rsidRDefault="00E43887" w:rsidP="00DC2200">
            <w:pPr>
              <w:pStyle w:val="NoSpacing"/>
              <w:jc w:val="center"/>
              <w:rPr>
                <w:rFonts w:ascii="Arial" w:hAnsi="Arial" w:cs="Arial"/>
                <w:lang w:val="en-GB"/>
              </w:rPr>
            </w:pPr>
          </w:p>
        </w:tc>
        <w:tc>
          <w:tcPr>
            <w:tcW w:w="850" w:type="dxa"/>
            <w:vAlign w:val="center"/>
          </w:tcPr>
          <w:p w14:paraId="5AAC5ACA" w14:textId="77777777" w:rsidR="00E43887" w:rsidRPr="006C09BD" w:rsidRDefault="00E43887" w:rsidP="00DC2200">
            <w:pPr>
              <w:pStyle w:val="NoSpacing"/>
              <w:jc w:val="center"/>
              <w:rPr>
                <w:rFonts w:ascii="Arial" w:hAnsi="Arial" w:cs="Arial"/>
                <w:lang w:val="en-GB"/>
              </w:rPr>
            </w:pPr>
          </w:p>
        </w:tc>
        <w:tc>
          <w:tcPr>
            <w:tcW w:w="851" w:type="dxa"/>
            <w:vAlign w:val="center"/>
          </w:tcPr>
          <w:p w14:paraId="2123EEBF" w14:textId="77777777" w:rsidR="00E43887" w:rsidRPr="006C09BD" w:rsidRDefault="00E43887" w:rsidP="00DC2200">
            <w:pPr>
              <w:pStyle w:val="NoSpacing"/>
              <w:jc w:val="center"/>
              <w:rPr>
                <w:rFonts w:ascii="Arial" w:hAnsi="Arial" w:cs="Arial"/>
                <w:lang w:val="en-GB"/>
              </w:rPr>
            </w:pPr>
          </w:p>
        </w:tc>
        <w:tc>
          <w:tcPr>
            <w:tcW w:w="850" w:type="dxa"/>
            <w:vAlign w:val="center"/>
          </w:tcPr>
          <w:p w14:paraId="7A8AD66C" w14:textId="77777777" w:rsidR="00E43887" w:rsidRPr="006C09BD" w:rsidRDefault="00E43887" w:rsidP="00DC2200">
            <w:pPr>
              <w:pStyle w:val="NoSpacing"/>
              <w:jc w:val="center"/>
              <w:rPr>
                <w:rFonts w:ascii="Arial" w:hAnsi="Arial" w:cs="Arial"/>
                <w:lang w:val="en-GB"/>
              </w:rPr>
            </w:pPr>
          </w:p>
        </w:tc>
        <w:tc>
          <w:tcPr>
            <w:tcW w:w="673" w:type="dxa"/>
            <w:vAlign w:val="center"/>
          </w:tcPr>
          <w:p w14:paraId="3B50E08D"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r w:rsidRPr="006C09BD">
              <w:rPr>
                <w:rFonts w:ascii="Arial" w:hAnsi="Arial" w:cs="Arial"/>
                <w:vertAlign w:val="superscript"/>
                <w:lang w:val="en-GB"/>
              </w:rPr>
              <w:t>2</w:t>
            </w:r>
          </w:p>
        </w:tc>
        <w:tc>
          <w:tcPr>
            <w:tcW w:w="1737" w:type="dxa"/>
          </w:tcPr>
          <w:p w14:paraId="28C349AE" w14:textId="77777777" w:rsidR="00E43887" w:rsidRPr="006C09BD" w:rsidRDefault="00E43887" w:rsidP="00DC2200">
            <w:pPr>
              <w:pStyle w:val="NoSpacing"/>
              <w:jc w:val="center"/>
              <w:rPr>
                <w:rFonts w:ascii="Arial" w:hAnsi="Arial" w:cs="Arial"/>
                <w:lang w:val="en-GB"/>
              </w:rPr>
            </w:pPr>
          </w:p>
        </w:tc>
      </w:tr>
      <w:tr w:rsidR="00E43887" w:rsidRPr="006C09BD" w14:paraId="1229D3E0" w14:textId="77777777" w:rsidTr="00C44A79">
        <w:tc>
          <w:tcPr>
            <w:tcW w:w="9923" w:type="dxa"/>
            <w:gridSpan w:val="8"/>
            <w:shd w:val="clear" w:color="auto" w:fill="auto"/>
          </w:tcPr>
          <w:p w14:paraId="6291E5CD" w14:textId="77777777" w:rsidR="00E43887" w:rsidRPr="006C09BD" w:rsidRDefault="00E43887" w:rsidP="005A3E88">
            <w:pPr>
              <w:pStyle w:val="NORMLAnospacing"/>
            </w:pPr>
            <w:r w:rsidRPr="006C09BD">
              <w:t xml:space="preserve">DATA at DISCHARGE or </w:t>
            </w:r>
            <w:r w:rsidRPr="006C09BD">
              <w:rPr>
                <w:rStyle w:val="Strong"/>
              </w:rPr>
              <w:t>44</w:t>
            </w:r>
            <w:r w:rsidRPr="006C09BD">
              <w:rPr>
                <w:b/>
              </w:rPr>
              <w:t>+0</w:t>
            </w:r>
            <w:r w:rsidRPr="006C09BD">
              <w:rPr>
                <w:rStyle w:val="Strong"/>
              </w:rPr>
              <w:t xml:space="preserve"> GESTATIONAL WEEKS</w:t>
            </w:r>
            <w:r w:rsidRPr="006C09BD">
              <w:rPr>
                <w:b/>
              </w:rPr>
              <w:t>+DAYS</w:t>
            </w:r>
          </w:p>
        </w:tc>
      </w:tr>
      <w:tr w:rsidR="00E43887" w:rsidRPr="006C09BD" w14:paraId="7DA9B7CD" w14:textId="77777777" w:rsidTr="00DC2200">
        <w:tc>
          <w:tcPr>
            <w:tcW w:w="2835" w:type="dxa"/>
          </w:tcPr>
          <w:p w14:paraId="69B1E927" w14:textId="7E25EFC8" w:rsidR="00E43887" w:rsidRPr="006C09BD" w:rsidRDefault="00E43887" w:rsidP="005A3E88">
            <w:pPr>
              <w:pStyle w:val="NORMLAnospacing"/>
            </w:pPr>
            <w:r w:rsidRPr="006C09BD">
              <w:t>Clinical data</w:t>
            </w:r>
            <w:r w:rsidRPr="006C09BD">
              <w:rPr>
                <w:vertAlign w:val="superscript"/>
              </w:rPr>
              <w:t>3</w:t>
            </w:r>
          </w:p>
        </w:tc>
        <w:tc>
          <w:tcPr>
            <w:tcW w:w="851" w:type="dxa"/>
          </w:tcPr>
          <w:p w14:paraId="694A6085" w14:textId="77777777" w:rsidR="00E43887" w:rsidRPr="006C09BD" w:rsidRDefault="00E43887" w:rsidP="00DC2200">
            <w:pPr>
              <w:pStyle w:val="NoSpacing"/>
              <w:jc w:val="center"/>
              <w:rPr>
                <w:rFonts w:ascii="Arial" w:hAnsi="Arial" w:cs="Arial"/>
                <w:lang w:val="en-GB"/>
              </w:rPr>
            </w:pPr>
          </w:p>
        </w:tc>
        <w:tc>
          <w:tcPr>
            <w:tcW w:w="1276" w:type="dxa"/>
          </w:tcPr>
          <w:p w14:paraId="6565C8F9" w14:textId="77777777" w:rsidR="00E43887" w:rsidRPr="006C09BD" w:rsidRDefault="00E43887" w:rsidP="00DC2200">
            <w:pPr>
              <w:pStyle w:val="NoSpacing"/>
              <w:jc w:val="center"/>
              <w:rPr>
                <w:rFonts w:ascii="Arial" w:hAnsi="Arial" w:cs="Arial"/>
                <w:lang w:val="en-GB"/>
              </w:rPr>
            </w:pPr>
          </w:p>
        </w:tc>
        <w:tc>
          <w:tcPr>
            <w:tcW w:w="850" w:type="dxa"/>
          </w:tcPr>
          <w:p w14:paraId="0CDBDF90" w14:textId="77777777" w:rsidR="00E43887" w:rsidRPr="006C09BD" w:rsidRDefault="00E43887" w:rsidP="00DC2200">
            <w:pPr>
              <w:pStyle w:val="NoSpacing"/>
              <w:jc w:val="center"/>
              <w:rPr>
                <w:rFonts w:ascii="Arial" w:hAnsi="Arial" w:cs="Arial"/>
                <w:lang w:val="en-GB"/>
              </w:rPr>
            </w:pPr>
          </w:p>
        </w:tc>
        <w:tc>
          <w:tcPr>
            <w:tcW w:w="851" w:type="dxa"/>
          </w:tcPr>
          <w:p w14:paraId="6A1C4863" w14:textId="77777777" w:rsidR="00E43887" w:rsidRPr="006C09BD" w:rsidRDefault="00E43887" w:rsidP="00DC2200">
            <w:pPr>
              <w:pStyle w:val="NoSpacing"/>
              <w:jc w:val="center"/>
              <w:rPr>
                <w:rFonts w:ascii="Arial" w:hAnsi="Arial" w:cs="Arial"/>
                <w:lang w:val="en-GB"/>
              </w:rPr>
            </w:pPr>
          </w:p>
        </w:tc>
        <w:tc>
          <w:tcPr>
            <w:tcW w:w="850" w:type="dxa"/>
          </w:tcPr>
          <w:p w14:paraId="5A11FD31" w14:textId="77777777" w:rsidR="00E43887" w:rsidRPr="006C09BD" w:rsidRDefault="00E43887" w:rsidP="00DC2200">
            <w:pPr>
              <w:pStyle w:val="NoSpacing"/>
              <w:jc w:val="center"/>
              <w:rPr>
                <w:rFonts w:ascii="Arial" w:hAnsi="Arial" w:cs="Arial"/>
                <w:lang w:val="en-GB"/>
              </w:rPr>
            </w:pPr>
          </w:p>
        </w:tc>
        <w:tc>
          <w:tcPr>
            <w:tcW w:w="673" w:type="dxa"/>
          </w:tcPr>
          <w:p w14:paraId="7F2B2AF8" w14:textId="77777777" w:rsidR="00E43887" w:rsidRPr="006C09BD" w:rsidRDefault="00E43887" w:rsidP="00DC2200">
            <w:pPr>
              <w:pStyle w:val="NoSpacing"/>
              <w:jc w:val="center"/>
              <w:rPr>
                <w:rFonts w:ascii="Arial" w:hAnsi="Arial" w:cs="Arial"/>
                <w:lang w:val="en-GB"/>
              </w:rPr>
            </w:pPr>
          </w:p>
        </w:tc>
        <w:tc>
          <w:tcPr>
            <w:tcW w:w="1737" w:type="dxa"/>
            <w:vAlign w:val="center"/>
          </w:tcPr>
          <w:p w14:paraId="361C7B0F" w14:textId="77777777" w:rsidR="00E43887" w:rsidRPr="006C09BD" w:rsidRDefault="00E43887" w:rsidP="00DC2200">
            <w:pPr>
              <w:pStyle w:val="NoSpacing"/>
              <w:jc w:val="center"/>
              <w:rPr>
                <w:rFonts w:ascii="Arial" w:hAnsi="Arial" w:cs="Arial"/>
                <w:lang w:val="en-GB"/>
              </w:rPr>
            </w:pPr>
            <w:r w:rsidRPr="006C09BD">
              <w:rPr>
                <w:rFonts w:ascii="Arial" w:hAnsi="Arial" w:cs="Arial"/>
                <w:lang w:val="en-GB"/>
              </w:rPr>
              <w:t>X</w:t>
            </w:r>
            <w:r w:rsidRPr="006C09BD">
              <w:rPr>
                <w:rFonts w:ascii="Arial" w:hAnsi="Arial" w:cs="Arial"/>
                <w:vertAlign w:val="superscript"/>
                <w:lang w:val="en-GB"/>
              </w:rPr>
              <w:t>4</w:t>
            </w:r>
          </w:p>
        </w:tc>
      </w:tr>
    </w:tbl>
    <w:p w14:paraId="298839AC" w14:textId="01EECDB9" w:rsidR="00E43887" w:rsidRPr="006C09BD" w:rsidRDefault="00E43887" w:rsidP="009E60BE">
      <w:pPr>
        <w:pStyle w:val="Footnote"/>
        <w:jc w:val="left"/>
      </w:pPr>
      <w:r w:rsidRPr="006C09BD">
        <w:rPr>
          <w:vertAlign w:val="superscript"/>
        </w:rPr>
        <w:t>1</w:t>
      </w:r>
      <w:r w:rsidR="006C4F0C">
        <w:t xml:space="preserve"> D</w:t>
      </w:r>
      <w:r w:rsidRPr="006C09BD">
        <w:t xml:space="preserve">aily feeding logs until day 14, and then until the </w:t>
      </w:r>
      <w:r w:rsidR="000A2F7A" w:rsidRPr="006C09BD">
        <w:rPr>
          <w:u w:color="004C7F"/>
        </w:rPr>
        <w:t>infant</w:t>
      </w:r>
      <w:r w:rsidRPr="006C09BD">
        <w:t xml:space="preserve"> achieves full enteral feeds (at least 145 ml/kg/day where this is considered full enteral feeds, or where breastfeeding and any additional milk is considered equivalent to full enteral feeds) for 3 consecutive days, or reaches 44+0 gestational weeks+days</w:t>
      </w:r>
      <w:r w:rsidRPr="006C09BD" w:rsidDel="00E25CCB">
        <w:t xml:space="preserve"> </w:t>
      </w:r>
    </w:p>
    <w:p w14:paraId="6A1954DF" w14:textId="6212AA15" w:rsidR="00E43887" w:rsidRPr="006C09BD" w:rsidRDefault="00E43887" w:rsidP="009E60BE">
      <w:pPr>
        <w:pStyle w:val="Footnote"/>
        <w:jc w:val="left"/>
      </w:pPr>
      <w:r w:rsidRPr="006C09BD">
        <w:rPr>
          <w:vertAlign w:val="superscript"/>
        </w:rPr>
        <w:t>2</w:t>
      </w:r>
      <w:r w:rsidRPr="006C09BD">
        <w:t xml:space="preserve"> Each episode of microbiologically-confirmed or clinically-suspected late-onset invasive infection, or if a</w:t>
      </w:r>
      <w:r w:rsidR="00FE3D44" w:rsidRPr="006C09BD">
        <w:t>n</w:t>
      </w:r>
      <w:r w:rsidRPr="006C09BD">
        <w:t xml:space="preserve"> </w:t>
      </w:r>
      <w:r w:rsidR="000A2F7A" w:rsidRPr="006C09BD">
        <w:rPr>
          <w:u w:color="004C7F"/>
        </w:rPr>
        <w:t>infant</w:t>
      </w:r>
      <w:r w:rsidRPr="006C09BD">
        <w:t xml:space="preserve"> has received at least 5 days of treatment for gut signs, if they are transferred with gut signs, or if they have died from gut signs, should be reported throughout the treatment period until hospital discharge</w:t>
      </w:r>
    </w:p>
    <w:p w14:paraId="68D9E399" w14:textId="7CEDA743" w:rsidR="00E43887" w:rsidRPr="006C09BD" w:rsidRDefault="00E43887" w:rsidP="009E60BE">
      <w:pPr>
        <w:pStyle w:val="Footnote"/>
        <w:jc w:val="left"/>
      </w:pPr>
      <w:r w:rsidRPr="006C09BD">
        <w:rPr>
          <w:vertAlign w:val="superscript"/>
        </w:rPr>
        <w:t>3</w:t>
      </w:r>
      <w:r w:rsidRPr="006C09BD">
        <w:t xml:space="preserve"> Clinical data is collected via the </w:t>
      </w:r>
      <w:r w:rsidR="00ED4F9D" w:rsidRPr="006C09BD">
        <w:t>electronic case report form or from routinely recorded clinical data where applicable</w:t>
      </w:r>
    </w:p>
    <w:p w14:paraId="09FD56B4" w14:textId="6DD81CFE" w:rsidR="00E43887" w:rsidRPr="006C09BD" w:rsidRDefault="00E43887" w:rsidP="009E60BE">
      <w:pPr>
        <w:pStyle w:val="Footnote"/>
        <w:jc w:val="left"/>
      </w:pPr>
      <w:r w:rsidRPr="006C09BD">
        <w:rPr>
          <w:vertAlign w:val="superscript"/>
        </w:rPr>
        <w:t>4</w:t>
      </w:r>
      <w:r w:rsidRPr="006C09BD">
        <w:t xml:space="preserve"> </w:t>
      </w:r>
      <w:r w:rsidR="006C4F0C">
        <w:t xml:space="preserve">If </w:t>
      </w:r>
      <w:r w:rsidR="000A2F7A" w:rsidRPr="006C09BD">
        <w:rPr>
          <w:u w:color="004C7F"/>
        </w:rPr>
        <w:t>infant</w:t>
      </w:r>
      <w:r w:rsidRPr="006C09BD">
        <w:t xml:space="preserve"> is withdrawn from the trial and parent/carer has asked for no further data collection, the transfer/discharge form can be completed at the time of withdrawal for data up until point of withdrawal</w:t>
      </w:r>
    </w:p>
    <w:p w14:paraId="422885C0" w14:textId="77777777" w:rsidR="00E43887" w:rsidRPr="006C09BD" w:rsidRDefault="00E43887">
      <w:pPr>
        <w:pStyle w:val="BodyA"/>
        <w:widowControl w:val="0"/>
        <w:spacing w:line="360" w:lineRule="auto"/>
        <w:rPr>
          <w:rStyle w:val="None"/>
          <w:rFonts w:cs="Arial"/>
          <w:color w:val="006600"/>
          <w:sz w:val="24"/>
          <w:szCs w:val="24"/>
          <w:u w:color="006600"/>
          <w:lang w:val="en-GB"/>
        </w:rPr>
      </w:pPr>
    </w:p>
    <w:p w14:paraId="236540A0" w14:textId="08916496"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Sample size {1</w:t>
      </w:r>
      <w:r w:rsidR="003079CF" w:rsidRPr="006C09BD">
        <w:rPr>
          <w:rStyle w:val="None"/>
          <w:rFonts w:cs="Arial"/>
          <w:b/>
          <w:bCs/>
          <w:sz w:val="24"/>
          <w:szCs w:val="24"/>
          <w:lang w:val="en-GB"/>
        </w:rPr>
        <w:t>9</w:t>
      </w:r>
      <w:r w:rsidRPr="006C09BD">
        <w:rPr>
          <w:rStyle w:val="None"/>
          <w:rFonts w:cs="Arial"/>
          <w:b/>
          <w:bCs/>
          <w:sz w:val="24"/>
          <w:szCs w:val="24"/>
          <w:lang w:val="en-GB"/>
        </w:rPr>
        <w:t>}</w:t>
      </w:r>
    </w:p>
    <w:p w14:paraId="57106C5D" w14:textId="71A99F16" w:rsidR="00A406F4" w:rsidRPr="006C09BD" w:rsidRDefault="00A406F4">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The planned sample size for this trial is 7</w:t>
      </w:r>
      <w:r w:rsidR="006703FF" w:rsidRPr="006C09BD">
        <w:rPr>
          <w:rStyle w:val="None"/>
          <w:rFonts w:cs="Arial"/>
          <w:color w:val="auto"/>
          <w:u w:color="004C7F"/>
          <w:lang w:val="en-GB"/>
        </w:rPr>
        <w:t>,</w:t>
      </w:r>
      <w:r w:rsidRPr="006C09BD">
        <w:rPr>
          <w:rStyle w:val="None"/>
          <w:rFonts w:cs="Arial"/>
          <w:color w:val="auto"/>
          <w:u w:color="004C7F"/>
          <w:lang w:val="en-GB"/>
        </w:rPr>
        <w:t xml:space="preserve">040 </w:t>
      </w:r>
      <w:r w:rsidR="002A35BF" w:rsidRPr="006C09BD">
        <w:rPr>
          <w:rFonts w:cs="Arial"/>
          <w:lang w:val="en-GB"/>
        </w:rPr>
        <w:t>infants</w:t>
      </w:r>
      <w:r w:rsidRPr="006C09BD">
        <w:rPr>
          <w:rStyle w:val="None"/>
          <w:rFonts w:cs="Arial"/>
          <w:color w:val="auto"/>
          <w:u w:color="004C7F"/>
          <w:lang w:val="en-GB"/>
        </w:rPr>
        <w:t xml:space="preserve"> (3</w:t>
      </w:r>
      <w:r w:rsidR="006703FF" w:rsidRPr="006C09BD">
        <w:rPr>
          <w:rStyle w:val="None"/>
          <w:rFonts w:cs="Arial"/>
          <w:color w:val="auto"/>
          <w:u w:color="004C7F"/>
          <w:lang w:val="en-GB"/>
        </w:rPr>
        <w:t>,</w:t>
      </w:r>
      <w:r w:rsidRPr="006C09BD">
        <w:rPr>
          <w:rStyle w:val="None"/>
          <w:rFonts w:cs="Arial"/>
          <w:color w:val="auto"/>
          <w:u w:color="004C7F"/>
          <w:lang w:val="en-GB"/>
        </w:rPr>
        <w:t xml:space="preserve">520 per arm) individually randomised in neonatal units in </w:t>
      </w:r>
      <w:r w:rsidR="00ED4F9D" w:rsidRPr="006C09BD">
        <w:rPr>
          <w:rStyle w:val="None"/>
          <w:rFonts w:cs="Arial"/>
          <w:color w:val="auto"/>
          <w:u w:color="004C7F"/>
          <w:lang w:val="en-GB"/>
        </w:rPr>
        <w:t xml:space="preserve">the UK and </w:t>
      </w:r>
      <w:r w:rsidRPr="006C09BD">
        <w:rPr>
          <w:rStyle w:val="None"/>
          <w:rFonts w:cs="Arial"/>
          <w:color w:val="auto"/>
          <w:u w:color="004C7F"/>
          <w:lang w:val="en-GB"/>
        </w:rPr>
        <w:t>Australia. Multiple births will be randomised to the same arm.</w:t>
      </w:r>
    </w:p>
    <w:p w14:paraId="09812466" w14:textId="2583FAB1" w:rsidR="00A406F4" w:rsidRPr="006C09BD" w:rsidRDefault="00A406F4">
      <w:pPr>
        <w:pStyle w:val="BodyA"/>
        <w:widowControl w:val="0"/>
        <w:spacing w:line="360" w:lineRule="auto"/>
        <w:rPr>
          <w:rStyle w:val="None"/>
          <w:rFonts w:cs="Arial"/>
          <w:color w:val="auto"/>
          <w:u w:color="004C7F"/>
          <w:lang w:val="en-GB"/>
        </w:rPr>
      </w:pPr>
    </w:p>
    <w:p w14:paraId="243D56FE" w14:textId="599CAD48" w:rsidR="00A406F4" w:rsidRPr="006C09BD" w:rsidRDefault="00A406F4" w:rsidP="00A406F4">
      <w:pPr>
        <w:pStyle w:val="BodyA"/>
        <w:widowControl w:val="0"/>
        <w:spacing w:line="360" w:lineRule="auto"/>
        <w:rPr>
          <w:rStyle w:val="None"/>
          <w:rFonts w:cs="Arial"/>
          <w:color w:val="auto"/>
          <w:u w:val="single"/>
          <w:lang w:val="en-GB"/>
        </w:rPr>
      </w:pPr>
      <w:r w:rsidRPr="006C09BD">
        <w:rPr>
          <w:rStyle w:val="None"/>
          <w:rFonts w:cs="Arial"/>
          <w:color w:val="auto"/>
          <w:u w:val="single"/>
          <w:lang w:val="en-GB"/>
        </w:rPr>
        <w:t>Time to full enteral feeding</w:t>
      </w:r>
    </w:p>
    <w:p w14:paraId="393370B7" w14:textId="517B41F8" w:rsidR="00351880" w:rsidRPr="006C09BD" w:rsidRDefault="00351880" w:rsidP="00351880">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 xml:space="preserve">From the </w:t>
      </w:r>
      <w:r w:rsidRPr="006C09BD">
        <w:rPr>
          <w:rFonts w:cs="Arial"/>
          <w:lang w:val="en-GB"/>
        </w:rPr>
        <w:t>National Neonatal Research Database</w:t>
      </w:r>
      <w:r w:rsidRPr="006C09BD">
        <w:rPr>
          <w:rStyle w:val="None"/>
          <w:rFonts w:cs="Arial"/>
          <w:color w:val="auto"/>
          <w:u w:color="004C7F"/>
          <w:lang w:val="en-GB"/>
        </w:rPr>
        <w:t xml:space="preserve"> (NNRD)</w:t>
      </w:r>
      <w:r w:rsidR="00181B0F" w:rsidRPr="006C09BD">
        <w:rPr>
          <w:rStyle w:val="None"/>
          <w:rFonts w:cs="Arial"/>
          <w:color w:val="auto"/>
          <w:u w:color="004C7F"/>
          <w:lang w:val="en-GB"/>
        </w:rPr>
        <w:t>, UK population level neonatal data,</w:t>
      </w:r>
      <w:r w:rsidRPr="006C09BD">
        <w:rPr>
          <w:rStyle w:val="None"/>
          <w:rFonts w:cs="Arial"/>
          <w:color w:val="auto"/>
          <w:u w:color="004C7F"/>
          <w:lang w:val="en-GB"/>
        </w:rPr>
        <w:t xml:space="preserve"> the overall mean number of days to full enteral feeding in infants born </w:t>
      </w:r>
      <w:r w:rsidR="004A1AD5" w:rsidRPr="006C09BD">
        <w:rPr>
          <w:rStyle w:val="None"/>
          <w:rFonts w:cs="Arial"/>
          <w:color w:val="auto"/>
          <w:u w:color="004C7F"/>
          <w:lang w:val="en-GB"/>
        </w:rPr>
        <w:t xml:space="preserve">less than </w:t>
      </w:r>
      <w:r w:rsidRPr="006C09BD">
        <w:rPr>
          <w:rStyle w:val="None"/>
          <w:rFonts w:cs="Arial"/>
          <w:color w:val="auto"/>
          <w:u w:color="004C7F"/>
          <w:lang w:val="en-GB"/>
        </w:rPr>
        <w:t xml:space="preserve">34 weeks of gestation is 9.4 (standard deviation 10.8) days. To detect a 1-day reduction in the time taken to reach full enteral feeding (important clinically and important to parents) with 90% power and a two-sided 5% significance level, a sample size of 5,088 </w:t>
      </w:r>
      <w:r w:rsidR="002A35BF" w:rsidRPr="006C09BD">
        <w:rPr>
          <w:rFonts w:cs="Arial"/>
          <w:lang w:val="en-GB"/>
        </w:rPr>
        <w:t>infants</w:t>
      </w:r>
      <w:r w:rsidRPr="006C09BD">
        <w:rPr>
          <w:rStyle w:val="None"/>
          <w:rFonts w:cs="Arial"/>
          <w:color w:val="auto"/>
          <w:u w:color="004C7F"/>
          <w:lang w:val="en-GB"/>
        </w:rPr>
        <w:t xml:space="preserve"> (2</w:t>
      </w:r>
      <w:r w:rsidR="006424FB">
        <w:rPr>
          <w:rStyle w:val="None"/>
          <w:rFonts w:cs="Arial"/>
          <w:color w:val="auto"/>
          <w:u w:color="004C7F"/>
          <w:lang w:val="en-GB"/>
        </w:rPr>
        <w:t>,</w:t>
      </w:r>
      <w:r w:rsidRPr="006C09BD">
        <w:rPr>
          <w:rStyle w:val="None"/>
          <w:rFonts w:cs="Arial"/>
          <w:color w:val="auto"/>
          <w:u w:color="004C7F"/>
          <w:lang w:val="en-GB"/>
        </w:rPr>
        <w:t>544 per arm) is required</w:t>
      </w:r>
      <w:r w:rsidR="000C7F57" w:rsidRPr="006C09BD">
        <w:rPr>
          <w:rStyle w:val="None"/>
          <w:rFonts w:cs="Arial"/>
          <w:color w:val="auto"/>
          <w:u w:color="004C7F"/>
          <w:lang w:val="en-GB"/>
        </w:rPr>
        <w:t xml:space="preserve"> (assuming a standard deviation of 11</w:t>
      </w:r>
      <w:r w:rsidR="00181B0F" w:rsidRPr="006C09BD">
        <w:rPr>
          <w:rStyle w:val="None"/>
          <w:rFonts w:cs="Arial"/>
          <w:color w:val="auto"/>
          <w:u w:color="004C7F"/>
          <w:lang w:val="en-GB"/>
        </w:rPr>
        <w:t xml:space="preserve"> days</w:t>
      </w:r>
      <w:r w:rsidR="000C7F57" w:rsidRPr="006C09BD">
        <w:rPr>
          <w:rStyle w:val="None"/>
          <w:rFonts w:cs="Arial"/>
          <w:color w:val="auto"/>
          <w:u w:color="004C7F"/>
          <w:lang w:val="en-GB"/>
        </w:rPr>
        <w:t>)</w:t>
      </w:r>
      <w:r w:rsidRPr="006C09BD">
        <w:rPr>
          <w:rStyle w:val="None"/>
          <w:rFonts w:cs="Arial"/>
          <w:color w:val="auto"/>
          <w:u w:color="004C7F"/>
          <w:lang w:val="en-GB"/>
        </w:rPr>
        <w:t xml:space="preserve">. Based on data from other feeding trials </w:t>
      </w:r>
      <w:r w:rsidR="000F2BED" w:rsidRPr="006C09BD">
        <w:rPr>
          <w:rFonts w:cs="Arial"/>
          <w:noProof/>
          <w:color w:val="auto"/>
          <w:u w:color="004C7F"/>
          <w:lang w:val="en-GB"/>
        </w:rPr>
        <w:t>[24, 25]</w:t>
      </w:r>
      <w:r w:rsidRPr="006C09BD">
        <w:rPr>
          <w:rStyle w:val="None"/>
          <w:rFonts w:cs="Arial"/>
          <w:color w:val="auto"/>
          <w:u w:color="004C7F"/>
          <w:lang w:val="en-GB"/>
        </w:rPr>
        <w:t xml:space="preserve"> we anticipate 30% multiple births and an intracluster correlation coefficient (ICC) for multiple birth sets of 0.3, leading to an inflation of the sample size by 6% to account for the correlation in outcomes within multiple birth sets</w:t>
      </w:r>
      <w:r w:rsidRPr="006C09BD">
        <w:rPr>
          <w:rStyle w:val="None"/>
          <w:rFonts w:cs="Arial"/>
          <w:noProof/>
          <w:color w:val="auto"/>
          <w:u w:color="004C7F"/>
          <w:lang w:val="en-GB"/>
        </w:rPr>
        <w:t xml:space="preserve"> </w:t>
      </w:r>
      <w:r w:rsidR="00FB1581" w:rsidRPr="006C09BD">
        <w:rPr>
          <w:rFonts w:cs="Arial"/>
          <w:noProof/>
          <w:color w:val="auto"/>
          <w:u w:color="004C7F"/>
          <w:lang w:val="en-GB"/>
        </w:rPr>
        <w:t>[</w:t>
      </w:r>
      <w:r w:rsidRPr="006C09BD">
        <w:rPr>
          <w:rFonts w:cs="Arial"/>
          <w:noProof/>
          <w:color w:val="auto"/>
          <w:u w:color="004C7F"/>
          <w:lang w:val="en-GB"/>
        </w:rPr>
        <w:t>2</w:t>
      </w:r>
      <w:r w:rsidR="00692054" w:rsidRPr="006C09BD">
        <w:rPr>
          <w:rFonts w:cs="Arial"/>
          <w:noProof/>
          <w:color w:val="auto"/>
          <w:u w:color="004C7F"/>
          <w:lang w:val="en-GB"/>
        </w:rPr>
        <w:t>4</w:t>
      </w:r>
      <w:r w:rsidR="000F2BED" w:rsidRPr="006C09BD">
        <w:rPr>
          <w:rFonts w:cs="Arial"/>
          <w:noProof/>
          <w:color w:val="auto"/>
          <w:u w:color="004C7F"/>
          <w:lang w:val="en-GB"/>
        </w:rPr>
        <w:t xml:space="preserve">, </w:t>
      </w:r>
      <w:r w:rsidR="00FB1581" w:rsidRPr="006C09BD">
        <w:rPr>
          <w:rFonts w:cs="Arial"/>
          <w:noProof/>
          <w:color w:val="auto"/>
          <w:u w:color="004C7F"/>
          <w:lang w:val="en-GB"/>
        </w:rPr>
        <w:t>2</w:t>
      </w:r>
      <w:r w:rsidR="00692054" w:rsidRPr="006C09BD">
        <w:rPr>
          <w:rFonts w:cs="Arial"/>
          <w:noProof/>
          <w:color w:val="auto"/>
          <w:u w:color="004C7F"/>
          <w:lang w:val="en-GB"/>
        </w:rPr>
        <w:t>5</w:t>
      </w:r>
      <w:r w:rsidR="00FB1581" w:rsidRPr="006C09BD">
        <w:rPr>
          <w:rFonts w:cs="Arial"/>
          <w:noProof/>
          <w:color w:val="auto"/>
          <w:u w:color="004C7F"/>
          <w:lang w:val="en-GB"/>
        </w:rPr>
        <w:t>]</w:t>
      </w:r>
      <w:r w:rsidRPr="006C09BD">
        <w:rPr>
          <w:rStyle w:val="None"/>
          <w:rFonts w:cs="Arial"/>
          <w:color w:val="auto"/>
          <w:u w:color="004C7F"/>
          <w:lang w:val="en-GB"/>
        </w:rPr>
        <w:t>. A small level of crossover in the ‘no routine measurement’ group is anticipated, with some measuring of gastric residuals occurring outside of the protocol guidelines; to allow for 10% crossover (non-adherence), the sample size has been inflated by 24% to obtain the same level of power</w:t>
      </w:r>
      <w:r w:rsidR="00FB1581" w:rsidRPr="006C09BD">
        <w:rPr>
          <w:rStyle w:val="None"/>
          <w:rFonts w:cs="Arial"/>
          <w:noProof/>
          <w:color w:val="auto"/>
          <w:u w:color="004C7F"/>
          <w:lang w:val="en-GB"/>
        </w:rPr>
        <w:t xml:space="preserve"> </w:t>
      </w:r>
      <w:r w:rsidR="00FB1581" w:rsidRPr="006C09BD">
        <w:rPr>
          <w:rFonts w:cs="Arial"/>
          <w:noProof/>
          <w:color w:val="auto"/>
          <w:u w:color="004C7F"/>
          <w:lang w:val="en-GB"/>
        </w:rPr>
        <w:t>[2</w:t>
      </w:r>
      <w:r w:rsidR="00692054" w:rsidRPr="006C09BD">
        <w:rPr>
          <w:rFonts w:cs="Arial"/>
          <w:noProof/>
          <w:color w:val="auto"/>
          <w:u w:color="004C7F"/>
          <w:lang w:val="en-GB"/>
        </w:rPr>
        <w:t>6</w:t>
      </w:r>
      <w:r w:rsidR="00FB1581" w:rsidRPr="006C09BD">
        <w:rPr>
          <w:rFonts w:cs="Arial"/>
          <w:noProof/>
          <w:color w:val="auto"/>
          <w:u w:color="004C7F"/>
          <w:lang w:val="en-GB"/>
        </w:rPr>
        <w:t>]</w:t>
      </w:r>
      <w:r w:rsidRPr="006C09BD">
        <w:rPr>
          <w:rStyle w:val="None"/>
          <w:rFonts w:cs="Arial"/>
          <w:color w:val="auto"/>
          <w:u w:color="004C7F"/>
          <w:lang w:val="en-GB"/>
        </w:rPr>
        <w:t xml:space="preserve">. Applying these inflation rates and assuming a 5% attrition rate to discharge, the total number of </w:t>
      </w:r>
      <w:r w:rsidR="002A35BF" w:rsidRPr="006C09BD">
        <w:rPr>
          <w:rFonts w:cs="Arial"/>
          <w:lang w:val="en-GB"/>
        </w:rPr>
        <w:t>infants</w:t>
      </w:r>
      <w:r w:rsidRPr="006C09BD">
        <w:rPr>
          <w:rStyle w:val="None"/>
          <w:rFonts w:cs="Arial"/>
          <w:color w:val="auto"/>
          <w:u w:color="004C7F"/>
          <w:lang w:val="en-GB"/>
        </w:rPr>
        <w:t xml:space="preserve"> required is 7,040 (3,520 per arm). </w:t>
      </w:r>
    </w:p>
    <w:p w14:paraId="51EDBDDA" w14:textId="77777777" w:rsidR="00A406F4" w:rsidRPr="006C09BD" w:rsidRDefault="00A406F4" w:rsidP="00A406F4">
      <w:pPr>
        <w:pStyle w:val="BodyA"/>
        <w:widowControl w:val="0"/>
        <w:spacing w:line="360" w:lineRule="auto"/>
        <w:rPr>
          <w:rStyle w:val="None"/>
          <w:rFonts w:cs="Arial"/>
          <w:color w:val="auto"/>
          <w:u w:color="004C7F"/>
          <w:lang w:val="en-GB"/>
        </w:rPr>
      </w:pPr>
    </w:p>
    <w:p w14:paraId="6DD0E1CC" w14:textId="3682C75E" w:rsidR="00A406F4" w:rsidRPr="006C09BD" w:rsidRDefault="00A406F4" w:rsidP="00A406F4">
      <w:pPr>
        <w:pStyle w:val="BodyA"/>
        <w:widowControl w:val="0"/>
        <w:spacing w:line="360" w:lineRule="auto"/>
        <w:rPr>
          <w:rStyle w:val="None"/>
          <w:rFonts w:cs="Arial"/>
          <w:color w:val="auto"/>
          <w:u w:val="single"/>
          <w:lang w:val="en-GB"/>
        </w:rPr>
      </w:pPr>
      <w:r w:rsidRPr="006C09BD">
        <w:rPr>
          <w:rStyle w:val="None"/>
          <w:rFonts w:cs="Arial"/>
          <w:color w:val="auto"/>
          <w:u w:val="single"/>
          <w:lang w:val="en-GB"/>
        </w:rPr>
        <w:t xml:space="preserve">Moderate to severe </w:t>
      </w:r>
      <w:r w:rsidR="002E7D95" w:rsidRPr="006C09BD">
        <w:rPr>
          <w:rStyle w:val="None"/>
          <w:rFonts w:cs="Arial"/>
          <w:color w:val="auto"/>
          <w:u w:val="single"/>
          <w:lang w:val="en-GB"/>
        </w:rPr>
        <w:t>NEC</w:t>
      </w:r>
    </w:p>
    <w:p w14:paraId="53352879" w14:textId="25AEA4C9" w:rsidR="00A406F4" w:rsidRPr="006C09BD" w:rsidRDefault="00351880" w:rsidP="00A406F4">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 xml:space="preserve">From the NNRD </w:t>
      </w:r>
      <w:r w:rsidRPr="006C09BD">
        <w:rPr>
          <w:rFonts w:cs="Arial"/>
          <w:lang w:val="en-GB"/>
        </w:rPr>
        <w:t xml:space="preserve">the incidence of significant NEC (requiring surgery, leading to death or recorded as part of the National Neonatal Audit Programme) is 3%. </w:t>
      </w:r>
      <w:r w:rsidR="00A406F4" w:rsidRPr="006C09BD">
        <w:rPr>
          <w:rStyle w:val="None"/>
          <w:rFonts w:cs="Arial"/>
          <w:color w:val="auto"/>
          <w:u w:color="004C7F"/>
          <w:lang w:val="en-GB"/>
        </w:rPr>
        <w:t>With a total sample size of 7</w:t>
      </w:r>
      <w:r w:rsidR="006703FF" w:rsidRPr="006C09BD">
        <w:rPr>
          <w:rStyle w:val="None"/>
          <w:rFonts w:cs="Arial"/>
          <w:color w:val="auto"/>
          <w:u w:color="004C7F"/>
          <w:lang w:val="en-GB"/>
        </w:rPr>
        <w:t>,</w:t>
      </w:r>
      <w:r w:rsidR="00A406F4" w:rsidRPr="006C09BD">
        <w:rPr>
          <w:rStyle w:val="None"/>
          <w:rFonts w:cs="Arial"/>
          <w:color w:val="auto"/>
          <w:u w:color="004C7F"/>
          <w:lang w:val="en-GB"/>
        </w:rPr>
        <w:t xml:space="preserve">040 and a control group event rate of 3%, the trial would have 92% power to detect a non-inferiority margin of 1.5% in the treatment risk difference, with a </w:t>
      </w:r>
      <w:r w:rsidR="006703FF" w:rsidRPr="006C09BD">
        <w:rPr>
          <w:rStyle w:val="None"/>
          <w:rFonts w:cs="Arial"/>
          <w:color w:val="auto"/>
          <w:u w:color="004C7F"/>
          <w:lang w:val="en-GB"/>
        </w:rPr>
        <w:t>one</w:t>
      </w:r>
      <w:r w:rsidR="00A406F4" w:rsidRPr="006C09BD">
        <w:rPr>
          <w:rStyle w:val="None"/>
          <w:rFonts w:cs="Arial"/>
          <w:color w:val="auto"/>
          <w:u w:color="004C7F"/>
          <w:lang w:val="en-GB"/>
        </w:rPr>
        <w:t xml:space="preserve">-sided 2.5% significance level: non-inferiority can be claimed if the upper bound of the confidence interval of the treatment effect does not exceed 1.5%. These figures also allow for 10% crossover and 5% attrition. </w:t>
      </w:r>
      <w:r w:rsidRPr="006C09BD">
        <w:rPr>
          <w:rStyle w:val="None"/>
          <w:rFonts w:cs="Arial"/>
          <w:color w:val="auto"/>
          <w:u w:color="004C7F"/>
          <w:lang w:val="en-GB"/>
        </w:rPr>
        <w:t>The inflation factor to account for the correlation in outcomes within multiple birth sets for NEC is 1% assuming a lower ICC of 0.05.</w:t>
      </w:r>
    </w:p>
    <w:p w14:paraId="61B172E8" w14:textId="7C41541F" w:rsidR="00A406F4" w:rsidRPr="006C09BD" w:rsidRDefault="00A406F4" w:rsidP="00A406F4">
      <w:pPr>
        <w:pStyle w:val="BodyA"/>
        <w:widowControl w:val="0"/>
        <w:spacing w:line="360" w:lineRule="auto"/>
        <w:rPr>
          <w:rStyle w:val="None"/>
          <w:rFonts w:cs="Arial"/>
          <w:color w:val="auto"/>
          <w:u w:color="004C7F"/>
          <w:lang w:val="en-GB"/>
        </w:rPr>
      </w:pPr>
    </w:p>
    <w:p w14:paraId="3639E3B8" w14:textId="4CCC7AC6"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lastRenderedPageBreak/>
        <w:t>Recruitment {</w:t>
      </w:r>
      <w:r w:rsidR="003079CF" w:rsidRPr="006C09BD">
        <w:rPr>
          <w:rStyle w:val="None"/>
          <w:rFonts w:cs="Arial"/>
          <w:b/>
          <w:bCs/>
          <w:sz w:val="24"/>
          <w:szCs w:val="24"/>
          <w:lang w:val="en-GB"/>
        </w:rPr>
        <w:t>20</w:t>
      </w:r>
      <w:r w:rsidRPr="006C09BD">
        <w:rPr>
          <w:rStyle w:val="None"/>
          <w:rFonts w:cs="Arial"/>
          <w:b/>
          <w:bCs/>
          <w:sz w:val="24"/>
          <w:szCs w:val="24"/>
          <w:lang w:val="en-GB"/>
        </w:rPr>
        <w:t>}</w:t>
      </w:r>
    </w:p>
    <w:p w14:paraId="13314DEF" w14:textId="720AD9B5" w:rsidR="002627AF" w:rsidRPr="006C09BD" w:rsidRDefault="002627AF" w:rsidP="002627AF">
      <w:pPr>
        <w:pStyle w:val="BodyA"/>
        <w:widowControl w:val="0"/>
        <w:spacing w:line="360" w:lineRule="auto"/>
        <w:rPr>
          <w:rFonts w:cs="Arial"/>
          <w:lang w:val="en-GB"/>
        </w:rPr>
      </w:pPr>
      <w:r w:rsidRPr="006C09BD">
        <w:rPr>
          <w:rStyle w:val="None"/>
          <w:rFonts w:cs="Arial"/>
          <w:color w:val="auto"/>
          <w:u w:color="004C7F"/>
          <w:lang w:val="en-GB"/>
        </w:rPr>
        <w:t xml:space="preserve">The </w:t>
      </w:r>
      <w:r w:rsidR="00493D57" w:rsidRPr="006C09BD">
        <w:rPr>
          <w:rStyle w:val="None"/>
          <w:rFonts w:cs="Arial"/>
          <w:color w:val="auto"/>
          <w:u w:color="004C7F"/>
          <w:lang w:val="en-GB"/>
        </w:rPr>
        <w:t>t</w:t>
      </w:r>
      <w:r w:rsidRPr="006C09BD">
        <w:rPr>
          <w:rStyle w:val="None"/>
          <w:rFonts w:cs="Arial"/>
          <w:color w:val="auto"/>
          <w:u w:color="004C7F"/>
          <w:lang w:val="en-GB"/>
        </w:rPr>
        <w:t>rial is designed to be pragmatic and low burden through simple, streamlined opt</w:t>
      </w:r>
      <w:r w:rsidR="0078461D" w:rsidRPr="006C09BD">
        <w:rPr>
          <w:rStyle w:val="None"/>
          <w:rFonts w:cs="Arial"/>
          <w:color w:val="auto"/>
          <w:u w:color="004C7F"/>
          <w:lang w:val="en-GB"/>
        </w:rPr>
        <w:t>-</w:t>
      </w:r>
      <w:r w:rsidRPr="006C09BD">
        <w:rPr>
          <w:rStyle w:val="None"/>
          <w:rFonts w:cs="Arial"/>
          <w:color w:val="auto"/>
          <w:u w:color="004C7F"/>
          <w:lang w:val="en-GB"/>
        </w:rPr>
        <w:t>out consent and minimal data collection.</w:t>
      </w:r>
      <w:r w:rsidR="00BC5BBC" w:rsidRPr="006C09BD">
        <w:rPr>
          <w:rStyle w:val="None"/>
          <w:rFonts w:cs="Arial"/>
          <w:color w:val="auto"/>
          <w:u w:color="004C7F"/>
          <w:lang w:val="en-GB"/>
        </w:rPr>
        <w:t xml:space="preserve"> </w:t>
      </w:r>
      <w:r w:rsidRPr="006C09BD">
        <w:rPr>
          <w:rStyle w:val="None"/>
          <w:rFonts w:cs="Arial"/>
          <w:color w:val="auto"/>
          <w:u w:color="004C7F"/>
          <w:lang w:val="en-GB"/>
        </w:rPr>
        <w:t>Many sites will be involved, including sites not commonly involved in neonatal trials</w:t>
      </w:r>
      <w:r w:rsidR="002201AB" w:rsidRPr="006C09BD">
        <w:rPr>
          <w:rStyle w:val="None"/>
          <w:rFonts w:cs="Arial"/>
          <w:color w:val="auto"/>
          <w:u w:color="004C7F"/>
          <w:lang w:val="en-GB"/>
        </w:rPr>
        <w:t>, for example</w:t>
      </w:r>
      <w:r w:rsidR="000F657C">
        <w:rPr>
          <w:rStyle w:val="None"/>
          <w:rFonts w:cs="Arial"/>
          <w:color w:val="auto"/>
          <w:u w:color="004C7F"/>
          <w:lang w:val="en-GB"/>
        </w:rPr>
        <w:t>,</w:t>
      </w:r>
      <w:r w:rsidR="002201AB" w:rsidRPr="006C09BD">
        <w:rPr>
          <w:rStyle w:val="None"/>
          <w:rFonts w:cs="Arial"/>
          <w:color w:val="auto"/>
          <w:u w:color="004C7F"/>
          <w:lang w:val="en-GB"/>
        </w:rPr>
        <w:t xml:space="preserve"> small</w:t>
      </w:r>
      <w:r w:rsidR="000A1B89" w:rsidRPr="006C09BD">
        <w:rPr>
          <w:rStyle w:val="None"/>
          <w:rFonts w:cs="Arial"/>
          <w:color w:val="auto"/>
          <w:u w:color="004C7F"/>
          <w:lang w:val="en-GB"/>
        </w:rPr>
        <w:t xml:space="preserve">er non-tertiary </w:t>
      </w:r>
      <w:r w:rsidR="002201AB" w:rsidRPr="006C09BD">
        <w:rPr>
          <w:rStyle w:val="None"/>
          <w:rFonts w:cs="Arial"/>
          <w:color w:val="auto"/>
          <w:u w:color="004C7F"/>
          <w:lang w:val="en-GB"/>
        </w:rPr>
        <w:t>units</w:t>
      </w:r>
      <w:r w:rsidRPr="006C09BD">
        <w:rPr>
          <w:rStyle w:val="None"/>
          <w:rFonts w:cs="Arial"/>
          <w:color w:val="auto"/>
          <w:u w:color="004C7F"/>
          <w:lang w:val="en-GB"/>
        </w:rPr>
        <w:t xml:space="preserve">. </w:t>
      </w:r>
      <w:r w:rsidR="00CF0CF4" w:rsidRPr="006C09BD">
        <w:rPr>
          <w:rStyle w:val="None"/>
          <w:rFonts w:cs="Arial"/>
          <w:color w:val="auto"/>
          <w:u w:color="004C7F"/>
          <w:lang w:val="en-GB"/>
        </w:rPr>
        <w:t>We plan to enrol from all four nations of the UK</w:t>
      </w:r>
      <w:r w:rsidR="000A1B89" w:rsidRPr="006C09BD">
        <w:rPr>
          <w:rStyle w:val="None"/>
          <w:rFonts w:cs="Arial"/>
          <w:color w:val="auto"/>
          <w:u w:color="004C7F"/>
          <w:lang w:val="en-GB"/>
        </w:rPr>
        <w:t xml:space="preserve"> and in</w:t>
      </w:r>
      <w:r w:rsidR="002C0C34" w:rsidRPr="006C09BD">
        <w:rPr>
          <w:rStyle w:val="None"/>
          <w:rFonts w:cs="Arial"/>
          <w:color w:val="auto"/>
          <w:u w:color="004C7F"/>
          <w:lang w:val="en-GB"/>
        </w:rPr>
        <w:t xml:space="preserve"> three</w:t>
      </w:r>
      <w:r w:rsidR="000A1B89" w:rsidRPr="006C09BD">
        <w:rPr>
          <w:rStyle w:val="None"/>
          <w:rFonts w:cs="Arial"/>
          <w:color w:val="auto"/>
          <w:u w:color="004C7F"/>
          <w:lang w:val="en-GB"/>
        </w:rPr>
        <w:t xml:space="preserve"> Australia</w:t>
      </w:r>
      <w:r w:rsidR="000F657C">
        <w:rPr>
          <w:rStyle w:val="None"/>
          <w:rFonts w:cs="Arial"/>
          <w:color w:val="auto"/>
          <w:u w:color="004C7F"/>
          <w:lang w:val="en-GB"/>
        </w:rPr>
        <w:t>n</w:t>
      </w:r>
      <w:r w:rsidR="002C0C34" w:rsidRPr="006C09BD">
        <w:rPr>
          <w:rStyle w:val="None"/>
          <w:rFonts w:cs="Arial"/>
          <w:color w:val="auto"/>
          <w:u w:color="004C7F"/>
          <w:lang w:val="en-GB"/>
        </w:rPr>
        <w:t xml:space="preserve"> states</w:t>
      </w:r>
      <w:r w:rsidR="00CF0CF4" w:rsidRPr="006C09BD">
        <w:rPr>
          <w:rStyle w:val="None"/>
          <w:rFonts w:cs="Arial"/>
          <w:color w:val="auto"/>
          <w:u w:color="004C7F"/>
          <w:lang w:val="en-GB"/>
        </w:rPr>
        <w:t>.</w:t>
      </w:r>
    </w:p>
    <w:p w14:paraId="590C0185" w14:textId="784FED9A" w:rsidR="0050292B" w:rsidRPr="006C09BD" w:rsidRDefault="00551CF0">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t xml:space="preserve">Assignment of interventions: </w:t>
      </w:r>
      <w:r w:rsidR="00384682" w:rsidRPr="006C09BD">
        <w:rPr>
          <w:rStyle w:val="None"/>
          <w:rFonts w:cs="Arial"/>
          <w:b/>
          <w:bCs/>
          <w:sz w:val="28"/>
          <w:szCs w:val="28"/>
          <w:lang w:val="en-GB"/>
        </w:rPr>
        <w:t>randomisation</w:t>
      </w:r>
    </w:p>
    <w:p w14:paraId="6B33FFAB" w14:textId="3DBBD165" w:rsidR="00384682" w:rsidRPr="006C09BD" w:rsidRDefault="00384682" w:rsidP="00384682">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Sequence generation who will generate the sequence {21a}</w:t>
      </w:r>
    </w:p>
    <w:p w14:paraId="033A35F1" w14:textId="32BC361B" w:rsidR="00384682" w:rsidRPr="006C09BD" w:rsidRDefault="00384682">
      <w:pPr>
        <w:pStyle w:val="BodyA"/>
        <w:widowControl w:val="0"/>
        <w:spacing w:before="120" w:line="360" w:lineRule="auto"/>
        <w:rPr>
          <w:rStyle w:val="None"/>
          <w:rFonts w:cs="Arial"/>
          <w:b/>
          <w:bCs/>
          <w:sz w:val="24"/>
          <w:szCs w:val="24"/>
          <w:lang w:val="en-GB"/>
        </w:rPr>
      </w:pPr>
      <w:r w:rsidRPr="006C09BD">
        <w:rPr>
          <w:rFonts w:cs="Arial"/>
          <w:lang w:val="en-GB"/>
        </w:rPr>
        <w:t>A Senior Trials Programmer at the Clinical Trials Unit (CTU) will write the web-based randomisation program and hold the allocation codes</w:t>
      </w:r>
      <w:r w:rsidRPr="006C09BD">
        <w:rPr>
          <w:rStyle w:val="NoneA"/>
          <w:rFonts w:cs="Arial"/>
          <w:lang w:val="en-GB"/>
        </w:rPr>
        <w:t>.</w:t>
      </w:r>
      <w:r w:rsidR="002F3CC5" w:rsidRPr="006C09BD">
        <w:rPr>
          <w:rStyle w:val="None"/>
          <w:rFonts w:cs="Arial"/>
          <w:color w:val="auto"/>
          <w:u w:color="004C7F"/>
          <w:lang w:val="en-GB"/>
        </w:rPr>
        <w:t xml:space="preserve"> Randomisation of </w:t>
      </w:r>
      <w:r w:rsidR="002F3CC5" w:rsidRPr="006C09BD">
        <w:rPr>
          <w:rFonts w:cs="Arial"/>
          <w:lang w:val="en-GB"/>
        </w:rPr>
        <w:t>infants</w:t>
      </w:r>
      <w:r w:rsidR="002F3CC5" w:rsidRPr="006C09BD">
        <w:rPr>
          <w:rStyle w:val="None"/>
          <w:rFonts w:cs="Arial"/>
          <w:color w:val="auto"/>
          <w:u w:color="004C7F"/>
          <w:lang w:val="en-GB"/>
        </w:rPr>
        <w:t xml:space="preserve"> to either the no routine measurement of gastric residual volumes at least 6-hourly measurement of gastric residual volumes will use a 1:1 allocation ratio.</w:t>
      </w:r>
    </w:p>
    <w:p w14:paraId="3CA32B26" w14:textId="3A9BB9F8"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Sequence generation</w:t>
      </w:r>
      <w:r w:rsidR="00384682" w:rsidRPr="006C09BD">
        <w:rPr>
          <w:rStyle w:val="None"/>
          <w:rFonts w:cs="Arial"/>
          <w:b/>
          <w:bCs/>
          <w:sz w:val="24"/>
          <w:szCs w:val="24"/>
          <w:lang w:val="en-GB"/>
        </w:rPr>
        <w:t>: type of randomisation</w:t>
      </w:r>
      <w:r w:rsidRPr="006C09BD">
        <w:rPr>
          <w:rStyle w:val="None"/>
          <w:rFonts w:cs="Arial"/>
          <w:b/>
          <w:bCs/>
          <w:sz w:val="24"/>
          <w:szCs w:val="24"/>
          <w:lang w:val="en-GB"/>
        </w:rPr>
        <w:t xml:space="preserve"> {</w:t>
      </w:r>
      <w:r w:rsidR="003079CF" w:rsidRPr="006C09BD">
        <w:rPr>
          <w:rStyle w:val="None"/>
          <w:rFonts w:cs="Arial"/>
          <w:b/>
          <w:bCs/>
          <w:sz w:val="24"/>
          <w:szCs w:val="24"/>
          <w:lang w:val="en-GB"/>
        </w:rPr>
        <w:t>21</w:t>
      </w:r>
      <w:r w:rsidRPr="006C09BD">
        <w:rPr>
          <w:rStyle w:val="None"/>
          <w:rFonts w:cs="Arial"/>
          <w:b/>
          <w:bCs/>
          <w:sz w:val="24"/>
          <w:szCs w:val="24"/>
          <w:lang w:val="en-GB"/>
        </w:rPr>
        <w:t>a</w:t>
      </w:r>
      <w:r w:rsidR="006D5E8E" w:rsidRPr="006C09BD">
        <w:rPr>
          <w:rStyle w:val="None"/>
          <w:rFonts w:cs="Arial"/>
          <w:b/>
          <w:bCs/>
          <w:sz w:val="24"/>
          <w:szCs w:val="24"/>
          <w:lang w:val="en-GB"/>
        </w:rPr>
        <w:t>, 21b}</w:t>
      </w:r>
    </w:p>
    <w:p w14:paraId="2015C8B9" w14:textId="0240BD5F" w:rsidR="00181B0F" w:rsidRPr="006C09BD" w:rsidRDefault="00A406F4" w:rsidP="00A406F4">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 xml:space="preserve">The randomisation program will use a probabilistic minimisation algorithm. To ensure balance between the randomised groups, minimisation criteria will </w:t>
      </w:r>
      <w:r w:rsidR="0036462D" w:rsidRPr="006C09BD">
        <w:rPr>
          <w:rStyle w:val="None"/>
          <w:rFonts w:cs="Arial"/>
          <w:color w:val="auto"/>
          <w:u w:color="004C7F"/>
          <w:lang w:val="en-GB"/>
        </w:rPr>
        <w:t>comprise</w:t>
      </w:r>
      <w:r w:rsidRPr="006C09BD">
        <w:rPr>
          <w:rStyle w:val="None"/>
          <w:rFonts w:cs="Arial"/>
          <w:color w:val="auto"/>
          <w:u w:color="004C7F"/>
          <w:lang w:val="en-GB"/>
        </w:rPr>
        <w:t xml:space="preserve">: </w:t>
      </w:r>
      <w:r w:rsidR="006F1672" w:rsidRPr="006C09BD">
        <w:rPr>
          <w:rStyle w:val="None"/>
          <w:rFonts w:cs="Arial"/>
          <w:color w:val="auto"/>
          <w:u w:color="004C7F"/>
          <w:lang w:val="en-GB"/>
        </w:rPr>
        <w:t xml:space="preserve">randomising </w:t>
      </w:r>
      <w:r w:rsidRPr="006C09BD">
        <w:rPr>
          <w:rStyle w:val="None"/>
          <w:rFonts w:cs="Arial"/>
          <w:color w:val="auto"/>
          <w:u w:color="004C7F"/>
          <w:lang w:val="en-GB"/>
        </w:rPr>
        <w:t>hospital, multiple births and week of gestational age at birth.</w:t>
      </w:r>
    </w:p>
    <w:p w14:paraId="6266C0EE" w14:textId="77777777" w:rsidR="00A406F4" w:rsidRPr="006C09BD" w:rsidRDefault="00A406F4">
      <w:pPr>
        <w:pStyle w:val="BodyA"/>
        <w:widowControl w:val="0"/>
        <w:spacing w:line="360" w:lineRule="auto"/>
        <w:rPr>
          <w:rStyle w:val="None"/>
          <w:rFonts w:cs="Arial"/>
          <w:color w:val="006600"/>
          <w:sz w:val="24"/>
          <w:szCs w:val="24"/>
          <w:u w:color="004C7F"/>
          <w:lang w:val="en-GB"/>
        </w:rPr>
      </w:pPr>
    </w:p>
    <w:p w14:paraId="31270533" w14:textId="7D610951" w:rsidR="00384682" w:rsidRPr="006C09BD" w:rsidRDefault="002A35BF">
      <w:pPr>
        <w:pStyle w:val="BodyA"/>
        <w:widowControl w:val="0"/>
        <w:spacing w:line="360" w:lineRule="auto"/>
        <w:rPr>
          <w:rStyle w:val="NoneA"/>
          <w:rFonts w:cs="Arial"/>
          <w:lang w:val="en-GB"/>
        </w:rPr>
      </w:pPr>
      <w:r w:rsidRPr="006C09BD">
        <w:rPr>
          <w:rFonts w:cs="Arial"/>
          <w:lang w:val="en-GB"/>
        </w:rPr>
        <w:t>Infants</w:t>
      </w:r>
      <w:r w:rsidR="00A406F4" w:rsidRPr="006C09BD">
        <w:rPr>
          <w:rStyle w:val="NoneA"/>
          <w:rFonts w:cs="Arial"/>
          <w:lang w:val="en-GB"/>
        </w:rPr>
        <w:t xml:space="preserve"> that are part of a multiple birth set (twins or higher order multiples) will be randomised as a multiple: they will all be allocated to the same care pathway. This is based upon feedback from parent representatives, parent organisations and research involving parents and ex-preterm twins</w:t>
      </w:r>
      <w:r w:rsidR="00FB1581" w:rsidRPr="006C09BD">
        <w:rPr>
          <w:rStyle w:val="NoneA"/>
          <w:rFonts w:cs="Arial"/>
          <w:noProof/>
          <w:lang w:val="en-GB"/>
        </w:rPr>
        <w:t xml:space="preserve"> </w:t>
      </w:r>
      <w:r w:rsidR="00FB1581" w:rsidRPr="006C09BD">
        <w:rPr>
          <w:rFonts w:cs="Arial"/>
          <w:noProof/>
          <w:lang w:val="en-GB"/>
        </w:rPr>
        <w:t>[</w:t>
      </w:r>
      <w:r w:rsidR="00553CBC" w:rsidRPr="006C09BD">
        <w:rPr>
          <w:rFonts w:cs="Arial"/>
          <w:noProof/>
          <w:lang w:val="en-GB"/>
        </w:rPr>
        <w:t>2</w:t>
      </w:r>
      <w:r w:rsidR="00692054" w:rsidRPr="006C09BD">
        <w:rPr>
          <w:rFonts w:cs="Arial"/>
          <w:noProof/>
          <w:lang w:val="en-GB"/>
        </w:rPr>
        <w:t>7</w:t>
      </w:r>
      <w:r w:rsidR="00FB1581" w:rsidRPr="006C09BD">
        <w:rPr>
          <w:rFonts w:cs="Arial"/>
          <w:noProof/>
          <w:lang w:val="en-GB"/>
        </w:rPr>
        <w:t>]</w:t>
      </w:r>
      <w:r w:rsidR="00A406F4" w:rsidRPr="006C09BD">
        <w:rPr>
          <w:rStyle w:val="NoneA"/>
          <w:rFonts w:cs="Arial"/>
          <w:lang w:val="en-GB"/>
        </w:rPr>
        <w:t>.</w:t>
      </w:r>
    </w:p>
    <w:p w14:paraId="0F361486" w14:textId="0EAF675C" w:rsidR="00BC5BBC" w:rsidRPr="006C09BD" w:rsidRDefault="005254FD" w:rsidP="003E31AE">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Allocation c</w:t>
      </w:r>
      <w:r w:rsidR="00551CF0" w:rsidRPr="006C09BD">
        <w:rPr>
          <w:rStyle w:val="None"/>
          <w:rFonts w:cs="Arial"/>
          <w:b/>
          <w:bCs/>
          <w:sz w:val="24"/>
          <w:szCs w:val="24"/>
          <w:lang w:val="en-GB"/>
        </w:rPr>
        <w:t>oncealment mechanism {</w:t>
      </w:r>
      <w:r w:rsidR="006D5E8E" w:rsidRPr="006C09BD">
        <w:rPr>
          <w:rStyle w:val="None"/>
          <w:rFonts w:cs="Arial"/>
          <w:b/>
          <w:bCs/>
          <w:sz w:val="24"/>
          <w:szCs w:val="24"/>
          <w:lang w:val="en-GB"/>
        </w:rPr>
        <w:t>22</w:t>
      </w:r>
      <w:r w:rsidR="00551CF0" w:rsidRPr="006C09BD">
        <w:rPr>
          <w:rStyle w:val="None"/>
          <w:rFonts w:cs="Arial"/>
          <w:b/>
          <w:bCs/>
          <w:sz w:val="24"/>
          <w:szCs w:val="24"/>
          <w:lang w:val="en-GB"/>
        </w:rPr>
        <w:t>}</w:t>
      </w:r>
    </w:p>
    <w:p w14:paraId="58D3A38D" w14:textId="78343AAF" w:rsidR="0050292B" w:rsidRPr="006C09BD" w:rsidRDefault="006233A8" w:rsidP="003E31AE">
      <w:pPr>
        <w:pStyle w:val="BodyA"/>
        <w:widowControl w:val="0"/>
        <w:spacing w:before="120" w:line="360" w:lineRule="auto"/>
        <w:rPr>
          <w:rStyle w:val="NoneA"/>
          <w:rFonts w:cs="Arial"/>
          <w:b/>
          <w:bCs/>
          <w:sz w:val="24"/>
          <w:szCs w:val="24"/>
          <w:lang w:val="en-GB"/>
        </w:rPr>
      </w:pPr>
      <w:r w:rsidRPr="006C09BD">
        <w:rPr>
          <w:rFonts w:cs="Arial"/>
          <w:lang w:val="en-GB"/>
        </w:rPr>
        <w:t xml:space="preserve">Infants will be randomised using an online secure central randomisation service to ensure allocation concealment. </w:t>
      </w:r>
    </w:p>
    <w:p w14:paraId="4A364C83" w14:textId="5E91BE56"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Implementation {</w:t>
      </w:r>
      <w:r w:rsidR="003079CF" w:rsidRPr="006C09BD">
        <w:rPr>
          <w:rStyle w:val="None"/>
          <w:rFonts w:cs="Arial"/>
          <w:b/>
          <w:bCs/>
          <w:sz w:val="24"/>
          <w:szCs w:val="24"/>
          <w:lang w:val="en-GB"/>
        </w:rPr>
        <w:t>2</w:t>
      </w:r>
      <w:r w:rsidR="006D5E8E" w:rsidRPr="006C09BD">
        <w:rPr>
          <w:rStyle w:val="None"/>
          <w:rFonts w:cs="Arial"/>
          <w:b/>
          <w:bCs/>
          <w:sz w:val="24"/>
          <w:szCs w:val="24"/>
          <w:lang w:val="en-GB"/>
        </w:rPr>
        <w:t>3</w:t>
      </w:r>
      <w:r w:rsidRPr="006C09BD">
        <w:rPr>
          <w:rStyle w:val="None"/>
          <w:rFonts w:cs="Arial"/>
          <w:b/>
          <w:bCs/>
          <w:sz w:val="24"/>
          <w:szCs w:val="24"/>
          <w:lang w:val="en-GB"/>
        </w:rPr>
        <w:t>}</w:t>
      </w:r>
    </w:p>
    <w:p w14:paraId="2FC34D7E" w14:textId="2E0B5886" w:rsidR="0050292B" w:rsidRPr="006C09BD" w:rsidRDefault="003E31AE" w:rsidP="00BC5BBC">
      <w:pPr>
        <w:pStyle w:val="BodyA"/>
        <w:widowControl w:val="0"/>
        <w:spacing w:before="120" w:line="360" w:lineRule="auto"/>
        <w:rPr>
          <w:rStyle w:val="NoneA"/>
          <w:rFonts w:cs="Arial"/>
          <w:sz w:val="24"/>
          <w:szCs w:val="24"/>
          <w:lang w:val="en-GB"/>
        </w:rPr>
      </w:pPr>
      <w:r w:rsidRPr="006C09BD">
        <w:rPr>
          <w:rFonts w:cs="Arial"/>
          <w:lang w:val="en-GB"/>
        </w:rPr>
        <w:t>Staff at recruiting sites will log into the randomisation website using a unique centre login to randomise participants. The system will confirm eligibility, a</w:t>
      </w:r>
      <w:r w:rsidR="00CF0CF4" w:rsidRPr="006C09BD">
        <w:rPr>
          <w:rFonts w:cs="Arial"/>
          <w:lang w:val="en-GB"/>
        </w:rPr>
        <w:t>llocate</w:t>
      </w:r>
      <w:r w:rsidRPr="006C09BD">
        <w:rPr>
          <w:rFonts w:cs="Arial"/>
          <w:lang w:val="en-GB"/>
        </w:rPr>
        <w:t xml:space="preserve"> a unique neoGASTRIC Study ID, and then assign the </w:t>
      </w:r>
      <w:r w:rsidR="000A2F7A" w:rsidRPr="006C09BD">
        <w:rPr>
          <w:rFonts w:cs="Arial"/>
          <w:color w:val="auto"/>
          <w:u w:color="004C7F"/>
          <w:lang w:val="en-GB"/>
        </w:rPr>
        <w:t>infant</w:t>
      </w:r>
      <w:r w:rsidRPr="006C09BD">
        <w:rPr>
          <w:rFonts w:cs="Arial"/>
          <w:lang w:val="en-GB"/>
        </w:rPr>
        <w:t xml:space="preserve"> to one arm of the trial.</w:t>
      </w:r>
    </w:p>
    <w:p w14:paraId="72809703" w14:textId="77777777"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8"/>
          <w:szCs w:val="28"/>
          <w:lang w:val="en-GB"/>
        </w:rPr>
        <w:t>Assignment of interventions: Blinding</w:t>
      </w:r>
    </w:p>
    <w:p w14:paraId="4A2E4FCA" w14:textId="0AC33D39"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Who will be blinded {</w:t>
      </w:r>
      <w:r w:rsidR="003079CF" w:rsidRPr="006C09BD">
        <w:rPr>
          <w:rStyle w:val="None"/>
          <w:rFonts w:cs="Arial"/>
          <w:b/>
          <w:bCs/>
          <w:sz w:val="24"/>
          <w:szCs w:val="24"/>
          <w:lang w:val="en-GB"/>
        </w:rPr>
        <w:t>24</w:t>
      </w:r>
      <w:r w:rsidRPr="006C09BD">
        <w:rPr>
          <w:rStyle w:val="None"/>
          <w:rFonts w:cs="Arial"/>
          <w:b/>
          <w:bCs/>
          <w:sz w:val="24"/>
          <w:szCs w:val="24"/>
          <w:lang w:val="en-GB"/>
        </w:rPr>
        <w:t>a</w:t>
      </w:r>
      <w:r w:rsidR="006233A8" w:rsidRPr="006C09BD">
        <w:rPr>
          <w:rStyle w:val="None"/>
          <w:rFonts w:cs="Arial"/>
          <w:b/>
          <w:bCs/>
          <w:sz w:val="24"/>
          <w:szCs w:val="24"/>
          <w:lang w:val="en-GB"/>
        </w:rPr>
        <w:t>}</w:t>
      </w:r>
    </w:p>
    <w:p w14:paraId="5C2E7685" w14:textId="77777777" w:rsidR="006D5E8E" w:rsidRPr="006C09BD" w:rsidRDefault="003E31AE" w:rsidP="003E31AE">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 xml:space="preserve">Because it is not possible to mask the different care pathways, parents and clinicians (including treating clinicians and clinicians recording outcomes) will be unblinded to the allocated care pathway. </w:t>
      </w:r>
    </w:p>
    <w:p w14:paraId="1E5B06E7" w14:textId="77777777" w:rsidR="00BC5BBC" w:rsidRPr="006C09BD" w:rsidRDefault="00BC5BBC" w:rsidP="003E31AE">
      <w:pPr>
        <w:pStyle w:val="BodyA"/>
        <w:widowControl w:val="0"/>
        <w:spacing w:line="360" w:lineRule="auto"/>
        <w:rPr>
          <w:rStyle w:val="None"/>
          <w:rFonts w:cs="Arial"/>
          <w:color w:val="auto"/>
          <w:u w:color="004C7F"/>
          <w:lang w:val="en-GB"/>
        </w:rPr>
      </w:pPr>
    </w:p>
    <w:p w14:paraId="4A25C40F" w14:textId="28BE0F3B" w:rsidR="003E31AE" w:rsidRPr="006C09BD" w:rsidRDefault="003E31AE" w:rsidP="003E31AE">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 xml:space="preserve">A Blinded Endpoint Review Committee (BERC) will undertake a blinded assessment of key clinical outcomes </w:t>
      </w:r>
      <w:r w:rsidRPr="006C09BD">
        <w:rPr>
          <w:rFonts w:cs="Arial"/>
          <w:lang w:val="en-GB"/>
        </w:rPr>
        <w:t>–</w:t>
      </w:r>
      <w:r w:rsidRPr="006C09BD">
        <w:rPr>
          <w:rStyle w:val="None"/>
          <w:rFonts w:cs="Arial"/>
          <w:color w:val="auto"/>
          <w:u w:color="004C7F"/>
          <w:lang w:val="en-GB"/>
        </w:rPr>
        <w:t xml:space="preserve"> NEC, focal intestinal perforation, late-onset infection and, where appropriate, time to full feeds.</w:t>
      </w:r>
    </w:p>
    <w:tbl>
      <w:tblPr>
        <w:tblStyle w:val="TableGrid"/>
        <w:tblW w:w="0" w:type="auto"/>
        <w:tblLook w:val="04A0" w:firstRow="1" w:lastRow="0" w:firstColumn="1" w:lastColumn="0" w:noHBand="0" w:noVBand="1"/>
      </w:tblPr>
      <w:tblGrid>
        <w:gridCol w:w="2689"/>
        <w:gridCol w:w="1559"/>
        <w:gridCol w:w="4756"/>
      </w:tblGrid>
      <w:tr w:rsidR="00A02D01" w:rsidRPr="006C09BD" w14:paraId="7EF2D294" w14:textId="77777777" w:rsidTr="00C44A79">
        <w:tc>
          <w:tcPr>
            <w:tcW w:w="2689" w:type="dxa"/>
            <w:shd w:val="clear" w:color="auto" w:fill="auto"/>
            <w:tcMar>
              <w:bottom w:w="57" w:type="dxa"/>
            </w:tcMar>
          </w:tcPr>
          <w:p w14:paraId="54EF08B6" w14:textId="77777777" w:rsidR="00A02D01" w:rsidRPr="006C09BD" w:rsidRDefault="00A02D01" w:rsidP="0074770C">
            <w:pPr>
              <w:pStyle w:val="NORMLAnospacing"/>
              <w:rPr>
                <w:rStyle w:val="Strong"/>
              </w:rPr>
            </w:pPr>
            <w:r w:rsidRPr="006C09BD">
              <w:rPr>
                <w:rStyle w:val="Strong"/>
              </w:rPr>
              <w:t>Individual</w:t>
            </w:r>
          </w:p>
        </w:tc>
        <w:tc>
          <w:tcPr>
            <w:tcW w:w="1559" w:type="dxa"/>
            <w:shd w:val="clear" w:color="auto" w:fill="auto"/>
            <w:tcMar>
              <w:bottom w:w="57" w:type="dxa"/>
            </w:tcMar>
          </w:tcPr>
          <w:p w14:paraId="712E14D7" w14:textId="77777777" w:rsidR="00A02D01" w:rsidRPr="006C09BD" w:rsidRDefault="00A02D01" w:rsidP="0074770C">
            <w:pPr>
              <w:pStyle w:val="NORMLAnospacing"/>
              <w:rPr>
                <w:rStyle w:val="Strong"/>
              </w:rPr>
            </w:pPr>
            <w:r w:rsidRPr="006C09BD">
              <w:rPr>
                <w:rStyle w:val="Strong"/>
              </w:rPr>
              <w:t>Blinding status</w:t>
            </w:r>
          </w:p>
        </w:tc>
        <w:tc>
          <w:tcPr>
            <w:tcW w:w="4756" w:type="dxa"/>
            <w:shd w:val="clear" w:color="auto" w:fill="auto"/>
            <w:tcMar>
              <w:bottom w:w="57" w:type="dxa"/>
            </w:tcMar>
          </w:tcPr>
          <w:p w14:paraId="0FE27D6F" w14:textId="77777777" w:rsidR="00A02D01" w:rsidRPr="006C09BD" w:rsidRDefault="00A02D01" w:rsidP="0074770C">
            <w:pPr>
              <w:pStyle w:val="NORMLAnospacing"/>
              <w:rPr>
                <w:rStyle w:val="Strong"/>
              </w:rPr>
            </w:pPr>
            <w:r w:rsidRPr="006C09BD">
              <w:rPr>
                <w:rStyle w:val="Strong"/>
              </w:rPr>
              <w:t>Comments</w:t>
            </w:r>
          </w:p>
        </w:tc>
      </w:tr>
      <w:tr w:rsidR="00A02D01" w:rsidRPr="006C09BD" w14:paraId="19D17C43" w14:textId="77777777" w:rsidTr="0074770C">
        <w:tc>
          <w:tcPr>
            <w:tcW w:w="2689" w:type="dxa"/>
            <w:tcMar>
              <w:bottom w:w="57" w:type="dxa"/>
            </w:tcMar>
          </w:tcPr>
          <w:p w14:paraId="44856E01" w14:textId="49AA0D38" w:rsidR="00A02D01" w:rsidRPr="006C09BD" w:rsidRDefault="00A02D01" w:rsidP="0074770C">
            <w:pPr>
              <w:pStyle w:val="NORMLAnospacing"/>
            </w:pPr>
            <w:r w:rsidRPr="006C09BD">
              <w:lastRenderedPageBreak/>
              <w:t xml:space="preserve">Parents and </w:t>
            </w:r>
            <w:r w:rsidR="000A2F7A" w:rsidRPr="006C09BD">
              <w:rPr>
                <w:u w:color="004C7F"/>
              </w:rPr>
              <w:t>infant</w:t>
            </w:r>
          </w:p>
        </w:tc>
        <w:tc>
          <w:tcPr>
            <w:tcW w:w="1559" w:type="dxa"/>
            <w:tcMar>
              <w:bottom w:w="57" w:type="dxa"/>
            </w:tcMar>
          </w:tcPr>
          <w:p w14:paraId="4DD9E81E" w14:textId="77777777" w:rsidR="00A02D01" w:rsidRPr="006C09BD" w:rsidRDefault="00A02D01" w:rsidP="0074770C">
            <w:pPr>
              <w:pStyle w:val="NORMLAnospacing"/>
            </w:pPr>
            <w:r w:rsidRPr="006C09BD">
              <w:t>Not blinded</w:t>
            </w:r>
          </w:p>
        </w:tc>
        <w:tc>
          <w:tcPr>
            <w:tcW w:w="4756" w:type="dxa"/>
            <w:tcMar>
              <w:bottom w:w="57" w:type="dxa"/>
            </w:tcMar>
          </w:tcPr>
          <w:p w14:paraId="3BAA92E0" w14:textId="77777777" w:rsidR="00A02D01" w:rsidRPr="006C09BD" w:rsidRDefault="00A02D01" w:rsidP="0074770C">
            <w:pPr>
              <w:pStyle w:val="NORMLAnospacing"/>
            </w:pPr>
            <w:r w:rsidRPr="006C09BD">
              <w:t xml:space="preserve">Not possible due to the nature of intervention. Parents will be informed which arm of the trial they have been randomised to. </w:t>
            </w:r>
          </w:p>
        </w:tc>
      </w:tr>
      <w:tr w:rsidR="00A02D01" w:rsidRPr="006C09BD" w14:paraId="53ED3649" w14:textId="77777777" w:rsidTr="0074770C">
        <w:tc>
          <w:tcPr>
            <w:tcW w:w="2689" w:type="dxa"/>
            <w:tcMar>
              <w:bottom w:w="57" w:type="dxa"/>
            </w:tcMar>
          </w:tcPr>
          <w:p w14:paraId="1498C480" w14:textId="68DA4C5A" w:rsidR="00A02D01" w:rsidRPr="006C09BD" w:rsidRDefault="00A02D01" w:rsidP="0074770C">
            <w:pPr>
              <w:pStyle w:val="NORMLAnospacing"/>
            </w:pPr>
            <w:r w:rsidRPr="006C09BD">
              <w:t xml:space="preserve">Principal Investigator </w:t>
            </w:r>
            <w:r w:rsidR="003E31AE" w:rsidRPr="006C09BD">
              <w:t xml:space="preserve">(PI) </w:t>
            </w:r>
            <w:r w:rsidRPr="006C09BD">
              <w:t>and other site staff</w:t>
            </w:r>
          </w:p>
        </w:tc>
        <w:tc>
          <w:tcPr>
            <w:tcW w:w="1559" w:type="dxa"/>
            <w:tcMar>
              <w:bottom w:w="57" w:type="dxa"/>
            </w:tcMar>
          </w:tcPr>
          <w:p w14:paraId="43B711C8" w14:textId="77777777" w:rsidR="00A02D01" w:rsidRPr="006C09BD" w:rsidRDefault="00A02D01" w:rsidP="0074770C">
            <w:pPr>
              <w:pStyle w:val="NORMLAnospacing"/>
            </w:pPr>
            <w:r w:rsidRPr="006C09BD">
              <w:t>Not blinded</w:t>
            </w:r>
          </w:p>
        </w:tc>
        <w:tc>
          <w:tcPr>
            <w:tcW w:w="4756" w:type="dxa"/>
            <w:tcMar>
              <w:bottom w:w="57" w:type="dxa"/>
            </w:tcMar>
          </w:tcPr>
          <w:p w14:paraId="6131F0BC" w14:textId="77777777" w:rsidR="00A02D01" w:rsidRPr="006C09BD" w:rsidRDefault="00A02D01" w:rsidP="0074770C">
            <w:pPr>
              <w:pStyle w:val="NORMLAnospacing"/>
            </w:pPr>
            <w:r w:rsidRPr="006C09BD">
              <w:t>Not possible due to the nature of intervention. Following randomisation, an email will be sent to the PI and/or other site staff (as agreed locally) confirming allocation.</w:t>
            </w:r>
          </w:p>
        </w:tc>
      </w:tr>
      <w:tr w:rsidR="003E31AE" w:rsidRPr="006C09BD" w14:paraId="40E74503" w14:textId="77777777" w:rsidTr="0074770C">
        <w:tc>
          <w:tcPr>
            <w:tcW w:w="2689" w:type="dxa"/>
            <w:tcMar>
              <w:bottom w:w="57" w:type="dxa"/>
            </w:tcMar>
          </w:tcPr>
          <w:p w14:paraId="4E486E21" w14:textId="20530146" w:rsidR="003E31AE" w:rsidRPr="006C09BD" w:rsidRDefault="003E31AE" w:rsidP="003E31AE">
            <w:pPr>
              <w:pStyle w:val="NORMLAnospacing"/>
            </w:pPr>
            <w:r w:rsidRPr="006C09BD">
              <w:t>Chief Investigator</w:t>
            </w:r>
            <w:r w:rsidR="00BC5BBC" w:rsidRPr="006C09BD">
              <w:t xml:space="preserve"> (CI)</w:t>
            </w:r>
            <w:r w:rsidRPr="006C09BD">
              <w:t xml:space="preserve"> UK and Australia</w:t>
            </w:r>
          </w:p>
        </w:tc>
        <w:tc>
          <w:tcPr>
            <w:tcW w:w="1559" w:type="dxa"/>
            <w:tcMar>
              <w:bottom w:w="57" w:type="dxa"/>
            </w:tcMar>
          </w:tcPr>
          <w:p w14:paraId="403DB456" w14:textId="011C8A1A" w:rsidR="003E31AE" w:rsidRPr="006C09BD" w:rsidRDefault="003E31AE" w:rsidP="003E31AE">
            <w:pPr>
              <w:pStyle w:val="NORMLAnospacing"/>
            </w:pPr>
            <w:r w:rsidRPr="006C09BD">
              <w:t xml:space="preserve">Not blinded to individual </w:t>
            </w:r>
            <w:r w:rsidR="002A35BF" w:rsidRPr="006C09BD">
              <w:t>infants</w:t>
            </w:r>
          </w:p>
          <w:p w14:paraId="4BB5B923" w14:textId="7A098814" w:rsidR="003E31AE" w:rsidRPr="006C09BD" w:rsidRDefault="003E31AE" w:rsidP="003E31AE">
            <w:pPr>
              <w:pStyle w:val="NORMLAnospacing"/>
            </w:pPr>
            <w:r w:rsidRPr="006C09BD">
              <w:t>Blinded to all aggregate data</w:t>
            </w:r>
          </w:p>
        </w:tc>
        <w:tc>
          <w:tcPr>
            <w:tcW w:w="4756" w:type="dxa"/>
            <w:tcMar>
              <w:bottom w:w="57" w:type="dxa"/>
            </w:tcMar>
          </w:tcPr>
          <w:p w14:paraId="13078C0F" w14:textId="4B6B5FEE" w:rsidR="003E31AE" w:rsidRPr="006C09BD" w:rsidRDefault="003E31AE" w:rsidP="003E31AE">
            <w:pPr>
              <w:pStyle w:val="NORMLAnospacing"/>
            </w:pPr>
            <w:r w:rsidRPr="006C09BD">
              <w:t xml:space="preserve">Not possible for individual </w:t>
            </w:r>
            <w:r w:rsidR="002A35BF" w:rsidRPr="006C09BD">
              <w:t>infants</w:t>
            </w:r>
            <w:r w:rsidRPr="006C09BD">
              <w:t xml:space="preserve"> at their site due to the nature of intervention.</w:t>
            </w:r>
          </w:p>
          <w:p w14:paraId="2394E46E" w14:textId="77777777" w:rsidR="003E31AE" w:rsidRPr="006C09BD" w:rsidRDefault="003E31AE" w:rsidP="003E31AE">
            <w:pPr>
              <w:pStyle w:val="NORMLAnospacing"/>
            </w:pPr>
            <w:r w:rsidRPr="006C09BD">
              <w:t>The CIs also act as PIs for their site – see comments for PIs above,</w:t>
            </w:r>
          </w:p>
          <w:p w14:paraId="2A54021A" w14:textId="77777777" w:rsidR="003E31AE" w:rsidRPr="006C09BD" w:rsidRDefault="003E31AE" w:rsidP="003E31AE">
            <w:pPr>
              <w:pStyle w:val="NORMLAnospacing"/>
            </w:pPr>
          </w:p>
          <w:p w14:paraId="158C42B1" w14:textId="3410A392" w:rsidR="003E31AE" w:rsidRPr="006C09BD" w:rsidRDefault="003E31AE" w:rsidP="003E31AE">
            <w:pPr>
              <w:pStyle w:val="NORMLAnospacing"/>
            </w:pPr>
            <w:r w:rsidRPr="006C09BD">
              <w:t xml:space="preserve">The </w:t>
            </w:r>
            <w:r w:rsidR="00BC5BBC" w:rsidRPr="006C09BD">
              <w:t>CI</w:t>
            </w:r>
            <w:r w:rsidRPr="006C09BD">
              <w:t xml:space="preserve"> will remain blinded to treatment allocation overall. CIs will not be blinded for </w:t>
            </w:r>
            <w:r w:rsidR="002A35BF" w:rsidRPr="006C09BD">
              <w:t>infants</w:t>
            </w:r>
            <w:r w:rsidRPr="006C09BD">
              <w:t xml:space="preserve"> when involved in evaluating a Serious Adverse Event (SAE).</w:t>
            </w:r>
          </w:p>
        </w:tc>
      </w:tr>
      <w:tr w:rsidR="003E31AE" w:rsidRPr="006C09BD" w14:paraId="1BCC3B0A" w14:textId="77777777" w:rsidTr="0074770C">
        <w:tc>
          <w:tcPr>
            <w:tcW w:w="2689" w:type="dxa"/>
            <w:tcMar>
              <w:bottom w:w="57" w:type="dxa"/>
            </w:tcMar>
          </w:tcPr>
          <w:p w14:paraId="034F4D39" w14:textId="77777777" w:rsidR="003E31AE" w:rsidRPr="006C09BD" w:rsidRDefault="003E31AE" w:rsidP="003E31AE">
            <w:pPr>
              <w:pStyle w:val="NORMLAnospacing"/>
            </w:pPr>
            <w:r w:rsidRPr="006C09BD">
              <w:t>Database programmer</w:t>
            </w:r>
          </w:p>
        </w:tc>
        <w:tc>
          <w:tcPr>
            <w:tcW w:w="1559" w:type="dxa"/>
            <w:tcMar>
              <w:bottom w:w="57" w:type="dxa"/>
            </w:tcMar>
          </w:tcPr>
          <w:p w14:paraId="145241FA" w14:textId="77777777" w:rsidR="003E31AE" w:rsidRPr="006C09BD" w:rsidRDefault="003E31AE" w:rsidP="003E31AE">
            <w:pPr>
              <w:pStyle w:val="NORMLAnospacing"/>
            </w:pPr>
            <w:r w:rsidRPr="006C09BD">
              <w:t>Not blinded</w:t>
            </w:r>
          </w:p>
        </w:tc>
        <w:tc>
          <w:tcPr>
            <w:tcW w:w="4756" w:type="dxa"/>
            <w:tcMar>
              <w:bottom w:w="57" w:type="dxa"/>
            </w:tcMar>
          </w:tcPr>
          <w:p w14:paraId="32B9C520" w14:textId="77777777" w:rsidR="003E31AE" w:rsidRPr="006C09BD" w:rsidRDefault="003E31AE" w:rsidP="003E31AE">
            <w:pPr>
              <w:pStyle w:val="NORMLAnospacing"/>
            </w:pPr>
            <w:r w:rsidRPr="006C09BD">
              <w:t>The database programmer will be responsible for the management of the randomisation database and will also have access to unblinded datasets within the trial database.</w:t>
            </w:r>
          </w:p>
        </w:tc>
      </w:tr>
      <w:tr w:rsidR="003E31AE" w:rsidRPr="006C09BD" w14:paraId="42A9F85C" w14:textId="77777777" w:rsidTr="0074770C">
        <w:tc>
          <w:tcPr>
            <w:tcW w:w="2689" w:type="dxa"/>
            <w:tcMar>
              <w:bottom w:w="57" w:type="dxa"/>
            </w:tcMar>
          </w:tcPr>
          <w:p w14:paraId="05019D04" w14:textId="77777777" w:rsidR="003E31AE" w:rsidRPr="006C09BD" w:rsidRDefault="003E31AE" w:rsidP="003E31AE">
            <w:pPr>
              <w:pStyle w:val="NORMLAnospacing"/>
            </w:pPr>
            <w:r w:rsidRPr="006C09BD">
              <w:t xml:space="preserve">Trial and data management staff </w:t>
            </w:r>
          </w:p>
        </w:tc>
        <w:tc>
          <w:tcPr>
            <w:tcW w:w="1559" w:type="dxa"/>
            <w:tcMar>
              <w:bottom w:w="57" w:type="dxa"/>
            </w:tcMar>
          </w:tcPr>
          <w:p w14:paraId="6E4E93D9" w14:textId="30B17277" w:rsidR="003E31AE" w:rsidRPr="006C09BD" w:rsidRDefault="003E31AE" w:rsidP="003E31AE">
            <w:pPr>
              <w:pStyle w:val="NORMLAnospacing"/>
            </w:pPr>
            <w:r w:rsidRPr="006C09BD">
              <w:t xml:space="preserve">Not blinded to individual </w:t>
            </w:r>
            <w:r w:rsidR="002A35BF" w:rsidRPr="006C09BD">
              <w:t>infants</w:t>
            </w:r>
          </w:p>
          <w:p w14:paraId="29F166A4" w14:textId="111ED0BE" w:rsidR="003E31AE" w:rsidRPr="006C09BD" w:rsidRDefault="003E31AE" w:rsidP="003E31AE">
            <w:pPr>
              <w:pStyle w:val="NORMLAnospacing"/>
            </w:pPr>
            <w:r w:rsidRPr="006C09BD">
              <w:t>Blinded to all aggregate data</w:t>
            </w:r>
          </w:p>
        </w:tc>
        <w:tc>
          <w:tcPr>
            <w:tcW w:w="4756" w:type="dxa"/>
            <w:tcMar>
              <w:bottom w:w="57" w:type="dxa"/>
            </w:tcMar>
          </w:tcPr>
          <w:p w14:paraId="2CFB604B" w14:textId="77777777" w:rsidR="003E31AE" w:rsidRPr="006C09BD" w:rsidRDefault="003E31AE" w:rsidP="003E31AE">
            <w:pPr>
              <w:pStyle w:val="NORMLAnospacing"/>
            </w:pPr>
            <w:r w:rsidRPr="006C09BD">
              <w:t xml:space="preserve">Trial and data management staff will have access to unblinded individual records within the clinical database as this is an unblinded study. </w:t>
            </w:r>
          </w:p>
        </w:tc>
      </w:tr>
      <w:tr w:rsidR="003E31AE" w:rsidRPr="006C09BD" w14:paraId="5DEF2EEE" w14:textId="77777777" w:rsidTr="0074770C">
        <w:tc>
          <w:tcPr>
            <w:tcW w:w="2689" w:type="dxa"/>
            <w:tcMar>
              <w:bottom w:w="57" w:type="dxa"/>
            </w:tcMar>
          </w:tcPr>
          <w:p w14:paraId="0DA9B678" w14:textId="77777777" w:rsidR="003E31AE" w:rsidRPr="006C09BD" w:rsidRDefault="003E31AE" w:rsidP="003E31AE">
            <w:pPr>
              <w:pStyle w:val="NORMLAnospacing"/>
            </w:pPr>
            <w:r w:rsidRPr="006C09BD">
              <w:t>Trial statistician</w:t>
            </w:r>
          </w:p>
        </w:tc>
        <w:tc>
          <w:tcPr>
            <w:tcW w:w="1559" w:type="dxa"/>
            <w:tcMar>
              <w:bottom w:w="57" w:type="dxa"/>
            </w:tcMar>
          </w:tcPr>
          <w:p w14:paraId="42C9D34A" w14:textId="77777777" w:rsidR="003E31AE" w:rsidRPr="006C09BD" w:rsidRDefault="003E31AE" w:rsidP="003E31AE">
            <w:pPr>
              <w:pStyle w:val="NORMLAnospacing"/>
            </w:pPr>
            <w:r w:rsidRPr="006C09BD">
              <w:t>Not blinded</w:t>
            </w:r>
          </w:p>
        </w:tc>
        <w:tc>
          <w:tcPr>
            <w:tcW w:w="4756" w:type="dxa"/>
            <w:tcMar>
              <w:bottom w:w="57" w:type="dxa"/>
            </w:tcMar>
          </w:tcPr>
          <w:p w14:paraId="53BB927A" w14:textId="192F3604" w:rsidR="003E31AE" w:rsidRPr="006C09BD" w:rsidRDefault="003E31AE" w:rsidP="003E31AE">
            <w:pPr>
              <w:pStyle w:val="NORMLAnospacing"/>
            </w:pPr>
            <w:r w:rsidRPr="006C09BD">
              <w:t>The trial statistician will draft the statistical analysis plan before they receive the first unblinded dataset. Thereafter, on request, the trial statistician will have access to the unblinded dataset as this is an unblinded study.</w:t>
            </w:r>
          </w:p>
        </w:tc>
      </w:tr>
      <w:tr w:rsidR="003E31AE" w:rsidRPr="006C09BD" w14:paraId="723AFBD2" w14:textId="77777777" w:rsidTr="0074770C">
        <w:tc>
          <w:tcPr>
            <w:tcW w:w="2689" w:type="dxa"/>
            <w:tcMar>
              <w:bottom w:w="57" w:type="dxa"/>
            </w:tcMar>
          </w:tcPr>
          <w:p w14:paraId="3BE84DC8" w14:textId="66E85501" w:rsidR="003E31AE" w:rsidRPr="006C09BD" w:rsidRDefault="003E31AE" w:rsidP="003E31AE">
            <w:pPr>
              <w:pStyle w:val="NORMLAnospacing"/>
            </w:pPr>
            <w:r w:rsidRPr="006C09BD">
              <w:t xml:space="preserve">Members of the </w:t>
            </w:r>
            <w:r w:rsidR="00DB0211" w:rsidRPr="006C09BD">
              <w:t>BERC</w:t>
            </w:r>
            <w:r w:rsidRPr="006C09BD">
              <w:t xml:space="preserve"> </w:t>
            </w:r>
          </w:p>
        </w:tc>
        <w:tc>
          <w:tcPr>
            <w:tcW w:w="1559" w:type="dxa"/>
            <w:tcMar>
              <w:bottom w:w="57" w:type="dxa"/>
            </w:tcMar>
          </w:tcPr>
          <w:p w14:paraId="59FCCC05" w14:textId="77777777" w:rsidR="003E31AE" w:rsidRPr="006C09BD" w:rsidRDefault="003E31AE" w:rsidP="003E31AE">
            <w:pPr>
              <w:pStyle w:val="NORMLAnospacing"/>
            </w:pPr>
            <w:r w:rsidRPr="006C09BD">
              <w:t>Blinded</w:t>
            </w:r>
          </w:p>
        </w:tc>
        <w:tc>
          <w:tcPr>
            <w:tcW w:w="4756" w:type="dxa"/>
            <w:tcMar>
              <w:bottom w:w="57" w:type="dxa"/>
            </w:tcMar>
          </w:tcPr>
          <w:p w14:paraId="522BB7E7" w14:textId="49EE9DBF" w:rsidR="003E31AE" w:rsidRPr="006C09BD" w:rsidRDefault="003E31AE" w:rsidP="003E31AE">
            <w:pPr>
              <w:pStyle w:val="NORMLAnospacing"/>
            </w:pPr>
            <w:r w:rsidRPr="006C09BD">
              <w:t>Members of the BERC will assess the relevant Case Report Forms (CRFs) and (if necessary) anonymised medical notes.</w:t>
            </w:r>
          </w:p>
        </w:tc>
      </w:tr>
    </w:tbl>
    <w:p w14:paraId="53491E48" w14:textId="77777777" w:rsidR="005254FD"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br/>
      </w:r>
      <w:r w:rsidR="005254FD" w:rsidRPr="006C09BD">
        <w:rPr>
          <w:rStyle w:val="None"/>
          <w:rFonts w:cs="Arial"/>
          <w:b/>
          <w:bCs/>
          <w:sz w:val="24"/>
          <w:szCs w:val="24"/>
          <w:lang w:val="en-GB"/>
        </w:rPr>
        <w:t xml:space="preserve">How will blinding be achieved {24b] </w:t>
      </w:r>
    </w:p>
    <w:p w14:paraId="358FB890" w14:textId="2BD17E53" w:rsidR="005254FD" w:rsidRPr="006C09BD" w:rsidRDefault="005254FD" w:rsidP="005254FD">
      <w:pPr>
        <w:pStyle w:val="BodyA"/>
        <w:widowControl w:val="0"/>
        <w:spacing w:line="360" w:lineRule="auto"/>
        <w:rPr>
          <w:rStyle w:val="None"/>
          <w:rFonts w:cs="Arial"/>
          <w:b/>
          <w:bCs/>
          <w:sz w:val="24"/>
          <w:szCs w:val="24"/>
          <w:lang w:val="en-GB"/>
        </w:rPr>
      </w:pPr>
      <w:r w:rsidRPr="006C09BD">
        <w:rPr>
          <w:rStyle w:val="None"/>
          <w:rFonts w:cs="Arial"/>
          <w:color w:val="auto"/>
          <w:u w:color="004C7F"/>
          <w:lang w:val="en-GB"/>
        </w:rPr>
        <w:t>N/A – this is not a blinded trial</w:t>
      </w:r>
    </w:p>
    <w:p w14:paraId="42758A72" w14:textId="371B837A"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Procedure for unblinding if needed {</w:t>
      </w:r>
      <w:r w:rsidR="003079CF" w:rsidRPr="006C09BD">
        <w:rPr>
          <w:rStyle w:val="None"/>
          <w:rFonts w:cs="Arial"/>
          <w:b/>
          <w:bCs/>
          <w:sz w:val="24"/>
          <w:szCs w:val="24"/>
          <w:lang w:val="en-GB"/>
        </w:rPr>
        <w:t>24c</w:t>
      </w:r>
      <w:r w:rsidRPr="006C09BD">
        <w:rPr>
          <w:rStyle w:val="None"/>
          <w:rFonts w:cs="Arial"/>
          <w:b/>
          <w:bCs/>
          <w:sz w:val="24"/>
          <w:szCs w:val="24"/>
          <w:lang w:val="en-GB"/>
        </w:rPr>
        <w:t>}</w:t>
      </w:r>
    </w:p>
    <w:p w14:paraId="324D0929" w14:textId="0C299EC2" w:rsidR="0050292B" w:rsidRPr="006C09BD" w:rsidRDefault="00E43887">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N/A – this is not a blinded trial</w:t>
      </w:r>
    </w:p>
    <w:p w14:paraId="33BC2AC1" w14:textId="77777777" w:rsidR="00984C6C" w:rsidRPr="006C09BD" w:rsidRDefault="00984C6C">
      <w:pPr>
        <w:pStyle w:val="BodyA"/>
        <w:widowControl w:val="0"/>
        <w:spacing w:line="360" w:lineRule="auto"/>
        <w:rPr>
          <w:rStyle w:val="None"/>
          <w:rFonts w:cs="Arial"/>
          <w:color w:val="006600"/>
          <w:sz w:val="24"/>
          <w:szCs w:val="24"/>
          <w:u w:color="004C7F"/>
          <w:lang w:val="en-GB"/>
        </w:rPr>
      </w:pPr>
    </w:p>
    <w:p w14:paraId="50654A40" w14:textId="77777777" w:rsidR="0050292B" w:rsidRPr="006C09BD" w:rsidRDefault="00551CF0">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t>Data collection and management</w:t>
      </w:r>
    </w:p>
    <w:p w14:paraId="3D83F4A5" w14:textId="77777777" w:rsidR="00984C6C" w:rsidRPr="006C09BD" w:rsidRDefault="00551CF0" w:rsidP="00984C6C">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lastRenderedPageBreak/>
        <w:t>Plans for assessment and collection of outcomes {</w:t>
      </w:r>
      <w:r w:rsidR="003079CF" w:rsidRPr="006C09BD">
        <w:rPr>
          <w:rStyle w:val="None"/>
          <w:rFonts w:cs="Arial"/>
          <w:b/>
          <w:bCs/>
          <w:sz w:val="24"/>
          <w:szCs w:val="24"/>
          <w:lang w:val="en-GB"/>
        </w:rPr>
        <w:t>25</w:t>
      </w:r>
      <w:r w:rsidRPr="006C09BD">
        <w:rPr>
          <w:rStyle w:val="None"/>
          <w:rFonts w:cs="Arial"/>
          <w:b/>
          <w:bCs/>
          <w:sz w:val="24"/>
          <w:szCs w:val="24"/>
          <w:lang w:val="en-GB"/>
        </w:rPr>
        <w:t>a}</w:t>
      </w:r>
    </w:p>
    <w:p w14:paraId="47F5AFEA" w14:textId="1379AA38" w:rsidR="0050292B" w:rsidRPr="006C09BD" w:rsidRDefault="00E43887" w:rsidP="00984C6C">
      <w:pPr>
        <w:pStyle w:val="BodyA"/>
        <w:widowControl w:val="0"/>
        <w:spacing w:before="120" w:line="360" w:lineRule="auto"/>
        <w:rPr>
          <w:rStyle w:val="NoneA"/>
          <w:rFonts w:cs="Arial"/>
          <w:lang w:val="en-GB"/>
        </w:rPr>
      </w:pPr>
      <w:r w:rsidRPr="006C09BD">
        <w:rPr>
          <w:rStyle w:val="NoneA"/>
          <w:rFonts w:cs="Arial"/>
          <w:lang w:val="en-GB"/>
        </w:rPr>
        <w:t xml:space="preserve">The majority of trial data will be collected using electronic </w:t>
      </w:r>
      <w:r w:rsidR="006F1672" w:rsidRPr="006C09BD">
        <w:rPr>
          <w:rStyle w:val="NoneA"/>
          <w:rFonts w:cs="Arial"/>
          <w:lang w:val="en-GB"/>
        </w:rPr>
        <w:t>C</w:t>
      </w:r>
      <w:r w:rsidR="00DB0211" w:rsidRPr="006C09BD">
        <w:rPr>
          <w:rStyle w:val="NoneA"/>
          <w:rFonts w:cs="Arial"/>
          <w:lang w:val="en-GB"/>
        </w:rPr>
        <w:t>RFs</w:t>
      </w:r>
      <w:r w:rsidR="006F1672" w:rsidRPr="006C09BD">
        <w:rPr>
          <w:rStyle w:val="NoneA"/>
          <w:rFonts w:cs="Arial"/>
          <w:lang w:val="en-GB"/>
        </w:rPr>
        <w:t xml:space="preserve"> </w:t>
      </w:r>
      <w:r w:rsidRPr="006C09BD">
        <w:rPr>
          <w:rStyle w:val="NoneA"/>
          <w:rFonts w:cs="Arial"/>
          <w:lang w:val="en-GB"/>
        </w:rPr>
        <w:t>and entered directly into the secure OpenClinica Clinical Database Management System (CDMS)</w:t>
      </w:r>
      <w:r w:rsidR="00CF0CF4" w:rsidRPr="006C09BD">
        <w:rPr>
          <w:rStyle w:val="NoneA"/>
          <w:rFonts w:cs="Arial"/>
          <w:lang w:val="en-GB"/>
        </w:rPr>
        <w:t>.</w:t>
      </w:r>
      <w:r w:rsidR="006771F6" w:rsidRPr="006C09BD">
        <w:rPr>
          <w:rStyle w:val="NoneA"/>
          <w:rFonts w:cs="Arial"/>
          <w:lang w:val="en-GB"/>
        </w:rPr>
        <w:t xml:space="preserve"> </w:t>
      </w:r>
      <w:r w:rsidRPr="006C09BD">
        <w:rPr>
          <w:rStyle w:val="NoneA"/>
          <w:rFonts w:cs="Arial"/>
          <w:lang w:val="en-GB"/>
        </w:rPr>
        <w:t xml:space="preserve">The individual participant data will be identified by a study participant number only. </w:t>
      </w:r>
    </w:p>
    <w:p w14:paraId="551C4C90" w14:textId="391159D9" w:rsidR="002201AB" w:rsidRPr="006C09BD" w:rsidRDefault="002201AB">
      <w:pPr>
        <w:pStyle w:val="BodyA"/>
        <w:widowControl w:val="0"/>
        <w:spacing w:line="360" w:lineRule="auto"/>
        <w:rPr>
          <w:rStyle w:val="NoneA"/>
          <w:rFonts w:cs="Arial"/>
          <w:lang w:val="en-GB"/>
        </w:rPr>
      </w:pPr>
    </w:p>
    <w:p w14:paraId="69B0A07D" w14:textId="2DC5BCF3" w:rsidR="002201AB" w:rsidRPr="006C09BD" w:rsidRDefault="000A1B89">
      <w:pPr>
        <w:pStyle w:val="BodyA"/>
        <w:widowControl w:val="0"/>
        <w:spacing w:line="360" w:lineRule="auto"/>
        <w:rPr>
          <w:rStyle w:val="NoneA"/>
          <w:rFonts w:cs="Arial"/>
          <w:lang w:val="en-GB"/>
        </w:rPr>
      </w:pPr>
      <w:r w:rsidRPr="006C09BD">
        <w:rPr>
          <w:rFonts w:cs="Arial"/>
          <w:lang w:val="en-GB"/>
        </w:rPr>
        <w:t xml:space="preserve">Necrotising enterocolitis, intestinal perforation </w:t>
      </w:r>
      <w:r w:rsidR="006771F6" w:rsidRPr="006C09BD">
        <w:rPr>
          <w:rFonts w:cs="Arial"/>
          <w:lang w:val="en-GB"/>
        </w:rPr>
        <w:t>and neonatal infection</w:t>
      </w:r>
      <w:r w:rsidR="006771F6" w:rsidRPr="006C09BD">
        <w:rPr>
          <w:rStyle w:val="NoneA"/>
          <w:rFonts w:cs="Arial"/>
          <w:lang w:val="en-GB"/>
        </w:rPr>
        <w:t xml:space="preserve"> </w:t>
      </w:r>
      <w:r w:rsidR="002201AB" w:rsidRPr="006C09BD">
        <w:rPr>
          <w:rStyle w:val="NoneA"/>
          <w:rFonts w:cs="Arial"/>
          <w:lang w:val="en-GB"/>
        </w:rPr>
        <w:t xml:space="preserve">will also be assessed by a </w:t>
      </w:r>
      <w:r w:rsidR="00DB0211" w:rsidRPr="006C09BD">
        <w:rPr>
          <w:rStyle w:val="NoneA"/>
          <w:rFonts w:cs="Arial"/>
          <w:lang w:val="en-GB"/>
        </w:rPr>
        <w:t>BERC.</w:t>
      </w:r>
      <w:r w:rsidR="006771F6" w:rsidRPr="006C09BD">
        <w:rPr>
          <w:rStyle w:val="NoneA"/>
          <w:rFonts w:cs="Arial"/>
          <w:lang w:val="en-GB"/>
        </w:rPr>
        <w:t xml:space="preserve"> </w:t>
      </w:r>
      <w:r w:rsidR="006771F6" w:rsidRPr="006C09BD">
        <w:rPr>
          <w:rFonts w:cs="Arial"/>
          <w:lang w:val="en-GB"/>
        </w:rPr>
        <w:t xml:space="preserve">BERC reviewers will be medical professionals who are expert in the conditions for which endpoint data is being collected for analysis. See additional file </w:t>
      </w:r>
      <w:r w:rsidR="008B36EC" w:rsidRPr="006C09BD">
        <w:rPr>
          <w:rFonts w:cs="Arial"/>
          <w:lang w:val="en-GB"/>
        </w:rPr>
        <w:t>4</w:t>
      </w:r>
      <w:r w:rsidR="006771F6" w:rsidRPr="006C09BD">
        <w:rPr>
          <w:rFonts w:cs="Arial"/>
          <w:lang w:val="en-GB"/>
        </w:rPr>
        <w:t xml:space="preserve"> for more details on the BERC review charter.</w:t>
      </w:r>
    </w:p>
    <w:p w14:paraId="1E20AC00" w14:textId="77777777" w:rsidR="00984C6C" w:rsidRPr="006C09BD" w:rsidRDefault="00551CF0" w:rsidP="00984C6C">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Plans to</w:t>
      </w:r>
      <w:r w:rsidR="00984C6C" w:rsidRPr="006C09BD">
        <w:rPr>
          <w:rStyle w:val="None"/>
          <w:rFonts w:cs="Arial"/>
          <w:b/>
          <w:bCs/>
          <w:sz w:val="24"/>
          <w:szCs w:val="24"/>
          <w:lang w:val="en-GB"/>
        </w:rPr>
        <w:t xml:space="preserve"> </w:t>
      </w:r>
      <w:r w:rsidRPr="006C09BD">
        <w:rPr>
          <w:rStyle w:val="None"/>
          <w:rFonts w:cs="Arial"/>
          <w:b/>
          <w:bCs/>
          <w:sz w:val="24"/>
          <w:szCs w:val="24"/>
          <w:lang w:val="en-GB"/>
        </w:rPr>
        <w:t>promote participant retention and complete follow-up {</w:t>
      </w:r>
      <w:r w:rsidR="003079CF" w:rsidRPr="006C09BD">
        <w:rPr>
          <w:rStyle w:val="None"/>
          <w:rFonts w:cs="Arial"/>
          <w:b/>
          <w:bCs/>
          <w:sz w:val="24"/>
          <w:szCs w:val="24"/>
          <w:lang w:val="en-GB"/>
        </w:rPr>
        <w:t>25</w:t>
      </w:r>
      <w:r w:rsidRPr="006C09BD">
        <w:rPr>
          <w:rStyle w:val="None"/>
          <w:rFonts w:cs="Arial"/>
          <w:b/>
          <w:bCs/>
          <w:sz w:val="24"/>
          <w:szCs w:val="24"/>
          <w:lang w:val="en-GB"/>
        </w:rPr>
        <w:t>b}</w:t>
      </w:r>
    </w:p>
    <w:p w14:paraId="7BC031CC" w14:textId="3CD04CD7" w:rsidR="00E94BF7" w:rsidRPr="006C09BD" w:rsidRDefault="00E94BF7" w:rsidP="00984C6C">
      <w:pPr>
        <w:pStyle w:val="BodyA"/>
        <w:widowControl w:val="0"/>
        <w:spacing w:before="120" w:line="360" w:lineRule="auto"/>
        <w:rPr>
          <w:rStyle w:val="NoneA"/>
          <w:rFonts w:cs="Arial"/>
          <w:lang w:val="en-GB"/>
        </w:rPr>
      </w:pPr>
      <w:r w:rsidRPr="006C09BD">
        <w:rPr>
          <w:rStyle w:val="NoneA"/>
          <w:rFonts w:cs="Arial"/>
          <w:lang w:val="en-GB"/>
        </w:rPr>
        <w:t xml:space="preserve">The </w:t>
      </w:r>
      <w:r w:rsidR="007168FC" w:rsidRPr="006C09BD">
        <w:rPr>
          <w:rStyle w:val="NoneA"/>
          <w:rFonts w:cs="Arial"/>
          <w:lang w:val="en-GB"/>
        </w:rPr>
        <w:t>Project Management Group (PMG)</w:t>
      </w:r>
      <w:r w:rsidRPr="006C09BD">
        <w:rPr>
          <w:rStyle w:val="NoneA"/>
          <w:rFonts w:cs="Arial"/>
          <w:lang w:val="en-GB"/>
        </w:rPr>
        <w:t xml:space="preserve"> will</w:t>
      </w:r>
      <w:r w:rsidR="00DD3706" w:rsidRPr="006C09BD">
        <w:rPr>
          <w:rStyle w:val="NoneA"/>
          <w:rFonts w:cs="Arial"/>
          <w:lang w:val="en-GB"/>
        </w:rPr>
        <w:t xml:space="preserve"> remotely monitor completeness of study documentation and</w:t>
      </w:r>
      <w:r w:rsidRPr="006C09BD">
        <w:rPr>
          <w:rStyle w:val="NoneA"/>
          <w:rFonts w:cs="Arial"/>
          <w:lang w:val="en-GB"/>
        </w:rPr>
        <w:t xml:space="preserve"> maintain regular contact with all sites to ensure accuracy and completeness of all study documentation during the </w:t>
      </w:r>
      <w:r w:rsidR="002A35BF" w:rsidRPr="006C09BD">
        <w:rPr>
          <w:rFonts w:cs="Arial"/>
          <w:lang w:val="en-GB"/>
        </w:rPr>
        <w:t>infants</w:t>
      </w:r>
      <w:r w:rsidRPr="006C09BD">
        <w:rPr>
          <w:rStyle w:val="NoneA"/>
          <w:rFonts w:cs="Arial"/>
          <w:lang w:val="en-GB"/>
        </w:rPr>
        <w:t xml:space="preserve">’ participation in the study. For </w:t>
      </w:r>
      <w:r w:rsidR="002A35BF" w:rsidRPr="006C09BD">
        <w:rPr>
          <w:rFonts w:cs="Arial"/>
          <w:lang w:val="en-GB"/>
        </w:rPr>
        <w:t>infants</w:t>
      </w:r>
      <w:r w:rsidRPr="006C09BD">
        <w:rPr>
          <w:rStyle w:val="NoneA"/>
          <w:rFonts w:cs="Arial"/>
          <w:lang w:val="en-GB"/>
        </w:rPr>
        <w:t xml:space="preserve"> who discontinue participation or where there is a deviation from protocol after the point of randomisation, sites will be asked to record</w:t>
      </w:r>
      <w:r w:rsidR="006703FF" w:rsidRPr="006C09BD">
        <w:rPr>
          <w:rStyle w:val="NoneA"/>
          <w:rFonts w:cs="Arial"/>
          <w:lang w:val="en-GB"/>
        </w:rPr>
        <w:t xml:space="preserve"> the</w:t>
      </w:r>
      <w:r w:rsidRPr="006C09BD">
        <w:rPr>
          <w:rStyle w:val="NoneA"/>
          <w:rFonts w:cs="Arial"/>
          <w:lang w:val="en-GB"/>
        </w:rPr>
        <w:t xml:space="preserve"> reasons for this and to continue data collection, </w:t>
      </w:r>
      <w:r w:rsidR="006703FF" w:rsidRPr="006C09BD">
        <w:rPr>
          <w:rStyle w:val="NoneA"/>
          <w:rFonts w:cs="Arial"/>
          <w:lang w:val="en-GB"/>
        </w:rPr>
        <w:t xml:space="preserve">where possible, </w:t>
      </w:r>
      <w:r w:rsidR="006F1672" w:rsidRPr="006C09BD">
        <w:rPr>
          <w:rStyle w:val="NoneA"/>
          <w:rFonts w:cs="Arial"/>
          <w:lang w:val="en-GB"/>
        </w:rPr>
        <w:t xml:space="preserve">so they can be included in the </w:t>
      </w:r>
      <w:r w:rsidRPr="006C09BD">
        <w:rPr>
          <w:rStyle w:val="NoneA"/>
          <w:rFonts w:cs="Arial"/>
          <w:lang w:val="en-GB"/>
        </w:rPr>
        <w:t>analysis of outcomes</w:t>
      </w:r>
      <w:r w:rsidR="006F1672" w:rsidRPr="006C09BD">
        <w:rPr>
          <w:rStyle w:val="NoneA"/>
          <w:rFonts w:cs="Arial"/>
          <w:lang w:val="en-GB"/>
        </w:rPr>
        <w:t xml:space="preserve">, according to the </w:t>
      </w:r>
      <w:r w:rsidRPr="006C09BD">
        <w:rPr>
          <w:rStyle w:val="NoneA"/>
          <w:rFonts w:cs="Arial"/>
          <w:lang w:val="en-GB"/>
        </w:rPr>
        <w:t>intention to treat</w:t>
      </w:r>
      <w:r w:rsidR="008D02AA" w:rsidRPr="006C09BD">
        <w:rPr>
          <w:rStyle w:val="NoneA"/>
          <w:rFonts w:cs="Arial"/>
          <w:lang w:val="en-GB"/>
        </w:rPr>
        <w:t xml:space="preserve"> analysis </w:t>
      </w:r>
      <w:r w:rsidR="006F1672" w:rsidRPr="006C09BD">
        <w:rPr>
          <w:rStyle w:val="NoneA"/>
          <w:rFonts w:cs="Arial"/>
          <w:lang w:val="en-GB"/>
        </w:rPr>
        <w:t>principle.</w:t>
      </w:r>
    </w:p>
    <w:p w14:paraId="0B2E39F8" w14:textId="77777777" w:rsidR="008D02AA" w:rsidRPr="006C09BD" w:rsidRDefault="008D02AA" w:rsidP="007679CE">
      <w:pPr>
        <w:pStyle w:val="BodyA"/>
        <w:widowControl w:val="0"/>
        <w:spacing w:line="360" w:lineRule="auto"/>
        <w:rPr>
          <w:rStyle w:val="NoneA"/>
          <w:rFonts w:cs="Arial"/>
          <w:lang w:val="en-GB"/>
        </w:rPr>
      </w:pPr>
    </w:p>
    <w:p w14:paraId="2178B30B" w14:textId="33684BC4" w:rsidR="0050292B" w:rsidRPr="006C09BD" w:rsidRDefault="005D417A">
      <w:pPr>
        <w:pStyle w:val="BodyA"/>
        <w:widowControl w:val="0"/>
        <w:spacing w:line="360" w:lineRule="auto"/>
        <w:rPr>
          <w:rStyle w:val="NoneA"/>
          <w:rFonts w:cs="Arial"/>
          <w:lang w:val="en-GB"/>
        </w:rPr>
      </w:pPr>
      <w:r w:rsidRPr="006C09BD">
        <w:rPr>
          <w:rStyle w:val="NoneA"/>
          <w:rFonts w:cs="Arial"/>
          <w:lang w:val="en-GB"/>
        </w:rPr>
        <w:t>To support participant retention, several strategies will be implemented throughout the trial. All recruiting sites will receive training at setup, with ongoing support provided via the study website and through direct contact with the trial coordinating team as need</w:t>
      </w:r>
      <w:r w:rsidR="00EA45FA" w:rsidRPr="006C09BD">
        <w:rPr>
          <w:rStyle w:val="NoneA"/>
          <w:rFonts w:cs="Arial"/>
          <w:lang w:val="en-GB"/>
        </w:rPr>
        <w:t>ed</w:t>
      </w:r>
      <w:r w:rsidRPr="006C09BD">
        <w:rPr>
          <w:rStyle w:val="NoneA"/>
          <w:rFonts w:cs="Arial"/>
          <w:lang w:val="en-GB"/>
        </w:rPr>
        <w:t>. The Par</w:t>
      </w:r>
      <w:r w:rsidR="00EA45FA" w:rsidRPr="006C09BD">
        <w:rPr>
          <w:rStyle w:val="NoneA"/>
          <w:rFonts w:cs="Arial"/>
          <w:lang w:val="en-GB"/>
        </w:rPr>
        <w:t>en</w:t>
      </w:r>
      <w:r w:rsidRPr="006C09BD">
        <w:rPr>
          <w:rStyle w:val="NoneA"/>
          <w:rFonts w:cs="Arial"/>
          <w:lang w:val="en-GB"/>
        </w:rPr>
        <w:t xml:space="preserve">t Information Sheet (PIS) will be translated into </w:t>
      </w:r>
      <w:r w:rsidR="00C7044F" w:rsidRPr="006C09BD">
        <w:rPr>
          <w:rStyle w:val="NoneA"/>
          <w:rFonts w:cs="Arial"/>
          <w:lang w:val="en-GB"/>
        </w:rPr>
        <w:t>seventeen</w:t>
      </w:r>
      <w:r w:rsidRPr="006C09BD">
        <w:rPr>
          <w:rStyle w:val="NoneA"/>
          <w:rFonts w:cs="Arial"/>
          <w:lang w:val="en-GB"/>
        </w:rPr>
        <w:t xml:space="preserve"> languages other than English, to help make the trial information accessible to families from diverse backgrounds. If </w:t>
      </w:r>
      <w:r w:rsidR="000D6384" w:rsidRPr="006C09BD">
        <w:rPr>
          <w:rStyle w:val="NoneA"/>
          <w:rFonts w:cs="Arial"/>
          <w:lang w:val="en-GB"/>
        </w:rPr>
        <w:t>a</w:t>
      </w:r>
      <w:r w:rsidR="005B53A5" w:rsidRPr="006C09BD">
        <w:rPr>
          <w:rStyle w:val="NoneA"/>
          <w:rFonts w:cs="Arial"/>
          <w:lang w:val="en-GB"/>
        </w:rPr>
        <w:t>n</w:t>
      </w:r>
      <w:r w:rsidR="007A07AB" w:rsidRPr="006C09BD">
        <w:rPr>
          <w:rStyle w:val="NoneA"/>
          <w:rFonts w:cs="Arial"/>
          <w:lang w:val="en-GB"/>
        </w:rPr>
        <w:t xml:space="preserve"> </w:t>
      </w:r>
      <w:r w:rsidR="000A2F7A" w:rsidRPr="006C09BD">
        <w:rPr>
          <w:rFonts w:cs="Arial"/>
          <w:color w:val="auto"/>
          <w:u w:color="004C7F"/>
          <w:lang w:val="en-GB"/>
        </w:rPr>
        <w:t>infant</w:t>
      </w:r>
      <w:r w:rsidRPr="006C09BD">
        <w:rPr>
          <w:rStyle w:val="NoneA"/>
          <w:rFonts w:cs="Arial"/>
          <w:lang w:val="en-GB"/>
        </w:rPr>
        <w:t xml:space="preserve"> is discontinued from the allocated trial pathway but remain</w:t>
      </w:r>
      <w:r w:rsidR="00EA45FA" w:rsidRPr="006C09BD">
        <w:rPr>
          <w:rStyle w:val="NoneA"/>
          <w:rFonts w:cs="Arial"/>
          <w:lang w:val="en-GB"/>
        </w:rPr>
        <w:t>s</w:t>
      </w:r>
      <w:r w:rsidRPr="006C09BD">
        <w:rPr>
          <w:rStyle w:val="NoneA"/>
          <w:rFonts w:cs="Arial"/>
          <w:lang w:val="en-GB"/>
        </w:rPr>
        <w:t xml:space="preserve"> in the trial, data collection will continue. If </w:t>
      </w:r>
      <w:r w:rsidR="000D6384" w:rsidRPr="006C09BD">
        <w:rPr>
          <w:rStyle w:val="NoneA"/>
          <w:rFonts w:cs="Arial"/>
          <w:lang w:val="en-GB"/>
        </w:rPr>
        <w:t>a</w:t>
      </w:r>
      <w:r w:rsidR="00FE3D44" w:rsidRPr="006C09BD">
        <w:rPr>
          <w:rStyle w:val="NoneA"/>
          <w:rFonts w:cs="Arial"/>
          <w:lang w:val="en-GB"/>
        </w:rPr>
        <w:t>n</w:t>
      </w:r>
      <w:r w:rsidRPr="006C09BD">
        <w:rPr>
          <w:rStyle w:val="NoneA"/>
          <w:rFonts w:cs="Arial"/>
          <w:lang w:val="en-GB"/>
        </w:rPr>
        <w:t xml:space="preserve"> </w:t>
      </w:r>
      <w:r w:rsidR="000A2F7A" w:rsidRPr="006C09BD">
        <w:rPr>
          <w:rFonts w:cs="Arial"/>
          <w:color w:val="auto"/>
          <w:u w:color="004C7F"/>
          <w:lang w:val="en-GB"/>
        </w:rPr>
        <w:t>infant</w:t>
      </w:r>
      <w:r w:rsidRPr="006C09BD">
        <w:rPr>
          <w:rStyle w:val="NoneA"/>
          <w:rFonts w:cs="Arial"/>
          <w:lang w:val="en-GB"/>
        </w:rPr>
        <w:t xml:space="preserve"> </w:t>
      </w:r>
      <w:r w:rsidR="0090616A" w:rsidRPr="006C09BD">
        <w:rPr>
          <w:rStyle w:val="NoneA"/>
          <w:rFonts w:cs="Arial"/>
          <w:lang w:val="en-GB"/>
        </w:rPr>
        <w:t>withdraws from the trial completely</w:t>
      </w:r>
      <w:r w:rsidRPr="006C09BD">
        <w:rPr>
          <w:rStyle w:val="NoneA"/>
          <w:rFonts w:cs="Arial"/>
          <w:lang w:val="en-GB"/>
        </w:rPr>
        <w:t xml:space="preserve">, data collected up to the point of withdrawal will be used </w:t>
      </w:r>
      <w:r w:rsidR="00BC597A" w:rsidRPr="006C09BD">
        <w:rPr>
          <w:rStyle w:val="NoneA"/>
          <w:rFonts w:cs="Arial"/>
          <w:lang w:val="en-GB"/>
        </w:rPr>
        <w:t>for analysis</w:t>
      </w:r>
      <w:r w:rsidRPr="006C09BD">
        <w:rPr>
          <w:rStyle w:val="NoneA"/>
          <w:rFonts w:cs="Arial"/>
          <w:lang w:val="en-GB"/>
        </w:rPr>
        <w:t xml:space="preserve">. </w:t>
      </w:r>
      <w:r w:rsidR="00B53D37" w:rsidRPr="006C09BD">
        <w:rPr>
          <w:rStyle w:val="NoneA"/>
          <w:rFonts w:cs="Arial"/>
          <w:lang w:val="en-GB"/>
        </w:rPr>
        <w:t xml:space="preserve">Monthly reports on missing data and outstanding CRFs will be shared with sites. </w:t>
      </w:r>
    </w:p>
    <w:p w14:paraId="40227617" w14:textId="77777777" w:rsidR="00DB0211" w:rsidRPr="006C09BD" w:rsidRDefault="00DB0211">
      <w:pPr>
        <w:pStyle w:val="BodyA"/>
        <w:widowControl w:val="0"/>
        <w:spacing w:line="360" w:lineRule="auto"/>
        <w:rPr>
          <w:rStyle w:val="NoneA"/>
          <w:rFonts w:cs="Arial"/>
          <w:lang w:val="en-GB"/>
        </w:rPr>
      </w:pPr>
    </w:p>
    <w:p w14:paraId="6411002D" w14:textId="6F1FAF69" w:rsidR="003146B8" w:rsidRPr="006C09BD" w:rsidRDefault="005D417A">
      <w:pPr>
        <w:pStyle w:val="BodyA"/>
        <w:widowControl w:val="0"/>
        <w:spacing w:line="360" w:lineRule="auto"/>
        <w:rPr>
          <w:rStyle w:val="NoneA"/>
          <w:rFonts w:cs="Arial"/>
          <w:lang w:val="en-GB"/>
        </w:rPr>
      </w:pPr>
      <w:r w:rsidRPr="006C09BD">
        <w:rPr>
          <w:rStyle w:val="NoneA"/>
          <w:rFonts w:cs="Arial"/>
          <w:lang w:val="en-GB"/>
        </w:rPr>
        <w:t xml:space="preserve">Communication between recruiting sites and </w:t>
      </w:r>
      <w:r w:rsidR="00856DBA" w:rsidRPr="006C09BD">
        <w:rPr>
          <w:rStyle w:val="NoneA"/>
          <w:rFonts w:cs="Arial"/>
          <w:lang w:val="en-GB"/>
        </w:rPr>
        <w:t>Continuing Care Sites</w:t>
      </w:r>
      <w:r w:rsidR="002638C6" w:rsidRPr="006C09BD">
        <w:rPr>
          <w:rStyle w:val="NoneA"/>
          <w:rFonts w:cs="Arial"/>
          <w:lang w:val="en-GB"/>
        </w:rPr>
        <w:t xml:space="preserve"> (CCS</w:t>
      </w:r>
      <w:r w:rsidR="00502A31" w:rsidRPr="006C09BD">
        <w:rPr>
          <w:rStyle w:val="NoneA"/>
          <w:rFonts w:cs="Arial"/>
          <w:lang w:val="en-GB"/>
        </w:rPr>
        <w:t>s</w:t>
      </w:r>
      <w:r w:rsidR="002638C6" w:rsidRPr="006C09BD">
        <w:rPr>
          <w:rStyle w:val="NoneA"/>
          <w:rFonts w:cs="Arial"/>
          <w:lang w:val="en-GB"/>
        </w:rPr>
        <w:t>)</w:t>
      </w:r>
      <w:r w:rsidRPr="006C09BD">
        <w:rPr>
          <w:rStyle w:val="NoneA"/>
          <w:rFonts w:cs="Arial"/>
          <w:lang w:val="en-GB"/>
        </w:rPr>
        <w:t xml:space="preserve"> will be actively facilitated by the trial coordinating team at the </w:t>
      </w:r>
      <w:r w:rsidR="00DB0211" w:rsidRPr="006C09BD">
        <w:rPr>
          <w:rStyle w:val="NoneA"/>
          <w:rFonts w:cs="Arial"/>
          <w:lang w:val="en-GB"/>
        </w:rPr>
        <w:t>National Perinatal Epidemiology Unit (</w:t>
      </w:r>
      <w:r w:rsidRPr="006C09BD">
        <w:rPr>
          <w:rStyle w:val="NoneA"/>
          <w:rFonts w:cs="Arial"/>
          <w:lang w:val="en-GB"/>
        </w:rPr>
        <w:t>NPEU</w:t>
      </w:r>
      <w:r w:rsidR="00DB0211" w:rsidRPr="006C09BD">
        <w:rPr>
          <w:rStyle w:val="NoneA"/>
          <w:rFonts w:cs="Arial"/>
          <w:lang w:val="en-GB"/>
        </w:rPr>
        <w:t>)</w:t>
      </w:r>
      <w:r w:rsidRPr="006C09BD">
        <w:rPr>
          <w:rStyle w:val="NoneA"/>
          <w:rFonts w:cs="Arial"/>
          <w:lang w:val="en-GB"/>
        </w:rPr>
        <w:t xml:space="preserve"> CTU</w:t>
      </w:r>
      <w:r w:rsidR="00B53D37" w:rsidRPr="006C09BD">
        <w:rPr>
          <w:rStyle w:val="CommentReference"/>
          <w:rFonts w:cs="Arial"/>
          <w:color w:val="auto"/>
          <w:sz w:val="20"/>
          <w:lang w:val="en-GB" w:eastAsia="en-US"/>
        </w:rPr>
        <w:t xml:space="preserve">, to support continued data collection following </w:t>
      </w:r>
      <w:r w:rsidR="007E7303" w:rsidRPr="006C09BD">
        <w:rPr>
          <w:rStyle w:val="CommentReference"/>
          <w:rFonts w:cs="Arial"/>
          <w:color w:val="auto"/>
          <w:sz w:val="20"/>
          <w:lang w:val="en-GB" w:eastAsia="en-US"/>
        </w:rPr>
        <w:t xml:space="preserve">any </w:t>
      </w:r>
      <w:r w:rsidR="000A2F7A" w:rsidRPr="006C09BD">
        <w:rPr>
          <w:rFonts w:cs="Arial"/>
          <w:color w:val="auto"/>
          <w:u w:color="004C7F"/>
          <w:lang w:val="en-GB"/>
        </w:rPr>
        <w:t>infant</w:t>
      </w:r>
      <w:r w:rsidR="007E7303" w:rsidRPr="006C09BD">
        <w:rPr>
          <w:rStyle w:val="CommentReference"/>
          <w:rFonts w:cs="Arial"/>
          <w:color w:val="auto"/>
          <w:sz w:val="20"/>
          <w:lang w:val="en-GB" w:eastAsia="en-US"/>
        </w:rPr>
        <w:t xml:space="preserve"> </w:t>
      </w:r>
      <w:r w:rsidR="00B53D37" w:rsidRPr="006C09BD">
        <w:rPr>
          <w:rStyle w:val="CommentReference"/>
          <w:rFonts w:cs="Arial"/>
          <w:color w:val="auto"/>
          <w:sz w:val="20"/>
          <w:lang w:val="en-GB" w:eastAsia="en-US"/>
        </w:rPr>
        <w:t>transfers, including to non-CCS</w:t>
      </w:r>
      <w:r w:rsidR="008D02AA" w:rsidRPr="006C09BD">
        <w:rPr>
          <w:rStyle w:val="CommentReference"/>
          <w:rFonts w:cs="Arial"/>
          <w:color w:val="auto"/>
          <w:sz w:val="20"/>
          <w:lang w:val="en-GB" w:eastAsia="en-US"/>
        </w:rPr>
        <w:t>s.</w:t>
      </w:r>
      <w:r w:rsidR="00B53D37" w:rsidRPr="006C09BD">
        <w:rPr>
          <w:rStyle w:val="CommentReference"/>
          <w:rFonts w:cs="Arial"/>
          <w:color w:val="auto"/>
          <w:sz w:val="20"/>
          <w:lang w:val="en-GB" w:eastAsia="en-US"/>
        </w:rPr>
        <w:t xml:space="preserve"> To maintain engagement, the trial will include structured retention and communication strategies, including staff recognition and family-facing materials.</w:t>
      </w:r>
      <w:r w:rsidR="00B53D37" w:rsidRPr="006C09BD">
        <w:rPr>
          <w:rFonts w:cs="Arial"/>
          <w:lang w:val="en-GB"/>
        </w:rPr>
        <w:t xml:space="preserve"> Monthly informal meeting</w:t>
      </w:r>
      <w:r w:rsidR="00C064BD" w:rsidRPr="006C09BD">
        <w:rPr>
          <w:rFonts w:cs="Arial"/>
          <w:lang w:val="en-GB"/>
        </w:rPr>
        <w:t>s</w:t>
      </w:r>
      <w:r w:rsidR="00B53D37" w:rsidRPr="006C09BD">
        <w:rPr>
          <w:rFonts w:cs="Arial"/>
          <w:lang w:val="en-GB"/>
        </w:rPr>
        <w:t xml:space="preserve"> with the coordinating team will provide sites with an opportunity to ask questions, exchange ideas, </w:t>
      </w:r>
      <w:r w:rsidR="00C064BD" w:rsidRPr="006C09BD">
        <w:rPr>
          <w:rFonts w:cs="Arial"/>
          <w:lang w:val="en-GB"/>
        </w:rPr>
        <w:t xml:space="preserve">share key learnings </w:t>
      </w:r>
      <w:r w:rsidR="00B53D37" w:rsidRPr="006C09BD">
        <w:rPr>
          <w:rFonts w:cs="Arial"/>
          <w:lang w:val="en-GB"/>
        </w:rPr>
        <w:t>and troubleshoot issues collaboratively.</w:t>
      </w:r>
    </w:p>
    <w:p w14:paraId="2E798424" w14:textId="2AA52066"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Data management {</w:t>
      </w:r>
      <w:r w:rsidR="003079CF" w:rsidRPr="006C09BD">
        <w:rPr>
          <w:rStyle w:val="None"/>
          <w:rFonts w:cs="Arial"/>
          <w:b/>
          <w:bCs/>
          <w:sz w:val="24"/>
          <w:szCs w:val="24"/>
          <w:lang w:val="en-GB"/>
        </w:rPr>
        <w:t>26</w:t>
      </w:r>
      <w:r w:rsidRPr="006C09BD">
        <w:rPr>
          <w:rStyle w:val="None"/>
          <w:rFonts w:cs="Arial"/>
          <w:b/>
          <w:bCs/>
          <w:sz w:val="24"/>
          <w:szCs w:val="24"/>
          <w:lang w:val="en-GB"/>
        </w:rPr>
        <w:t>}</w:t>
      </w:r>
    </w:p>
    <w:p w14:paraId="730C0739" w14:textId="64CB2A56" w:rsidR="007168FC" w:rsidRPr="006C09BD" w:rsidRDefault="00FA6B8D" w:rsidP="00DA2762">
      <w:pPr>
        <w:pStyle w:val="BodyA"/>
        <w:widowControl w:val="0"/>
        <w:spacing w:line="360" w:lineRule="auto"/>
        <w:rPr>
          <w:rFonts w:cs="Arial"/>
          <w:lang w:val="en-GB"/>
        </w:rPr>
      </w:pPr>
      <w:r w:rsidRPr="006C09BD">
        <w:rPr>
          <w:rFonts w:cs="Arial"/>
          <w:lang w:val="en-GB"/>
        </w:rPr>
        <w:t>Trial data will be recorded primar</w:t>
      </w:r>
      <w:r w:rsidR="004744F8" w:rsidRPr="006C09BD">
        <w:rPr>
          <w:rFonts w:cs="Arial"/>
          <w:lang w:val="en-GB"/>
        </w:rPr>
        <w:t>il</w:t>
      </w:r>
      <w:r w:rsidRPr="006C09BD">
        <w:rPr>
          <w:rFonts w:cs="Arial"/>
          <w:lang w:val="en-GB"/>
        </w:rPr>
        <w:t xml:space="preserve">y through </w:t>
      </w:r>
      <w:r w:rsidR="004744F8" w:rsidRPr="006C09BD">
        <w:rPr>
          <w:rFonts w:cs="Arial"/>
          <w:lang w:val="en-GB"/>
        </w:rPr>
        <w:t>CRFs</w:t>
      </w:r>
      <w:r w:rsidRPr="006C09BD">
        <w:rPr>
          <w:rFonts w:cs="Arial"/>
          <w:lang w:val="en-GB"/>
        </w:rPr>
        <w:t xml:space="preserve"> using the OpenClinica system</w:t>
      </w:r>
      <w:r w:rsidR="00B83ECB" w:rsidRPr="006C09BD">
        <w:rPr>
          <w:rFonts w:cs="Arial"/>
          <w:lang w:val="en-GB"/>
        </w:rPr>
        <w:t xml:space="preserve"> from source documents</w:t>
      </w:r>
      <w:r w:rsidRPr="006C09BD">
        <w:rPr>
          <w:rFonts w:cs="Arial"/>
          <w:lang w:val="en-GB"/>
        </w:rPr>
        <w:t xml:space="preserve">. </w:t>
      </w:r>
    </w:p>
    <w:p w14:paraId="015F0905" w14:textId="77777777" w:rsidR="00DB0211" w:rsidRPr="006C09BD" w:rsidRDefault="00DB0211" w:rsidP="007168FC">
      <w:pPr>
        <w:pStyle w:val="BodyA"/>
        <w:widowControl w:val="0"/>
        <w:spacing w:line="360" w:lineRule="auto"/>
        <w:rPr>
          <w:rFonts w:cs="Arial"/>
          <w:lang w:val="en-GB"/>
        </w:rPr>
      </w:pPr>
    </w:p>
    <w:p w14:paraId="4972FF46" w14:textId="40FE9320" w:rsidR="007168FC" w:rsidRPr="006C09BD" w:rsidRDefault="007168FC" w:rsidP="007168FC">
      <w:pPr>
        <w:pStyle w:val="BodyA"/>
        <w:widowControl w:val="0"/>
        <w:spacing w:line="360" w:lineRule="auto"/>
        <w:rPr>
          <w:rFonts w:cs="Arial"/>
          <w:lang w:val="en-GB"/>
        </w:rPr>
      </w:pPr>
      <w:r w:rsidRPr="006C09BD">
        <w:rPr>
          <w:rFonts w:cs="Arial"/>
          <w:lang w:val="en-GB"/>
        </w:rPr>
        <w:t>OpenClinica is a CDMS used by the NPEU CTU to undertake the management, storing and curation of</w:t>
      </w:r>
    </w:p>
    <w:p w14:paraId="5BB7F313" w14:textId="77777777" w:rsidR="007168FC" w:rsidRPr="006C09BD" w:rsidRDefault="007168FC" w:rsidP="007168FC">
      <w:pPr>
        <w:pStyle w:val="BodyA"/>
        <w:widowControl w:val="0"/>
        <w:spacing w:line="360" w:lineRule="auto"/>
        <w:rPr>
          <w:rFonts w:cs="Arial"/>
          <w:lang w:val="en-GB"/>
        </w:rPr>
      </w:pPr>
      <w:r w:rsidRPr="006C09BD">
        <w:rPr>
          <w:rFonts w:cs="Arial"/>
          <w:lang w:val="en-GB"/>
        </w:rPr>
        <w:t>clinical data. The application is hosted in the UK by an ISO 27001:2013 (Information Security) accredited</w:t>
      </w:r>
    </w:p>
    <w:p w14:paraId="10B9F8D0" w14:textId="76337A4E" w:rsidR="007168FC" w:rsidRPr="006C09BD" w:rsidRDefault="007168FC" w:rsidP="007168FC">
      <w:pPr>
        <w:pStyle w:val="BodyA"/>
        <w:widowControl w:val="0"/>
        <w:spacing w:line="360" w:lineRule="auto"/>
        <w:rPr>
          <w:rFonts w:cs="Arial"/>
          <w:lang w:val="en-GB"/>
        </w:rPr>
      </w:pPr>
      <w:r w:rsidRPr="006C09BD">
        <w:rPr>
          <w:rFonts w:cs="Arial"/>
          <w:lang w:val="en-GB"/>
        </w:rPr>
        <w:t>third party. Updates or new versions of the application are implemented by OpenClinica.</w:t>
      </w:r>
    </w:p>
    <w:p w14:paraId="228BF37C" w14:textId="77777777" w:rsidR="007168FC" w:rsidRPr="006C09BD" w:rsidRDefault="007168FC" w:rsidP="007168FC">
      <w:pPr>
        <w:pStyle w:val="BodyA"/>
        <w:widowControl w:val="0"/>
        <w:spacing w:line="360" w:lineRule="auto"/>
        <w:rPr>
          <w:rFonts w:cs="Arial"/>
          <w:lang w:val="en-GB"/>
        </w:rPr>
      </w:pPr>
    </w:p>
    <w:p w14:paraId="14D15AAA" w14:textId="2FE7E731" w:rsidR="00FA6B8D" w:rsidRPr="006C09BD" w:rsidRDefault="00FA6B8D" w:rsidP="00DA2762">
      <w:pPr>
        <w:pStyle w:val="BodyA"/>
        <w:widowControl w:val="0"/>
        <w:spacing w:line="360" w:lineRule="auto"/>
        <w:rPr>
          <w:rFonts w:cs="Arial"/>
          <w:lang w:val="en-GB"/>
        </w:rPr>
      </w:pPr>
      <w:r w:rsidRPr="006C09BD">
        <w:rPr>
          <w:rFonts w:cs="Arial"/>
          <w:lang w:val="en-GB"/>
        </w:rPr>
        <w:lastRenderedPageBreak/>
        <w:t>C</w:t>
      </w:r>
      <w:r w:rsidR="00502A31" w:rsidRPr="006C09BD">
        <w:rPr>
          <w:rFonts w:cs="Arial"/>
          <w:lang w:val="en-GB"/>
        </w:rPr>
        <w:t>RF</w:t>
      </w:r>
      <w:r w:rsidRPr="006C09BD">
        <w:rPr>
          <w:rFonts w:cs="Arial"/>
          <w:lang w:val="en-GB"/>
        </w:rPr>
        <w:t xml:space="preserve"> entries will be considered source data if the </w:t>
      </w:r>
      <w:r w:rsidR="00502A31" w:rsidRPr="006C09BD">
        <w:rPr>
          <w:rFonts w:cs="Arial"/>
          <w:lang w:val="en-GB"/>
        </w:rPr>
        <w:t>CRF</w:t>
      </w:r>
      <w:r w:rsidRPr="006C09BD">
        <w:rPr>
          <w:rFonts w:cs="Arial"/>
          <w:lang w:val="en-GB"/>
        </w:rPr>
        <w:t xml:space="preserve"> is the site of the original recording. Clinical data will be entered into a validated database, with validation checks for accuracy. Participant names and identifiable information will be stored in a separate administrative database. Electronic and paper records will be stored securely, with restricted access to authorised personnel. Electronic files will be stored on a secure server, with regular backups and restricted entry. Archiving will follow </w:t>
      </w:r>
      <w:r w:rsidR="006771F6" w:rsidRPr="006C09BD">
        <w:rPr>
          <w:rFonts w:cs="Arial"/>
          <w:lang w:val="en-GB"/>
        </w:rPr>
        <w:t>local guidelines</w:t>
      </w:r>
      <w:r w:rsidRPr="006C09BD">
        <w:rPr>
          <w:rFonts w:cs="Arial"/>
          <w:lang w:val="en-GB"/>
        </w:rPr>
        <w:t xml:space="preserve"> for at least 25 years</w:t>
      </w:r>
      <w:r w:rsidR="001919CC" w:rsidRPr="006C09BD">
        <w:rPr>
          <w:rFonts w:cs="Arial"/>
          <w:lang w:val="en-GB"/>
        </w:rPr>
        <w:t xml:space="preserve"> in the UK and in Australia until the youngest participant </w:t>
      </w:r>
      <w:r w:rsidR="00777E3A" w:rsidRPr="006C09BD">
        <w:rPr>
          <w:rFonts w:cs="Arial"/>
          <w:lang w:val="en-GB"/>
        </w:rPr>
        <w:t xml:space="preserve">reaches </w:t>
      </w:r>
      <w:r w:rsidR="001919CC" w:rsidRPr="006C09BD">
        <w:rPr>
          <w:rFonts w:cs="Arial"/>
          <w:lang w:val="en-GB"/>
        </w:rPr>
        <w:t>the age of 33</w:t>
      </w:r>
      <w:r w:rsidRPr="006C09BD">
        <w:rPr>
          <w:rFonts w:cs="Arial"/>
          <w:lang w:val="en-GB"/>
        </w:rPr>
        <w:t>, with a review of further archiving needs based on data protection laws.</w:t>
      </w:r>
    </w:p>
    <w:p w14:paraId="6E9D0928" w14:textId="77777777" w:rsidR="007168FC" w:rsidRPr="006C09BD" w:rsidRDefault="007168FC" w:rsidP="00DA2762">
      <w:pPr>
        <w:pStyle w:val="BodyA"/>
        <w:widowControl w:val="0"/>
        <w:spacing w:line="360" w:lineRule="auto"/>
        <w:rPr>
          <w:rFonts w:cs="Arial"/>
          <w:lang w:val="en-GB"/>
        </w:rPr>
      </w:pPr>
    </w:p>
    <w:p w14:paraId="474DCC61" w14:textId="6F0EBEB1" w:rsidR="00FA6B8D" w:rsidRPr="006C09BD" w:rsidRDefault="00FA6B8D" w:rsidP="00DA2762">
      <w:pPr>
        <w:pStyle w:val="BodyA"/>
        <w:widowControl w:val="0"/>
        <w:spacing w:line="360" w:lineRule="auto"/>
        <w:rPr>
          <w:rFonts w:cs="Arial"/>
          <w:lang w:val="en-GB"/>
        </w:rPr>
      </w:pPr>
      <w:r w:rsidRPr="006C09BD">
        <w:rPr>
          <w:rFonts w:cs="Arial"/>
          <w:lang w:val="en-GB"/>
        </w:rPr>
        <w:t xml:space="preserve">At the end of the trial, all participant data will be transferred to Imperial College </w:t>
      </w:r>
      <w:r w:rsidR="005B54C9" w:rsidRPr="006C09BD">
        <w:rPr>
          <w:rFonts w:cs="Arial"/>
          <w:lang w:val="en-GB"/>
        </w:rPr>
        <w:t xml:space="preserve">London </w:t>
      </w:r>
      <w:r w:rsidRPr="006C09BD">
        <w:rPr>
          <w:rFonts w:cs="Arial"/>
          <w:lang w:val="en-GB"/>
        </w:rPr>
        <w:t>for long-term follow-up, in compliance with data sharing agreements.</w:t>
      </w:r>
      <w:r w:rsidR="001919CC" w:rsidRPr="006C09BD">
        <w:rPr>
          <w:rFonts w:cs="Arial"/>
          <w:lang w:val="en-GB"/>
        </w:rPr>
        <w:t xml:space="preserve"> Trial data for Australian infants only will be transferred securely to Monash University in Australia. </w:t>
      </w:r>
    </w:p>
    <w:p w14:paraId="402D9238" w14:textId="77777777" w:rsidR="007168FC" w:rsidRPr="006C09BD" w:rsidRDefault="007168FC" w:rsidP="00DA2762">
      <w:pPr>
        <w:pStyle w:val="BodyA"/>
        <w:widowControl w:val="0"/>
        <w:spacing w:line="360" w:lineRule="auto"/>
        <w:rPr>
          <w:rFonts w:cs="Arial"/>
          <w:lang w:val="en-GB"/>
        </w:rPr>
      </w:pPr>
    </w:p>
    <w:p w14:paraId="1C4CC582" w14:textId="051867F2" w:rsidR="00E94BF7" w:rsidRPr="006C09BD" w:rsidRDefault="00E94BF7" w:rsidP="00DA2762">
      <w:pPr>
        <w:pStyle w:val="BodyA"/>
        <w:widowControl w:val="0"/>
        <w:spacing w:line="360" w:lineRule="auto"/>
        <w:rPr>
          <w:rFonts w:cs="Arial"/>
          <w:lang w:val="en-GB"/>
        </w:rPr>
      </w:pPr>
      <w:r w:rsidRPr="006C09BD">
        <w:rPr>
          <w:rFonts w:cs="Arial"/>
          <w:lang w:val="en-GB"/>
        </w:rPr>
        <w:t xml:space="preserve">The </w:t>
      </w:r>
      <w:r w:rsidR="00624AF8" w:rsidRPr="006C09BD">
        <w:rPr>
          <w:rFonts w:cs="Arial"/>
          <w:lang w:val="en-GB"/>
        </w:rPr>
        <w:t xml:space="preserve">detailed </w:t>
      </w:r>
      <w:r w:rsidRPr="006C09BD">
        <w:rPr>
          <w:rFonts w:cs="Arial"/>
          <w:lang w:val="en-GB"/>
        </w:rPr>
        <w:t xml:space="preserve">Data </w:t>
      </w:r>
      <w:r w:rsidR="006233A8" w:rsidRPr="006C09BD">
        <w:rPr>
          <w:rFonts w:cs="Arial"/>
          <w:lang w:val="en-GB"/>
        </w:rPr>
        <w:t>Flow</w:t>
      </w:r>
      <w:r w:rsidRPr="006C09BD">
        <w:rPr>
          <w:rFonts w:cs="Arial"/>
          <w:lang w:val="en-GB"/>
        </w:rPr>
        <w:t xml:space="preserve"> </w:t>
      </w:r>
      <w:r w:rsidR="00624AF8" w:rsidRPr="006C09BD">
        <w:rPr>
          <w:rFonts w:cs="Arial"/>
          <w:lang w:val="en-GB"/>
        </w:rPr>
        <w:t>is available in Additional file 3.</w:t>
      </w:r>
    </w:p>
    <w:p w14:paraId="6228390F" w14:textId="77777777" w:rsidR="00E94BF7" w:rsidRPr="006C09BD" w:rsidRDefault="00E94BF7" w:rsidP="00E94BF7">
      <w:pPr>
        <w:spacing w:line="276" w:lineRule="auto"/>
        <w:jc w:val="both"/>
        <w:rPr>
          <w:rFonts w:ascii="Arial" w:hAnsi="Arial" w:cs="Arial"/>
          <w:sz w:val="20"/>
          <w:szCs w:val="20"/>
        </w:rPr>
      </w:pPr>
    </w:p>
    <w:p w14:paraId="638AC67A" w14:textId="1BD8A05B"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Confidentiality {</w:t>
      </w:r>
      <w:r w:rsidR="003079CF" w:rsidRPr="006C09BD">
        <w:rPr>
          <w:rStyle w:val="None"/>
          <w:rFonts w:cs="Arial"/>
          <w:b/>
          <w:bCs/>
          <w:sz w:val="24"/>
          <w:szCs w:val="24"/>
          <w:lang w:val="en-GB"/>
        </w:rPr>
        <w:t>33</w:t>
      </w:r>
      <w:r w:rsidRPr="006C09BD">
        <w:rPr>
          <w:rStyle w:val="None"/>
          <w:rFonts w:cs="Arial"/>
          <w:b/>
          <w:bCs/>
          <w:sz w:val="24"/>
          <w:szCs w:val="24"/>
          <w:lang w:val="en-GB"/>
        </w:rPr>
        <w:t>}</w:t>
      </w:r>
    </w:p>
    <w:p w14:paraId="0F95B02A" w14:textId="5F2F82BC" w:rsidR="0050292B" w:rsidRPr="006C09BD" w:rsidRDefault="00E94BF7" w:rsidP="00CA6094">
      <w:pPr>
        <w:pStyle w:val="BodyA"/>
        <w:widowControl w:val="0"/>
        <w:spacing w:line="360" w:lineRule="auto"/>
        <w:rPr>
          <w:rFonts w:cs="Arial"/>
          <w:lang w:val="en-GB"/>
        </w:rPr>
      </w:pPr>
      <w:r w:rsidRPr="006C09BD">
        <w:rPr>
          <w:rFonts w:cs="Arial"/>
          <w:lang w:val="en-GB"/>
        </w:rPr>
        <w:t>The trial will adhere to strict data privacy regulations, including the</w:t>
      </w:r>
      <w:r w:rsidR="00DA2762" w:rsidRPr="006C09BD">
        <w:rPr>
          <w:rFonts w:cs="Arial"/>
          <w:lang w:val="en-GB"/>
        </w:rPr>
        <w:t xml:space="preserve"> General Data Protection Regulation</w:t>
      </w:r>
      <w:r w:rsidRPr="006C09BD">
        <w:rPr>
          <w:rFonts w:cs="Arial"/>
          <w:lang w:val="en-GB"/>
        </w:rPr>
        <w:t xml:space="preserve"> </w:t>
      </w:r>
      <w:r w:rsidR="00DA2762" w:rsidRPr="006C09BD">
        <w:rPr>
          <w:rFonts w:cs="Arial"/>
          <w:lang w:val="en-GB"/>
        </w:rPr>
        <w:t>(</w:t>
      </w:r>
      <w:r w:rsidRPr="006C09BD">
        <w:rPr>
          <w:rFonts w:cs="Arial"/>
          <w:lang w:val="en-GB"/>
        </w:rPr>
        <w:t>GDPR</w:t>
      </w:r>
      <w:r w:rsidR="00DA2762" w:rsidRPr="006C09BD">
        <w:rPr>
          <w:rFonts w:cs="Arial"/>
          <w:lang w:val="en-GB"/>
        </w:rPr>
        <w:t>)</w:t>
      </w:r>
      <w:r w:rsidRPr="006C09BD">
        <w:rPr>
          <w:rFonts w:cs="Arial"/>
          <w:lang w:val="en-GB"/>
        </w:rPr>
        <w:t xml:space="preserve"> and Data Protection Act 2018. All documents will be stored securely at the NPEU CTU and accessible only to authorised trial staff. Personal identifiers and trial data will be stored in </w:t>
      </w:r>
      <w:r w:rsidR="000F657C">
        <w:rPr>
          <w:rFonts w:cs="Arial"/>
          <w:lang w:val="en-GB"/>
        </w:rPr>
        <w:t xml:space="preserve">a </w:t>
      </w:r>
      <w:r w:rsidRPr="006C09BD">
        <w:rPr>
          <w:rFonts w:cs="Arial"/>
          <w:lang w:val="en-GB"/>
        </w:rPr>
        <w:t xml:space="preserve">separate database linked by the </w:t>
      </w:r>
      <w:r w:rsidR="00865C1B" w:rsidRPr="006C09BD">
        <w:rPr>
          <w:rFonts w:cs="Arial"/>
          <w:color w:val="auto"/>
          <w:u w:color="004C7F"/>
          <w:lang w:val="en-GB"/>
        </w:rPr>
        <w:t>infant</w:t>
      </w:r>
      <w:r w:rsidR="00502A31" w:rsidRPr="006C09BD">
        <w:rPr>
          <w:rFonts w:cs="Arial"/>
          <w:lang w:val="en-GB"/>
        </w:rPr>
        <w:t>’s</w:t>
      </w:r>
      <w:r w:rsidRPr="006C09BD">
        <w:rPr>
          <w:rFonts w:cs="Arial"/>
          <w:lang w:val="en-GB"/>
        </w:rPr>
        <w:t xml:space="preserve"> trial number. After the trial is completed and reports are published, data will be archived in a secure location with controlled access</w:t>
      </w:r>
    </w:p>
    <w:p w14:paraId="67B3E550" w14:textId="77777777" w:rsidR="00CA6094" w:rsidRPr="006C09BD" w:rsidRDefault="00CA6094" w:rsidP="00CA6094">
      <w:pPr>
        <w:pStyle w:val="BodyA"/>
        <w:widowControl w:val="0"/>
        <w:spacing w:line="360" w:lineRule="auto"/>
        <w:rPr>
          <w:rStyle w:val="None"/>
          <w:rFonts w:cs="Arial"/>
          <w:color w:val="004C7F"/>
          <w:sz w:val="24"/>
          <w:szCs w:val="24"/>
          <w:u w:color="004C7F"/>
          <w:lang w:val="en-GB"/>
        </w:rPr>
      </w:pPr>
    </w:p>
    <w:p w14:paraId="7458E9A3" w14:textId="1079899D" w:rsidR="00615749" w:rsidRPr="006C09BD" w:rsidRDefault="00615749">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t>Process evaluation</w:t>
      </w:r>
      <w:r w:rsidR="005254FD" w:rsidRPr="006C09BD">
        <w:rPr>
          <w:rStyle w:val="None"/>
          <w:rFonts w:cs="Arial"/>
          <w:b/>
          <w:bCs/>
          <w:sz w:val="28"/>
          <w:szCs w:val="28"/>
          <w:lang w:val="en-GB"/>
        </w:rPr>
        <w:t xml:space="preserve"> sub-study</w:t>
      </w:r>
      <w:r w:rsidR="000229E6" w:rsidRPr="006C09BD">
        <w:rPr>
          <w:rStyle w:val="None"/>
          <w:rFonts w:cs="Arial"/>
          <w:b/>
          <w:bCs/>
          <w:sz w:val="28"/>
          <w:szCs w:val="28"/>
          <w:lang w:val="en-GB"/>
        </w:rPr>
        <w:t xml:space="preserve"> </w:t>
      </w:r>
      <w:r w:rsidR="000229E6" w:rsidRPr="006C09BD">
        <w:rPr>
          <w:rStyle w:val="None"/>
          <w:rFonts w:cs="Arial"/>
          <w:b/>
          <w:bCs/>
          <w:sz w:val="24"/>
          <w:szCs w:val="24"/>
          <w:lang w:val="en-GB"/>
        </w:rPr>
        <w:t>{12, 20, 27d}</w:t>
      </w:r>
    </w:p>
    <w:p w14:paraId="1289FA46" w14:textId="16C60009" w:rsidR="00EB2681" w:rsidRPr="006C09BD" w:rsidRDefault="009D1E46" w:rsidP="007D5B2A">
      <w:pPr>
        <w:spacing w:line="360" w:lineRule="auto"/>
        <w:rPr>
          <w:rFonts w:ascii="Arial" w:hAnsi="Arial" w:cs="Arial"/>
          <w:sz w:val="20"/>
          <w:szCs w:val="20"/>
        </w:rPr>
      </w:pPr>
      <w:r w:rsidRPr="006C09BD">
        <w:rPr>
          <w:rFonts w:ascii="Arial" w:hAnsi="Arial" w:cs="Arial"/>
          <w:b/>
          <w:bCs/>
          <w:color w:val="000000"/>
          <w:lang w:eastAsia="en-GB"/>
        </w:rPr>
        <w:t>Design</w:t>
      </w:r>
      <w:r w:rsidRPr="006C09BD">
        <w:rPr>
          <w:rStyle w:val="None"/>
          <w:rFonts w:ascii="Arial" w:hAnsi="Arial" w:cs="Arial"/>
          <w:i/>
          <w:iCs/>
          <w:sz w:val="20"/>
          <w:szCs w:val="20"/>
          <w:u w:color="004C7F"/>
        </w:rPr>
        <w:t>:</w:t>
      </w:r>
      <w:r w:rsidRPr="006C09BD">
        <w:rPr>
          <w:rStyle w:val="None"/>
          <w:rFonts w:ascii="Arial" w:hAnsi="Arial" w:cs="Arial"/>
          <w:sz w:val="20"/>
          <w:szCs w:val="20"/>
          <w:u w:color="004C7F"/>
        </w:rPr>
        <w:t xml:space="preserve"> </w:t>
      </w:r>
      <w:r w:rsidR="00615749" w:rsidRPr="006C09BD">
        <w:rPr>
          <w:rStyle w:val="None"/>
          <w:rFonts w:ascii="Arial" w:hAnsi="Arial" w:cs="Arial"/>
          <w:sz w:val="20"/>
          <w:szCs w:val="20"/>
          <w:u w:color="004C7F"/>
        </w:rPr>
        <w:t xml:space="preserve">The trial includes a mixed methods process evaluation </w:t>
      </w:r>
      <w:r w:rsidR="00615749" w:rsidRPr="006C09BD">
        <w:rPr>
          <w:rFonts w:ascii="Arial" w:hAnsi="Arial" w:cs="Arial"/>
          <w:sz w:val="20"/>
          <w:szCs w:val="20"/>
        </w:rPr>
        <w:t>to evaluate UK pilot phase trial processes, to inform the successful conduct of the ongoing neoGASTRIC trial</w:t>
      </w:r>
      <w:r w:rsidR="00EB2681" w:rsidRPr="006C09BD">
        <w:rPr>
          <w:rFonts w:ascii="Arial" w:hAnsi="Arial" w:cs="Arial"/>
          <w:sz w:val="20"/>
          <w:szCs w:val="20"/>
        </w:rPr>
        <w:t xml:space="preserve">. Involving </w:t>
      </w:r>
      <w:r w:rsidR="00540821" w:rsidRPr="006C09BD">
        <w:rPr>
          <w:rFonts w:ascii="Arial" w:hAnsi="Arial" w:cs="Arial"/>
          <w:sz w:val="20"/>
          <w:szCs w:val="20"/>
        </w:rPr>
        <w:t>site observations</w:t>
      </w:r>
      <w:r w:rsidR="00C25F33" w:rsidRPr="006C09BD">
        <w:rPr>
          <w:rFonts w:ascii="Arial" w:hAnsi="Arial" w:cs="Arial"/>
          <w:sz w:val="20"/>
          <w:szCs w:val="20"/>
        </w:rPr>
        <w:t>,</w:t>
      </w:r>
      <w:r w:rsidR="00540821" w:rsidRPr="006C09BD">
        <w:rPr>
          <w:rFonts w:ascii="Arial" w:hAnsi="Arial" w:cs="Arial"/>
          <w:sz w:val="20"/>
          <w:szCs w:val="20"/>
        </w:rPr>
        <w:t xml:space="preserve"> </w:t>
      </w:r>
      <w:r w:rsidR="00EB2681" w:rsidRPr="006C09BD">
        <w:rPr>
          <w:rFonts w:ascii="Arial" w:hAnsi="Arial" w:cs="Arial"/>
          <w:sz w:val="20"/>
          <w:szCs w:val="20"/>
        </w:rPr>
        <w:t xml:space="preserve">surveys, interviews and focus groups with parents of eligible </w:t>
      </w:r>
      <w:r w:rsidR="002A35BF" w:rsidRPr="006C09BD">
        <w:rPr>
          <w:rFonts w:ascii="Arial" w:hAnsi="Arial" w:cs="Arial"/>
          <w:sz w:val="20"/>
          <w:szCs w:val="20"/>
        </w:rPr>
        <w:t>infants</w:t>
      </w:r>
      <w:r w:rsidR="00EB2681" w:rsidRPr="006C09BD">
        <w:rPr>
          <w:rFonts w:ascii="Arial" w:hAnsi="Arial" w:cs="Arial"/>
          <w:sz w:val="20"/>
          <w:szCs w:val="20"/>
        </w:rPr>
        <w:t xml:space="preserve"> and site staff, the objectives</w:t>
      </w:r>
      <w:r w:rsidR="00B941CF" w:rsidRPr="006C09BD">
        <w:rPr>
          <w:rFonts w:ascii="Arial" w:hAnsi="Arial" w:cs="Arial"/>
          <w:sz w:val="20"/>
          <w:szCs w:val="20"/>
        </w:rPr>
        <w:t xml:space="preserve"> are</w:t>
      </w:r>
      <w:r w:rsidR="00EB2681" w:rsidRPr="006C09BD">
        <w:rPr>
          <w:rFonts w:ascii="Arial" w:hAnsi="Arial" w:cs="Arial"/>
          <w:sz w:val="20"/>
          <w:szCs w:val="20"/>
        </w:rPr>
        <w:t xml:space="preserve"> to review</w:t>
      </w:r>
      <w:r w:rsidR="00C25F33" w:rsidRPr="006C09BD">
        <w:rPr>
          <w:rFonts w:ascii="Arial" w:hAnsi="Arial" w:cs="Arial"/>
          <w:sz w:val="20"/>
          <w:szCs w:val="20"/>
        </w:rPr>
        <w:t>:</w:t>
      </w:r>
      <w:r w:rsidR="00EB2681" w:rsidRPr="006C09BD">
        <w:rPr>
          <w:rFonts w:ascii="Arial" w:hAnsi="Arial" w:cs="Arial"/>
          <w:sz w:val="20"/>
          <w:szCs w:val="20"/>
        </w:rPr>
        <w:t xml:space="preserve"> 1) </w:t>
      </w:r>
      <w:r w:rsidR="007D5B2A" w:rsidRPr="006C09BD">
        <w:rPr>
          <w:rFonts w:ascii="Arial" w:hAnsi="Arial" w:cs="Arial"/>
          <w:sz w:val="20"/>
          <w:szCs w:val="20"/>
        </w:rPr>
        <w:t>g</w:t>
      </w:r>
      <w:r w:rsidR="00EB2681" w:rsidRPr="006C09BD">
        <w:rPr>
          <w:rFonts w:ascii="Arial" w:hAnsi="Arial" w:cs="Arial"/>
          <w:sz w:val="20"/>
          <w:szCs w:val="20"/>
        </w:rPr>
        <w:t>astric residual volume measurement processes and protocol adherence</w:t>
      </w:r>
      <w:r w:rsidR="00DB0211" w:rsidRPr="006C09BD">
        <w:rPr>
          <w:rFonts w:ascii="Arial" w:hAnsi="Arial" w:cs="Arial"/>
          <w:sz w:val="20"/>
          <w:szCs w:val="20"/>
        </w:rPr>
        <w:t>,</w:t>
      </w:r>
      <w:r w:rsidR="00540821" w:rsidRPr="006C09BD">
        <w:rPr>
          <w:rFonts w:ascii="Arial" w:hAnsi="Arial" w:cs="Arial"/>
          <w:sz w:val="20"/>
          <w:szCs w:val="20"/>
        </w:rPr>
        <w:t xml:space="preserve"> 2) a</w:t>
      </w:r>
      <w:r w:rsidR="00EB2681" w:rsidRPr="006C09BD">
        <w:rPr>
          <w:rFonts w:ascii="Arial" w:hAnsi="Arial" w:cs="Arial"/>
          <w:sz w:val="20"/>
          <w:szCs w:val="20"/>
        </w:rPr>
        <w:t>cceptability of not routinely measuring gastric residual volumes</w:t>
      </w:r>
      <w:r w:rsidR="00DB0211" w:rsidRPr="006C09BD">
        <w:rPr>
          <w:rFonts w:ascii="Arial" w:hAnsi="Arial" w:cs="Arial"/>
          <w:sz w:val="20"/>
          <w:szCs w:val="20"/>
        </w:rPr>
        <w:t>,</w:t>
      </w:r>
      <w:r w:rsidR="00EB2681" w:rsidRPr="006C09BD">
        <w:rPr>
          <w:rFonts w:ascii="Arial" w:hAnsi="Arial" w:cs="Arial"/>
          <w:sz w:val="20"/>
          <w:szCs w:val="20"/>
        </w:rPr>
        <w:t xml:space="preserve"> </w:t>
      </w:r>
      <w:r w:rsidR="00540821" w:rsidRPr="006C09BD">
        <w:rPr>
          <w:rFonts w:ascii="Arial" w:hAnsi="Arial" w:cs="Arial"/>
          <w:sz w:val="20"/>
          <w:szCs w:val="20"/>
        </w:rPr>
        <w:t>3) e</w:t>
      </w:r>
      <w:r w:rsidR="00EB2681" w:rsidRPr="006C09BD">
        <w:rPr>
          <w:rFonts w:ascii="Arial" w:hAnsi="Arial" w:cs="Arial"/>
          <w:sz w:val="20"/>
          <w:szCs w:val="20"/>
        </w:rPr>
        <w:t xml:space="preserve">xperience of recruitment and </w:t>
      </w:r>
      <w:r w:rsidR="00C25F33" w:rsidRPr="006C09BD">
        <w:rPr>
          <w:rFonts w:ascii="Arial" w:hAnsi="Arial" w:cs="Arial"/>
          <w:sz w:val="20"/>
          <w:szCs w:val="20"/>
        </w:rPr>
        <w:t>opt</w:t>
      </w:r>
      <w:r w:rsidR="0078461D" w:rsidRPr="006C09BD">
        <w:rPr>
          <w:rFonts w:ascii="Arial" w:hAnsi="Arial" w:cs="Arial"/>
          <w:sz w:val="20"/>
          <w:szCs w:val="20"/>
        </w:rPr>
        <w:t>-</w:t>
      </w:r>
      <w:r w:rsidR="00C25F33" w:rsidRPr="006C09BD">
        <w:rPr>
          <w:rFonts w:ascii="Arial" w:hAnsi="Arial" w:cs="Arial"/>
          <w:sz w:val="20"/>
          <w:szCs w:val="20"/>
        </w:rPr>
        <w:t xml:space="preserve">out </w:t>
      </w:r>
      <w:r w:rsidR="00EB2681" w:rsidRPr="006C09BD">
        <w:rPr>
          <w:rFonts w:ascii="Arial" w:hAnsi="Arial" w:cs="Arial"/>
          <w:sz w:val="20"/>
          <w:szCs w:val="20"/>
        </w:rPr>
        <w:t xml:space="preserve">consent, clinical equipoise </w:t>
      </w:r>
      <w:r w:rsidR="00540821" w:rsidRPr="006C09BD">
        <w:rPr>
          <w:rFonts w:ascii="Arial" w:hAnsi="Arial" w:cs="Arial"/>
          <w:sz w:val="20"/>
          <w:szCs w:val="20"/>
        </w:rPr>
        <w:t>and 4) s</w:t>
      </w:r>
      <w:r w:rsidR="00EB2681" w:rsidRPr="006C09BD">
        <w:rPr>
          <w:rFonts w:ascii="Arial" w:hAnsi="Arial" w:cs="Arial"/>
          <w:sz w:val="20"/>
          <w:szCs w:val="20"/>
        </w:rPr>
        <w:t>taff training needs to inform ongoing trial conduct and training</w:t>
      </w:r>
      <w:r w:rsidR="00540821" w:rsidRPr="006C09BD">
        <w:rPr>
          <w:rFonts w:ascii="Arial" w:hAnsi="Arial" w:cs="Arial"/>
          <w:sz w:val="20"/>
          <w:szCs w:val="20"/>
        </w:rPr>
        <w:t xml:space="preserve">. </w:t>
      </w:r>
      <w:r w:rsidR="00C25F33" w:rsidRPr="006C09BD">
        <w:rPr>
          <w:rFonts w:ascii="Arial" w:hAnsi="Arial" w:cs="Arial"/>
          <w:sz w:val="20"/>
          <w:szCs w:val="20"/>
        </w:rPr>
        <w:t>Topic guides and questionnaires were developed using trial feasibility findings</w:t>
      </w:r>
      <w:r w:rsidR="00FB1581" w:rsidRPr="006C09BD">
        <w:rPr>
          <w:rFonts w:ascii="Arial" w:hAnsi="Arial" w:cs="Arial"/>
          <w:noProof/>
          <w:sz w:val="20"/>
          <w:szCs w:val="20"/>
        </w:rPr>
        <w:t xml:space="preserve"> [2</w:t>
      </w:r>
      <w:r w:rsidR="00692054" w:rsidRPr="006C09BD">
        <w:rPr>
          <w:rFonts w:ascii="Arial" w:hAnsi="Arial" w:cs="Arial"/>
          <w:noProof/>
          <w:sz w:val="20"/>
          <w:szCs w:val="20"/>
        </w:rPr>
        <w:t>8</w:t>
      </w:r>
      <w:r w:rsidR="00FB1581" w:rsidRPr="006C09BD">
        <w:rPr>
          <w:rFonts w:ascii="Arial" w:hAnsi="Arial" w:cs="Arial"/>
          <w:noProof/>
          <w:sz w:val="20"/>
          <w:szCs w:val="20"/>
        </w:rPr>
        <w:t>]</w:t>
      </w:r>
      <w:r w:rsidR="007E4581" w:rsidRPr="006C09BD">
        <w:rPr>
          <w:rFonts w:ascii="Arial" w:hAnsi="Arial" w:cs="Arial"/>
          <w:sz w:val="20"/>
          <w:szCs w:val="20"/>
        </w:rPr>
        <w:t>.</w:t>
      </w:r>
      <w:r w:rsidR="00C25F33" w:rsidRPr="006C09BD">
        <w:rPr>
          <w:rFonts w:ascii="Arial" w:hAnsi="Arial" w:cs="Arial"/>
          <w:sz w:val="20"/>
          <w:szCs w:val="20"/>
        </w:rPr>
        <w:t xml:space="preserve"> </w:t>
      </w:r>
    </w:p>
    <w:p w14:paraId="72FECEDA" w14:textId="3339648E" w:rsidR="00615749" w:rsidRPr="006C09BD" w:rsidRDefault="00912651" w:rsidP="007D5B2A">
      <w:pPr>
        <w:pStyle w:val="BodyA"/>
        <w:widowControl w:val="0"/>
        <w:spacing w:before="120" w:line="360" w:lineRule="auto"/>
        <w:rPr>
          <w:rFonts w:cs="Arial"/>
          <w:lang w:val="en-GB"/>
        </w:rPr>
      </w:pPr>
      <w:r w:rsidRPr="006C09BD">
        <w:rPr>
          <w:rFonts w:cs="Arial"/>
          <w:b/>
          <w:bCs/>
          <w:sz w:val="24"/>
          <w:szCs w:val="24"/>
          <w:lang w:val="en-GB"/>
        </w:rPr>
        <w:t>Recruitment and sampling:</w:t>
      </w:r>
      <w:r w:rsidRPr="006C09BD">
        <w:rPr>
          <w:rStyle w:val="None"/>
          <w:rFonts w:cs="Arial"/>
          <w:color w:val="auto"/>
          <w:u w:color="004C7F"/>
          <w:lang w:val="en-GB"/>
        </w:rPr>
        <w:t xml:space="preserve"> </w:t>
      </w:r>
      <w:r w:rsidR="00540821" w:rsidRPr="006C09BD">
        <w:rPr>
          <w:rStyle w:val="None"/>
          <w:rFonts w:cs="Arial"/>
          <w:color w:val="auto"/>
          <w:u w:color="004C7F"/>
          <w:lang w:val="en-GB"/>
        </w:rPr>
        <w:t xml:space="preserve">The first </w:t>
      </w:r>
      <w:r w:rsidRPr="006C09BD">
        <w:rPr>
          <w:rStyle w:val="None"/>
          <w:rFonts w:cs="Arial"/>
          <w:color w:val="auto"/>
          <w:u w:color="004C7F"/>
          <w:lang w:val="en-GB"/>
        </w:rPr>
        <w:t xml:space="preserve">four </w:t>
      </w:r>
      <w:r w:rsidR="006B0DAC" w:rsidRPr="006C09BD">
        <w:rPr>
          <w:rStyle w:val="None"/>
          <w:rFonts w:cs="Arial"/>
          <w:color w:val="auto"/>
          <w:u w:color="004C7F"/>
          <w:lang w:val="en-GB"/>
        </w:rPr>
        <w:t xml:space="preserve">UK </w:t>
      </w:r>
      <w:r w:rsidR="00540821" w:rsidRPr="006C09BD">
        <w:rPr>
          <w:rStyle w:val="None"/>
          <w:rFonts w:cs="Arial"/>
          <w:color w:val="auto"/>
          <w:u w:color="004C7F"/>
          <w:lang w:val="en-GB"/>
        </w:rPr>
        <w:t xml:space="preserve">sites open to recruitment will be invited to take part in the process evaluation. Staff will invite </w:t>
      </w:r>
      <w:r w:rsidR="00540821" w:rsidRPr="006C09BD">
        <w:rPr>
          <w:rFonts w:cs="Arial"/>
          <w:color w:val="auto"/>
          <w:lang w:val="en-GB"/>
        </w:rPr>
        <w:t xml:space="preserve">parents </w:t>
      </w:r>
      <w:r w:rsidR="00540821" w:rsidRPr="006C09BD">
        <w:rPr>
          <w:rFonts w:cs="Arial"/>
          <w:lang w:val="en-GB"/>
        </w:rPr>
        <w:t xml:space="preserve">of </w:t>
      </w:r>
      <w:r w:rsidRPr="006C09BD">
        <w:rPr>
          <w:rFonts w:cs="Arial"/>
          <w:lang w:val="en-GB"/>
        </w:rPr>
        <w:t xml:space="preserve">the first 20 </w:t>
      </w:r>
      <w:r w:rsidR="00540821" w:rsidRPr="006C09BD">
        <w:rPr>
          <w:rFonts w:cs="Arial"/>
          <w:lang w:val="en-GB"/>
        </w:rPr>
        <w:t xml:space="preserve">eligible </w:t>
      </w:r>
      <w:r w:rsidR="002A35BF" w:rsidRPr="006C09BD">
        <w:rPr>
          <w:rFonts w:cs="Arial"/>
          <w:lang w:val="en-GB"/>
        </w:rPr>
        <w:t>infants</w:t>
      </w:r>
      <w:r w:rsidR="00540821" w:rsidRPr="006C09BD">
        <w:rPr>
          <w:rFonts w:cs="Arial"/>
          <w:lang w:val="en-GB"/>
        </w:rPr>
        <w:t xml:space="preserve">, including those who ‘opt out’ to complete a questionnaire before leaving hospital and/or to register interest in participating in an interview with a University of Liverpool researcher within a month. </w:t>
      </w:r>
      <w:r w:rsidRPr="006C09BD">
        <w:rPr>
          <w:rFonts w:cs="Arial"/>
          <w:lang w:val="en-GB"/>
        </w:rPr>
        <w:t>Staff will be invited to complete a questionnaire relating to recruitment and trial processes for the same 20</w:t>
      </w:r>
      <w:r w:rsidR="00C25F33" w:rsidRPr="006C09BD">
        <w:rPr>
          <w:rFonts w:cs="Arial"/>
          <w:lang w:val="en-GB"/>
        </w:rPr>
        <w:t xml:space="preserve"> </w:t>
      </w:r>
      <w:r w:rsidR="002A35BF" w:rsidRPr="006C09BD">
        <w:rPr>
          <w:rFonts w:cs="Arial"/>
          <w:lang w:val="en-GB"/>
        </w:rPr>
        <w:t>infants</w:t>
      </w:r>
      <w:r w:rsidRPr="006C09BD">
        <w:rPr>
          <w:rFonts w:cs="Arial"/>
          <w:lang w:val="en-GB"/>
        </w:rPr>
        <w:t xml:space="preserve"> and take part in an online focus group after 4</w:t>
      </w:r>
      <w:r w:rsidR="00502A31" w:rsidRPr="006C09BD">
        <w:rPr>
          <w:rFonts w:cs="Arial"/>
          <w:lang w:val="en-GB"/>
        </w:rPr>
        <w:t>–</w:t>
      </w:r>
      <w:r w:rsidRPr="006C09BD">
        <w:rPr>
          <w:rFonts w:cs="Arial"/>
          <w:lang w:val="en-GB"/>
        </w:rPr>
        <w:t>6 months of trial recruitment. Site observations will take</w:t>
      </w:r>
      <w:r w:rsidR="00C25F33" w:rsidRPr="006C09BD">
        <w:rPr>
          <w:rFonts w:cs="Arial"/>
          <w:lang w:val="en-GB"/>
        </w:rPr>
        <w:t xml:space="preserve"> place at </w:t>
      </w:r>
      <w:r w:rsidRPr="006C09BD">
        <w:rPr>
          <w:rFonts w:cs="Arial"/>
          <w:lang w:val="en-GB"/>
        </w:rPr>
        <w:t>participating sites</w:t>
      </w:r>
      <w:r w:rsidR="00C25F33" w:rsidRPr="006C09BD">
        <w:rPr>
          <w:rFonts w:cs="Arial"/>
          <w:lang w:val="en-GB"/>
        </w:rPr>
        <w:t xml:space="preserve"> during the pilot phase.</w:t>
      </w:r>
      <w:r w:rsidRPr="006C09BD">
        <w:rPr>
          <w:rFonts w:cs="Arial"/>
          <w:lang w:val="en-GB"/>
        </w:rPr>
        <w:t xml:space="preserve"> </w:t>
      </w:r>
    </w:p>
    <w:p w14:paraId="1152CA04" w14:textId="7019A8D2" w:rsidR="00540821" w:rsidRPr="006C09BD" w:rsidRDefault="00540821" w:rsidP="007D5B2A">
      <w:pPr>
        <w:pStyle w:val="BodyA"/>
        <w:widowControl w:val="0"/>
        <w:spacing w:before="120" w:line="360" w:lineRule="auto"/>
        <w:rPr>
          <w:rFonts w:cs="Arial"/>
          <w:lang w:val="en-GB"/>
        </w:rPr>
      </w:pPr>
      <w:r w:rsidRPr="006C09BD">
        <w:rPr>
          <w:rFonts w:cs="Arial"/>
          <w:lang w:val="en-GB"/>
        </w:rPr>
        <w:t>Based on previous studies,</w:t>
      </w:r>
      <w:r w:rsidRPr="006C09BD">
        <w:rPr>
          <w:rFonts w:cs="Arial"/>
          <w:color w:val="0000FF"/>
          <w:lang w:val="en-GB"/>
        </w:rPr>
        <w:t xml:space="preserve"> </w:t>
      </w:r>
      <w:r w:rsidRPr="006C09BD">
        <w:rPr>
          <w:rFonts w:cs="Arial"/>
          <w:lang w:val="en-GB"/>
        </w:rPr>
        <w:t>we anticipate interviewing 15–25 parents and conducting 2</w:t>
      </w:r>
      <w:r w:rsidR="0078461D" w:rsidRPr="006C09BD">
        <w:rPr>
          <w:rFonts w:cs="Arial"/>
          <w:lang w:val="en-GB"/>
        </w:rPr>
        <w:t>–</w:t>
      </w:r>
      <w:r w:rsidRPr="006C09BD">
        <w:rPr>
          <w:rFonts w:cs="Arial"/>
          <w:lang w:val="en-GB"/>
        </w:rPr>
        <w:t>4 focus groups to reach information power</w:t>
      </w:r>
      <w:r w:rsidR="007E4581" w:rsidRPr="006C09BD">
        <w:rPr>
          <w:rFonts w:cs="Arial"/>
          <w:lang w:val="en-GB"/>
        </w:rPr>
        <w:t xml:space="preserve"> </w:t>
      </w:r>
      <w:r w:rsidR="00FB1581" w:rsidRPr="006C09BD">
        <w:rPr>
          <w:rFonts w:cs="Arial"/>
          <w:noProof/>
          <w:lang w:val="en-GB"/>
        </w:rPr>
        <w:t>[2</w:t>
      </w:r>
      <w:r w:rsidR="00692054" w:rsidRPr="006C09BD">
        <w:rPr>
          <w:rFonts w:cs="Arial"/>
          <w:noProof/>
          <w:lang w:val="en-GB"/>
        </w:rPr>
        <w:t>9</w:t>
      </w:r>
      <w:r w:rsidR="00FB1581" w:rsidRPr="006C09BD">
        <w:rPr>
          <w:rFonts w:cs="Arial"/>
          <w:noProof/>
          <w:lang w:val="en-GB"/>
        </w:rPr>
        <w:t>],</w:t>
      </w:r>
      <w:r w:rsidR="007E4581" w:rsidRPr="006C09BD">
        <w:rPr>
          <w:rFonts w:cs="Arial"/>
          <w:lang w:val="en-GB"/>
        </w:rPr>
        <w:t xml:space="preserve"> </w:t>
      </w:r>
      <w:r w:rsidR="00FB1581" w:rsidRPr="006C09BD">
        <w:rPr>
          <w:rFonts w:cs="Arial"/>
          <w:noProof/>
          <w:lang w:val="en-GB"/>
        </w:rPr>
        <w:t>[</w:t>
      </w:r>
      <w:r w:rsidR="00692054" w:rsidRPr="006C09BD">
        <w:rPr>
          <w:rFonts w:cs="Arial"/>
          <w:noProof/>
          <w:lang w:val="en-GB"/>
        </w:rPr>
        <w:t>30</w:t>
      </w:r>
      <w:r w:rsidR="00FB1581" w:rsidRPr="006C09BD">
        <w:rPr>
          <w:rFonts w:cs="Arial"/>
          <w:noProof/>
          <w:lang w:val="en-GB"/>
        </w:rPr>
        <w:t>]</w:t>
      </w:r>
      <w:r w:rsidRPr="006C09BD">
        <w:rPr>
          <w:rFonts w:cs="Arial"/>
          <w:lang w:val="en-GB"/>
        </w:rPr>
        <w:t xml:space="preserve">. We anticipate around 80 parent and staff questionnaires related to 20 </w:t>
      </w:r>
      <w:r w:rsidR="002A35BF" w:rsidRPr="006C09BD">
        <w:rPr>
          <w:rFonts w:cs="Arial"/>
          <w:lang w:val="en-GB"/>
        </w:rPr>
        <w:t>infants</w:t>
      </w:r>
      <w:r w:rsidRPr="006C09BD">
        <w:rPr>
          <w:rFonts w:cs="Arial"/>
          <w:lang w:val="en-GB"/>
        </w:rPr>
        <w:t xml:space="preserve"> per site</w:t>
      </w:r>
      <w:r w:rsidR="007D5B2A" w:rsidRPr="006C09BD">
        <w:rPr>
          <w:rFonts w:cs="Arial"/>
          <w:lang w:val="en-GB"/>
        </w:rPr>
        <w:t xml:space="preserve">. </w:t>
      </w:r>
    </w:p>
    <w:p w14:paraId="3B34212F" w14:textId="1A03D09E" w:rsidR="007D5B2A" w:rsidRPr="006C09BD" w:rsidRDefault="00912651">
      <w:pPr>
        <w:pStyle w:val="BodyA"/>
        <w:widowControl w:val="0"/>
        <w:spacing w:before="120" w:line="360" w:lineRule="auto"/>
        <w:rPr>
          <w:rFonts w:cs="Arial"/>
          <w:lang w:val="en-GB"/>
        </w:rPr>
      </w:pPr>
      <w:r w:rsidRPr="006C09BD">
        <w:rPr>
          <w:rFonts w:cs="Arial"/>
          <w:b/>
          <w:bCs/>
          <w:sz w:val="24"/>
          <w:szCs w:val="24"/>
          <w:lang w:val="en-GB"/>
        </w:rPr>
        <w:lastRenderedPageBreak/>
        <w:t>Analysis</w:t>
      </w:r>
      <w:r w:rsidRPr="006C09BD">
        <w:rPr>
          <w:rFonts w:cs="Arial"/>
          <w:i/>
          <w:iCs/>
          <w:lang w:val="en-GB"/>
        </w:rPr>
        <w:t>:</w:t>
      </w:r>
      <w:r w:rsidRPr="006C09BD">
        <w:rPr>
          <w:rFonts w:cs="Arial"/>
          <w:lang w:val="en-GB"/>
        </w:rPr>
        <w:t xml:space="preserve"> </w:t>
      </w:r>
      <w:r w:rsidR="009D1E46" w:rsidRPr="006C09BD">
        <w:rPr>
          <w:rFonts w:cs="Arial"/>
          <w:lang w:val="en-GB"/>
        </w:rPr>
        <w:t xml:space="preserve">Process evaluation data analysis will be informed by Normalization Process </w:t>
      </w:r>
      <w:r w:rsidR="00B941CF" w:rsidRPr="006C09BD">
        <w:rPr>
          <w:rFonts w:cs="Arial"/>
          <w:lang w:val="en-GB"/>
        </w:rPr>
        <w:t>T</w:t>
      </w:r>
      <w:r w:rsidR="009D1E46" w:rsidRPr="006C09BD">
        <w:rPr>
          <w:rFonts w:cs="Arial"/>
          <w:lang w:val="en-GB"/>
        </w:rPr>
        <w:t>heory</w:t>
      </w:r>
      <w:r w:rsidR="007E4581" w:rsidRPr="006C09BD">
        <w:rPr>
          <w:rFonts w:cs="Arial"/>
          <w:lang w:val="en-GB"/>
        </w:rPr>
        <w:t xml:space="preserve"> </w:t>
      </w:r>
      <w:r w:rsidR="00FB1581" w:rsidRPr="006C09BD">
        <w:rPr>
          <w:rFonts w:cs="Arial"/>
          <w:noProof/>
          <w:lang w:val="en-GB"/>
        </w:rPr>
        <w:t>[</w:t>
      </w:r>
      <w:r w:rsidR="00692054" w:rsidRPr="006C09BD">
        <w:rPr>
          <w:rFonts w:cs="Arial"/>
          <w:noProof/>
          <w:lang w:val="en-GB"/>
        </w:rPr>
        <w:t>30</w:t>
      </w:r>
      <w:r w:rsidR="00FB1581" w:rsidRPr="006C09BD">
        <w:rPr>
          <w:rFonts w:cs="Arial"/>
          <w:noProof/>
          <w:lang w:val="en-GB"/>
        </w:rPr>
        <w:t>]</w:t>
      </w:r>
      <w:r w:rsidR="009D1E46" w:rsidRPr="006C09BD">
        <w:rPr>
          <w:rFonts w:cs="Arial"/>
          <w:lang w:val="en-GB"/>
        </w:rPr>
        <w:t>. Digital audio recordings will be transcribed verbatim by a transcription company (UK Transcription, Brighton, UK), checked and anonymi</w:t>
      </w:r>
      <w:r w:rsidR="00502A31" w:rsidRPr="006C09BD">
        <w:rPr>
          <w:rFonts w:cs="Arial"/>
          <w:lang w:val="en-GB"/>
        </w:rPr>
        <w:t>s</w:t>
      </w:r>
      <w:r w:rsidR="009D1E46" w:rsidRPr="006C09BD">
        <w:rPr>
          <w:rFonts w:cs="Arial"/>
          <w:lang w:val="en-GB"/>
        </w:rPr>
        <w:t xml:space="preserve">ed before being imported into NVivo V.14 software, for </w:t>
      </w:r>
      <w:r w:rsidR="00B941CF" w:rsidRPr="006C09BD">
        <w:rPr>
          <w:rFonts w:cs="Arial"/>
          <w:lang w:val="en-GB"/>
        </w:rPr>
        <w:t>organi</w:t>
      </w:r>
      <w:r w:rsidR="00502A31" w:rsidRPr="006C09BD">
        <w:rPr>
          <w:rFonts w:cs="Arial"/>
          <w:lang w:val="en-GB"/>
        </w:rPr>
        <w:t>s</w:t>
      </w:r>
      <w:r w:rsidR="00B941CF" w:rsidRPr="006C09BD">
        <w:rPr>
          <w:rFonts w:cs="Arial"/>
          <w:lang w:val="en-GB"/>
        </w:rPr>
        <w:t>ing</w:t>
      </w:r>
      <w:r w:rsidR="009D1E46" w:rsidRPr="006C09BD">
        <w:rPr>
          <w:rFonts w:cs="Arial"/>
          <w:lang w:val="en-GB"/>
        </w:rPr>
        <w:t xml:space="preserve"> and coding. Reflexive thematic analysis will be used for qualitative data, whilst questionnaire data will be inputted into </w:t>
      </w:r>
      <w:r w:rsidR="00092DA7" w:rsidRPr="006C09BD">
        <w:rPr>
          <w:rFonts w:cs="Arial"/>
          <w:lang w:val="en-GB"/>
        </w:rPr>
        <w:t>Statistical Product and Service Solutions (</w:t>
      </w:r>
      <w:r w:rsidR="009D1E46" w:rsidRPr="006C09BD">
        <w:rPr>
          <w:rFonts w:cs="Arial"/>
          <w:lang w:val="en-GB"/>
        </w:rPr>
        <w:t>SPSS</w:t>
      </w:r>
      <w:r w:rsidR="00092DA7" w:rsidRPr="006C09BD">
        <w:rPr>
          <w:rFonts w:cs="Arial"/>
          <w:lang w:val="en-GB"/>
        </w:rPr>
        <w:t>)</w:t>
      </w:r>
      <w:r w:rsidR="009D1E46" w:rsidRPr="006C09BD">
        <w:rPr>
          <w:rFonts w:cs="Arial"/>
          <w:lang w:val="en-GB"/>
        </w:rPr>
        <w:t xml:space="preserve"> and descriptive statistics used. </w:t>
      </w:r>
    </w:p>
    <w:p w14:paraId="2B8F11B7" w14:textId="77777777" w:rsidR="00540821" w:rsidRPr="006C09BD" w:rsidRDefault="00540821">
      <w:pPr>
        <w:pStyle w:val="BodyA"/>
        <w:widowControl w:val="0"/>
        <w:spacing w:before="120" w:line="360" w:lineRule="auto"/>
        <w:rPr>
          <w:rStyle w:val="None"/>
          <w:rFonts w:cs="Arial"/>
          <w:color w:val="004C7F"/>
          <w:sz w:val="24"/>
          <w:szCs w:val="24"/>
          <w:u w:color="004C7F"/>
          <w:lang w:val="en-GB"/>
        </w:rPr>
      </w:pPr>
    </w:p>
    <w:p w14:paraId="7C93E3F1" w14:textId="77777777" w:rsidR="0050292B" w:rsidRPr="006C09BD" w:rsidRDefault="00551CF0">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t>Statistical methods</w:t>
      </w:r>
    </w:p>
    <w:p w14:paraId="509C8697" w14:textId="49C8B6ED"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Statistical methods for primary and secondary outcomes {2</w:t>
      </w:r>
      <w:r w:rsidR="00091B07" w:rsidRPr="006C09BD">
        <w:rPr>
          <w:rStyle w:val="None"/>
          <w:rFonts w:cs="Arial"/>
          <w:b/>
          <w:bCs/>
          <w:sz w:val="24"/>
          <w:szCs w:val="24"/>
          <w:lang w:val="en-GB"/>
        </w:rPr>
        <w:t>7</w:t>
      </w:r>
      <w:r w:rsidRPr="006C09BD">
        <w:rPr>
          <w:rStyle w:val="None"/>
          <w:rFonts w:cs="Arial"/>
          <w:b/>
          <w:bCs/>
          <w:sz w:val="24"/>
          <w:szCs w:val="24"/>
          <w:lang w:val="en-GB"/>
        </w:rPr>
        <w:t>a</w:t>
      </w:r>
      <w:r w:rsidR="00787F7A">
        <w:rPr>
          <w:rStyle w:val="None"/>
          <w:rFonts w:cs="Arial"/>
          <w:b/>
          <w:bCs/>
          <w:sz w:val="24"/>
          <w:szCs w:val="24"/>
          <w:lang w:val="en-GB"/>
        </w:rPr>
        <w:t>}</w:t>
      </w:r>
    </w:p>
    <w:p w14:paraId="112F8850" w14:textId="608DBC35" w:rsidR="00E34448" w:rsidRPr="006C09BD" w:rsidRDefault="00E34448" w:rsidP="00E34448">
      <w:pPr>
        <w:pStyle w:val="BodyA"/>
        <w:widowControl w:val="0"/>
        <w:spacing w:line="360" w:lineRule="auto"/>
        <w:rPr>
          <w:rStyle w:val="NoneA"/>
          <w:rFonts w:cs="Arial"/>
          <w:lang w:val="en-GB"/>
        </w:rPr>
      </w:pPr>
      <w:r w:rsidRPr="006C09BD">
        <w:rPr>
          <w:rStyle w:val="NoneA"/>
          <w:rFonts w:cs="Arial"/>
          <w:lang w:val="en-GB"/>
        </w:rPr>
        <w:t xml:space="preserve">Statistical analyses will be conducted according to a pre-specified Statistical Analysis Plan (SAP), which will be available in a separate document. The SAP will provide detailed information on the methods used to analyse the primary and secondary outcomes, including any adjustments for covariates. </w:t>
      </w:r>
    </w:p>
    <w:p w14:paraId="387A2B66" w14:textId="0E8FCE4B" w:rsidR="00E34448" w:rsidRPr="006C09BD" w:rsidRDefault="00E34448" w:rsidP="00E34448">
      <w:pPr>
        <w:pStyle w:val="BodyA"/>
        <w:widowControl w:val="0"/>
        <w:spacing w:line="360" w:lineRule="auto"/>
        <w:rPr>
          <w:rStyle w:val="NoneA"/>
          <w:rFonts w:cs="Arial"/>
          <w:lang w:val="en-GB"/>
        </w:rPr>
      </w:pPr>
    </w:p>
    <w:p w14:paraId="3DE9CA05" w14:textId="06193770" w:rsidR="00E34448" w:rsidRPr="006C09BD" w:rsidRDefault="00E34448" w:rsidP="00E34448">
      <w:pPr>
        <w:pStyle w:val="BodyA"/>
        <w:widowControl w:val="0"/>
        <w:spacing w:line="360" w:lineRule="auto"/>
        <w:rPr>
          <w:rStyle w:val="NoneA"/>
          <w:rFonts w:cs="Arial"/>
          <w:lang w:val="en-GB"/>
        </w:rPr>
      </w:pPr>
      <w:r w:rsidRPr="006C09BD">
        <w:rPr>
          <w:rStyle w:val="NoneA"/>
          <w:rFonts w:cs="Arial"/>
          <w:lang w:val="en-GB"/>
        </w:rPr>
        <w:t xml:space="preserve">The </w:t>
      </w:r>
      <w:r w:rsidRPr="006C09BD">
        <w:rPr>
          <w:rStyle w:val="NoneA"/>
          <w:rFonts w:cs="Arial"/>
          <w:i/>
          <w:lang w:val="en-GB"/>
        </w:rPr>
        <w:t xml:space="preserve">routine </w:t>
      </w:r>
      <w:r w:rsidR="009E2193" w:rsidRPr="006C09BD">
        <w:rPr>
          <w:rStyle w:val="NoneA"/>
          <w:rFonts w:cs="Arial"/>
          <w:i/>
          <w:lang w:val="en-GB"/>
        </w:rPr>
        <w:t>at least</w:t>
      </w:r>
      <w:r w:rsidRPr="006C09BD">
        <w:rPr>
          <w:rStyle w:val="NoneA"/>
          <w:rFonts w:cs="Arial"/>
          <w:i/>
          <w:lang w:val="en-GB"/>
        </w:rPr>
        <w:t xml:space="preserve"> 6-hourly measurement of gastric residual volumes</w:t>
      </w:r>
      <w:r w:rsidRPr="006C09BD">
        <w:rPr>
          <w:rStyle w:val="NoneA"/>
          <w:rFonts w:cs="Arial"/>
          <w:lang w:val="en-GB"/>
        </w:rPr>
        <w:t xml:space="preserve"> group will be used as the reference group in all analyses.</w:t>
      </w:r>
    </w:p>
    <w:p w14:paraId="107074FE" w14:textId="4544FBAE" w:rsidR="00A37F2B" w:rsidRPr="006C09BD" w:rsidRDefault="00A37F2B" w:rsidP="00E34448">
      <w:pPr>
        <w:pStyle w:val="BodyA"/>
        <w:widowControl w:val="0"/>
        <w:spacing w:line="360" w:lineRule="auto"/>
        <w:rPr>
          <w:rStyle w:val="NoneA"/>
          <w:rFonts w:cs="Arial"/>
          <w:lang w:val="en-GB"/>
        </w:rPr>
      </w:pPr>
    </w:p>
    <w:p w14:paraId="02782006" w14:textId="529880C9" w:rsidR="00A37F2B" w:rsidRPr="006C09BD" w:rsidRDefault="00A37F2B" w:rsidP="00E34448">
      <w:pPr>
        <w:pStyle w:val="BodyA"/>
        <w:widowControl w:val="0"/>
        <w:spacing w:line="360" w:lineRule="auto"/>
        <w:rPr>
          <w:rStyle w:val="NoneA"/>
          <w:rFonts w:cs="Arial"/>
          <w:b/>
          <w:lang w:val="en-GB"/>
        </w:rPr>
      </w:pPr>
      <w:r w:rsidRPr="006C09BD">
        <w:rPr>
          <w:rStyle w:val="NoneA"/>
          <w:rFonts w:cs="Arial"/>
          <w:b/>
          <w:lang w:val="en-GB"/>
        </w:rPr>
        <w:t>Primary Outcome</w:t>
      </w:r>
    </w:p>
    <w:p w14:paraId="4D1547BA" w14:textId="77777777" w:rsidR="00A37F2B" w:rsidRPr="006C09BD" w:rsidRDefault="00A37F2B" w:rsidP="00A37F2B">
      <w:pPr>
        <w:pStyle w:val="BodyA"/>
        <w:widowControl w:val="0"/>
        <w:spacing w:line="360" w:lineRule="auto"/>
        <w:rPr>
          <w:rStyle w:val="NoneA"/>
          <w:rFonts w:cs="Arial"/>
          <w:lang w:val="en-GB"/>
        </w:rPr>
      </w:pPr>
      <w:r w:rsidRPr="006C09BD">
        <w:rPr>
          <w:rStyle w:val="NoneA"/>
          <w:rFonts w:cs="Arial"/>
          <w:lang w:val="en-GB"/>
        </w:rPr>
        <w:t xml:space="preserve">The mean, standard deviation, median and interquartile range will be presented by randomised group. For the comparative analysis, a mixed linear regression will be fitted, with mean differences and 95% confidence intervals presented where model assumptions are satisfied. If normality assumptions are not met, quantile regression models will be used with median differences and 95% confidence intervals presented. The model will be adjusted for minimisation factors, which include recruiting centre, gestational age at birth, and whether the </w:t>
      </w:r>
      <w:r w:rsidRPr="006C09BD">
        <w:rPr>
          <w:rFonts w:cs="Arial"/>
          <w:color w:val="auto"/>
          <w:u w:color="004C7F"/>
          <w:lang w:val="en-GB"/>
        </w:rPr>
        <w:t>infant</w:t>
      </w:r>
      <w:r w:rsidRPr="006C09BD">
        <w:rPr>
          <w:rStyle w:val="NoneA"/>
          <w:rFonts w:cs="Arial"/>
          <w:lang w:val="en-GB"/>
        </w:rPr>
        <w:t xml:space="preserve"> is one of a multiple birth. Centre will be treated as a random effect, while all other factors will be treated as fixed effects. Correlation between recruited siblings from multiple births will be accounted for by nesting the ‘multiple’ cluster within centre, where technically possible. Both crude and adjusted effect estimates will be presented, but the primary inference will be based on the adjusted estimates.</w:t>
      </w:r>
    </w:p>
    <w:p w14:paraId="3F9187D8" w14:textId="77777777" w:rsidR="00A37F2B" w:rsidRPr="006C09BD" w:rsidRDefault="00A37F2B" w:rsidP="00E34448">
      <w:pPr>
        <w:pStyle w:val="BodyA"/>
        <w:widowControl w:val="0"/>
        <w:spacing w:line="360" w:lineRule="auto"/>
        <w:rPr>
          <w:rStyle w:val="NoneA"/>
          <w:rFonts w:cs="Arial"/>
          <w:lang w:val="en-GB"/>
        </w:rPr>
      </w:pPr>
    </w:p>
    <w:p w14:paraId="5F07A163" w14:textId="5D0CF119" w:rsidR="00A37F2B" w:rsidRPr="006C09BD" w:rsidRDefault="00A37F2B" w:rsidP="00A37F2B">
      <w:pPr>
        <w:pStyle w:val="BodyA"/>
        <w:widowControl w:val="0"/>
        <w:spacing w:line="360" w:lineRule="auto"/>
        <w:rPr>
          <w:rStyle w:val="NoneA"/>
          <w:rFonts w:cs="Arial"/>
          <w:b/>
          <w:lang w:val="en-GB"/>
        </w:rPr>
      </w:pPr>
      <w:r w:rsidRPr="006C09BD">
        <w:rPr>
          <w:rStyle w:val="NoneA"/>
          <w:rFonts w:cs="Arial"/>
          <w:b/>
          <w:lang w:val="en-GB"/>
        </w:rPr>
        <w:t>Secondary outcomes</w:t>
      </w:r>
    </w:p>
    <w:p w14:paraId="13111B89" w14:textId="77777777" w:rsidR="00A37F2B" w:rsidRPr="006C09BD" w:rsidRDefault="00A37F2B" w:rsidP="00A37F2B">
      <w:pPr>
        <w:pStyle w:val="BodyA"/>
        <w:widowControl w:val="0"/>
        <w:spacing w:line="360" w:lineRule="auto"/>
        <w:rPr>
          <w:rStyle w:val="NoneA"/>
          <w:rFonts w:cs="Arial"/>
          <w:lang w:val="en-GB"/>
        </w:rPr>
      </w:pPr>
      <w:r w:rsidRPr="006C09BD">
        <w:rPr>
          <w:rStyle w:val="NoneA"/>
          <w:rFonts w:cs="Arial"/>
          <w:lang w:val="en-GB"/>
        </w:rPr>
        <w:t>For binary outcomes, including the key secondary outcome of NEC, numbers and percentages will be provided. Risk ratios and 95% confidence intervals will be calculated using a mixed binomial, or Poisson model with a log link and robust variance estimator should the binomial model fail to converge. Risk differences will also be calculated using a mixed binomial model or Poisson model with an identity link. For continuous outcomes, mean and standard deviations or median and interquartile ranges will be presented. Mixed linear regression models will be applied, with mean differences and 95% confidence intervals presented, where model assumptions are satisfied. Skewed continuous outcomes will be analysed using quantile regression models, with median differences and 95% confidence intervals presented.</w:t>
      </w:r>
    </w:p>
    <w:p w14:paraId="125A17BC" w14:textId="77777777" w:rsidR="00A37F2B" w:rsidRPr="006C09BD" w:rsidRDefault="00A37F2B" w:rsidP="00A37F2B">
      <w:pPr>
        <w:pStyle w:val="BodyA"/>
        <w:widowControl w:val="0"/>
        <w:spacing w:line="360" w:lineRule="auto"/>
        <w:rPr>
          <w:rStyle w:val="NoneA"/>
          <w:rFonts w:cs="Arial"/>
          <w:lang w:val="en-GB"/>
        </w:rPr>
      </w:pPr>
    </w:p>
    <w:p w14:paraId="6379EA91" w14:textId="123C52C0" w:rsidR="002D7382" w:rsidRPr="006C09BD" w:rsidRDefault="00A37F2B" w:rsidP="00D6611A">
      <w:pPr>
        <w:pStyle w:val="BodyA"/>
        <w:widowControl w:val="0"/>
        <w:spacing w:line="360" w:lineRule="auto"/>
        <w:rPr>
          <w:rStyle w:val="None"/>
          <w:b/>
          <w:bCs/>
          <w:sz w:val="24"/>
          <w:szCs w:val="24"/>
          <w:lang w:val="en-GB"/>
        </w:rPr>
      </w:pPr>
      <w:r w:rsidRPr="006C09BD">
        <w:rPr>
          <w:rStyle w:val="NoneA"/>
          <w:rFonts w:cs="Arial"/>
          <w:lang w:val="en-GB"/>
        </w:rPr>
        <w:t xml:space="preserve">Secondary outcomes that are not tested will be presented using summary statistics. No tests of statistical significance will be performed, and no confidence intervals will be calculated between the randomised </w:t>
      </w:r>
      <w:r w:rsidRPr="006C09BD">
        <w:rPr>
          <w:rStyle w:val="NoneA"/>
          <w:rFonts w:cs="Arial"/>
          <w:lang w:val="en-GB"/>
        </w:rPr>
        <w:lastRenderedPageBreak/>
        <w:t>groups for the untested secondary outcomes.</w:t>
      </w:r>
    </w:p>
    <w:p w14:paraId="4E7E20E6" w14:textId="4BD2725B" w:rsidR="00680823" w:rsidRPr="006C09BD" w:rsidRDefault="00680823" w:rsidP="00680823">
      <w:pPr>
        <w:pStyle w:val="BodyA"/>
        <w:widowControl w:val="0"/>
        <w:spacing w:before="120" w:line="360" w:lineRule="auto"/>
        <w:rPr>
          <w:rStyle w:val="None"/>
          <w:b/>
          <w:bCs/>
          <w:sz w:val="24"/>
          <w:szCs w:val="24"/>
          <w:lang w:val="en-GB"/>
        </w:rPr>
      </w:pPr>
      <w:r w:rsidRPr="006C09BD">
        <w:rPr>
          <w:rStyle w:val="None"/>
          <w:b/>
          <w:bCs/>
          <w:sz w:val="24"/>
          <w:szCs w:val="24"/>
          <w:lang w:val="en-GB"/>
        </w:rPr>
        <w:t>Who will be included in each analysis {27b}</w:t>
      </w:r>
    </w:p>
    <w:p w14:paraId="6D487EA6" w14:textId="77777777" w:rsidR="00E34448" w:rsidRPr="006C09BD" w:rsidRDefault="00E34448">
      <w:pPr>
        <w:pStyle w:val="BodyA"/>
        <w:widowControl w:val="0"/>
        <w:spacing w:line="360" w:lineRule="auto"/>
        <w:rPr>
          <w:rStyle w:val="NoneA"/>
          <w:rFonts w:cs="Arial"/>
          <w:b/>
          <w:lang w:val="en-GB"/>
        </w:rPr>
      </w:pPr>
    </w:p>
    <w:p w14:paraId="11A067D1" w14:textId="1901989D" w:rsidR="0050292B" w:rsidRPr="006C09BD" w:rsidRDefault="006218BD">
      <w:pPr>
        <w:pStyle w:val="BodyA"/>
        <w:widowControl w:val="0"/>
        <w:spacing w:line="360" w:lineRule="auto"/>
        <w:rPr>
          <w:rStyle w:val="NoneA"/>
          <w:rFonts w:cs="Arial"/>
          <w:b/>
          <w:lang w:val="en-GB"/>
        </w:rPr>
      </w:pPr>
      <w:r w:rsidRPr="006C09BD">
        <w:rPr>
          <w:rStyle w:val="NoneA"/>
          <w:rFonts w:cs="Arial"/>
          <w:b/>
          <w:lang w:val="en-GB"/>
        </w:rPr>
        <w:t>Primary outcome</w:t>
      </w:r>
    </w:p>
    <w:p w14:paraId="5E3FCA8E" w14:textId="44F3D67C" w:rsidR="00893008" w:rsidRPr="006C09BD" w:rsidRDefault="006218BD">
      <w:pPr>
        <w:pStyle w:val="BodyA"/>
        <w:widowControl w:val="0"/>
        <w:spacing w:line="360" w:lineRule="auto"/>
        <w:rPr>
          <w:rStyle w:val="NoneA"/>
          <w:rFonts w:cs="Arial"/>
          <w:lang w:val="en-GB"/>
        </w:rPr>
      </w:pPr>
      <w:r w:rsidRPr="006C09BD">
        <w:rPr>
          <w:rStyle w:val="NoneA"/>
          <w:rFonts w:cs="Arial"/>
          <w:lang w:val="en-GB"/>
        </w:rPr>
        <w:t>The primary analysis</w:t>
      </w:r>
      <w:r w:rsidR="0036462D" w:rsidRPr="006C09BD">
        <w:rPr>
          <w:rStyle w:val="NoneA"/>
          <w:rFonts w:cs="Arial"/>
          <w:lang w:val="en-GB"/>
        </w:rPr>
        <w:t xml:space="preserve"> f</w:t>
      </w:r>
      <w:r w:rsidR="00E34448" w:rsidRPr="006C09BD">
        <w:rPr>
          <w:rStyle w:val="NoneA"/>
          <w:rFonts w:cs="Arial"/>
          <w:lang w:val="en-GB"/>
        </w:rPr>
        <w:t>or</w:t>
      </w:r>
      <w:r w:rsidR="0036462D" w:rsidRPr="006C09BD">
        <w:rPr>
          <w:rStyle w:val="NoneA"/>
          <w:rFonts w:cs="Arial"/>
          <w:lang w:val="en-GB"/>
        </w:rPr>
        <w:t xml:space="preserve"> </w:t>
      </w:r>
      <w:r w:rsidR="00E34448" w:rsidRPr="006C09BD">
        <w:rPr>
          <w:rStyle w:val="NoneA"/>
          <w:rFonts w:cs="Arial"/>
          <w:lang w:val="en-GB"/>
        </w:rPr>
        <w:t>the primary outcome of time to full feeds</w:t>
      </w:r>
      <w:r w:rsidRPr="006C09BD">
        <w:rPr>
          <w:rStyle w:val="NoneA"/>
          <w:rFonts w:cs="Arial"/>
          <w:lang w:val="en-GB"/>
        </w:rPr>
        <w:t xml:space="preserve"> will be based on a modified intention-to-treat</w:t>
      </w:r>
      <w:r w:rsidR="00570EF4" w:rsidRPr="006C09BD">
        <w:rPr>
          <w:rStyle w:val="NoneA"/>
          <w:rFonts w:cs="Arial"/>
          <w:lang w:val="en-GB"/>
        </w:rPr>
        <w:t xml:space="preserve"> (ITT)</w:t>
      </w:r>
      <w:r w:rsidRPr="006C09BD">
        <w:rPr>
          <w:rStyle w:val="NoneA"/>
          <w:rFonts w:cs="Arial"/>
          <w:lang w:val="en-GB"/>
        </w:rPr>
        <w:t xml:space="preserve"> approach; </w:t>
      </w:r>
      <w:r w:rsidR="002A35BF" w:rsidRPr="006C09BD">
        <w:rPr>
          <w:rFonts w:cs="Arial"/>
          <w:lang w:val="en-GB"/>
        </w:rPr>
        <w:t>infants</w:t>
      </w:r>
      <w:r w:rsidRPr="006C09BD">
        <w:rPr>
          <w:rStyle w:val="NoneA"/>
          <w:rFonts w:cs="Arial"/>
          <w:lang w:val="en-GB"/>
        </w:rPr>
        <w:t xml:space="preserve"> with outcome data </w:t>
      </w:r>
      <w:r w:rsidR="008D02AA" w:rsidRPr="006C09BD">
        <w:rPr>
          <w:rStyle w:val="NoneA"/>
          <w:rFonts w:cs="Arial"/>
          <w:lang w:val="en-GB"/>
        </w:rPr>
        <w:t xml:space="preserve">available </w:t>
      </w:r>
      <w:r w:rsidRPr="006C09BD">
        <w:rPr>
          <w:rStyle w:val="NoneA"/>
          <w:rFonts w:cs="Arial"/>
          <w:lang w:val="en-GB"/>
        </w:rPr>
        <w:t xml:space="preserve">will be analysed in the groups to which they are assigned, regardless of deviation from the protocol or procedure received. </w:t>
      </w:r>
    </w:p>
    <w:p w14:paraId="1EFD412B" w14:textId="53CF9940" w:rsidR="00570EF4" w:rsidRPr="006C09BD" w:rsidRDefault="00570EF4" w:rsidP="00570EF4">
      <w:pPr>
        <w:pStyle w:val="BodyA"/>
        <w:widowControl w:val="0"/>
        <w:spacing w:line="360" w:lineRule="auto"/>
        <w:rPr>
          <w:rStyle w:val="NoneA"/>
          <w:rFonts w:cs="Arial"/>
          <w:b/>
          <w:lang w:val="en-GB"/>
        </w:rPr>
      </w:pPr>
      <w:r w:rsidRPr="006C09BD">
        <w:rPr>
          <w:rStyle w:val="NoneA"/>
          <w:rFonts w:cs="Arial"/>
          <w:b/>
          <w:lang w:val="en-GB"/>
        </w:rPr>
        <w:t>Secondary outcomes</w:t>
      </w:r>
    </w:p>
    <w:p w14:paraId="57F6C07D" w14:textId="02755A53" w:rsidR="00A37F2B" w:rsidRPr="006C09BD" w:rsidRDefault="00E34448">
      <w:pPr>
        <w:pStyle w:val="BodyA"/>
        <w:widowControl w:val="0"/>
        <w:spacing w:line="360" w:lineRule="auto"/>
        <w:rPr>
          <w:rStyle w:val="NoneA"/>
          <w:rFonts w:cs="Arial"/>
          <w:lang w:val="en-GB"/>
        </w:rPr>
      </w:pPr>
      <w:r w:rsidRPr="006C09BD">
        <w:rPr>
          <w:rStyle w:val="NoneA"/>
          <w:rFonts w:cs="Arial"/>
          <w:lang w:val="en-GB"/>
        </w:rPr>
        <w:t>For the key secondary outcome (non-inferiority outcome) the primary analysis will be based on a per protocol population</w:t>
      </w:r>
      <w:r w:rsidR="00C23277" w:rsidRPr="006C09BD">
        <w:rPr>
          <w:rStyle w:val="NoneA"/>
          <w:rFonts w:cs="Arial"/>
          <w:lang w:val="en-GB"/>
        </w:rPr>
        <w:t xml:space="preserve">; infants with outcome data available excluding </w:t>
      </w:r>
      <w:r w:rsidR="00F3038A" w:rsidRPr="006C09BD">
        <w:rPr>
          <w:rStyle w:val="NoneA"/>
          <w:rFonts w:cs="Arial"/>
          <w:lang w:val="en-GB"/>
        </w:rPr>
        <w:t xml:space="preserve">those </w:t>
      </w:r>
      <w:r w:rsidR="00C23277" w:rsidRPr="006C09BD">
        <w:rPr>
          <w:rStyle w:val="NoneA"/>
          <w:rFonts w:cs="Arial"/>
          <w:lang w:val="en-GB"/>
        </w:rPr>
        <w:t>considered non-adherent before reaching full feeds, will be analysed in the groups to which they are assigned</w:t>
      </w:r>
      <w:r w:rsidR="00A37F2B" w:rsidRPr="006C09BD">
        <w:rPr>
          <w:rStyle w:val="NoneA"/>
          <w:rFonts w:cs="Arial"/>
          <w:lang w:val="en-GB"/>
        </w:rPr>
        <w:t>.</w:t>
      </w:r>
    </w:p>
    <w:p w14:paraId="0FF6113A" w14:textId="2F704CB3" w:rsidR="00A37F2B" w:rsidRPr="006C09BD" w:rsidRDefault="00A37F2B" w:rsidP="00A37F2B">
      <w:pPr>
        <w:pStyle w:val="BodyA"/>
        <w:widowControl w:val="0"/>
        <w:spacing w:line="360" w:lineRule="auto"/>
        <w:rPr>
          <w:rStyle w:val="NoneA"/>
          <w:rFonts w:cs="Arial"/>
          <w:lang w:val="en-GB"/>
        </w:rPr>
      </w:pPr>
      <w:r w:rsidRPr="006C09BD">
        <w:rPr>
          <w:rStyle w:val="NoneA"/>
          <w:rFonts w:cs="Arial"/>
          <w:lang w:val="en-GB"/>
        </w:rPr>
        <w:t>Non-adherence to trial intervention will be defined as the following occurring on two or more consecutive calendar days:</w:t>
      </w:r>
    </w:p>
    <w:p w14:paraId="6DFF8DB9" w14:textId="77777777" w:rsidR="00A37F2B" w:rsidRPr="006C09BD" w:rsidRDefault="00A37F2B" w:rsidP="00A37F2B">
      <w:pPr>
        <w:pStyle w:val="BodyA"/>
        <w:widowControl w:val="0"/>
        <w:spacing w:line="360" w:lineRule="auto"/>
        <w:rPr>
          <w:rStyle w:val="NoneA"/>
          <w:rFonts w:cs="Arial"/>
          <w:lang w:val="en-GB"/>
        </w:rPr>
      </w:pPr>
    </w:p>
    <w:p w14:paraId="7FECE020" w14:textId="3CB750B2" w:rsidR="00A37F2B" w:rsidRPr="006C09BD" w:rsidRDefault="00A37F2B" w:rsidP="00A37F2B">
      <w:pPr>
        <w:pStyle w:val="BodyA"/>
        <w:widowControl w:val="0"/>
        <w:spacing w:line="360" w:lineRule="auto"/>
        <w:rPr>
          <w:rStyle w:val="NoneA"/>
          <w:rFonts w:cs="Arial"/>
          <w:lang w:val="en-GB"/>
        </w:rPr>
      </w:pPr>
      <w:r w:rsidRPr="006C09BD">
        <w:rPr>
          <w:rStyle w:val="NoneA"/>
          <w:rFonts w:cs="Arial"/>
          <w:u w:val="single"/>
          <w:lang w:val="en-GB"/>
        </w:rPr>
        <w:t>No routine measurement of gastric residual volume</w:t>
      </w:r>
      <w:r w:rsidR="000F657C">
        <w:rPr>
          <w:rStyle w:val="NoneA"/>
          <w:rFonts w:cs="Arial"/>
          <w:u w:val="single"/>
          <w:lang w:val="en-GB"/>
        </w:rPr>
        <w:t>s</w:t>
      </w:r>
      <w:r w:rsidRPr="006C09BD">
        <w:rPr>
          <w:rStyle w:val="NoneA"/>
          <w:rFonts w:cs="Arial"/>
          <w:lang w:val="en-GB"/>
        </w:rPr>
        <w:t>: Two or more gastric residual volume measurements. Where gastric residual volume measurements are undertaken during assessment for a clinical indication or concern this will not be counted as non-adherence.</w:t>
      </w:r>
    </w:p>
    <w:p w14:paraId="3D5F1773" w14:textId="5F9F93CE" w:rsidR="00A37F2B" w:rsidRPr="006C09BD" w:rsidRDefault="00A37F2B" w:rsidP="00A37F2B">
      <w:pPr>
        <w:pStyle w:val="BodyA"/>
        <w:widowControl w:val="0"/>
        <w:spacing w:line="360" w:lineRule="auto"/>
        <w:rPr>
          <w:rStyle w:val="NoneA"/>
          <w:rFonts w:cs="Arial"/>
          <w:lang w:val="en-GB"/>
        </w:rPr>
      </w:pPr>
      <w:r w:rsidRPr="006C09BD">
        <w:rPr>
          <w:rStyle w:val="NoneA"/>
          <w:rFonts w:cs="Arial"/>
          <w:u w:val="single"/>
          <w:lang w:val="en-GB"/>
        </w:rPr>
        <w:t>Routine measurement of gastric residual volume</w:t>
      </w:r>
      <w:r w:rsidR="000F657C">
        <w:rPr>
          <w:rStyle w:val="NoneA"/>
          <w:rFonts w:cs="Arial"/>
          <w:u w:val="single"/>
          <w:lang w:val="en-GB"/>
        </w:rPr>
        <w:t>s</w:t>
      </w:r>
      <w:r w:rsidRPr="006C09BD">
        <w:rPr>
          <w:rStyle w:val="NoneA"/>
          <w:rFonts w:cs="Arial"/>
          <w:u w:val="single"/>
          <w:lang w:val="en-GB"/>
        </w:rPr>
        <w:t>:</w:t>
      </w:r>
      <w:r w:rsidRPr="006C09BD">
        <w:rPr>
          <w:rStyle w:val="NoneA"/>
          <w:rFonts w:cs="Arial"/>
          <w:lang w:val="en-GB"/>
        </w:rPr>
        <w:t xml:space="preserve"> Less than three gastric residual volume measurements. </w:t>
      </w:r>
    </w:p>
    <w:p w14:paraId="041358F1" w14:textId="77777777" w:rsidR="00A37F2B" w:rsidRPr="006C09BD" w:rsidRDefault="00A37F2B" w:rsidP="00A37F2B">
      <w:pPr>
        <w:pStyle w:val="BodyA"/>
        <w:widowControl w:val="0"/>
        <w:spacing w:line="360" w:lineRule="auto"/>
        <w:rPr>
          <w:rStyle w:val="NoneA"/>
          <w:rFonts w:cs="Arial"/>
          <w:lang w:val="en-GB"/>
        </w:rPr>
      </w:pPr>
    </w:p>
    <w:p w14:paraId="648E423B" w14:textId="54AF9B18" w:rsidR="00570EF4" w:rsidRPr="006C09BD" w:rsidRDefault="00E5551E">
      <w:pPr>
        <w:pStyle w:val="BodyA"/>
        <w:widowControl w:val="0"/>
        <w:spacing w:line="360" w:lineRule="auto"/>
        <w:rPr>
          <w:rStyle w:val="NoneA"/>
          <w:rFonts w:cs="Arial"/>
          <w:lang w:val="en-GB"/>
        </w:rPr>
      </w:pPr>
      <w:r w:rsidRPr="006C09BD">
        <w:rPr>
          <w:rStyle w:val="NoneA"/>
          <w:rFonts w:cs="Arial"/>
          <w:lang w:val="en-GB"/>
        </w:rPr>
        <w:t>All other s</w:t>
      </w:r>
      <w:r w:rsidR="00570EF4" w:rsidRPr="006C09BD">
        <w:rPr>
          <w:rStyle w:val="NoneA"/>
          <w:rFonts w:cs="Arial"/>
          <w:lang w:val="en-GB"/>
        </w:rPr>
        <w:t xml:space="preserve">econdary outcomes will also be analysed using a modified ITT approach. </w:t>
      </w:r>
    </w:p>
    <w:p w14:paraId="56B37918" w14:textId="7124CBAC" w:rsidR="00570EF4" w:rsidRPr="006C09BD" w:rsidRDefault="00570EF4">
      <w:pPr>
        <w:pStyle w:val="BodyA"/>
        <w:widowControl w:val="0"/>
        <w:spacing w:line="360" w:lineRule="auto"/>
        <w:rPr>
          <w:rStyle w:val="NoneA"/>
          <w:rFonts w:cs="Arial"/>
          <w:lang w:val="en-GB"/>
        </w:rPr>
      </w:pPr>
    </w:p>
    <w:p w14:paraId="7455EC39" w14:textId="77777777" w:rsidR="00C50154" w:rsidRPr="006C09BD" w:rsidRDefault="00C50154" w:rsidP="00C50154">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How missing data will be included in each analysis {27c}</w:t>
      </w:r>
    </w:p>
    <w:p w14:paraId="0DC57906" w14:textId="77777777" w:rsidR="00C50154" w:rsidRPr="006C09BD" w:rsidRDefault="00C50154" w:rsidP="00C50154">
      <w:pPr>
        <w:pStyle w:val="BodyA"/>
        <w:widowControl w:val="0"/>
        <w:spacing w:line="360" w:lineRule="auto"/>
        <w:rPr>
          <w:rStyle w:val="NoneA"/>
          <w:rFonts w:cs="Arial"/>
          <w:lang w:val="en-GB"/>
        </w:rPr>
      </w:pPr>
    </w:p>
    <w:p w14:paraId="6BC08C8E" w14:textId="5862E238" w:rsidR="00C50154" w:rsidRPr="006C09BD" w:rsidRDefault="00C50154" w:rsidP="00C50154">
      <w:pPr>
        <w:pStyle w:val="BodyA"/>
        <w:widowControl w:val="0"/>
        <w:spacing w:line="360" w:lineRule="auto"/>
        <w:rPr>
          <w:rStyle w:val="NoneA"/>
          <w:rFonts w:cs="Arial"/>
          <w:lang w:val="en-GB"/>
        </w:rPr>
      </w:pPr>
      <w:r w:rsidRPr="006C09BD">
        <w:rPr>
          <w:rStyle w:val="NoneA"/>
          <w:rFonts w:cs="Arial"/>
          <w:lang w:val="en-GB"/>
        </w:rPr>
        <w:t xml:space="preserve">Missing data will be described, for example, by presenting the number of individuals in the missing category. Missing data as a result of </w:t>
      </w:r>
      <w:r w:rsidRPr="006C09BD">
        <w:rPr>
          <w:rFonts w:cs="Arial"/>
          <w:lang w:val="en-GB"/>
        </w:rPr>
        <w:t>infants</w:t>
      </w:r>
      <w:r w:rsidRPr="006C09BD">
        <w:rPr>
          <w:rStyle w:val="NoneA"/>
          <w:rFonts w:cs="Arial"/>
          <w:lang w:val="en-GB"/>
        </w:rPr>
        <w:t xml:space="preserve"> being lost to follow-up is expected to be minimal for short term outcomes. </w:t>
      </w:r>
      <w:r w:rsidRPr="006C09BD">
        <w:rPr>
          <w:rFonts w:cs="Arial"/>
          <w:lang w:val="en-GB"/>
        </w:rPr>
        <w:t>Infants</w:t>
      </w:r>
      <w:r w:rsidRPr="006C09BD">
        <w:rPr>
          <w:rStyle w:val="NoneA"/>
          <w:rFonts w:cs="Arial"/>
          <w:lang w:val="en-GB"/>
        </w:rPr>
        <w:t xml:space="preserve"> who are missing their primary outcome data will be considered lost to follow-up. The number and percentage of </w:t>
      </w:r>
      <w:r w:rsidRPr="006C09BD">
        <w:rPr>
          <w:rFonts w:cs="Arial"/>
          <w:lang w:val="en-GB"/>
        </w:rPr>
        <w:t>infants</w:t>
      </w:r>
      <w:r w:rsidRPr="006C09BD">
        <w:rPr>
          <w:rStyle w:val="NoneA"/>
          <w:rFonts w:cs="Arial"/>
          <w:lang w:val="en-GB"/>
        </w:rPr>
        <w:t xml:space="preserve"> lost to follow-up will be reported with the reasons recorded. Baseline characteristics and some secondary outcome data will also be available from the NNRD for all UK-based participants. This data will be used to impute any missing values for variables where it is available. A sensitivity analysis will be carried out where any data which has been imputed from the NNRD is excluded.</w:t>
      </w:r>
    </w:p>
    <w:p w14:paraId="648D50B0" w14:textId="77777777" w:rsidR="00C50154" w:rsidRPr="006C09BD" w:rsidRDefault="00C50154" w:rsidP="00C50154">
      <w:pPr>
        <w:pStyle w:val="BodyA"/>
        <w:widowControl w:val="0"/>
        <w:spacing w:line="360" w:lineRule="auto"/>
        <w:rPr>
          <w:rStyle w:val="NoneA"/>
          <w:rFonts w:cs="Arial"/>
          <w:lang w:val="en-GB"/>
        </w:rPr>
      </w:pPr>
    </w:p>
    <w:p w14:paraId="0ABA07B8" w14:textId="76C92A6E"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Methods for additional analyses (</w:t>
      </w:r>
      <w:r w:rsidR="00D46D11" w:rsidRPr="006C09BD">
        <w:rPr>
          <w:rStyle w:val="None"/>
          <w:rFonts w:cs="Arial"/>
          <w:b/>
          <w:bCs/>
          <w:sz w:val="24"/>
          <w:szCs w:val="24"/>
          <w:lang w:val="en-GB"/>
        </w:rPr>
        <w:t>e.g.,</w:t>
      </w:r>
      <w:r w:rsidRPr="006C09BD">
        <w:rPr>
          <w:rStyle w:val="None"/>
          <w:rFonts w:cs="Arial"/>
          <w:b/>
          <w:bCs/>
          <w:sz w:val="24"/>
          <w:szCs w:val="24"/>
          <w:lang w:val="en-GB"/>
        </w:rPr>
        <w:t xml:space="preserve"> subgroup analyses) {2</w:t>
      </w:r>
      <w:r w:rsidR="00091B07" w:rsidRPr="006C09BD">
        <w:rPr>
          <w:rStyle w:val="None"/>
          <w:rFonts w:cs="Arial"/>
          <w:b/>
          <w:bCs/>
          <w:sz w:val="24"/>
          <w:szCs w:val="24"/>
          <w:lang w:val="en-GB"/>
        </w:rPr>
        <w:t>7d</w:t>
      </w:r>
      <w:r w:rsidRPr="006C09BD">
        <w:rPr>
          <w:rStyle w:val="None"/>
          <w:rFonts w:cs="Arial"/>
          <w:b/>
          <w:bCs/>
          <w:sz w:val="24"/>
          <w:szCs w:val="24"/>
          <w:lang w:val="en-GB"/>
        </w:rPr>
        <w:t>}</w:t>
      </w:r>
    </w:p>
    <w:p w14:paraId="15A5E34F" w14:textId="77777777" w:rsidR="008D02AA" w:rsidRPr="006C09BD" w:rsidRDefault="008D02AA" w:rsidP="008D02AA">
      <w:pPr>
        <w:pStyle w:val="BodyA"/>
        <w:widowControl w:val="0"/>
        <w:spacing w:line="360" w:lineRule="auto"/>
        <w:rPr>
          <w:rStyle w:val="NoneA"/>
          <w:rFonts w:cs="Arial"/>
          <w:b/>
          <w:lang w:val="en-GB"/>
        </w:rPr>
      </w:pPr>
      <w:r w:rsidRPr="006C09BD">
        <w:rPr>
          <w:rStyle w:val="NoneA"/>
          <w:rFonts w:cs="Arial"/>
          <w:b/>
          <w:lang w:val="en-GB"/>
        </w:rPr>
        <w:t>Subgroup analyses</w:t>
      </w:r>
    </w:p>
    <w:p w14:paraId="180E1316" w14:textId="7A303174" w:rsidR="008D02AA" w:rsidRPr="006C09BD" w:rsidRDefault="008D02AA" w:rsidP="008D02AA">
      <w:pPr>
        <w:pStyle w:val="BodyA"/>
        <w:widowControl w:val="0"/>
        <w:spacing w:line="360" w:lineRule="auto"/>
        <w:rPr>
          <w:rStyle w:val="NoneA"/>
          <w:rFonts w:cs="Arial"/>
          <w:lang w:val="en-GB"/>
        </w:rPr>
      </w:pPr>
      <w:r w:rsidRPr="006C09BD">
        <w:rPr>
          <w:rStyle w:val="NoneA"/>
          <w:rFonts w:cs="Arial"/>
          <w:lang w:val="en-GB"/>
        </w:rPr>
        <w:t xml:space="preserve">The consistency of the treatment effect on the time to full feeds and NEC by gestational age group, birth weight &lt;10th centile for gestational age, sex and country will be assessed using the statistical test of interaction, with the associated p-value, subgroup specific treatment effects and 95% confidence intervals presented. </w:t>
      </w:r>
    </w:p>
    <w:p w14:paraId="25E634BD" w14:textId="071A7C51" w:rsidR="00E34448" w:rsidRPr="006C09BD" w:rsidRDefault="00E34448" w:rsidP="008D02AA">
      <w:pPr>
        <w:pStyle w:val="BodyA"/>
        <w:widowControl w:val="0"/>
        <w:spacing w:line="360" w:lineRule="auto"/>
        <w:rPr>
          <w:rStyle w:val="NoneA"/>
          <w:rFonts w:cs="Arial"/>
          <w:b/>
          <w:bCs/>
          <w:lang w:val="en-GB"/>
        </w:rPr>
      </w:pPr>
      <w:r w:rsidRPr="006C09BD">
        <w:rPr>
          <w:rStyle w:val="NoneA"/>
          <w:rFonts w:cs="Arial"/>
          <w:b/>
          <w:bCs/>
          <w:lang w:val="en-GB"/>
        </w:rPr>
        <w:t>Secondary analyses</w:t>
      </w:r>
    </w:p>
    <w:p w14:paraId="056DC715" w14:textId="6B615E9E" w:rsidR="00E34448" w:rsidRPr="006C09BD" w:rsidRDefault="00E34448" w:rsidP="008D02AA">
      <w:pPr>
        <w:pStyle w:val="BodyA"/>
        <w:widowControl w:val="0"/>
        <w:spacing w:line="360" w:lineRule="auto"/>
        <w:rPr>
          <w:rStyle w:val="NoneA"/>
          <w:rFonts w:cs="Arial"/>
          <w:lang w:val="en-GB"/>
        </w:rPr>
      </w:pPr>
      <w:r w:rsidRPr="006C09BD">
        <w:rPr>
          <w:rStyle w:val="NoneA"/>
          <w:rFonts w:cs="Arial"/>
          <w:lang w:val="en-GB"/>
        </w:rPr>
        <w:t>A per-protocol analysis for the primary outcome and a modified</w:t>
      </w:r>
      <w:r w:rsidR="00F3038A" w:rsidRPr="006C09BD">
        <w:rPr>
          <w:rStyle w:val="NoneA"/>
          <w:rFonts w:cs="Arial"/>
          <w:lang w:val="en-GB"/>
        </w:rPr>
        <w:t xml:space="preserve"> </w:t>
      </w:r>
      <w:r w:rsidRPr="006C09BD">
        <w:rPr>
          <w:rStyle w:val="NoneA"/>
          <w:rFonts w:cs="Arial"/>
          <w:lang w:val="en-GB"/>
        </w:rPr>
        <w:t xml:space="preserve">ITT analysis for the key secondary outcome </w:t>
      </w:r>
      <w:r w:rsidRPr="006C09BD">
        <w:rPr>
          <w:rStyle w:val="NoneA"/>
          <w:rFonts w:cs="Arial"/>
          <w:lang w:val="en-GB"/>
        </w:rPr>
        <w:lastRenderedPageBreak/>
        <w:t>will be conducted applying the same statistical models as used for the primary analyses of these outcomes.</w:t>
      </w:r>
    </w:p>
    <w:p w14:paraId="1A015C06" w14:textId="3FF670D6" w:rsidR="001215A2" w:rsidRPr="006C09BD" w:rsidRDefault="005B54C9">
      <w:pPr>
        <w:pStyle w:val="BodyA"/>
        <w:widowControl w:val="0"/>
        <w:spacing w:before="120" w:line="360" w:lineRule="auto"/>
        <w:rPr>
          <w:rStyle w:val="NoneA"/>
          <w:rFonts w:cs="Arial"/>
          <w:lang w:val="en-GB"/>
        </w:rPr>
      </w:pPr>
      <w:r w:rsidRPr="006C09BD">
        <w:rPr>
          <w:rStyle w:val="NoneA"/>
          <w:rFonts w:cs="Arial"/>
          <w:b/>
          <w:bCs/>
          <w:lang w:val="en-GB"/>
        </w:rPr>
        <w:t>Costing Study</w:t>
      </w:r>
    </w:p>
    <w:p w14:paraId="3062755F" w14:textId="77777777" w:rsidR="000F657C" w:rsidRDefault="005B54C9" w:rsidP="000F657C">
      <w:pPr>
        <w:pStyle w:val="BodyA"/>
        <w:widowControl w:val="0"/>
        <w:spacing w:line="360" w:lineRule="auto"/>
        <w:rPr>
          <w:rStyle w:val="NoneA"/>
          <w:rFonts w:cs="Arial"/>
          <w:lang w:val="en-GB"/>
        </w:rPr>
      </w:pPr>
      <w:r w:rsidRPr="006C09BD">
        <w:rPr>
          <w:rStyle w:val="NoneA"/>
          <w:rFonts w:cs="Arial"/>
          <w:lang w:val="en-GB"/>
        </w:rPr>
        <w:t>An</w:t>
      </w:r>
      <w:r w:rsidR="002A6933" w:rsidRPr="006C09BD">
        <w:rPr>
          <w:rStyle w:val="NoneA"/>
          <w:rFonts w:cs="Arial"/>
          <w:lang w:val="en-GB"/>
        </w:rPr>
        <w:t xml:space="preserve"> integrated analysis will assess the resource use and costs associated with routine measurement and with no routine measurement of gastric residual </w:t>
      </w:r>
      <w:r w:rsidR="00387D38" w:rsidRPr="006C09BD">
        <w:rPr>
          <w:rStyle w:val="NoneA"/>
          <w:rFonts w:cs="Arial"/>
          <w:lang w:val="en-GB"/>
        </w:rPr>
        <w:t>volumes.</w:t>
      </w:r>
    </w:p>
    <w:p w14:paraId="1F958269" w14:textId="1E9A1630" w:rsidR="00387D38" w:rsidRPr="006C09BD" w:rsidRDefault="00387D38" w:rsidP="000F657C">
      <w:pPr>
        <w:pStyle w:val="BodyA"/>
        <w:widowControl w:val="0"/>
        <w:spacing w:line="360" w:lineRule="auto"/>
        <w:rPr>
          <w:rStyle w:val="NoneA"/>
          <w:rFonts w:cs="Arial"/>
          <w:lang w:val="en-GB"/>
        </w:rPr>
      </w:pPr>
    </w:p>
    <w:p w14:paraId="4ED85943" w14:textId="77777777" w:rsidR="000F657C" w:rsidRDefault="005B54C9" w:rsidP="000F657C">
      <w:pPr>
        <w:pStyle w:val="BodyA"/>
        <w:widowControl w:val="0"/>
        <w:spacing w:line="360" w:lineRule="auto"/>
        <w:rPr>
          <w:rStyle w:val="NoneA"/>
          <w:rFonts w:cs="Arial"/>
          <w:lang w:val="en-GB"/>
        </w:rPr>
      </w:pPr>
      <w:r w:rsidRPr="006C09BD">
        <w:rPr>
          <w:rStyle w:val="NoneA"/>
          <w:rFonts w:cs="Arial"/>
          <w:lang w:val="en-GB"/>
        </w:rPr>
        <w:t xml:space="preserve">The analysis, conducted from a healthcare system perspective, will utilise routinely available data and hospital records review for individual </w:t>
      </w:r>
      <w:r w:rsidRPr="006C09BD">
        <w:rPr>
          <w:rFonts w:cs="Arial"/>
          <w:lang w:val="en-GB"/>
        </w:rPr>
        <w:t>infants</w:t>
      </w:r>
      <w:r w:rsidRPr="006C09BD">
        <w:rPr>
          <w:rStyle w:val="NoneA"/>
          <w:rFonts w:cs="Arial"/>
          <w:lang w:val="en-GB"/>
        </w:rPr>
        <w:t xml:space="preserve"> at discharge home or 44+0 gestational weeks+days. Key healthcare resource use captured will include the number of gastric residual measurements taken and abdominal x-rays performed (based upon the observation phase of the process evaluation), treatment for NEC and infections, parenteral nutrition, duration of neonatal unit stay at intensive care, high dependency care and special care levels, and hospital transfers.</w:t>
      </w:r>
    </w:p>
    <w:p w14:paraId="3AA04608" w14:textId="66FEF990" w:rsidR="005B54C9" w:rsidRPr="006C09BD" w:rsidRDefault="005B54C9" w:rsidP="000F657C">
      <w:pPr>
        <w:pStyle w:val="BodyA"/>
        <w:widowControl w:val="0"/>
        <w:spacing w:line="360" w:lineRule="auto"/>
        <w:rPr>
          <w:rStyle w:val="NoneA"/>
          <w:rFonts w:cs="Arial"/>
          <w:lang w:val="en-GB"/>
        </w:rPr>
      </w:pPr>
    </w:p>
    <w:p w14:paraId="66216039" w14:textId="10D464AF" w:rsidR="002A6933" w:rsidRDefault="002A6933" w:rsidP="000F657C">
      <w:pPr>
        <w:pStyle w:val="BodyA"/>
        <w:widowControl w:val="0"/>
        <w:spacing w:line="360" w:lineRule="auto"/>
        <w:rPr>
          <w:rStyle w:val="NoneA"/>
          <w:rFonts w:cs="Arial"/>
          <w:lang w:val="en-GB"/>
        </w:rPr>
      </w:pPr>
      <w:r w:rsidRPr="006C09BD">
        <w:rPr>
          <w:rStyle w:val="NoneA"/>
          <w:rFonts w:cs="Arial"/>
          <w:lang w:val="en-GB"/>
        </w:rPr>
        <w:t xml:space="preserve">Regardless of whether routine measurement of gastric residual volumes could bring additional benefit or be stopped without causing harm, an accurate estimate of the resources required by this activity will be essential to inform healthcare budgeting. A micro-costing analysis of gastric residual volume measurements will be carried out in a selected number of </w:t>
      </w:r>
      <w:r w:rsidR="002A35BF" w:rsidRPr="006C09BD">
        <w:rPr>
          <w:rFonts w:cs="Arial"/>
          <w:lang w:val="en-GB"/>
        </w:rPr>
        <w:t>infants</w:t>
      </w:r>
      <w:r w:rsidRPr="006C09BD">
        <w:rPr>
          <w:rStyle w:val="NoneA"/>
          <w:rFonts w:cs="Arial"/>
          <w:lang w:val="en-GB"/>
        </w:rPr>
        <w:t xml:space="preserve"> and sites in the UK to understand this. A data collection form will be developed with clinical input to capture the key resource use involved in this activity from the start of the process until a decision to administer or withhold feeds is made. The questionnaire will collect information about who performs the initial aspiration and whether additional staff support is required, equipment/disposable items involved and pH measurements results. For the UK sites, gastric residual volume measurements will be observed for a representative sample of </w:t>
      </w:r>
      <w:r w:rsidR="002A35BF" w:rsidRPr="006C09BD">
        <w:rPr>
          <w:rFonts w:cs="Arial"/>
          <w:lang w:val="en-GB"/>
        </w:rPr>
        <w:t>infants</w:t>
      </w:r>
      <w:r w:rsidRPr="006C09BD">
        <w:rPr>
          <w:rStyle w:val="NoneA"/>
          <w:rFonts w:cs="Arial"/>
          <w:lang w:val="en-GB"/>
        </w:rPr>
        <w:t xml:space="preserve"> across 4 centres involved in the process evaluation sub-study. The resulting resource use observations will be costed and used to calculate a mean cost per gastric residual volume measurement, which will then be used to cost each measurement recorded for each </w:t>
      </w:r>
      <w:r w:rsidR="00865C1B" w:rsidRPr="000F657C">
        <w:rPr>
          <w:rFonts w:cs="Arial"/>
          <w:color w:val="auto"/>
          <w:u w:color="004C7F"/>
          <w:lang w:val="en-GB"/>
        </w:rPr>
        <w:t>infant</w:t>
      </w:r>
      <w:r w:rsidR="007A07AB" w:rsidRPr="006C09BD">
        <w:rPr>
          <w:rStyle w:val="NoneA"/>
          <w:rFonts w:cs="Arial"/>
          <w:lang w:val="en-GB"/>
        </w:rPr>
        <w:t xml:space="preserve"> </w:t>
      </w:r>
      <w:r w:rsidRPr="006C09BD">
        <w:rPr>
          <w:rStyle w:val="NoneA"/>
          <w:rFonts w:cs="Arial"/>
          <w:lang w:val="en-GB"/>
        </w:rPr>
        <w:t>in the trial. For the Australian sites, pragmatic adjustments may be made based on local clinical practice.</w:t>
      </w:r>
    </w:p>
    <w:p w14:paraId="3F274565" w14:textId="77777777" w:rsidR="00A47712" w:rsidRPr="006C09BD" w:rsidRDefault="00A47712" w:rsidP="000F657C">
      <w:pPr>
        <w:pStyle w:val="BodyA"/>
        <w:widowControl w:val="0"/>
        <w:spacing w:line="360" w:lineRule="auto"/>
        <w:rPr>
          <w:rStyle w:val="NoneA"/>
          <w:rFonts w:cs="Arial"/>
          <w:lang w:val="en-GB"/>
        </w:rPr>
      </w:pPr>
    </w:p>
    <w:p w14:paraId="1D130795" w14:textId="3CD50906" w:rsidR="002A6933" w:rsidRPr="006C09BD" w:rsidRDefault="002A6933" w:rsidP="002A6933">
      <w:pPr>
        <w:pStyle w:val="BodyA"/>
        <w:widowControl w:val="0"/>
        <w:spacing w:line="360" w:lineRule="auto"/>
        <w:rPr>
          <w:rStyle w:val="NoneA"/>
          <w:rFonts w:cs="Arial"/>
          <w:lang w:val="en-GB"/>
        </w:rPr>
      </w:pPr>
      <w:r w:rsidRPr="006C09BD">
        <w:rPr>
          <w:rStyle w:val="NoneA"/>
          <w:rFonts w:cs="Arial"/>
          <w:lang w:val="en-GB"/>
        </w:rPr>
        <w:t>The main source of resource use data associated with neonatal care will be the NNRD in the UK and trial CRF</w:t>
      </w:r>
      <w:r w:rsidR="00D46D11" w:rsidRPr="006C09BD">
        <w:rPr>
          <w:rStyle w:val="NoneA"/>
          <w:rFonts w:cs="Arial"/>
          <w:lang w:val="en-GB"/>
        </w:rPr>
        <w:t xml:space="preserve"> </w:t>
      </w:r>
      <w:r w:rsidRPr="006C09BD">
        <w:rPr>
          <w:rStyle w:val="NoneA"/>
          <w:rFonts w:cs="Arial"/>
          <w:lang w:val="en-GB"/>
        </w:rPr>
        <w:t>and hospital administrative records in Australia. Resource use will be costed using unit costs from established national sources in both countries. In the UK this will include the NHS National Cost Collection</w:t>
      </w:r>
      <w:r w:rsidR="00FB1581" w:rsidRPr="006C09BD">
        <w:rPr>
          <w:rStyle w:val="NoneA"/>
          <w:rFonts w:cs="Arial"/>
          <w:noProof/>
          <w:lang w:val="en-GB"/>
        </w:rPr>
        <w:t xml:space="preserve"> </w:t>
      </w:r>
      <w:r w:rsidR="00FB1581" w:rsidRPr="006C09BD">
        <w:rPr>
          <w:rFonts w:cs="Arial"/>
          <w:noProof/>
          <w:lang w:val="en-GB"/>
        </w:rPr>
        <w:t>[</w:t>
      </w:r>
      <w:r w:rsidR="009C5F37" w:rsidRPr="006C09BD">
        <w:rPr>
          <w:rFonts w:cs="Arial"/>
          <w:noProof/>
          <w:lang w:val="en-GB"/>
        </w:rPr>
        <w:t>3</w:t>
      </w:r>
      <w:r w:rsidR="00692054" w:rsidRPr="006C09BD">
        <w:rPr>
          <w:rFonts w:cs="Arial"/>
          <w:noProof/>
          <w:lang w:val="en-GB"/>
        </w:rPr>
        <w:t>1</w:t>
      </w:r>
      <w:r w:rsidR="00A9420E" w:rsidRPr="006C09BD">
        <w:rPr>
          <w:rFonts w:cs="Arial"/>
          <w:noProof/>
          <w:lang w:val="en-GB"/>
        </w:rPr>
        <w:t>]</w:t>
      </w:r>
      <w:r w:rsidRPr="006C09BD">
        <w:rPr>
          <w:rStyle w:val="NoneA"/>
          <w:rFonts w:cs="Arial"/>
          <w:lang w:val="en-GB"/>
        </w:rPr>
        <w:t>, the Unit Costs of Health and Social Care</w:t>
      </w:r>
      <w:r w:rsidR="00FB1581" w:rsidRPr="006C09BD">
        <w:rPr>
          <w:rStyle w:val="NoneA"/>
          <w:rFonts w:cs="Arial"/>
          <w:noProof/>
          <w:lang w:val="en-GB"/>
        </w:rPr>
        <w:t xml:space="preserve"> </w:t>
      </w:r>
      <w:r w:rsidR="00FB1581" w:rsidRPr="006C09BD">
        <w:rPr>
          <w:rFonts w:cs="Arial"/>
          <w:noProof/>
          <w:lang w:val="en-GB"/>
        </w:rPr>
        <w:t>[</w:t>
      </w:r>
      <w:r w:rsidR="004570FD" w:rsidRPr="006C09BD">
        <w:rPr>
          <w:rFonts w:cs="Arial"/>
          <w:noProof/>
          <w:lang w:val="en-GB"/>
        </w:rPr>
        <w:t>3</w:t>
      </w:r>
      <w:r w:rsidR="00692054" w:rsidRPr="006C09BD">
        <w:rPr>
          <w:rFonts w:cs="Arial"/>
          <w:noProof/>
          <w:lang w:val="en-GB"/>
        </w:rPr>
        <w:t>2</w:t>
      </w:r>
      <w:r w:rsidR="009C5F37" w:rsidRPr="006C09BD">
        <w:rPr>
          <w:rFonts w:cs="Arial"/>
          <w:noProof/>
          <w:lang w:val="en-GB"/>
        </w:rPr>
        <w:t>]</w:t>
      </w:r>
      <w:r w:rsidRPr="006C09BD">
        <w:rPr>
          <w:rStyle w:val="NoneA"/>
          <w:rFonts w:cs="Arial"/>
          <w:lang w:val="en-GB"/>
        </w:rPr>
        <w:t>, and the NHS Electronic Drug Tariff</w:t>
      </w:r>
      <w:r w:rsidR="00FB1581" w:rsidRPr="006C09BD">
        <w:rPr>
          <w:rStyle w:val="NoneA"/>
          <w:rFonts w:cs="Arial"/>
          <w:noProof/>
          <w:lang w:val="en-GB"/>
        </w:rPr>
        <w:t xml:space="preserve"> </w:t>
      </w:r>
      <w:r w:rsidR="00FB1581" w:rsidRPr="006C09BD">
        <w:rPr>
          <w:rFonts w:cs="Arial"/>
          <w:noProof/>
          <w:lang w:val="en-GB"/>
        </w:rPr>
        <w:t>[</w:t>
      </w:r>
      <w:r w:rsidR="004570FD" w:rsidRPr="006C09BD">
        <w:rPr>
          <w:rFonts w:cs="Arial"/>
          <w:noProof/>
          <w:lang w:val="en-GB"/>
        </w:rPr>
        <w:t>3</w:t>
      </w:r>
      <w:r w:rsidR="00692054" w:rsidRPr="006C09BD">
        <w:rPr>
          <w:rFonts w:cs="Arial"/>
          <w:noProof/>
          <w:lang w:val="en-GB"/>
        </w:rPr>
        <w:t>3</w:t>
      </w:r>
      <w:r w:rsidR="009C5F37" w:rsidRPr="006C09BD">
        <w:rPr>
          <w:rFonts w:cs="Arial"/>
          <w:noProof/>
          <w:lang w:val="en-GB"/>
        </w:rPr>
        <w:t>]</w:t>
      </w:r>
      <w:r w:rsidRPr="006C09BD">
        <w:rPr>
          <w:rStyle w:val="NoneA"/>
          <w:rFonts w:cs="Arial"/>
          <w:lang w:val="en-GB"/>
        </w:rPr>
        <w:t xml:space="preserve">. In Australia this includes Enterprise Agreement for </w:t>
      </w:r>
      <w:r w:rsidR="00E87A3B" w:rsidRPr="006C09BD">
        <w:rPr>
          <w:rStyle w:val="NoneA"/>
          <w:rFonts w:cs="Arial"/>
          <w:lang w:val="en-GB"/>
        </w:rPr>
        <w:t xml:space="preserve">medical and nursing </w:t>
      </w:r>
      <w:r w:rsidRPr="006C09BD">
        <w:rPr>
          <w:rStyle w:val="NoneA"/>
          <w:rFonts w:cs="Arial"/>
          <w:lang w:val="en-GB"/>
        </w:rPr>
        <w:t>staff, National Hospital Cost Data Collection and Medicare Australia. Use and costs for each category of resources</w:t>
      </w:r>
      <w:r w:rsidR="00570DF9" w:rsidRPr="006C09BD">
        <w:rPr>
          <w:rStyle w:val="NoneA"/>
          <w:rFonts w:cs="Arial"/>
          <w:lang w:val="en-GB"/>
        </w:rPr>
        <w:t>,</w:t>
      </w:r>
      <w:r w:rsidRPr="006C09BD">
        <w:rPr>
          <w:rStyle w:val="NoneA"/>
          <w:rFonts w:cs="Arial"/>
          <w:lang w:val="en-GB"/>
        </w:rPr>
        <w:t xml:space="preserve"> as well as total costs, will be summarised using means and standard deviations. Comparisons between trial arms will be via mean differences and 95% confidence intervals. </w:t>
      </w:r>
      <w:r w:rsidR="002C0C34" w:rsidRPr="006C09BD">
        <w:rPr>
          <w:rStyle w:val="NoneA"/>
          <w:rFonts w:cs="Arial"/>
          <w:lang w:val="en-GB"/>
        </w:rPr>
        <w:t>These data, reported alongside the trial’s primary and secondary clinical outcomes in the form of a cost consequence analysis, will form the basis of a health economics study published separately from the principal trial manuscript</w:t>
      </w:r>
      <w:r w:rsidRPr="006C09BD">
        <w:rPr>
          <w:rStyle w:val="NoneA"/>
          <w:rFonts w:cs="Arial"/>
          <w:lang w:val="en-GB"/>
        </w:rPr>
        <w:t>. Sensitivity analyses will assess the impact of key uncertainties in the analysis upon the base-case results. All analyses will be conducted in line with good practice guidance for health economic analyses</w:t>
      </w:r>
      <w:r w:rsidR="00FB1581" w:rsidRPr="006C09BD">
        <w:rPr>
          <w:rStyle w:val="NoneA"/>
          <w:rFonts w:cs="Arial"/>
          <w:noProof/>
          <w:lang w:val="en-GB"/>
        </w:rPr>
        <w:t xml:space="preserve"> </w:t>
      </w:r>
      <w:r w:rsidR="00FB1581" w:rsidRPr="006C09BD">
        <w:rPr>
          <w:rFonts w:cs="Arial"/>
          <w:noProof/>
          <w:lang w:val="en-GB"/>
        </w:rPr>
        <w:t>[3</w:t>
      </w:r>
      <w:r w:rsidR="00692054" w:rsidRPr="006C09BD">
        <w:rPr>
          <w:rFonts w:cs="Arial"/>
          <w:noProof/>
          <w:lang w:val="en-GB"/>
        </w:rPr>
        <w:t>3</w:t>
      </w:r>
      <w:r w:rsidR="00A9420E" w:rsidRPr="006C09BD">
        <w:rPr>
          <w:rFonts w:cs="Arial"/>
          <w:noProof/>
          <w:lang w:val="en-GB"/>
        </w:rPr>
        <w:t>]</w:t>
      </w:r>
      <w:r w:rsidRPr="006C09BD">
        <w:rPr>
          <w:rStyle w:val="NoneA"/>
          <w:rFonts w:cs="Arial"/>
          <w:lang w:val="en-GB"/>
        </w:rPr>
        <w:t>.</w:t>
      </w:r>
    </w:p>
    <w:p w14:paraId="4C03C6A0" w14:textId="618AE211" w:rsidR="002A6933" w:rsidRPr="006C09BD" w:rsidRDefault="002A6933" w:rsidP="002A6933">
      <w:pPr>
        <w:pStyle w:val="BodyA"/>
        <w:widowControl w:val="0"/>
        <w:spacing w:line="360" w:lineRule="auto"/>
        <w:rPr>
          <w:rStyle w:val="NoneA"/>
          <w:rFonts w:cs="Arial"/>
          <w:lang w:val="en-GB"/>
        </w:rPr>
      </w:pPr>
    </w:p>
    <w:p w14:paraId="79A87D57" w14:textId="77777777" w:rsidR="00032573" w:rsidRPr="006C09BD" w:rsidRDefault="00032573" w:rsidP="00032573">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lastRenderedPageBreak/>
        <w:t>Interim analyses {28b}</w:t>
      </w:r>
    </w:p>
    <w:p w14:paraId="4FDD714F" w14:textId="77777777" w:rsidR="00032573" w:rsidRPr="006C09BD" w:rsidRDefault="00032573" w:rsidP="00032573">
      <w:pPr>
        <w:pStyle w:val="BodyA"/>
        <w:widowControl w:val="0"/>
        <w:spacing w:line="360" w:lineRule="auto"/>
        <w:rPr>
          <w:rStyle w:val="NoneA"/>
          <w:rFonts w:cs="Arial"/>
          <w:lang w:val="en-GB"/>
        </w:rPr>
      </w:pPr>
      <w:r w:rsidRPr="006C09BD">
        <w:rPr>
          <w:rStyle w:val="NoneA"/>
          <w:rFonts w:cs="Arial"/>
          <w:lang w:val="en-GB"/>
        </w:rPr>
        <w:t>The Data Monitoring Committee (DMC), independent of the applicants and Trial Steering Committee (TSC), will review the progress and accumulating data from the trial at least annually and provide advice on the conduct of the trial to the TSC. DMC meetings will include open and closed sessions. The open session will cover recruitment, data quality and pooled safety data. The closed session will focus on accumulating efficacy and safety data by trial arm. Outcomes will be reported with summary statistics, but treatment effects, confidence intervals and p-values will be excluded unless requested by the DMC.</w:t>
      </w:r>
    </w:p>
    <w:p w14:paraId="280F9A8B" w14:textId="77777777" w:rsidR="00032573" w:rsidRPr="006C09BD" w:rsidRDefault="00032573" w:rsidP="002A6933">
      <w:pPr>
        <w:pStyle w:val="BodyA"/>
        <w:widowControl w:val="0"/>
        <w:spacing w:line="360" w:lineRule="auto"/>
        <w:rPr>
          <w:rStyle w:val="NoneA"/>
          <w:rFonts w:cs="Arial"/>
          <w:lang w:val="en-GB"/>
        </w:rPr>
      </w:pPr>
    </w:p>
    <w:p w14:paraId="429FB578" w14:textId="7299BB4A" w:rsidR="00680823" w:rsidRPr="006C09BD" w:rsidRDefault="00680823">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Protocol and Statistical analysis plan {5}</w:t>
      </w:r>
    </w:p>
    <w:p w14:paraId="698F332A" w14:textId="474D1D42" w:rsidR="00680823" w:rsidRPr="006C09BD" w:rsidRDefault="00680823" w:rsidP="00680823">
      <w:pPr>
        <w:pStyle w:val="BodyA"/>
        <w:widowControl w:val="0"/>
        <w:spacing w:line="360" w:lineRule="auto"/>
        <w:rPr>
          <w:rStyle w:val="NoneA"/>
          <w:lang w:val="en-GB"/>
        </w:rPr>
      </w:pPr>
      <w:r w:rsidRPr="006C09BD">
        <w:rPr>
          <w:rStyle w:val="NoneA"/>
          <w:lang w:val="en-GB"/>
        </w:rPr>
        <w:t xml:space="preserve">The trial protocol is available on the ISRCTN registry: </w:t>
      </w:r>
      <w:hyperlink r:id="rId15" w:history="1">
        <w:r w:rsidRPr="006C09BD">
          <w:rPr>
            <w:rStyle w:val="Hyperlink"/>
            <w:lang w:val="en-GB"/>
          </w:rPr>
          <w:t>https://doi.org/10.1186/ISRCTN16710849</w:t>
        </w:r>
      </w:hyperlink>
    </w:p>
    <w:p w14:paraId="1244FE56" w14:textId="77777777" w:rsidR="00680823" w:rsidRPr="006C09BD" w:rsidRDefault="00680823" w:rsidP="00680823">
      <w:pPr>
        <w:pStyle w:val="BodyA"/>
        <w:widowControl w:val="0"/>
        <w:spacing w:line="360" w:lineRule="auto"/>
        <w:rPr>
          <w:rStyle w:val="NoneA"/>
          <w:lang w:val="en-GB"/>
        </w:rPr>
      </w:pPr>
    </w:p>
    <w:p w14:paraId="0EB30916" w14:textId="35AABCE2" w:rsidR="00680823" w:rsidRPr="006C09BD" w:rsidRDefault="00680823" w:rsidP="00680823">
      <w:pPr>
        <w:pStyle w:val="BodyA"/>
        <w:widowControl w:val="0"/>
        <w:spacing w:line="360" w:lineRule="auto"/>
        <w:rPr>
          <w:rStyle w:val="NoneA"/>
          <w:lang w:val="en-GB"/>
        </w:rPr>
      </w:pPr>
      <w:r w:rsidRPr="006C09BD">
        <w:rPr>
          <w:rStyle w:val="NoneA"/>
          <w:lang w:val="en-GB"/>
        </w:rPr>
        <w:t>The Statistical Analysis Plan will be finalised prior to the end of participant follow-up and made available on the registry page.</w:t>
      </w:r>
    </w:p>
    <w:p w14:paraId="4F16EA1A" w14:textId="77777777" w:rsidR="002D7382" w:rsidRPr="006C09BD" w:rsidRDefault="002D7382">
      <w:pPr>
        <w:pStyle w:val="BodyA"/>
        <w:widowControl w:val="0"/>
        <w:spacing w:before="120" w:line="360" w:lineRule="auto"/>
        <w:rPr>
          <w:rStyle w:val="None"/>
          <w:rFonts w:cs="Arial"/>
          <w:b/>
          <w:bCs/>
          <w:sz w:val="28"/>
          <w:szCs w:val="28"/>
          <w:lang w:val="en-GB"/>
        </w:rPr>
      </w:pPr>
    </w:p>
    <w:p w14:paraId="1E2B363B" w14:textId="5728B0E3" w:rsidR="0050292B" w:rsidRPr="006C09BD" w:rsidRDefault="00551CF0">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t>Oversight and monitoring</w:t>
      </w:r>
    </w:p>
    <w:p w14:paraId="10DD5B87" w14:textId="77777777" w:rsidR="00D46D11" w:rsidRPr="006C09BD" w:rsidRDefault="00551CF0" w:rsidP="00D46D11">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Composition of the coordinating centre and trial steering committee {</w:t>
      </w:r>
      <w:r w:rsidR="00091B07" w:rsidRPr="006C09BD">
        <w:rPr>
          <w:rStyle w:val="None"/>
          <w:rFonts w:cs="Arial"/>
          <w:b/>
          <w:bCs/>
          <w:sz w:val="24"/>
          <w:szCs w:val="24"/>
          <w:lang w:val="en-GB"/>
        </w:rPr>
        <w:t>29</w:t>
      </w:r>
      <w:r w:rsidRPr="006C09BD">
        <w:rPr>
          <w:rStyle w:val="None"/>
          <w:rFonts w:cs="Arial"/>
          <w:b/>
          <w:bCs/>
          <w:sz w:val="24"/>
          <w:szCs w:val="24"/>
          <w:lang w:val="en-GB"/>
        </w:rPr>
        <w:t>}</w:t>
      </w:r>
    </w:p>
    <w:p w14:paraId="0324A871" w14:textId="1CBCC4FA" w:rsidR="00C82D4F" w:rsidRPr="006C09BD" w:rsidRDefault="00C82D4F" w:rsidP="00D46D11">
      <w:pPr>
        <w:pStyle w:val="BodyA"/>
        <w:widowControl w:val="0"/>
        <w:spacing w:before="120" w:line="360" w:lineRule="auto"/>
        <w:rPr>
          <w:rFonts w:cs="Arial"/>
          <w:b/>
          <w:bCs/>
          <w:sz w:val="24"/>
          <w:szCs w:val="24"/>
          <w:lang w:val="en-GB"/>
        </w:rPr>
      </w:pPr>
      <w:r w:rsidRPr="006C09BD">
        <w:rPr>
          <w:rFonts w:eastAsia="Times New Roman" w:cs="Arial"/>
          <w:bdr w:val="none" w:sz="0" w:space="0" w:color="auto"/>
          <w:lang w:val="en-GB"/>
        </w:rPr>
        <w:t xml:space="preserve">The trial will be </w:t>
      </w:r>
      <w:r w:rsidR="00871E32" w:rsidRPr="006C09BD">
        <w:rPr>
          <w:rFonts w:eastAsia="Times New Roman" w:cs="Arial"/>
          <w:bdr w:val="none" w:sz="0" w:space="0" w:color="auto"/>
          <w:lang w:val="en-GB"/>
        </w:rPr>
        <w:t xml:space="preserve">led </w:t>
      </w:r>
      <w:r w:rsidRPr="006C09BD">
        <w:rPr>
          <w:rFonts w:eastAsia="Times New Roman" w:cs="Arial"/>
          <w:bdr w:val="none" w:sz="0" w:space="0" w:color="auto"/>
          <w:lang w:val="en-GB"/>
        </w:rPr>
        <w:t xml:space="preserve">by the </w:t>
      </w:r>
      <w:r w:rsidR="00777E3A" w:rsidRPr="006C09BD">
        <w:rPr>
          <w:rFonts w:eastAsia="Times New Roman" w:cs="Arial"/>
          <w:bdr w:val="none" w:sz="0" w:space="0" w:color="auto"/>
          <w:lang w:val="en-GB"/>
        </w:rPr>
        <w:t>NPEU CTU.</w:t>
      </w:r>
      <w:r w:rsidRPr="006C09BD">
        <w:rPr>
          <w:rFonts w:eastAsia="Times New Roman" w:cs="Arial"/>
          <w:bdr w:val="none" w:sz="0" w:space="0" w:color="auto"/>
          <w:lang w:val="en-GB"/>
        </w:rPr>
        <w:t xml:space="preserve"> The NPEU CTU will support trial coordination, data management, quality assurance, statistical and health economic analysis and dissemination. </w:t>
      </w:r>
      <w:r w:rsidR="002E12F7" w:rsidRPr="006C09BD">
        <w:rPr>
          <w:rFonts w:eastAsia="Times New Roman" w:cs="Arial"/>
          <w:bdr w:val="none" w:sz="0" w:space="0" w:color="auto"/>
          <w:lang w:val="en-GB"/>
        </w:rPr>
        <w:t xml:space="preserve">Monash University will lead the coordination of the Australian arm of the trial. </w:t>
      </w:r>
      <w:r w:rsidRPr="006C09BD">
        <w:rPr>
          <w:rFonts w:eastAsia="Times New Roman" w:cs="Arial"/>
          <w:bdr w:val="none" w:sz="0" w:space="0" w:color="auto"/>
          <w:lang w:val="en-GB"/>
        </w:rPr>
        <w:t xml:space="preserve">The process evaluation will be led by the University of Liverpool. </w:t>
      </w:r>
    </w:p>
    <w:p w14:paraId="63C59E57" w14:textId="19BFEB9B" w:rsidR="0050292B" w:rsidRPr="006C09BD" w:rsidRDefault="00C82D4F" w:rsidP="007679CE">
      <w:pPr>
        <w:pStyle w:val="BodyA"/>
        <w:widowControl w:val="0"/>
        <w:spacing w:line="360" w:lineRule="auto"/>
        <w:rPr>
          <w:rFonts w:cs="Arial"/>
          <w:lang w:val="en-GB"/>
        </w:rPr>
      </w:pPr>
      <w:r w:rsidRPr="006C09BD">
        <w:rPr>
          <w:rFonts w:eastAsia="Times New Roman" w:cs="Arial"/>
          <w:bdr w:val="none" w:sz="0" w:space="0" w:color="auto"/>
          <w:lang w:val="en-GB"/>
        </w:rPr>
        <w:t>The trial will be supervised by the PMG</w:t>
      </w:r>
      <w:r w:rsidR="00D46D11" w:rsidRPr="006C09BD">
        <w:rPr>
          <w:rFonts w:eastAsia="Times New Roman" w:cs="Arial"/>
          <w:bdr w:val="none" w:sz="0" w:space="0" w:color="auto"/>
          <w:lang w:val="en-GB"/>
        </w:rPr>
        <w:t xml:space="preserve"> </w:t>
      </w:r>
      <w:r w:rsidR="006703FF" w:rsidRPr="006C09BD">
        <w:rPr>
          <w:rFonts w:eastAsia="Times New Roman" w:cs="Arial"/>
          <w:bdr w:val="none" w:sz="0" w:space="0" w:color="auto"/>
          <w:lang w:val="en-GB"/>
        </w:rPr>
        <w:t>which will comp</w:t>
      </w:r>
      <w:r w:rsidR="00DA3101" w:rsidRPr="006C09BD">
        <w:rPr>
          <w:rFonts w:eastAsia="Times New Roman" w:cs="Arial"/>
          <w:bdr w:val="none" w:sz="0" w:space="0" w:color="auto"/>
          <w:lang w:val="en-GB"/>
        </w:rPr>
        <w:t>r</w:t>
      </w:r>
      <w:r w:rsidR="006703FF" w:rsidRPr="006C09BD">
        <w:rPr>
          <w:rFonts w:eastAsia="Times New Roman" w:cs="Arial"/>
          <w:bdr w:val="none" w:sz="0" w:space="0" w:color="auto"/>
          <w:lang w:val="en-GB"/>
        </w:rPr>
        <w:t xml:space="preserve">ise </w:t>
      </w:r>
      <w:r w:rsidR="00DA3101" w:rsidRPr="006C09BD">
        <w:rPr>
          <w:rFonts w:eastAsia="Times New Roman" w:cs="Arial"/>
          <w:bdr w:val="none" w:sz="0" w:space="0" w:color="auto"/>
          <w:lang w:val="en-GB"/>
        </w:rPr>
        <w:t>the</w:t>
      </w:r>
      <w:r w:rsidR="00CC0C33" w:rsidRPr="006C09BD">
        <w:rPr>
          <w:rFonts w:eastAsia="Times New Roman" w:cs="Arial"/>
          <w:bdr w:val="none" w:sz="0" w:space="0" w:color="auto"/>
          <w:lang w:val="en-GB"/>
        </w:rPr>
        <w:t xml:space="preserve"> </w:t>
      </w:r>
      <w:r w:rsidR="00D46D11" w:rsidRPr="006C09BD">
        <w:rPr>
          <w:rFonts w:eastAsia="Times New Roman" w:cs="Arial"/>
          <w:bdr w:val="none" w:sz="0" w:space="0" w:color="auto"/>
          <w:lang w:val="en-GB"/>
        </w:rPr>
        <w:t>CIs</w:t>
      </w:r>
      <w:r w:rsidR="005B54C9" w:rsidRPr="006C09BD">
        <w:rPr>
          <w:rFonts w:eastAsia="Times New Roman" w:cs="Arial"/>
          <w:bdr w:val="none" w:sz="0" w:space="0" w:color="auto"/>
          <w:lang w:val="en-GB"/>
        </w:rPr>
        <w:t>, N</w:t>
      </w:r>
      <w:r w:rsidR="00CC0C33" w:rsidRPr="006C09BD">
        <w:rPr>
          <w:rFonts w:eastAsia="Times New Roman" w:cs="Arial"/>
          <w:bdr w:val="none" w:sz="0" w:space="0" w:color="auto"/>
          <w:lang w:val="en-GB"/>
        </w:rPr>
        <w:t xml:space="preserve">PEU CTU </w:t>
      </w:r>
      <w:r w:rsidR="00871E32" w:rsidRPr="006C09BD">
        <w:rPr>
          <w:rFonts w:eastAsia="Times New Roman" w:cs="Arial"/>
          <w:bdr w:val="none" w:sz="0" w:space="0" w:color="auto"/>
          <w:lang w:val="en-GB"/>
        </w:rPr>
        <w:t xml:space="preserve">staff, Australian Trial Coordinator </w:t>
      </w:r>
      <w:r w:rsidR="00CC0C33" w:rsidRPr="006C09BD">
        <w:rPr>
          <w:rFonts w:eastAsia="Times New Roman" w:cs="Arial"/>
          <w:bdr w:val="none" w:sz="0" w:space="0" w:color="auto"/>
          <w:lang w:val="en-GB"/>
        </w:rPr>
        <w:t xml:space="preserve">and </w:t>
      </w:r>
      <w:r w:rsidR="006703FF" w:rsidRPr="006C09BD">
        <w:rPr>
          <w:rFonts w:eastAsia="Times New Roman" w:cs="Arial"/>
          <w:bdr w:val="none" w:sz="0" w:space="0" w:color="auto"/>
          <w:lang w:val="en-GB"/>
        </w:rPr>
        <w:t xml:space="preserve">members of the </w:t>
      </w:r>
      <w:r w:rsidR="00CC0C33" w:rsidRPr="006C09BD">
        <w:rPr>
          <w:rFonts w:eastAsia="Times New Roman" w:cs="Arial"/>
          <w:bdr w:val="none" w:sz="0" w:space="0" w:color="auto"/>
          <w:lang w:val="en-GB"/>
        </w:rPr>
        <w:t>University of Liverpool process evaluation team</w:t>
      </w:r>
      <w:r w:rsidRPr="006C09BD">
        <w:rPr>
          <w:rFonts w:eastAsia="Times New Roman" w:cs="Arial"/>
          <w:bdr w:val="none" w:sz="0" w:space="0" w:color="auto"/>
          <w:lang w:val="en-GB"/>
        </w:rPr>
        <w:t xml:space="preserve">. </w:t>
      </w:r>
      <w:r w:rsidR="00CC0C33" w:rsidRPr="006C09BD">
        <w:rPr>
          <w:rFonts w:eastAsia="Times New Roman" w:cs="Arial"/>
          <w:bdr w:val="none" w:sz="0" w:space="0" w:color="auto"/>
          <w:lang w:val="en-GB"/>
        </w:rPr>
        <w:t>The PMG will</w:t>
      </w:r>
      <w:r w:rsidRPr="006C09BD">
        <w:rPr>
          <w:rFonts w:eastAsia="Times New Roman" w:cs="Arial"/>
          <w:bdr w:val="none" w:sz="0" w:space="0" w:color="auto"/>
          <w:lang w:val="en-GB"/>
        </w:rPr>
        <w:t xml:space="preserve"> report to the </w:t>
      </w:r>
      <w:r w:rsidR="006703FF" w:rsidRPr="006C09BD">
        <w:rPr>
          <w:rFonts w:eastAsia="Times New Roman" w:cs="Arial"/>
          <w:bdr w:val="none" w:sz="0" w:space="0" w:color="auto"/>
          <w:lang w:val="en-GB"/>
        </w:rPr>
        <w:t>TSC</w:t>
      </w:r>
      <w:r w:rsidR="00D46D11" w:rsidRPr="006C09BD">
        <w:rPr>
          <w:rFonts w:eastAsia="Times New Roman" w:cs="Arial"/>
          <w:bdr w:val="none" w:sz="0" w:space="0" w:color="auto"/>
          <w:lang w:val="en-GB"/>
        </w:rPr>
        <w:t xml:space="preserve"> </w:t>
      </w:r>
      <w:r w:rsidRPr="006C09BD">
        <w:rPr>
          <w:rFonts w:eastAsia="Times New Roman" w:cs="Arial"/>
          <w:bdr w:val="none" w:sz="0" w:space="0" w:color="auto"/>
          <w:lang w:val="en-GB"/>
        </w:rPr>
        <w:t xml:space="preserve">which is </w:t>
      </w:r>
      <w:r w:rsidR="006703FF" w:rsidRPr="006C09BD">
        <w:rPr>
          <w:rFonts w:eastAsia="Times New Roman" w:cs="Arial"/>
          <w:bdr w:val="none" w:sz="0" w:space="0" w:color="auto"/>
          <w:lang w:val="en-GB"/>
        </w:rPr>
        <w:t xml:space="preserve">accountable </w:t>
      </w:r>
      <w:r w:rsidRPr="006C09BD">
        <w:rPr>
          <w:rFonts w:eastAsia="Times New Roman" w:cs="Arial"/>
          <w:bdr w:val="none" w:sz="0" w:space="0" w:color="auto"/>
          <w:lang w:val="en-GB"/>
        </w:rPr>
        <w:t xml:space="preserve">to the </w:t>
      </w:r>
      <w:r w:rsidR="00570DF9" w:rsidRPr="006C09BD">
        <w:rPr>
          <w:rFonts w:eastAsia="Times New Roman" w:cs="Arial"/>
          <w:bdr w:val="none" w:sz="0" w:space="0" w:color="auto"/>
          <w:lang w:val="en-GB"/>
        </w:rPr>
        <w:t>T</w:t>
      </w:r>
      <w:r w:rsidRPr="006C09BD">
        <w:rPr>
          <w:rFonts w:eastAsia="Times New Roman" w:cs="Arial"/>
          <w:bdr w:val="none" w:sz="0" w:space="0" w:color="auto"/>
          <w:lang w:val="en-GB"/>
        </w:rPr>
        <w:t xml:space="preserve">rial Sponsor. The trial will be overseen by a </w:t>
      </w:r>
      <w:r w:rsidR="006703FF" w:rsidRPr="006C09BD">
        <w:rPr>
          <w:rFonts w:eastAsia="Times New Roman" w:cs="Arial"/>
          <w:bdr w:val="none" w:sz="0" w:space="0" w:color="auto"/>
          <w:lang w:val="en-GB"/>
        </w:rPr>
        <w:t>TSC</w:t>
      </w:r>
      <w:r w:rsidR="006703FF" w:rsidRPr="006C09BD" w:rsidDel="006703FF">
        <w:rPr>
          <w:rFonts w:eastAsia="Times New Roman" w:cs="Arial"/>
          <w:bdr w:val="none" w:sz="0" w:space="0" w:color="auto"/>
          <w:lang w:val="en-GB"/>
        </w:rPr>
        <w:t xml:space="preserve"> </w:t>
      </w:r>
      <w:r w:rsidRPr="006C09BD">
        <w:rPr>
          <w:rFonts w:eastAsia="Times New Roman" w:cs="Arial"/>
          <w:bdr w:val="none" w:sz="0" w:space="0" w:color="auto"/>
          <w:lang w:val="en-GB"/>
        </w:rPr>
        <w:t xml:space="preserve">consisting of an independent chair and at least two other independent members. The </w:t>
      </w:r>
      <w:r w:rsidR="00D46D11" w:rsidRPr="006C09BD">
        <w:rPr>
          <w:rFonts w:eastAsia="Times New Roman" w:cs="Arial"/>
          <w:bdr w:val="none" w:sz="0" w:space="0" w:color="auto"/>
          <w:lang w:val="en-GB"/>
        </w:rPr>
        <w:t>CI</w:t>
      </w:r>
      <w:r w:rsidRPr="006C09BD">
        <w:rPr>
          <w:rFonts w:eastAsia="Times New Roman" w:cs="Arial"/>
          <w:bdr w:val="none" w:sz="0" w:space="0" w:color="auto"/>
          <w:lang w:val="en-GB"/>
        </w:rPr>
        <w:t xml:space="preserve"> and CTU Director will also sit on the TSC.</w:t>
      </w:r>
      <w:r w:rsidR="00CC0C33" w:rsidRPr="006C09BD">
        <w:rPr>
          <w:rFonts w:cs="Arial"/>
          <w:lang w:val="en-GB"/>
        </w:rPr>
        <w:t xml:space="preserve"> The TSC Charter, outlining roles, responsibilities and conduct, will be established at the initial meeting.</w:t>
      </w:r>
    </w:p>
    <w:p w14:paraId="2FBBF3ED" w14:textId="77777777" w:rsidR="00261A36" w:rsidRPr="006C09BD" w:rsidRDefault="00261A36" w:rsidP="007679CE">
      <w:pPr>
        <w:pStyle w:val="BodyA"/>
        <w:widowControl w:val="0"/>
        <w:spacing w:line="360" w:lineRule="auto"/>
        <w:rPr>
          <w:rFonts w:cs="Arial"/>
          <w:lang w:val="en-GB"/>
        </w:rPr>
      </w:pPr>
    </w:p>
    <w:p w14:paraId="027DE932" w14:textId="39E8CB16" w:rsidR="00BB51C1" w:rsidRPr="006C09BD" w:rsidRDefault="00BB51C1" w:rsidP="007679CE">
      <w:pPr>
        <w:pStyle w:val="BodyA"/>
        <w:widowControl w:val="0"/>
        <w:spacing w:line="360" w:lineRule="auto"/>
        <w:rPr>
          <w:rFonts w:cs="Arial"/>
          <w:b/>
          <w:u w:val="single"/>
          <w:lang w:val="en-GB"/>
        </w:rPr>
      </w:pPr>
      <w:r w:rsidRPr="006C09BD">
        <w:rPr>
          <w:rFonts w:cs="Arial"/>
          <w:b/>
          <w:u w:val="single"/>
          <w:lang w:val="en-GB"/>
        </w:rPr>
        <w:t xml:space="preserve">Project Management Group (PMG) </w:t>
      </w:r>
    </w:p>
    <w:p w14:paraId="61820070" w14:textId="0F02F0E4" w:rsidR="00BB51C1" w:rsidRPr="006C09BD" w:rsidRDefault="00BB51C1" w:rsidP="002E12F7">
      <w:pPr>
        <w:pStyle w:val="BodyA"/>
        <w:widowControl w:val="0"/>
        <w:numPr>
          <w:ilvl w:val="0"/>
          <w:numId w:val="21"/>
        </w:numPr>
        <w:spacing w:line="360" w:lineRule="auto"/>
        <w:rPr>
          <w:rFonts w:cs="Arial"/>
          <w:lang w:val="en-GB"/>
        </w:rPr>
      </w:pPr>
      <w:r w:rsidRPr="006C09BD">
        <w:rPr>
          <w:rFonts w:cs="Arial"/>
          <w:lang w:val="en-GB"/>
        </w:rPr>
        <w:t>Roles and Responsibilities</w:t>
      </w:r>
      <w:r w:rsidR="001332B1" w:rsidRPr="006C09BD">
        <w:rPr>
          <w:rFonts w:cs="Arial"/>
          <w:lang w:val="en-GB"/>
        </w:rPr>
        <w:t xml:space="preserve">: The trial will be supervised on a day-to-day basis by the project management team. </w:t>
      </w:r>
    </w:p>
    <w:p w14:paraId="3B3E7F3B" w14:textId="1E10E44A" w:rsidR="00BB51C1" w:rsidRPr="006C09BD" w:rsidRDefault="00BB51C1" w:rsidP="002E12F7">
      <w:pPr>
        <w:pStyle w:val="BodyA"/>
        <w:widowControl w:val="0"/>
        <w:numPr>
          <w:ilvl w:val="0"/>
          <w:numId w:val="21"/>
        </w:numPr>
        <w:spacing w:line="360" w:lineRule="auto"/>
        <w:rPr>
          <w:rFonts w:cs="Arial"/>
          <w:lang w:val="en-GB"/>
        </w:rPr>
      </w:pPr>
      <w:r w:rsidRPr="006C09BD">
        <w:rPr>
          <w:rFonts w:cs="Arial"/>
          <w:lang w:val="en-GB"/>
        </w:rPr>
        <w:t>Relationship to Trial Sponsor and funders</w:t>
      </w:r>
      <w:r w:rsidR="001332B1" w:rsidRPr="006C09BD">
        <w:rPr>
          <w:rFonts w:cs="Arial"/>
          <w:lang w:val="en-GB"/>
        </w:rPr>
        <w:t xml:space="preserve">: This group reports to the trial steering committee which is responsible to the trial </w:t>
      </w:r>
      <w:r w:rsidR="00816E42" w:rsidRPr="006C09BD">
        <w:rPr>
          <w:rFonts w:cs="Arial"/>
          <w:lang w:val="en-GB"/>
        </w:rPr>
        <w:t>funders.</w:t>
      </w:r>
      <w:r w:rsidR="001332B1" w:rsidRPr="006C09BD">
        <w:rPr>
          <w:rFonts w:cs="Arial"/>
          <w:lang w:val="en-GB"/>
        </w:rPr>
        <w:t xml:space="preserve"> </w:t>
      </w:r>
    </w:p>
    <w:p w14:paraId="44CD811F" w14:textId="617B336A" w:rsidR="00BB51C1" w:rsidRPr="006C09BD" w:rsidRDefault="00BB51C1" w:rsidP="002E12F7">
      <w:pPr>
        <w:pStyle w:val="BodyA"/>
        <w:widowControl w:val="0"/>
        <w:numPr>
          <w:ilvl w:val="0"/>
          <w:numId w:val="21"/>
        </w:numPr>
        <w:spacing w:line="360" w:lineRule="auto"/>
        <w:rPr>
          <w:rFonts w:cs="Arial"/>
          <w:lang w:val="en-GB"/>
        </w:rPr>
      </w:pPr>
      <w:r w:rsidRPr="006C09BD">
        <w:rPr>
          <w:rFonts w:cs="Arial"/>
          <w:lang w:val="en-GB"/>
        </w:rPr>
        <w:t>Outline of membership</w:t>
      </w:r>
      <w:r w:rsidR="001332B1" w:rsidRPr="006C09BD">
        <w:rPr>
          <w:rFonts w:cs="Arial"/>
          <w:lang w:val="en-GB"/>
        </w:rPr>
        <w:t xml:space="preserve">: </w:t>
      </w:r>
      <w:r w:rsidR="00D46D11" w:rsidRPr="006C09BD">
        <w:rPr>
          <w:rFonts w:cs="Arial"/>
          <w:lang w:val="en-GB"/>
        </w:rPr>
        <w:t>CI</w:t>
      </w:r>
      <w:r w:rsidR="001332B1" w:rsidRPr="006C09BD">
        <w:rPr>
          <w:rFonts w:cs="Arial"/>
          <w:lang w:val="en-GB"/>
        </w:rPr>
        <w:t xml:space="preserve">, </w:t>
      </w:r>
      <w:r w:rsidR="00D46D11" w:rsidRPr="006C09BD">
        <w:rPr>
          <w:rFonts w:cs="Arial"/>
          <w:lang w:val="en-GB"/>
        </w:rPr>
        <w:t>ACI</w:t>
      </w:r>
      <w:r w:rsidR="001332B1" w:rsidRPr="006C09BD">
        <w:rPr>
          <w:rFonts w:cs="Arial"/>
          <w:lang w:val="en-GB"/>
        </w:rPr>
        <w:t xml:space="preserve">, NPEU CTU staff including: CTU Director, Head of Operations, Senior Trials Manager, Head of Trials </w:t>
      </w:r>
      <w:r w:rsidR="0049129D" w:rsidRPr="006C09BD">
        <w:rPr>
          <w:rFonts w:cs="Arial"/>
          <w:lang w:val="en-GB"/>
        </w:rPr>
        <w:t>Programming, Trial</w:t>
      </w:r>
      <w:r w:rsidR="001332B1" w:rsidRPr="006C09BD">
        <w:rPr>
          <w:rFonts w:cs="Arial"/>
          <w:lang w:val="en-GB"/>
        </w:rPr>
        <w:t xml:space="preserve"> Statistician, </w:t>
      </w:r>
      <w:r w:rsidR="0049129D" w:rsidRPr="006C09BD">
        <w:rPr>
          <w:rFonts w:cs="Arial"/>
          <w:lang w:val="en-GB"/>
        </w:rPr>
        <w:t xml:space="preserve">and Australian Trial Coordinator. </w:t>
      </w:r>
    </w:p>
    <w:p w14:paraId="1CB86CE0" w14:textId="77777777" w:rsidR="0049129D" w:rsidRPr="006C09BD" w:rsidRDefault="0049129D" w:rsidP="002E12F7">
      <w:pPr>
        <w:pStyle w:val="BodyA"/>
        <w:widowControl w:val="0"/>
        <w:spacing w:line="360" w:lineRule="auto"/>
        <w:ind w:left="720"/>
        <w:rPr>
          <w:rFonts w:cs="Arial"/>
          <w:lang w:val="en-GB"/>
        </w:rPr>
      </w:pPr>
    </w:p>
    <w:p w14:paraId="7221B2FE" w14:textId="7713D767" w:rsidR="00BB51C1" w:rsidRPr="006C09BD" w:rsidRDefault="00BB51C1">
      <w:pPr>
        <w:pStyle w:val="BodyA"/>
        <w:widowControl w:val="0"/>
        <w:spacing w:line="360" w:lineRule="auto"/>
        <w:rPr>
          <w:rFonts w:cs="Arial"/>
          <w:b/>
          <w:u w:val="single"/>
          <w:lang w:val="en-GB"/>
        </w:rPr>
      </w:pPr>
      <w:r w:rsidRPr="006C09BD">
        <w:rPr>
          <w:rFonts w:cs="Arial"/>
          <w:b/>
          <w:u w:val="single"/>
          <w:lang w:val="en-GB"/>
        </w:rPr>
        <w:t>Trial Steering Committee (TSC)</w:t>
      </w:r>
    </w:p>
    <w:p w14:paraId="02D61758" w14:textId="6376C83A" w:rsidR="002E12F7" w:rsidRPr="006C09BD" w:rsidRDefault="00BB51C1" w:rsidP="00C7044F">
      <w:pPr>
        <w:pStyle w:val="BodyA"/>
        <w:widowControl w:val="0"/>
        <w:numPr>
          <w:ilvl w:val="0"/>
          <w:numId w:val="21"/>
        </w:numPr>
        <w:spacing w:line="360" w:lineRule="auto"/>
        <w:rPr>
          <w:rFonts w:cs="Arial"/>
          <w:lang w:val="en-GB"/>
        </w:rPr>
      </w:pPr>
      <w:r w:rsidRPr="006C09BD">
        <w:rPr>
          <w:rFonts w:cs="Arial"/>
          <w:lang w:val="en-GB"/>
        </w:rPr>
        <w:t>Roles and Responsibilities</w:t>
      </w:r>
      <w:r w:rsidR="00520CF4" w:rsidRPr="006C09BD">
        <w:rPr>
          <w:rFonts w:cs="Arial"/>
          <w:lang w:val="en-GB"/>
        </w:rPr>
        <w:t xml:space="preserve">: </w:t>
      </w:r>
      <w:r w:rsidR="002E12F7" w:rsidRPr="006C09BD">
        <w:rPr>
          <w:rFonts w:cs="Arial"/>
          <w:lang w:val="en-GB"/>
        </w:rPr>
        <w:t xml:space="preserve">The role of the TSC is to provide overall supervision for a trial on behalf </w:t>
      </w:r>
      <w:r w:rsidR="002E12F7" w:rsidRPr="006C09BD">
        <w:rPr>
          <w:rFonts w:cs="Arial"/>
          <w:lang w:val="en-GB"/>
        </w:rPr>
        <w:lastRenderedPageBreak/>
        <w:t>of the Trial Sponsor and Trial Funder and to ensure that the trial is conducted to the rigorous standards set out in the Department of Health’s Research Governance Framework for Health and Social Care and the Guidelines for Good Clinical Practice</w:t>
      </w:r>
      <w:r w:rsidR="00A47712">
        <w:rPr>
          <w:rFonts w:cs="Arial"/>
          <w:lang w:val="en-GB"/>
        </w:rPr>
        <w:t>.</w:t>
      </w:r>
    </w:p>
    <w:p w14:paraId="52812CE8" w14:textId="6A1176E5" w:rsidR="00BB51C1" w:rsidRPr="006C09BD" w:rsidRDefault="00BB51C1" w:rsidP="00C7044F">
      <w:pPr>
        <w:pStyle w:val="BodyA"/>
        <w:widowControl w:val="0"/>
        <w:numPr>
          <w:ilvl w:val="0"/>
          <w:numId w:val="21"/>
        </w:numPr>
        <w:spacing w:line="360" w:lineRule="auto"/>
        <w:rPr>
          <w:rFonts w:cs="Arial"/>
          <w:lang w:val="en-GB"/>
        </w:rPr>
      </w:pPr>
      <w:r w:rsidRPr="006C09BD">
        <w:rPr>
          <w:rFonts w:cs="Arial"/>
          <w:lang w:val="en-GB"/>
        </w:rPr>
        <w:t>Relationship to Trial Sponsor and funders</w:t>
      </w:r>
      <w:r w:rsidR="00520CF4" w:rsidRPr="006C09BD">
        <w:rPr>
          <w:rFonts w:cs="Arial"/>
          <w:lang w:val="en-GB"/>
        </w:rPr>
        <w:t xml:space="preserve">: </w:t>
      </w:r>
      <w:r w:rsidR="00816E42" w:rsidRPr="006C09BD">
        <w:rPr>
          <w:rFonts w:cs="Arial"/>
          <w:lang w:val="en-GB"/>
        </w:rPr>
        <w:t xml:space="preserve">The TSC acts as the oversight body for this trial on behalf of the NIHR </w:t>
      </w:r>
      <w:r w:rsidR="00284D59" w:rsidRPr="006C09BD">
        <w:rPr>
          <w:rFonts w:cs="Arial"/>
          <w:lang w:val="en-GB"/>
        </w:rPr>
        <w:t>Health Technology Assessment (</w:t>
      </w:r>
      <w:r w:rsidR="00816E42" w:rsidRPr="006C09BD">
        <w:rPr>
          <w:rFonts w:cs="Arial"/>
          <w:lang w:val="en-GB"/>
        </w:rPr>
        <w:t>HTA</w:t>
      </w:r>
      <w:r w:rsidR="00284D59" w:rsidRPr="006C09BD">
        <w:rPr>
          <w:rFonts w:cs="Arial"/>
          <w:lang w:val="en-GB"/>
        </w:rPr>
        <w:t>)</w:t>
      </w:r>
      <w:r w:rsidR="00816E42" w:rsidRPr="006C09BD">
        <w:rPr>
          <w:rFonts w:cs="Arial"/>
          <w:lang w:val="en-GB"/>
        </w:rPr>
        <w:t>, NHMRC and sponsor.</w:t>
      </w:r>
    </w:p>
    <w:p w14:paraId="40A4946D" w14:textId="5259F00C" w:rsidR="00BB51C1" w:rsidRPr="006C09BD" w:rsidRDefault="00BB51C1" w:rsidP="00816E42">
      <w:pPr>
        <w:pStyle w:val="BodyA"/>
        <w:widowControl w:val="0"/>
        <w:numPr>
          <w:ilvl w:val="0"/>
          <w:numId w:val="21"/>
        </w:numPr>
        <w:spacing w:line="360" w:lineRule="auto"/>
        <w:rPr>
          <w:rFonts w:cs="Arial"/>
          <w:lang w:val="en-GB"/>
        </w:rPr>
      </w:pPr>
      <w:r w:rsidRPr="006C09BD">
        <w:rPr>
          <w:rFonts w:cs="Arial"/>
          <w:lang w:val="en-GB"/>
        </w:rPr>
        <w:t>Outline of membership</w:t>
      </w:r>
      <w:r w:rsidR="006424FB">
        <w:rPr>
          <w:rFonts w:cs="Arial"/>
          <w:lang w:val="en-GB"/>
        </w:rPr>
        <w:t>:</w:t>
      </w:r>
      <w:r w:rsidR="00534434" w:rsidRPr="006C09BD">
        <w:rPr>
          <w:rFonts w:cs="Arial"/>
          <w:lang w:val="en-GB"/>
        </w:rPr>
        <w:t xml:space="preserve"> The majority of members of the TSC, including the Chair and Vice-Chair, are independent of the trial.</w:t>
      </w:r>
      <w:r w:rsidR="00816E42" w:rsidRPr="006C09BD">
        <w:rPr>
          <w:rFonts w:cs="Arial"/>
          <w:lang w:val="en-GB"/>
        </w:rPr>
        <w:t xml:space="preserve"> </w:t>
      </w:r>
      <w:r w:rsidR="00534434" w:rsidRPr="006C09BD">
        <w:rPr>
          <w:rFonts w:cs="Arial"/>
          <w:lang w:val="en-GB"/>
        </w:rPr>
        <w:t xml:space="preserve">Non-independent members will also </w:t>
      </w:r>
      <w:r w:rsidR="00A47712">
        <w:rPr>
          <w:rFonts w:cs="Arial"/>
          <w:lang w:val="en-GB"/>
        </w:rPr>
        <w:t xml:space="preserve">form </w:t>
      </w:r>
      <w:r w:rsidR="00534434" w:rsidRPr="006C09BD">
        <w:rPr>
          <w:rFonts w:cs="Arial"/>
          <w:lang w:val="en-GB"/>
        </w:rPr>
        <w:t>part of the TSC.</w:t>
      </w:r>
    </w:p>
    <w:p w14:paraId="5415B884" w14:textId="6848A571" w:rsidR="00816E42" w:rsidRPr="006C09BD" w:rsidRDefault="00BB51C1" w:rsidP="00BB51C1">
      <w:pPr>
        <w:pStyle w:val="BodyA"/>
        <w:widowControl w:val="0"/>
        <w:numPr>
          <w:ilvl w:val="0"/>
          <w:numId w:val="21"/>
        </w:numPr>
        <w:spacing w:line="360" w:lineRule="auto"/>
        <w:rPr>
          <w:rFonts w:cs="Arial"/>
          <w:lang w:val="en-GB"/>
        </w:rPr>
      </w:pPr>
      <w:r w:rsidRPr="006C09BD">
        <w:rPr>
          <w:rFonts w:cs="Arial"/>
          <w:lang w:val="en-GB"/>
        </w:rPr>
        <w:t>Names of chair and members</w:t>
      </w:r>
      <w:r w:rsidR="006424FB">
        <w:rPr>
          <w:rFonts w:cs="Arial"/>
          <w:lang w:val="en-GB"/>
        </w:rPr>
        <w:t>:</w:t>
      </w:r>
    </w:p>
    <w:p w14:paraId="65E51259" w14:textId="45FFC5CE" w:rsidR="00816E42" w:rsidRPr="006C09BD" w:rsidRDefault="00534434" w:rsidP="00816E42">
      <w:pPr>
        <w:pStyle w:val="BodyA"/>
        <w:widowControl w:val="0"/>
        <w:numPr>
          <w:ilvl w:val="1"/>
          <w:numId w:val="21"/>
        </w:numPr>
        <w:spacing w:line="360" w:lineRule="auto"/>
        <w:rPr>
          <w:rStyle w:val="Strong"/>
          <w:rFonts w:cs="Arial"/>
          <w:b w:val="0"/>
          <w:bCs w:val="0"/>
          <w:lang w:val="en-GB"/>
        </w:rPr>
      </w:pPr>
      <w:r w:rsidRPr="006C09BD">
        <w:rPr>
          <w:rFonts w:cs="Arial"/>
          <w:lang w:val="en-GB"/>
        </w:rPr>
        <w:t>Chair</w:t>
      </w:r>
      <w:r w:rsidR="00816E42" w:rsidRPr="006C09BD">
        <w:rPr>
          <w:rFonts w:cs="Arial"/>
          <w:lang w:val="en-GB"/>
        </w:rPr>
        <w:t xml:space="preserve">: </w:t>
      </w:r>
      <w:r w:rsidRPr="006C09BD">
        <w:rPr>
          <w:rStyle w:val="Strong"/>
          <w:rFonts w:cs="Arial"/>
          <w:b w:val="0"/>
          <w:bCs w:val="0"/>
          <w:lang w:val="en-GB"/>
        </w:rPr>
        <w:t>Professor Andy Ewer</w:t>
      </w:r>
    </w:p>
    <w:p w14:paraId="04DEF2C4" w14:textId="4853C6F4" w:rsidR="00BB51C1" w:rsidRPr="006C09BD" w:rsidRDefault="00816E42" w:rsidP="00816E42">
      <w:pPr>
        <w:pStyle w:val="BodyA"/>
        <w:widowControl w:val="0"/>
        <w:numPr>
          <w:ilvl w:val="1"/>
          <w:numId w:val="21"/>
        </w:numPr>
        <w:spacing w:line="360" w:lineRule="auto"/>
        <w:rPr>
          <w:rStyle w:val="Strong"/>
          <w:rFonts w:cs="Arial"/>
          <w:b w:val="0"/>
          <w:bCs w:val="0"/>
          <w:lang w:val="en-GB"/>
        </w:rPr>
      </w:pPr>
      <w:r w:rsidRPr="006C09BD">
        <w:rPr>
          <w:rStyle w:val="Strong"/>
          <w:rFonts w:cs="Arial"/>
          <w:b w:val="0"/>
          <w:bCs w:val="0"/>
          <w:lang w:val="en-GB"/>
        </w:rPr>
        <w:t xml:space="preserve">Independent members: </w:t>
      </w:r>
      <w:r w:rsidR="00534434" w:rsidRPr="006C09BD">
        <w:rPr>
          <w:rStyle w:val="Strong"/>
          <w:rFonts w:cs="Arial"/>
          <w:b w:val="0"/>
          <w:bCs w:val="0"/>
          <w:lang w:val="en-GB"/>
        </w:rPr>
        <w:t>Professor Eleanor Molloy, Ms Kelly Bailey, Dr Anne Beissel, Ms Bryley Conley, Dr Catherine Harrison, Professor Graeme MacLennan, Professor Sanjay Patole</w:t>
      </w:r>
      <w:r w:rsidRPr="006C09BD">
        <w:rPr>
          <w:rStyle w:val="Strong"/>
          <w:rFonts w:cs="Arial"/>
          <w:b w:val="0"/>
          <w:bCs w:val="0"/>
          <w:lang w:val="en-GB"/>
        </w:rPr>
        <w:t xml:space="preserve"> and Associate Professor Lynn Sinclair</w:t>
      </w:r>
    </w:p>
    <w:p w14:paraId="4E7E5182" w14:textId="5A9C7805" w:rsidR="00816E42" w:rsidRPr="006C09BD" w:rsidRDefault="00816E42" w:rsidP="00816E42">
      <w:pPr>
        <w:pStyle w:val="BodyA"/>
        <w:widowControl w:val="0"/>
        <w:numPr>
          <w:ilvl w:val="1"/>
          <w:numId w:val="21"/>
        </w:numPr>
        <w:spacing w:line="360" w:lineRule="auto"/>
        <w:rPr>
          <w:rFonts w:cs="Arial"/>
          <w:lang w:val="en-GB"/>
        </w:rPr>
      </w:pPr>
      <w:r w:rsidRPr="006C09BD">
        <w:rPr>
          <w:rStyle w:val="Strong"/>
          <w:rFonts w:cs="Arial"/>
          <w:b w:val="0"/>
          <w:bCs w:val="0"/>
          <w:lang w:val="en-GB"/>
        </w:rPr>
        <w:t xml:space="preserve">Non-independent members: Professor Chris Gale, </w:t>
      </w:r>
      <w:r w:rsidR="009D2AD1" w:rsidRPr="006C09BD">
        <w:rPr>
          <w:rStyle w:val="Strong"/>
          <w:rFonts w:cs="Arial"/>
          <w:b w:val="0"/>
          <w:bCs w:val="0"/>
          <w:lang w:val="en-GB"/>
        </w:rPr>
        <w:t xml:space="preserve">Associate </w:t>
      </w:r>
      <w:r w:rsidR="00B61045" w:rsidRPr="006C09BD">
        <w:rPr>
          <w:rStyle w:val="Strong"/>
          <w:rFonts w:cs="Arial"/>
          <w:b w:val="0"/>
          <w:bCs w:val="0"/>
          <w:lang w:val="en-GB"/>
        </w:rPr>
        <w:t>Professor</w:t>
      </w:r>
      <w:r w:rsidRPr="006C09BD">
        <w:rPr>
          <w:rStyle w:val="Strong"/>
          <w:rFonts w:cs="Arial"/>
          <w:b w:val="0"/>
          <w:bCs w:val="0"/>
          <w:lang w:val="en-GB"/>
        </w:rPr>
        <w:t xml:space="preserve"> Calum Roberts and </w:t>
      </w:r>
      <w:r w:rsidR="007617D0" w:rsidRPr="006C09BD">
        <w:rPr>
          <w:rStyle w:val="Strong"/>
          <w:rFonts w:cs="Arial"/>
          <w:b w:val="0"/>
          <w:bCs w:val="0"/>
          <w:lang w:val="en-GB"/>
        </w:rPr>
        <w:t xml:space="preserve">Associate Professor </w:t>
      </w:r>
      <w:r w:rsidRPr="006C09BD">
        <w:rPr>
          <w:rStyle w:val="Strong"/>
          <w:rFonts w:cs="Arial"/>
          <w:b w:val="0"/>
          <w:bCs w:val="0"/>
          <w:lang w:val="en-GB"/>
        </w:rPr>
        <w:t>Pollyanna Hardy</w:t>
      </w:r>
    </w:p>
    <w:p w14:paraId="14224CDE" w14:textId="77777777" w:rsidR="0049129D" w:rsidRPr="006C09BD" w:rsidRDefault="0049129D" w:rsidP="006463B1">
      <w:pPr>
        <w:pStyle w:val="BodyA"/>
        <w:widowControl w:val="0"/>
        <w:spacing w:line="360" w:lineRule="auto"/>
        <w:rPr>
          <w:rFonts w:cs="Arial"/>
          <w:lang w:val="en-GB"/>
        </w:rPr>
      </w:pPr>
    </w:p>
    <w:p w14:paraId="70A7168D" w14:textId="02A9F9C9" w:rsidR="001332B1" w:rsidRPr="006C09BD" w:rsidRDefault="001332B1" w:rsidP="002E12F7">
      <w:pPr>
        <w:pStyle w:val="BodyA"/>
        <w:widowControl w:val="0"/>
        <w:spacing w:line="360" w:lineRule="auto"/>
        <w:rPr>
          <w:rFonts w:cs="Arial"/>
          <w:b/>
          <w:u w:val="single"/>
          <w:lang w:val="en-GB"/>
        </w:rPr>
      </w:pPr>
      <w:r w:rsidRPr="006C09BD">
        <w:rPr>
          <w:rFonts w:cs="Arial"/>
          <w:b/>
          <w:u w:val="single"/>
          <w:lang w:val="en-GB"/>
        </w:rPr>
        <w:t>Blinded Endpoint Review Committee</w:t>
      </w:r>
      <w:r w:rsidR="00284D59" w:rsidRPr="006C09BD">
        <w:rPr>
          <w:rFonts w:cs="Arial"/>
          <w:b/>
          <w:u w:val="single"/>
          <w:lang w:val="en-GB"/>
        </w:rPr>
        <w:t xml:space="preserve"> (BERC)</w:t>
      </w:r>
    </w:p>
    <w:p w14:paraId="4B92ACF9" w14:textId="34F6A5D7" w:rsidR="001332B1" w:rsidRPr="006C09BD" w:rsidRDefault="001332B1" w:rsidP="001332B1">
      <w:pPr>
        <w:pStyle w:val="BodyA"/>
        <w:widowControl w:val="0"/>
        <w:numPr>
          <w:ilvl w:val="0"/>
          <w:numId w:val="21"/>
        </w:numPr>
        <w:spacing w:line="360" w:lineRule="auto"/>
        <w:rPr>
          <w:rFonts w:cs="Arial"/>
          <w:lang w:val="en-GB"/>
        </w:rPr>
      </w:pPr>
      <w:r w:rsidRPr="006C09BD">
        <w:rPr>
          <w:rFonts w:cs="Arial"/>
          <w:lang w:val="en-GB"/>
        </w:rPr>
        <w:t>Roles and Responsibilities</w:t>
      </w:r>
      <w:r w:rsidR="00AE47DC" w:rsidRPr="006C09BD">
        <w:rPr>
          <w:rFonts w:cs="Arial"/>
          <w:lang w:val="en-GB"/>
        </w:rPr>
        <w:t xml:space="preserve">: </w:t>
      </w:r>
      <w:r w:rsidR="009E002C" w:rsidRPr="006C09BD">
        <w:rPr>
          <w:rFonts w:cs="Arial"/>
          <w:lang w:val="en-GB"/>
        </w:rPr>
        <w:t xml:space="preserve">To review </w:t>
      </w:r>
      <w:r w:rsidR="00B963F3" w:rsidRPr="006C09BD">
        <w:rPr>
          <w:rFonts w:cs="Arial"/>
          <w:lang w:val="en-GB"/>
        </w:rPr>
        <w:t xml:space="preserve">cases </w:t>
      </w:r>
      <w:r w:rsidR="009E002C" w:rsidRPr="006C09BD">
        <w:rPr>
          <w:rFonts w:cs="Arial"/>
          <w:lang w:val="en-GB"/>
        </w:rPr>
        <w:t>of microbiologically</w:t>
      </w:r>
      <w:r w:rsidR="004C658D" w:rsidRPr="006C09BD">
        <w:rPr>
          <w:rFonts w:cs="Arial"/>
          <w:lang w:val="en-GB"/>
        </w:rPr>
        <w:t>-</w:t>
      </w:r>
      <w:r w:rsidR="009E002C" w:rsidRPr="006C09BD">
        <w:rPr>
          <w:rFonts w:cs="Arial"/>
          <w:lang w:val="en-GB"/>
        </w:rPr>
        <w:t>confirmed or clinically</w:t>
      </w:r>
      <w:r w:rsidR="006424FB">
        <w:rPr>
          <w:rFonts w:cs="Arial"/>
          <w:lang w:val="en-GB"/>
        </w:rPr>
        <w:t>-</w:t>
      </w:r>
      <w:r w:rsidR="009E002C" w:rsidRPr="006C09BD">
        <w:rPr>
          <w:rFonts w:cs="Arial"/>
          <w:lang w:val="en-GB"/>
        </w:rPr>
        <w:t>suspected late-onset infection</w:t>
      </w:r>
      <w:r w:rsidR="00B963F3" w:rsidRPr="006C09BD">
        <w:rPr>
          <w:rFonts w:cs="Arial"/>
          <w:lang w:val="en-GB"/>
        </w:rPr>
        <w:t>, spontaneous intestinal perforation</w:t>
      </w:r>
      <w:r w:rsidR="009E002C" w:rsidRPr="006C09BD">
        <w:rPr>
          <w:rFonts w:cs="Arial"/>
          <w:lang w:val="en-GB"/>
        </w:rPr>
        <w:t xml:space="preserve"> and </w:t>
      </w:r>
      <w:r w:rsidR="002E7D95" w:rsidRPr="006C09BD">
        <w:rPr>
          <w:rFonts w:cs="Arial"/>
          <w:lang w:val="en-GB"/>
        </w:rPr>
        <w:t>NEC</w:t>
      </w:r>
      <w:r w:rsidR="009E002C" w:rsidRPr="006C09BD">
        <w:rPr>
          <w:rFonts w:cs="Arial"/>
          <w:lang w:val="en-GB"/>
        </w:rPr>
        <w:t xml:space="preserve">, determining if they fulfil the trial protocol definition in order to harmonise and standardise assessments. The committee is intended to enhance the consistency, validity and integrity of the trial’s endpoints and/or outcomes. </w:t>
      </w:r>
    </w:p>
    <w:p w14:paraId="5502A851" w14:textId="22FAA7E2" w:rsidR="001332B1" w:rsidRPr="006C09BD" w:rsidRDefault="001332B1" w:rsidP="001332B1">
      <w:pPr>
        <w:pStyle w:val="BodyA"/>
        <w:widowControl w:val="0"/>
        <w:numPr>
          <w:ilvl w:val="0"/>
          <w:numId w:val="21"/>
        </w:numPr>
        <w:spacing w:line="360" w:lineRule="auto"/>
        <w:rPr>
          <w:rFonts w:cs="Arial"/>
          <w:lang w:val="en-GB"/>
        </w:rPr>
      </w:pPr>
      <w:r w:rsidRPr="006C09BD">
        <w:rPr>
          <w:rFonts w:cs="Arial"/>
          <w:lang w:val="en-GB"/>
        </w:rPr>
        <w:t>Relationship to Trial Sponsor and funders</w:t>
      </w:r>
      <w:r w:rsidR="009E002C" w:rsidRPr="006C09BD">
        <w:rPr>
          <w:rFonts w:cs="Arial"/>
          <w:lang w:val="en-GB"/>
        </w:rPr>
        <w:t xml:space="preserve">: </w:t>
      </w:r>
      <w:r w:rsidR="00755819" w:rsidRPr="006C09BD">
        <w:rPr>
          <w:rFonts w:cs="Arial"/>
          <w:lang w:val="en-GB"/>
        </w:rPr>
        <w:t xml:space="preserve">All members of the BERC are co-applicants on the trial. </w:t>
      </w:r>
    </w:p>
    <w:p w14:paraId="3B77E535" w14:textId="68E18CA2" w:rsidR="003644A7" w:rsidRPr="006C09BD" w:rsidRDefault="001332B1" w:rsidP="003644A7">
      <w:pPr>
        <w:pStyle w:val="BodyA"/>
        <w:widowControl w:val="0"/>
        <w:numPr>
          <w:ilvl w:val="0"/>
          <w:numId w:val="21"/>
        </w:numPr>
        <w:spacing w:line="360" w:lineRule="auto"/>
        <w:rPr>
          <w:rFonts w:cs="Arial"/>
          <w:lang w:val="en-GB"/>
        </w:rPr>
      </w:pPr>
      <w:r w:rsidRPr="006C09BD">
        <w:rPr>
          <w:rFonts w:cs="Arial"/>
          <w:lang w:val="en-GB"/>
        </w:rPr>
        <w:t>Outline of membership</w:t>
      </w:r>
      <w:r w:rsidR="00A44A2C" w:rsidRPr="006C09BD">
        <w:rPr>
          <w:rFonts w:cs="Arial"/>
          <w:lang w:val="en-GB"/>
        </w:rPr>
        <w:t xml:space="preserve">: BERC reviewers will be professionals who are expert in the conditions for which endpoint data is being collected for analysis. Reviewers are not required to be independent of the trial as reviews will be carried out blinded to allocation; the potential for bias in the absence of knowledge of the allocation is considered minimal. Reviewers will not review </w:t>
      </w:r>
      <w:r w:rsidR="002A35BF" w:rsidRPr="006C09BD">
        <w:rPr>
          <w:rFonts w:cs="Arial"/>
          <w:lang w:val="en-GB"/>
        </w:rPr>
        <w:t>infants</w:t>
      </w:r>
      <w:r w:rsidR="00A44A2C" w:rsidRPr="006C09BD">
        <w:rPr>
          <w:rFonts w:cs="Arial"/>
          <w:lang w:val="en-GB"/>
        </w:rPr>
        <w:t xml:space="preserve"> who received care at their hospital. The reviewers will be deemed to have no financial conflicts of interest other than being a trial co-</w:t>
      </w:r>
      <w:r w:rsidR="00C44A79">
        <w:rPr>
          <w:rFonts w:cs="Arial"/>
          <w:lang w:val="en-GB"/>
        </w:rPr>
        <w:t>applicant.</w:t>
      </w:r>
      <w:r w:rsidR="00A44A2C" w:rsidRPr="006C09BD">
        <w:rPr>
          <w:rFonts w:cs="Arial"/>
          <w:lang w:val="en-GB"/>
        </w:rPr>
        <w:t xml:space="preserve"> </w:t>
      </w:r>
    </w:p>
    <w:p w14:paraId="2F5854C3" w14:textId="1AF10169"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 xml:space="preserve">Composition of the </w:t>
      </w:r>
      <w:r w:rsidR="00284D59" w:rsidRPr="006C09BD">
        <w:rPr>
          <w:rStyle w:val="None"/>
          <w:rFonts w:cs="Arial"/>
          <w:b/>
          <w:bCs/>
          <w:sz w:val="24"/>
          <w:szCs w:val="24"/>
          <w:lang w:val="en-GB"/>
        </w:rPr>
        <w:t>D</w:t>
      </w:r>
      <w:r w:rsidRPr="006C09BD">
        <w:rPr>
          <w:rStyle w:val="None"/>
          <w:rFonts w:cs="Arial"/>
          <w:b/>
          <w:bCs/>
          <w:sz w:val="24"/>
          <w:szCs w:val="24"/>
          <w:lang w:val="en-GB"/>
        </w:rPr>
        <w:t xml:space="preserve">ata </w:t>
      </w:r>
      <w:r w:rsidR="00284D59" w:rsidRPr="006C09BD">
        <w:rPr>
          <w:rStyle w:val="None"/>
          <w:rFonts w:cs="Arial"/>
          <w:b/>
          <w:bCs/>
          <w:sz w:val="24"/>
          <w:szCs w:val="24"/>
          <w:lang w:val="en-GB"/>
        </w:rPr>
        <w:t>M</w:t>
      </w:r>
      <w:r w:rsidRPr="006C09BD">
        <w:rPr>
          <w:rStyle w:val="None"/>
          <w:rFonts w:cs="Arial"/>
          <w:b/>
          <w:bCs/>
          <w:sz w:val="24"/>
          <w:szCs w:val="24"/>
          <w:lang w:val="en-GB"/>
        </w:rPr>
        <w:t xml:space="preserve">onitoring </w:t>
      </w:r>
      <w:r w:rsidR="00284D59" w:rsidRPr="006C09BD">
        <w:rPr>
          <w:rStyle w:val="None"/>
          <w:rFonts w:cs="Arial"/>
          <w:b/>
          <w:bCs/>
          <w:sz w:val="24"/>
          <w:szCs w:val="24"/>
          <w:lang w:val="en-GB"/>
        </w:rPr>
        <w:t>C</w:t>
      </w:r>
      <w:r w:rsidRPr="006C09BD">
        <w:rPr>
          <w:rStyle w:val="None"/>
          <w:rFonts w:cs="Arial"/>
          <w:b/>
          <w:bCs/>
          <w:sz w:val="24"/>
          <w:szCs w:val="24"/>
          <w:lang w:val="en-GB"/>
        </w:rPr>
        <w:t>ommittee, its role and reporting structure {2</w:t>
      </w:r>
      <w:r w:rsidR="00091B07" w:rsidRPr="006C09BD">
        <w:rPr>
          <w:rStyle w:val="None"/>
          <w:rFonts w:cs="Arial"/>
          <w:b/>
          <w:bCs/>
          <w:sz w:val="24"/>
          <w:szCs w:val="24"/>
          <w:lang w:val="en-GB"/>
        </w:rPr>
        <w:t>8</w:t>
      </w:r>
      <w:r w:rsidRPr="006C09BD">
        <w:rPr>
          <w:rStyle w:val="None"/>
          <w:rFonts w:cs="Arial"/>
          <w:b/>
          <w:bCs/>
          <w:sz w:val="24"/>
          <w:szCs w:val="24"/>
          <w:lang w:val="en-GB"/>
        </w:rPr>
        <w:t>a}</w:t>
      </w:r>
    </w:p>
    <w:p w14:paraId="4DF43FA5" w14:textId="100385C7" w:rsidR="00C82D4F" w:rsidRPr="006C09BD" w:rsidRDefault="00C82D4F" w:rsidP="00C82D4F">
      <w:pPr>
        <w:pStyle w:val="BodyA"/>
        <w:widowControl w:val="0"/>
        <w:spacing w:line="360" w:lineRule="auto"/>
        <w:rPr>
          <w:rFonts w:cs="Arial"/>
          <w:lang w:val="en-GB"/>
        </w:rPr>
      </w:pPr>
      <w:r w:rsidRPr="006C09BD">
        <w:rPr>
          <w:rFonts w:cs="Arial"/>
          <w:lang w:val="en-GB"/>
        </w:rPr>
        <w:t xml:space="preserve">The DMC will consist of </w:t>
      </w:r>
      <w:r w:rsidR="00CC0C33" w:rsidRPr="006C09BD">
        <w:rPr>
          <w:rFonts w:cs="Arial"/>
          <w:lang w:val="en-GB"/>
        </w:rPr>
        <w:t xml:space="preserve">three </w:t>
      </w:r>
      <w:r w:rsidRPr="006C09BD">
        <w:rPr>
          <w:rFonts w:cs="Arial"/>
          <w:lang w:val="en-GB"/>
        </w:rPr>
        <w:t xml:space="preserve">independent members, including a chair, clinician, and statistician, who are separate from the trial team and TSC. During recruitment, the DMC will meet annually or more frequently as needed to review trial conduct, progress, and accumulating data. The DMC </w:t>
      </w:r>
      <w:r w:rsidR="00C44A79" w:rsidRPr="006C09BD">
        <w:rPr>
          <w:rFonts w:cs="Arial"/>
          <w:lang w:val="en-GB"/>
        </w:rPr>
        <w:t>will make</w:t>
      </w:r>
      <w:r w:rsidRPr="006C09BD">
        <w:rPr>
          <w:rFonts w:cs="Arial"/>
          <w:lang w:val="en-GB"/>
        </w:rPr>
        <w:t xml:space="preserve"> recommendations to the TSC. The DMC Charter, outlining roles, responsibilities and conduct, will be established at the initial meeting</w:t>
      </w:r>
      <w:r w:rsidR="00CC0C33" w:rsidRPr="006C09BD">
        <w:rPr>
          <w:rFonts w:cs="Arial"/>
          <w:lang w:val="en-GB"/>
        </w:rPr>
        <w:t>.</w:t>
      </w:r>
    </w:p>
    <w:p w14:paraId="31EDD8A8" w14:textId="77777777" w:rsidR="006463B1" w:rsidRPr="006C09BD" w:rsidRDefault="006463B1" w:rsidP="00C82D4F">
      <w:pPr>
        <w:pStyle w:val="BodyA"/>
        <w:widowControl w:val="0"/>
        <w:spacing w:line="360" w:lineRule="auto"/>
        <w:rPr>
          <w:rFonts w:cs="Arial"/>
          <w:lang w:val="en-GB"/>
        </w:rPr>
      </w:pPr>
    </w:p>
    <w:p w14:paraId="374AE884" w14:textId="44D71760" w:rsidR="006463B1" w:rsidRPr="006C09BD" w:rsidRDefault="006463B1" w:rsidP="006463B1">
      <w:pPr>
        <w:pStyle w:val="BodyA"/>
        <w:widowControl w:val="0"/>
        <w:spacing w:line="360" w:lineRule="auto"/>
        <w:rPr>
          <w:rFonts w:cs="Arial"/>
          <w:b/>
          <w:u w:val="single"/>
          <w:lang w:val="en-GB"/>
        </w:rPr>
      </w:pPr>
      <w:r w:rsidRPr="006C09BD">
        <w:rPr>
          <w:rFonts w:cs="Arial"/>
          <w:b/>
          <w:u w:val="single"/>
          <w:lang w:val="en-GB"/>
        </w:rPr>
        <w:t>Data Monitoring Committee</w:t>
      </w:r>
      <w:r w:rsidR="00284D59" w:rsidRPr="006C09BD">
        <w:rPr>
          <w:rFonts w:cs="Arial"/>
          <w:b/>
          <w:u w:val="single"/>
          <w:lang w:val="en-GB"/>
        </w:rPr>
        <w:t xml:space="preserve"> (DMC)</w:t>
      </w:r>
    </w:p>
    <w:p w14:paraId="4FC6D38A" w14:textId="722FD45E" w:rsidR="006463B1" w:rsidRPr="006C09BD" w:rsidRDefault="006463B1" w:rsidP="006463B1">
      <w:pPr>
        <w:pStyle w:val="BodyA"/>
        <w:widowControl w:val="0"/>
        <w:numPr>
          <w:ilvl w:val="0"/>
          <w:numId w:val="21"/>
        </w:numPr>
        <w:spacing w:line="360" w:lineRule="auto"/>
        <w:rPr>
          <w:rFonts w:cs="Arial"/>
          <w:lang w:val="en-GB"/>
        </w:rPr>
      </w:pPr>
      <w:r w:rsidRPr="006C09BD">
        <w:rPr>
          <w:rFonts w:cs="Arial"/>
          <w:lang w:val="en-GB"/>
        </w:rPr>
        <w:t xml:space="preserve">Roles and Responsibilities: The role </w:t>
      </w:r>
      <w:r w:rsidR="00F30629">
        <w:rPr>
          <w:rFonts w:cs="Arial"/>
          <w:lang w:val="en-GB"/>
        </w:rPr>
        <w:t>o</w:t>
      </w:r>
      <w:r w:rsidRPr="006C09BD">
        <w:rPr>
          <w:rFonts w:cs="Arial"/>
          <w:lang w:val="en-GB"/>
        </w:rPr>
        <w:t xml:space="preserve">f the DMC is to safeguard the interests of trial participants, potential participants, their families, their carers, investigators, and the sponsor; to assess the safety and efficacy of the intervention during the trial, and monitor the trial’s overall conduct, and protect its </w:t>
      </w:r>
      <w:r w:rsidRPr="006C09BD">
        <w:rPr>
          <w:rFonts w:cs="Arial"/>
          <w:lang w:val="en-GB"/>
        </w:rPr>
        <w:lastRenderedPageBreak/>
        <w:t>validity and credibility.</w:t>
      </w:r>
    </w:p>
    <w:p w14:paraId="19AE28D5" w14:textId="77777777" w:rsidR="006463B1" w:rsidRPr="006C09BD" w:rsidRDefault="006463B1" w:rsidP="006463B1">
      <w:pPr>
        <w:pStyle w:val="BodyA"/>
        <w:widowControl w:val="0"/>
        <w:numPr>
          <w:ilvl w:val="0"/>
          <w:numId w:val="21"/>
        </w:numPr>
        <w:spacing w:line="360" w:lineRule="auto"/>
        <w:rPr>
          <w:rFonts w:cs="Arial"/>
          <w:lang w:val="en-GB"/>
        </w:rPr>
      </w:pPr>
      <w:r w:rsidRPr="006C09BD">
        <w:rPr>
          <w:rFonts w:cs="Arial"/>
          <w:lang w:val="en-GB"/>
        </w:rPr>
        <w:t>Relationship to Trial Sponsor and funders: The DMC provide advice to the TSC who will then inform the Sponsor and Funder.</w:t>
      </w:r>
    </w:p>
    <w:p w14:paraId="496122BC" w14:textId="27BC5CFD" w:rsidR="006463B1" w:rsidRPr="006C09BD" w:rsidRDefault="006463B1" w:rsidP="006463B1">
      <w:pPr>
        <w:pStyle w:val="BodyA"/>
        <w:widowControl w:val="0"/>
        <w:numPr>
          <w:ilvl w:val="0"/>
          <w:numId w:val="21"/>
        </w:numPr>
        <w:spacing w:line="360" w:lineRule="auto"/>
        <w:rPr>
          <w:rFonts w:cs="Arial"/>
          <w:lang w:val="en-GB"/>
        </w:rPr>
      </w:pPr>
      <w:r w:rsidRPr="006C09BD">
        <w:rPr>
          <w:rFonts w:cs="Arial"/>
          <w:lang w:val="en-GB"/>
        </w:rPr>
        <w:t>Outline of membership: The members of the DMC are independent of the trial (</w:t>
      </w:r>
      <w:r w:rsidR="00C44A79" w:rsidRPr="006C09BD">
        <w:rPr>
          <w:rFonts w:cs="Arial"/>
          <w:lang w:val="en-GB"/>
        </w:rPr>
        <w:t>e.g.,</w:t>
      </w:r>
      <w:r w:rsidRPr="006C09BD">
        <w:rPr>
          <w:rFonts w:cs="Arial"/>
          <w:lang w:val="en-GB"/>
        </w:rPr>
        <w:t xml:space="preserve"> are not involved with the trial in any other way and will not have competing interests that could impact on the trial). They are nominated by the investigators and approved by the NIHR HTA</w:t>
      </w:r>
      <w:r w:rsidR="00F30629">
        <w:rPr>
          <w:rFonts w:cs="Arial"/>
          <w:lang w:val="en-GB"/>
        </w:rPr>
        <w:t>.</w:t>
      </w:r>
    </w:p>
    <w:p w14:paraId="2E7E5858" w14:textId="77777777" w:rsidR="006463B1" w:rsidRPr="006C09BD" w:rsidRDefault="006463B1" w:rsidP="006463B1">
      <w:pPr>
        <w:pStyle w:val="BodyA"/>
        <w:widowControl w:val="0"/>
        <w:numPr>
          <w:ilvl w:val="0"/>
          <w:numId w:val="21"/>
        </w:numPr>
        <w:spacing w:line="360" w:lineRule="auto"/>
        <w:rPr>
          <w:rFonts w:cs="Arial"/>
          <w:lang w:val="en-GB"/>
        </w:rPr>
      </w:pPr>
      <w:r w:rsidRPr="006C09BD">
        <w:rPr>
          <w:rFonts w:cs="Arial"/>
          <w:lang w:val="en-GB"/>
        </w:rPr>
        <w:t>Names of chairs and members:</w:t>
      </w:r>
    </w:p>
    <w:p w14:paraId="400FFDD6" w14:textId="77777777" w:rsidR="006463B1" w:rsidRPr="006C09BD" w:rsidRDefault="006463B1" w:rsidP="006463B1">
      <w:pPr>
        <w:pStyle w:val="BodyA"/>
        <w:widowControl w:val="0"/>
        <w:numPr>
          <w:ilvl w:val="1"/>
          <w:numId w:val="21"/>
        </w:numPr>
        <w:spacing w:line="360" w:lineRule="auto"/>
        <w:rPr>
          <w:rStyle w:val="Strong"/>
          <w:rFonts w:cs="Arial"/>
          <w:b w:val="0"/>
          <w:bCs w:val="0"/>
          <w:lang w:val="en-GB"/>
        </w:rPr>
      </w:pPr>
      <w:r w:rsidRPr="006C09BD">
        <w:rPr>
          <w:rFonts w:cs="Arial"/>
          <w:lang w:val="en-GB"/>
        </w:rPr>
        <w:t xml:space="preserve">Chair: </w:t>
      </w:r>
      <w:r w:rsidRPr="006C09BD">
        <w:rPr>
          <w:rStyle w:val="Strong"/>
          <w:rFonts w:cs="Arial"/>
          <w:b w:val="0"/>
          <w:bCs w:val="0"/>
          <w:lang w:val="en-GB"/>
        </w:rPr>
        <w:t>Dr David Gillespie</w:t>
      </w:r>
    </w:p>
    <w:p w14:paraId="4089DABA" w14:textId="77777777" w:rsidR="006463B1" w:rsidRPr="006C09BD" w:rsidRDefault="006463B1" w:rsidP="006463B1">
      <w:pPr>
        <w:pStyle w:val="BodyA"/>
        <w:widowControl w:val="0"/>
        <w:numPr>
          <w:ilvl w:val="1"/>
          <w:numId w:val="21"/>
        </w:numPr>
        <w:spacing w:line="360" w:lineRule="auto"/>
        <w:rPr>
          <w:rFonts w:cs="Arial"/>
          <w:lang w:val="en-GB"/>
        </w:rPr>
      </w:pPr>
      <w:r w:rsidRPr="006C09BD">
        <w:rPr>
          <w:rStyle w:val="Strong"/>
          <w:rFonts w:cs="Arial"/>
          <w:b w:val="0"/>
          <w:bCs w:val="0"/>
          <w:lang w:val="en-GB"/>
        </w:rPr>
        <w:t>Independent members: Dr Ann Hickey and Professor Jos Latour</w:t>
      </w:r>
    </w:p>
    <w:p w14:paraId="347482ED" w14:textId="77777777" w:rsidR="00C82D4F" w:rsidRPr="006C09BD" w:rsidRDefault="00C82D4F" w:rsidP="00C82D4F">
      <w:pPr>
        <w:pStyle w:val="BodyA"/>
        <w:widowControl w:val="0"/>
        <w:spacing w:line="360" w:lineRule="auto"/>
        <w:rPr>
          <w:rFonts w:cs="Arial"/>
          <w:lang w:val="en-GB"/>
        </w:rPr>
      </w:pPr>
    </w:p>
    <w:p w14:paraId="6BC01148" w14:textId="624BB0BF" w:rsidR="00F44FE1" w:rsidRPr="006C09BD" w:rsidRDefault="00AD76C6" w:rsidP="00F44FE1">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Frequency and plans for auditing t</w:t>
      </w:r>
      <w:r w:rsidR="00F44FE1" w:rsidRPr="006C09BD">
        <w:rPr>
          <w:rStyle w:val="None"/>
          <w:rFonts w:cs="Arial"/>
          <w:b/>
          <w:bCs/>
          <w:sz w:val="24"/>
          <w:szCs w:val="24"/>
          <w:lang w:val="en-GB"/>
        </w:rPr>
        <w:t xml:space="preserve">rial </w:t>
      </w:r>
      <w:r w:rsidRPr="006C09BD">
        <w:rPr>
          <w:rStyle w:val="None"/>
          <w:rFonts w:cs="Arial"/>
          <w:b/>
          <w:bCs/>
          <w:sz w:val="24"/>
          <w:szCs w:val="24"/>
          <w:lang w:val="en-GB"/>
        </w:rPr>
        <w:t>conduct</w:t>
      </w:r>
      <w:r w:rsidR="00F44FE1" w:rsidRPr="006C09BD">
        <w:rPr>
          <w:rStyle w:val="None"/>
          <w:rFonts w:cs="Arial"/>
          <w:b/>
          <w:bCs/>
          <w:sz w:val="24"/>
          <w:szCs w:val="24"/>
          <w:lang w:val="en-GB"/>
        </w:rPr>
        <w:t xml:space="preserve"> {29}</w:t>
      </w:r>
    </w:p>
    <w:p w14:paraId="4263F230" w14:textId="77777777" w:rsidR="00F44FE1" w:rsidRPr="006C09BD" w:rsidRDefault="00F44FE1" w:rsidP="00F44FE1">
      <w:pPr>
        <w:pStyle w:val="BodyA"/>
        <w:widowControl w:val="0"/>
        <w:spacing w:line="360" w:lineRule="auto"/>
        <w:rPr>
          <w:rFonts w:cs="Arial"/>
          <w:lang w:val="en-GB"/>
        </w:rPr>
      </w:pPr>
      <w:r w:rsidRPr="006C09BD">
        <w:rPr>
          <w:rFonts w:cs="Arial"/>
          <w:lang w:val="en-GB"/>
        </w:rPr>
        <w:t>The Principal Investigator (PI) will oversee the trial at their site, including recruitment, staff training, and ensuring data quality.</w:t>
      </w:r>
    </w:p>
    <w:p w14:paraId="0F4EFF2C" w14:textId="77777777" w:rsidR="00F44FE1" w:rsidRPr="006C09BD" w:rsidRDefault="00F44FE1" w:rsidP="00F44FE1">
      <w:pPr>
        <w:pStyle w:val="BodyA"/>
        <w:widowControl w:val="0"/>
        <w:spacing w:line="360" w:lineRule="auto"/>
        <w:rPr>
          <w:rFonts w:cs="Arial"/>
          <w:lang w:val="en-GB"/>
        </w:rPr>
      </w:pPr>
      <w:r w:rsidRPr="006C09BD">
        <w:rPr>
          <w:rFonts w:cs="Arial"/>
          <w:lang w:val="en-GB"/>
        </w:rPr>
        <w:t>The NPEU CTU will develop a central monitoring plan based on the risk assessment. Recruitment patterns and data will be closely monitored. Any unexpected findings or outliers will be investigated, potentially leading to targeted site monitoring. Routine monitoring or auditing will not be conducted unless necessary, as determined by central monitoring.</w:t>
      </w:r>
    </w:p>
    <w:p w14:paraId="22211F72" w14:textId="77777777" w:rsidR="00F44FE1" w:rsidRPr="006C09BD" w:rsidRDefault="00F44FE1" w:rsidP="00C82D4F">
      <w:pPr>
        <w:pStyle w:val="BodyA"/>
        <w:widowControl w:val="0"/>
        <w:spacing w:line="360" w:lineRule="auto"/>
        <w:rPr>
          <w:rStyle w:val="None"/>
          <w:rFonts w:cs="Arial"/>
          <w:b/>
          <w:bCs/>
          <w:sz w:val="24"/>
          <w:szCs w:val="24"/>
          <w:lang w:val="en-GB"/>
        </w:rPr>
      </w:pPr>
    </w:p>
    <w:p w14:paraId="7DE17D20" w14:textId="03847930" w:rsidR="0050292B" w:rsidRPr="006C09BD" w:rsidRDefault="00AD76C6">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Protocol Amendments</w:t>
      </w:r>
      <w:r w:rsidR="00551CF0" w:rsidRPr="006C09BD">
        <w:rPr>
          <w:rStyle w:val="None"/>
          <w:rFonts w:cs="Arial"/>
          <w:b/>
          <w:bCs/>
          <w:sz w:val="24"/>
          <w:szCs w:val="24"/>
          <w:lang w:val="en-GB"/>
        </w:rPr>
        <w:t xml:space="preserve"> {</w:t>
      </w:r>
      <w:r w:rsidR="006632F0" w:rsidRPr="006C09BD">
        <w:rPr>
          <w:rStyle w:val="None"/>
          <w:rFonts w:cs="Arial"/>
          <w:b/>
          <w:bCs/>
          <w:sz w:val="24"/>
          <w:szCs w:val="24"/>
          <w:lang w:val="en-GB"/>
        </w:rPr>
        <w:t>31</w:t>
      </w:r>
      <w:r w:rsidR="00551CF0" w:rsidRPr="006C09BD">
        <w:rPr>
          <w:rStyle w:val="None"/>
          <w:rFonts w:cs="Arial"/>
          <w:b/>
          <w:bCs/>
          <w:sz w:val="24"/>
          <w:szCs w:val="24"/>
          <w:lang w:val="en-GB"/>
        </w:rPr>
        <w:t>}</w:t>
      </w:r>
    </w:p>
    <w:p w14:paraId="25B56D44" w14:textId="1DF401D2" w:rsidR="00231954" w:rsidRPr="006C09BD" w:rsidRDefault="00231954" w:rsidP="00231954">
      <w:pPr>
        <w:pStyle w:val="BodyA"/>
        <w:widowControl w:val="0"/>
        <w:spacing w:line="360" w:lineRule="auto"/>
        <w:rPr>
          <w:rStyle w:val="None"/>
          <w:rFonts w:cs="Arial"/>
          <w:sz w:val="24"/>
          <w:szCs w:val="24"/>
          <w:lang w:val="en-GB"/>
        </w:rPr>
      </w:pPr>
      <w:r w:rsidRPr="006C09BD">
        <w:rPr>
          <w:rFonts w:cs="Arial"/>
          <w:lang w:val="en-GB"/>
        </w:rPr>
        <w:t>The NPEU CTU will submit and, where necessary, obtain approval from the Sponsor, REC (Research Ethics Committee) and HRA (Heath Research Authority) for all substantial amendments to the approved documents.</w:t>
      </w:r>
      <w:r w:rsidR="00CB1F62" w:rsidRPr="006C09BD">
        <w:rPr>
          <w:rFonts w:cs="Arial"/>
          <w:lang w:val="en-GB"/>
        </w:rPr>
        <w:t xml:space="preserve"> </w:t>
      </w:r>
      <w:r w:rsidR="00FD2EC6" w:rsidRPr="006C09BD">
        <w:rPr>
          <w:rFonts w:cs="Arial"/>
          <w:lang w:val="en-GB"/>
        </w:rPr>
        <w:t xml:space="preserve">Monash University will submit and obtain approval from the relevant Australian Human Research Ethics Committee for all such amendments. </w:t>
      </w:r>
      <w:r w:rsidR="00CB1F62" w:rsidRPr="006C09BD">
        <w:rPr>
          <w:rFonts w:cs="Arial"/>
          <w:lang w:val="en-GB"/>
        </w:rPr>
        <w:t>Trial sites and recruiting teams will be notified of all substantial amendments as these arise. Trial participants will be recruited using up</w:t>
      </w:r>
      <w:r w:rsidR="00F30629">
        <w:rPr>
          <w:rFonts w:cs="Arial"/>
          <w:lang w:val="en-GB"/>
        </w:rPr>
        <w:t>-</w:t>
      </w:r>
      <w:r w:rsidR="00CB1F62" w:rsidRPr="006C09BD">
        <w:rPr>
          <w:rFonts w:cs="Arial"/>
          <w:lang w:val="en-GB"/>
        </w:rPr>
        <w:t>to</w:t>
      </w:r>
      <w:r w:rsidR="00F30629">
        <w:rPr>
          <w:rFonts w:cs="Arial"/>
          <w:lang w:val="en-GB"/>
        </w:rPr>
        <w:t>-</w:t>
      </w:r>
      <w:r w:rsidR="00CB1F62" w:rsidRPr="006C09BD">
        <w:rPr>
          <w:rFonts w:cs="Arial"/>
          <w:lang w:val="en-GB"/>
        </w:rPr>
        <w:t>date documents; participants who have finished trial participation will not be informed of protocol amendments.</w:t>
      </w:r>
    </w:p>
    <w:p w14:paraId="1DFFE39A" w14:textId="77777777" w:rsidR="00F30629" w:rsidRDefault="00F30629" w:rsidP="001A7774">
      <w:pPr>
        <w:pStyle w:val="BodyA"/>
        <w:widowControl w:val="0"/>
        <w:spacing w:line="360" w:lineRule="auto"/>
        <w:rPr>
          <w:rStyle w:val="None"/>
          <w:rFonts w:cs="Arial"/>
          <w:sz w:val="24"/>
          <w:szCs w:val="24"/>
          <w:lang w:val="en-GB"/>
        </w:rPr>
      </w:pPr>
    </w:p>
    <w:p w14:paraId="5AFA72F5" w14:textId="3FC70955" w:rsidR="0050292B" w:rsidRPr="006C09BD" w:rsidRDefault="00551CF0" w:rsidP="001A7774">
      <w:pPr>
        <w:pStyle w:val="BodyA"/>
        <w:widowControl w:val="0"/>
        <w:spacing w:line="360" w:lineRule="auto"/>
        <w:rPr>
          <w:rStyle w:val="None"/>
          <w:rFonts w:cs="Arial"/>
          <w:b/>
          <w:bCs/>
          <w:color w:val="auto"/>
          <w:sz w:val="28"/>
          <w:szCs w:val="28"/>
          <w:lang w:val="en-GB" w:eastAsia="en-US"/>
        </w:rPr>
      </w:pPr>
      <w:r w:rsidRPr="006C09BD">
        <w:rPr>
          <w:rStyle w:val="None"/>
          <w:rFonts w:cs="Arial"/>
          <w:b/>
          <w:bCs/>
          <w:sz w:val="28"/>
          <w:szCs w:val="28"/>
          <w:lang w:val="en-GB"/>
        </w:rPr>
        <w:t>Dissemination p</w:t>
      </w:r>
      <w:r w:rsidR="00AD76C6" w:rsidRPr="006C09BD">
        <w:rPr>
          <w:rStyle w:val="None"/>
          <w:rFonts w:cs="Arial"/>
          <w:b/>
          <w:bCs/>
          <w:sz w:val="28"/>
          <w:szCs w:val="28"/>
          <w:lang w:val="en-GB"/>
        </w:rPr>
        <w:t>olicy</w:t>
      </w:r>
      <w:r w:rsidRPr="006C09BD">
        <w:rPr>
          <w:rStyle w:val="None"/>
          <w:rFonts w:cs="Arial"/>
          <w:b/>
          <w:bCs/>
          <w:sz w:val="28"/>
          <w:szCs w:val="28"/>
          <w:lang w:val="en-GB"/>
        </w:rPr>
        <w:t xml:space="preserve"> {</w:t>
      </w:r>
      <w:r w:rsidR="006632F0" w:rsidRPr="006C09BD">
        <w:rPr>
          <w:rStyle w:val="None"/>
          <w:rFonts w:cs="Arial"/>
          <w:b/>
          <w:bCs/>
          <w:sz w:val="28"/>
          <w:szCs w:val="28"/>
          <w:lang w:val="en-GB"/>
        </w:rPr>
        <w:t>8</w:t>
      </w:r>
      <w:r w:rsidRPr="006C09BD">
        <w:rPr>
          <w:rStyle w:val="None"/>
          <w:rFonts w:cs="Arial"/>
          <w:b/>
          <w:bCs/>
          <w:sz w:val="28"/>
          <w:szCs w:val="28"/>
          <w:lang w:val="en-GB"/>
        </w:rPr>
        <w:t>}</w:t>
      </w:r>
    </w:p>
    <w:p w14:paraId="3A082A9B" w14:textId="5AC85A2F" w:rsidR="00231954" w:rsidRPr="006C09BD" w:rsidRDefault="00231954" w:rsidP="00231954">
      <w:pPr>
        <w:pStyle w:val="BodyA"/>
        <w:widowControl w:val="0"/>
        <w:spacing w:line="360" w:lineRule="auto"/>
        <w:rPr>
          <w:rFonts w:cs="Arial"/>
          <w:lang w:val="en-GB"/>
        </w:rPr>
      </w:pPr>
      <w:r w:rsidRPr="006C09BD">
        <w:rPr>
          <w:rFonts w:cs="Arial"/>
          <w:lang w:val="en-GB"/>
        </w:rPr>
        <w:t xml:space="preserve">Full details of the trial will be made available to parents of </w:t>
      </w:r>
      <w:r w:rsidR="002A35BF" w:rsidRPr="006C09BD">
        <w:rPr>
          <w:rFonts w:cs="Arial"/>
          <w:lang w:val="en-GB"/>
        </w:rPr>
        <w:t>infants</w:t>
      </w:r>
      <w:r w:rsidRPr="006C09BD">
        <w:rPr>
          <w:rFonts w:cs="Arial"/>
          <w:lang w:val="en-GB"/>
        </w:rPr>
        <w:t xml:space="preserve"> enrolled in the trial </w:t>
      </w:r>
      <w:r w:rsidR="00FC7E34" w:rsidRPr="006C09BD">
        <w:rPr>
          <w:rFonts w:cs="Arial"/>
          <w:lang w:val="en-GB"/>
        </w:rPr>
        <w:t xml:space="preserve">via </w:t>
      </w:r>
      <w:r w:rsidRPr="006C09BD">
        <w:rPr>
          <w:rFonts w:cs="Arial"/>
          <w:lang w:val="en-GB"/>
        </w:rPr>
        <w:t xml:space="preserve">the trial website: </w:t>
      </w:r>
      <w:hyperlink r:id="rId16" w:history="1">
        <w:r w:rsidRPr="006C09BD">
          <w:rPr>
            <w:rStyle w:val="Hyperlink"/>
            <w:rFonts w:cs="Arial"/>
            <w:lang w:val="en-GB"/>
          </w:rPr>
          <w:t>https://www.npeu.ox.ac.uk/neogastric</w:t>
        </w:r>
      </w:hyperlink>
      <w:r w:rsidRPr="006C09BD">
        <w:rPr>
          <w:rFonts w:cs="Arial"/>
          <w:lang w:val="en-GB"/>
        </w:rPr>
        <w:t>. I</w:t>
      </w:r>
      <w:r w:rsidR="00FD2EC6" w:rsidRPr="006C09BD">
        <w:rPr>
          <w:rFonts w:cs="Arial"/>
          <w:lang w:val="en-GB"/>
        </w:rPr>
        <w:t>nformation</w:t>
      </w:r>
      <w:r w:rsidRPr="006C09BD">
        <w:rPr>
          <w:rFonts w:cs="Arial"/>
          <w:lang w:val="en-GB"/>
        </w:rPr>
        <w:t xml:space="preserve"> will also be disseminated through charities such as </w:t>
      </w:r>
      <w:r w:rsidR="00CB1F62" w:rsidRPr="006C09BD">
        <w:rPr>
          <w:rFonts w:cs="Arial"/>
          <w:lang w:val="en-GB"/>
        </w:rPr>
        <w:t>Bliss</w:t>
      </w:r>
      <w:r w:rsidRPr="006C09BD">
        <w:rPr>
          <w:rFonts w:cs="Arial"/>
          <w:lang w:val="en-GB"/>
        </w:rPr>
        <w:t xml:space="preserve">, Maternity Voices and </w:t>
      </w:r>
      <w:r w:rsidR="001548BE" w:rsidRPr="006C09BD">
        <w:rPr>
          <w:rFonts w:cs="Arial"/>
          <w:lang w:val="en-GB"/>
        </w:rPr>
        <w:t>Supporting Sick Newborn A</w:t>
      </w:r>
      <w:r w:rsidR="002A7CFD" w:rsidRPr="006C09BD">
        <w:rPr>
          <w:rFonts w:cs="Arial"/>
          <w:lang w:val="en-GB"/>
        </w:rPr>
        <w:t xml:space="preserve">nd their </w:t>
      </w:r>
      <w:r w:rsidR="001548BE" w:rsidRPr="006C09BD">
        <w:rPr>
          <w:rFonts w:cs="Arial"/>
          <w:lang w:val="en-GB"/>
        </w:rPr>
        <w:t>P</w:t>
      </w:r>
      <w:r w:rsidR="002A7CFD" w:rsidRPr="006C09BD">
        <w:rPr>
          <w:rFonts w:cs="Arial"/>
          <w:lang w:val="en-GB"/>
        </w:rPr>
        <w:t>arents (</w:t>
      </w:r>
      <w:r w:rsidRPr="006C09BD">
        <w:rPr>
          <w:rFonts w:cs="Arial"/>
          <w:lang w:val="en-GB"/>
        </w:rPr>
        <w:t>SSNAP</w:t>
      </w:r>
      <w:r w:rsidR="002A7CFD" w:rsidRPr="006C09BD">
        <w:rPr>
          <w:rFonts w:cs="Arial"/>
          <w:lang w:val="en-GB"/>
        </w:rPr>
        <w:t>)</w:t>
      </w:r>
      <w:r w:rsidRPr="006C09BD">
        <w:rPr>
          <w:rFonts w:cs="Arial"/>
          <w:lang w:val="en-GB"/>
        </w:rPr>
        <w:t xml:space="preserve"> in the UK and Miracle Babies Foundation and Life’s Little Treasures in Australia.</w:t>
      </w:r>
    </w:p>
    <w:p w14:paraId="29F18E01" w14:textId="731ED55D" w:rsidR="00871E32" w:rsidRPr="006C09BD" w:rsidRDefault="00231954" w:rsidP="00231954">
      <w:pPr>
        <w:pStyle w:val="BodyA"/>
        <w:widowControl w:val="0"/>
        <w:spacing w:line="360" w:lineRule="auto"/>
        <w:rPr>
          <w:rFonts w:cs="Arial"/>
          <w:lang w:val="en-GB"/>
        </w:rPr>
      </w:pPr>
      <w:r w:rsidRPr="006C09BD">
        <w:rPr>
          <w:rFonts w:cs="Arial"/>
          <w:lang w:val="en-GB"/>
        </w:rPr>
        <w:t>The final research</w:t>
      </w:r>
      <w:r w:rsidR="00B5478B" w:rsidRPr="006C09BD">
        <w:rPr>
          <w:rFonts w:cs="Arial"/>
          <w:lang w:val="en-GB"/>
        </w:rPr>
        <w:t xml:space="preserve"> findings</w:t>
      </w:r>
      <w:r w:rsidRPr="006C09BD">
        <w:rPr>
          <w:rFonts w:cs="Arial"/>
          <w:lang w:val="en-GB"/>
        </w:rPr>
        <w:t xml:space="preserve"> will be disseminated by conventional academic outputs, including</w:t>
      </w:r>
      <w:r w:rsidR="00F44FE1" w:rsidRPr="006C09BD">
        <w:rPr>
          <w:rFonts w:cs="Arial"/>
          <w:lang w:val="en-GB"/>
        </w:rPr>
        <w:t xml:space="preserve"> publication in</w:t>
      </w:r>
      <w:r w:rsidRPr="006C09BD">
        <w:rPr>
          <w:rFonts w:cs="Arial"/>
          <w:lang w:val="en-GB"/>
        </w:rPr>
        <w:t xml:space="preserve"> high impact journals and presentations at prominent national and international conferences. A key part of planned dissemination will be through updated guidelines, including </w:t>
      </w:r>
      <w:r w:rsidR="00CB1F62" w:rsidRPr="006C09BD">
        <w:rPr>
          <w:rFonts w:cs="Arial"/>
          <w:lang w:val="en-GB"/>
        </w:rPr>
        <w:t>British Association of Perinatal Medicine (BAPM) and National Institute for Health and Care Excellence (</w:t>
      </w:r>
      <w:r w:rsidRPr="006C09BD">
        <w:rPr>
          <w:rFonts w:cs="Arial"/>
          <w:lang w:val="en-GB"/>
        </w:rPr>
        <w:t>NICE</w:t>
      </w:r>
      <w:r w:rsidR="00CB1F62" w:rsidRPr="006C09BD">
        <w:rPr>
          <w:rFonts w:cs="Arial"/>
          <w:lang w:val="en-GB"/>
        </w:rPr>
        <w:t>)</w:t>
      </w:r>
      <w:r w:rsidRPr="006C09BD">
        <w:rPr>
          <w:rFonts w:cs="Arial"/>
          <w:lang w:val="en-GB"/>
        </w:rPr>
        <w:t xml:space="preserve"> guidelines in the UK</w:t>
      </w:r>
      <w:r w:rsidR="00B5478B" w:rsidRPr="006C09BD">
        <w:rPr>
          <w:rFonts w:cs="Arial"/>
          <w:lang w:val="en-GB"/>
        </w:rPr>
        <w:t>, and</w:t>
      </w:r>
      <w:r w:rsidR="001919CC" w:rsidRPr="006C09BD">
        <w:rPr>
          <w:rFonts w:cs="Arial"/>
          <w:lang w:val="en-GB"/>
        </w:rPr>
        <w:t xml:space="preserve"> at</w:t>
      </w:r>
      <w:r w:rsidR="00B5478B" w:rsidRPr="006C09BD">
        <w:rPr>
          <w:rFonts w:cs="Arial"/>
          <w:lang w:val="en-GB"/>
        </w:rPr>
        <w:t xml:space="preserve"> </w:t>
      </w:r>
      <w:r w:rsidR="001919CC" w:rsidRPr="006C09BD">
        <w:rPr>
          <w:rFonts w:cs="Arial"/>
          <w:lang w:val="en-GB"/>
        </w:rPr>
        <w:t xml:space="preserve">individual unit level and state/territory level guidance </w:t>
      </w:r>
      <w:r w:rsidR="00B5478B" w:rsidRPr="006C09BD">
        <w:rPr>
          <w:rFonts w:cs="Arial"/>
          <w:lang w:val="en-GB"/>
        </w:rPr>
        <w:t>withi</w:t>
      </w:r>
      <w:r w:rsidR="00871E32" w:rsidRPr="006C09BD">
        <w:rPr>
          <w:rFonts w:cs="Arial"/>
          <w:lang w:val="en-GB"/>
        </w:rPr>
        <w:t>n Australia.</w:t>
      </w:r>
      <w:r w:rsidR="004F0582" w:rsidRPr="006C09BD">
        <w:rPr>
          <w:rFonts w:cs="Arial"/>
          <w:lang w:val="en-GB"/>
        </w:rPr>
        <w:t xml:space="preserve"> As nurses will be key to the implementation of any results, further dissemination will be aimed at nurse education forums and resources</w:t>
      </w:r>
      <w:r w:rsidR="00CA374E" w:rsidRPr="006C09BD">
        <w:rPr>
          <w:rFonts w:cs="Arial"/>
          <w:lang w:val="en-GB"/>
        </w:rPr>
        <w:t>.</w:t>
      </w:r>
      <w:r w:rsidR="00CA374E" w:rsidRPr="006C09BD">
        <w:rPr>
          <w:lang w:val="en-GB"/>
        </w:rPr>
        <w:t xml:space="preserve"> Infographics and standardised presentations will be prepared for incorporation and delivery in national or state level neonatal </w:t>
      </w:r>
      <w:r w:rsidR="00CA374E" w:rsidRPr="006C09BD">
        <w:rPr>
          <w:lang w:val="en-GB"/>
        </w:rPr>
        <w:lastRenderedPageBreak/>
        <w:t>nursing program curriculums.</w:t>
      </w:r>
    </w:p>
    <w:p w14:paraId="29F1B9A0" w14:textId="77777777" w:rsidR="0050292B" w:rsidRPr="006C09BD" w:rsidRDefault="00551CF0">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t>Discussion</w:t>
      </w:r>
    </w:p>
    <w:p w14:paraId="35860B51" w14:textId="2282D9C6" w:rsidR="00405377" w:rsidRPr="006C09BD" w:rsidRDefault="002A6933" w:rsidP="00405377">
      <w:pPr>
        <w:pStyle w:val="BodyA"/>
        <w:widowControl w:val="0"/>
        <w:spacing w:before="120" w:line="360" w:lineRule="auto"/>
        <w:rPr>
          <w:rFonts w:cs="Arial"/>
          <w:lang w:val="en-GB"/>
        </w:rPr>
      </w:pPr>
      <w:r w:rsidRPr="006C09BD">
        <w:rPr>
          <w:rFonts w:cs="Arial"/>
          <w:lang w:val="en-GB"/>
        </w:rPr>
        <w:t xml:space="preserve">Over </w:t>
      </w:r>
      <w:r w:rsidR="0097452C" w:rsidRPr="006C09BD">
        <w:rPr>
          <w:rFonts w:cs="Arial"/>
          <w:lang w:val="en-GB"/>
        </w:rPr>
        <w:t>20,000</w:t>
      </w:r>
      <w:r w:rsidRPr="006C09BD">
        <w:rPr>
          <w:rFonts w:cs="Arial"/>
          <w:lang w:val="en-GB"/>
        </w:rPr>
        <w:t xml:space="preserve"> </w:t>
      </w:r>
      <w:r w:rsidR="002A35BF" w:rsidRPr="006C09BD">
        <w:rPr>
          <w:rFonts w:cs="Arial"/>
          <w:lang w:val="en-GB"/>
        </w:rPr>
        <w:t>infants</w:t>
      </w:r>
      <w:r w:rsidRPr="006C09BD">
        <w:rPr>
          <w:rFonts w:cs="Arial"/>
          <w:lang w:val="en-GB"/>
        </w:rPr>
        <w:t xml:space="preserve"> are born annually before 34 gestational weeks in the UK and</w:t>
      </w:r>
      <w:r w:rsidR="0097452C" w:rsidRPr="006C09BD">
        <w:rPr>
          <w:rFonts w:cs="Arial"/>
          <w:lang w:val="en-GB"/>
        </w:rPr>
        <w:t xml:space="preserve"> Australia, and</w:t>
      </w:r>
      <w:r w:rsidRPr="006C09BD">
        <w:rPr>
          <w:rFonts w:cs="Arial"/>
          <w:lang w:val="en-GB"/>
        </w:rPr>
        <w:t xml:space="preserve"> many millions more internationally. These </w:t>
      </w:r>
      <w:r w:rsidR="002A35BF" w:rsidRPr="006C09BD">
        <w:rPr>
          <w:rFonts w:cs="Arial"/>
          <w:lang w:val="en-GB"/>
        </w:rPr>
        <w:t>infants</w:t>
      </w:r>
      <w:r w:rsidRPr="006C09BD">
        <w:rPr>
          <w:rFonts w:cs="Arial"/>
          <w:lang w:val="en-GB"/>
        </w:rPr>
        <w:t xml:space="preserve"> require gastric tube feeds every few hours because their suck and swallow reflexes are immature</w:t>
      </w:r>
      <w:r w:rsidR="006703FF" w:rsidRPr="006C09BD">
        <w:rPr>
          <w:rFonts w:cs="Arial"/>
          <w:lang w:val="en-GB"/>
        </w:rPr>
        <w:t>. It is common practice to</w:t>
      </w:r>
      <w:r w:rsidR="003216DA" w:rsidRPr="006C09BD">
        <w:rPr>
          <w:rFonts w:cs="Arial"/>
          <w:lang w:val="en-GB"/>
        </w:rPr>
        <w:t xml:space="preserve"> </w:t>
      </w:r>
      <w:r w:rsidRPr="006C09BD">
        <w:rPr>
          <w:rFonts w:cs="Arial"/>
          <w:lang w:val="en-GB"/>
        </w:rPr>
        <w:t xml:space="preserve">have the volume and appearance of the stomach contents </w:t>
      </w:r>
      <w:r w:rsidR="0005001D" w:rsidRPr="006C09BD">
        <w:rPr>
          <w:rFonts w:cs="Arial"/>
          <w:lang w:val="en-GB"/>
        </w:rPr>
        <w:t>–</w:t>
      </w:r>
      <w:r w:rsidRPr="006C09BD">
        <w:rPr>
          <w:rFonts w:cs="Arial"/>
          <w:lang w:val="en-GB"/>
        </w:rPr>
        <w:t xml:space="preserve"> gastric residual volumes </w:t>
      </w:r>
      <w:r w:rsidR="0005001D" w:rsidRPr="006C09BD">
        <w:rPr>
          <w:rFonts w:cs="Arial"/>
          <w:lang w:val="en-GB"/>
        </w:rPr>
        <w:t>–</w:t>
      </w:r>
      <w:r w:rsidRPr="006C09BD">
        <w:rPr>
          <w:rFonts w:cs="Arial"/>
          <w:lang w:val="en-GB"/>
        </w:rPr>
        <w:t xml:space="preserve"> measured prior to gastric feeds. Although this practice is not evidence based and may be harmful</w:t>
      </w:r>
      <w:r w:rsidR="00CC4DB3" w:rsidRPr="006C09BD">
        <w:rPr>
          <w:rFonts w:cs="Arial"/>
          <w:lang w:val="en-GB"/>
        </w:rPr>
        <w:t xml:space="preserve"> [</w:t>
      </w:r>
      <w:r w:rsidR="009C5F37" w:rsidRPr="006C09BD">
        <w:rPr>
          <w:rFonts w:cs="Arial"/>
          <w:lang w:val="en-GB"/>
        </w:rPr>
        <w:t>3</w:t>
      </w:r>
      <w:r w:rsidR="00692054" w:rsidRPr="006C09BD">
        <w:rPr>
          <w:rFonts w:cs="Arial"/>
          <w:lang w:val="en-GB"/>
        </w:rPr>
        <w:t>4</w:t>
      </w:r>
      <w:r w:rsidR="00CC4DB3" w:rsidRPr="006C09BD">
        <w:rPr>
          <w:rFonts w:cs="Arial"/>
          <w:lang w:val="en-GB"/>
        </w:rPr>
        <w:t>],</w:t>
      </w:r>
      <w:r w:rsidRPr="006C09BD">
        <w:rPr>
          <w:rFonts w:cs="Arial"/>
          <w:lang w:val="en-GB"/>
        </w:rPr>
        <w:t xml:space="preserve"> it is deeply ingrained in neonatal practice in the UK</w:t>
      </w:r>
      <w:r w:rsidR="00CC4DB3" w:rsidRPr="006C09BD">
        <w:rPr>
          <w:rFonts w:cs="Arial"/>
          <w:lang w:val="en-GB"/>
        </w:rPr>
        <w:t xml:space="preserve"> [</w:t>
      </w:r>
      <w:r w:rsidR="006E0BC9" w:rsidRPr="006C09BD">
        <w:rPr>
          <w:rFonts w:cs="Arial"/>
          <w:lang w:val="en-GB"/>
        </w:rPr>
        <w:t>3</w:t>
      </w:r>
      <w:r w:rsidR="00692054" w:rsidRPr="006C09BD">
        <w:rPr>
          <w:rFonts w:cs="Arial"/>
          <w:lang w:val="en-GB"/>
        </w:rPr>
        <w:t>5</w:t>
      </w:r>
      <w:r w:rsidR="00CC4DB3" w:rsidRPr="006C09BD">
        <w:rPr>
          <w:rFonts w:cs="Arial"/>
          <w:lang w:val="en-GB"/>
        </w:rPr>
        <w:t xml:space="preserve">] </w:t>
      </w:r>
      <w:r w:rsidRPr="006C09BD">
        <w:rPr>
          <w:rFonts w:cs="Arial"/>
          <w:lang w:val="en-GB"/>
        </w:rPr>
        <w:t xml:space="preserve">and internationally </w:t>
      </w:r>
      <w:r w:rsidR="0005001D" w:rsidRPr="006C09BD">
        <w:rPr>
          <w:rFonts w:cs="Arial"/>
          <w:lang w:val="en-GB"/>
        </w:rPr>
        <w:t>–</w:t>
      </w:r>
      <w:r w:rsidRPr="006C09BD">
        <w:rPr>
          <w:rFonts w:cs="Arial"/>
          <w:lang w:val="en-GB"/>
        </w:rPr>
        <w:t xml:space="preserve"> in part due to a belief that </w:t>
      </w:r>
      <w:r w:rsidR="002549AB" w:rsidRPr="006C09BD">
        <w:rPr>
          <w:rFonts w:cs="Arial"/>
          <w:lang w:val="en-GB"/>
        </w:rPr>
        <w:t>gastric residual volumes</w:t>
      </w:r>
      <w:r w:rsidR="006703FF" w:rsidRPr="006C09BD" w:rsidDel="006703FF">
        <w:rPr>
          <w:rFonts w:cs="Arial"/>
          <w:lang w:val="en-GB"/>
        </w:rPr>
        <w:t xml:space="preserve"> </w:t>
      </w:r>
      <w:r w:rsidRPr="006C09BD">
        <w:rPr>
          <w:rFonts w:cs="Arial"/>
          <w:lang w:val="en-GB"/>
        </w:rPr>
        <w:t>can predict and prevent NEC</w:t>
      </w:r>
      <w:r w:rsidR="00CC4DB3" w:rsidRPr="006C09BD">
        <w:rPr>
          <w:rFonts w:cs="Arial"/>
          <w:lang w:val="en-GB"/>
        </w:rPr>
        <w:t xml:space="preserve"> [</w:t>
      </w:r>
      <w:r w:rsidR="006E0BC9" w:rsidRPr="006C09BD">
        <w:rPr>
          <w:rFonts w:cs="Arial"/>
          <w:lang w:val="en-GB"/>
        </w:rPr>
        <w:t>3</w:t>
      </w:r>
      <w:r w:rsidR="00692054" w:rsidRPr="006C09BD">
        <w:rPr>
          <w:rFonts w:cs="Arial"/>
          <w:lang w:val="en-GB"/>
        </w:rPr>
        <w:t>6</w:t>
      </w:r>
      <w:r w:rsidR="00CC4DB3" w:rsidRPr="006C09BD">
        <w:rPr>
          <w:rFonts w:cs="Arial"/>
          <w:lang w:val="en-GB"/>
        </w:rPr>
        <w:t xml:space="preserve">]. </w:t>
      </w:r>
    </w:p>
    <w:p w14:paraId="4752F44A" w14:textId="72FF6DC9" w:rsidR="002549AB" w:rsidRPr="006C09BD" w:rsidRDefault="002A6933">
      <w:pPr>
        <w:pStyle w:val="BodyA"/>
        <w:widowControl w:val="0"/>
        <w:spacing w:before="120" w:line="360" w:lineRule="auto"/>
        <w:rPr>
          <w:rFonts w:cs="Arial"/>
          <w:lang w:val="en-GB"/>
        </w:rPr>
      </w:pPr>
      <w:r w:rsidRPr="006C09BD">
        <w:rPr>
          <w:rFonts w:cs="Arial"/>
          <w:lang w:val="en-GB"/>
        </w:rPr>
        <w:t xml:space="preserve">Small single </w:t>
      </w:r>
      <w:r w:rsidR="00387D38" w:rsidRPr="006C09BD">
        <w:rPr>
          <w:rFonts w:cs="Arial"/>
          <w:lang w:val="en-GB"/>
        </w:rPr>
        <w:t xml:space="preserve">centre </w:t>
      </w:r>
      <w:r w:rsidRPr="006C09BD">
        <w:rPr>
          <w:rFonts w:cs="Arial"/>
          <w:lang w:val="en-GB"/>
        </w:rPr>
        <w:t>trials from India</w:t>
      </w:r>
      <w:r w:rsidR="00CC4DB3" w:rsidRPr="006C09BD">
        <w:rPr>
          <w:rFonts w:cs="Arial"/>
          <w:lang w:val="en-GB"/>
        </w:rPr>
        <w:t xml:space="preserve"> [</w:t>
      </w:r>
      <w:r w:rsidR="006E0BC9" w:rsidRPr="006C09BD">
        <w:rPr>
          <w:rFonts w:cs="Arial"/>
          <w:lang w:val="en-GB"/>
        </w:rPr>
        <w:t>2</w:t>
      </w:r>
      <w:r w:rsidR="00692054" w:rsidRPr="006C09BD">
        <w:rPr>
          <w:rFonts w:cs="Arial"/>
          <w:lang w:val="en-GB"/>
        </w:rPr>
        <w:t>3</w:t>
      </w:r>
      <w:r w:rsidR="00CC4DB3" w:rsidRPr="006C09BD">
        <w:rPr>
          <w:rFonts w:cs="Arial"/>
          <w:lang w:val="en-GB"/>
        </w:rPr>
        <w:t xml:space="preserve">] </w:t>
      </w:r>
      <w:r w:rsidRPr="006C09BD">
        <w:rPr>
          <w:rFonts w:cs="Arial"/>
          <w:lang w:val="en-GB"/>
        </w:rPr>
        <w:t xml:space="preserve">and the </w:t>
      </w:r>
      <w:r w:rsidR="008E781E" w:rsidRPr="006C09BD">
        <w:rPr>
          <w:rFonts w:eastAsia="Times New Roman" w:cs="Arial"/>
          <w:bdr w:val="none" w:sz="0" w:space="0" w:color="auto"/>
          <w:lang w:val="en-GB"/>
        </w:rPr>
        <w:t>United States of America</w:t>
      </w:r>
      <w:r w:rsidR="00CC4DB3" w:rsidRPr="006C09BD">
        <w:rPr>
          <w:rFonts w:cs="Arial"/>
          <w:lang w:val="en-GB"/>
        </w:rPr>
        <w:t xml:space="preserve"> [4] </w:t>
      </w:r>
      <w:r w:rsidR="003146B8" w:rsidRPr="006C09BD">
        <w:rPr>
          <w:rFonts w:cs="Arial"/>
          <w:lang w:val="en-GB"/>
        </w:rPr>
        <w:t xml:space="preserve">have </w:t>
      </w:r>
      <w:r w:rsidRPr="006C09BD">
        <w:rPr>
          <w:rFonts w:cs="Arial"/>
          <w:lang w:val="en-GB"/>
        </w:rPr>
        <w:t>show</w:t>
      </w:r>
      <w:r w:rsidR="003146B8" w:rsidRPr="006C09BD">
        <w:rPr>
          <w:rFonts w:cs="Arial"/>
          <w:lang w:val="en-GB"/>
        </w:rPr>
        <w:t>n</w:t>
      </w:r>
      <w:r w:rsidRPr="006C09BD">
        <w:rPr>
          <w:rFonts w:cs="Arial"/>
          <w:lang w:val="en-GB"/>
        </w:rPr>
        <w:t xml:space="preserve"> that stopping routine measurement of </w:t>
      </w:r>
      <w:r w:rsidR="002549AB" w:rsidRPr="006C09BD">
        <w:rPr>
          <w:rFonts w:cs="Arial"/>
          <w:lang w:val="en-GB"/>
        </w:rPr>
        <w:t>gastric residual volumes</w:t>
      </w:r>
      <w:r w:rsidR="003146B8" w:rsidRPr="006C09BD">
        <w:rPr>
          <w:rFonts w:cs="Arial"/>
          <w:lang w:val="en-GB"/>
        </w:rPr>
        <w:t xml:space="preserve"> </w:t>
      </w:r>
      <w:r w:rsidRPr="006C09BD">
        <w:rPr>
          <w:rFonts w:cs="Arial"/>
          <w:lang w:val="en-GB"/>
        </w:rPr>
        <w:t>leads to faster establishment of full feeds. However, these studies have not</w:t>
      </w:r>
      <w:r w:rsidR="003146B8" w:rsidRPr="006C09BD">
        <w:rPr>
          <w:rFonts w:cs="Arial"/>
          <w:lang w:val="en-GB"/>
        </w:rPr>
        <w:t xml:space="preserve"> led to</w:t>
      </w:r>
      <w:r w:rsidRPr="006C09BD">
        <w:rPr>
          <w:rFonts w:cs="Arial"/>
          <w:lang w:val="en-GB"/>
        </w:rPr>
        <w:t xml:space="preserve"> change</w:t>
      </w:r>
      <w:r w:rsidR="003146B8" w:rsidRPr="006C09BD">
        <w:rPr>
          <w:rFonts w:cs="Arial"/>
          <w:lang w:val="en-GB"/>
        </w:rPr>
        <w:t>s in the</w:t>
      </w:r>
      <w:r w:rsidRPr="006C09BD">
        <w:rPr>
          <w:rFonts w:cs="Arial"/>
          <w:lang w:val="en-GB"/>
        </w:rPr>
        <w:t xml:space="preserve"> UK or international practice</w:t>
      </w:r>
      <w:r w:rsidR="003146B8" w:rsidRPr="006C09BD">
        <w:rPr>
          <w:rFonts w:cs="Arial"/>
          <w:lang w:val="en-GB"/>
        </w:rPr>
        <w:t>,</w:t>
      </w:r>
      <w:r w:rsidRPr="006C09BD">
        <w:rPr>
          <w:rFonts w:cs="Arial"/>
          <w:lang w:val="en-GB"/>
        </w:rPr>
        <w:t xml:space="preserve"> because they have been unable to examine the impact on NEC</w:t>
      </w:r>
      <w:r w:rsidR="00CC4DB3" w:rsidRPr="006C09BD">
        <w:rPr>
          <w:rFonts w:cs="Arial"/>
          <w:lang w:val="en-GB"/>
        </w:rPr>
        <w:t xml:space="preserve"> [1]</w:t>
      </w:r>
      <w:r w:rsidRPr="006C09BD">
        <w:rPr>
          <w:rFonts w:cs="Arial"/>
          <w:lang w:val="en-GB"/>
        </w:rPr>
        <w:t xml:space="preserve">, and </w:t>
      </w:r>
      <w:r w:rsidR="003146B8" w:rsidRPr="006C09BD">
        <w:rPr>
          <w:rFonts w:cs="Arial"/>
          <w:lang w:val="en-GB"/>
        </w:rPr>
        <w:t>were conducted</w:t>
      </w:r>
      <w:r w:rsidRPr="006C09BD">
        <w:rPr>
          <w:rFonts w:cs="Arial"/>
          <w:lang w:val="en-GB"/>
        </w:rPr>
        <w:t xml:space="preserve"> in settings that are not generalisable to current neonatal care as </w:t>
      </w:r>
      <w:r w:rsidR="003146B8" w:rsidRPr="006C09BD">
        <w:rPr>
          <w:rFonts w:cs="Arial"/>
          <w:lang w:val="en-GB"/>
        </w:rPr>
        <w:t xml:space="preserve">delivered </w:t>
      </w:r>
      <w:r w:rsidRPr="006C09BD">
        <w:rPr>
          <w:rFonts w:cs="Arial"/>
          <w:lang w:val="en-GB"/>
        </w:rPr>
        <w:t xml:space="preserve">in the </w:t>
      </w:r>
      <w:r w:rsidR="00FD2EC6" w:rsidRPr="006C09BD">
        <w:rPr>
          <w:rFonts w:cs="Arial"/>
          <w:lang w:val="en-GB"/>
        </w:rPr>
        <w:t xml:space="preserve">UK </w:t>
      </w:r>
      <w:r w:rsidRPr="006C09BD">
        <w:rPr>
          <w:rFonts w:cs="Arial"/>
          <w:lang w:val="en-GB"/>
        </w:rPr>
        <w:t>and Australia.</w:t>
      </w:r>
    </w:p>
    <w:p w14:paraId="0E787B1F" w14:textId="2FFAFD99" w:rsidR="002A6933" w:rsidRPr="006C09BD" w:rsidRDefault="002A6933">
      <w:pPr>
        <w:pStyle w:val="BodyA"/>
        <w:widowControl w:val="0"/>
        <w:spacing w:before="120" w:line="360" w:lineRule="auto"/>
        <w:rPr>
          <w:rFonts w:cs="Arial"/>
          <w:lang w:val="en-GB"/>
        </w:rPr>
      </w:pPr>
      <w:r w:rsidRPr="006C09BD">
        <w:rPr>
          <w:rFonts w:cs="Arial"/>
          <w:lang w:val="en-GB"/>
        </w:rPr>
        <w:t xml:space="preserve">The neoGASTRIC trial seeks to </w:t>
      </w:r>
      <w:r w:rsidR="003146B8" w:rsidRPr="006C09BD">
        <w:rPr>
          <w:rFonts w:cs="Arial"/>
          <w:lang w:val="en-GB"/>
        </w:rPr>
        <w:t xml:space="preserve">determine </w:t>
      </w:r>
      <w:r w:rsidR="00405377" w:rsidRPr="006C09BD">
        <w:rPr>
          <w:rFonts w:cs="Arial"/>
          <w:lang w:val="en-GB"/>
        </w:rPr>
        <w:t xml:space="preserve">whether no routine measurement of gastric residual volumes results in a shorter time taken to establish full milk feeds without increasing harms such as NEC. </w:t>
      </w:r>
      <w:r w:rsidR="006F05C6" w:rsidRPr="006C09BD">
        <w:rPr>
          <w:rStyle w:val="None"/>
          <w:rFonts w:cs="Arial"/>
          <w:color w:val="auto"/>
          <w:u w:color="004C7F"/>
          <w:lang w:val="en-GB"/>
        </w:rPr>
        <w:t>To detect a 1-day reduction in the time taken to reach full enteral feeding (important clinically and important to parents)</w:t>
      </w:r>
      <w:r w:rsidR="006F05C6" w:rsidRPr="006C09BD">
        <w:rPr>
          <w:rFonts w:cs="Arial"/>
          <w:lang w:val="en-GB"/>
        </w:rPr>
        <w:t xml:space="preserve"> and a</w:t>
      </w:r>
      <w:r w:rsidR="00405377" w:rsidRPr="006C09BD">
        <w:rPr>
          <w:rFonts w:cs="Arial"/>
          <w:lang w:val="en-GB"/>
        </w:rPr>
        <w:t xml:space="preserve">s NEC is rare in </w:t>
      </w:r>
      <w:r w:rsidR="002A35BF" w:rsidRPr="006C09BD">
        <w:rPr>
          <w:rFonts w:cs="Arial"/>
          <w:lang w:val="en-GB"/>
        </w:rPr>
        <w:t>infants</w:t>
      </w:r>
      <w:r w:rsidR="00405377" w:rsidRPr="006C09BD">
        <w:rPr>
          <w:rFonts w:cs="Arial"/>
          <w:lang w:val="en-GB"/>
        </w:rPr>
        <w:t xml:space="preserve"> born before 34 weeks</w:t>
      </w:r>
      <w:r w:rsidR="00FD2EC6" w:rsidRPr="006C09BD">
        <w:rPr>
          <w:rFonts w:cs="Arial"/>
          <w:lang w:val="en-GB"/>
        </w:rPr>
        <w:t>’ gestation</w:t>
      </w:r>
      <w:r w:rsidR="00405377" w:rsidRPr="006C09BD">
        <w:rPr>
          <w:rFonts w:cs="Arial"/>
          <w:lang w:val="en-GB"/>
        </w:rPr>
        <w:t xml:space="preserve">, this trial needs to be larger than any previous individually randomised trial of preterm </w:t>
      </w:r>
      <w:r w:rsidR="002A35BF" w:rsidRPr="006C09BD">
        <w:rPr>
          <w:rFonts w:cs="Arial"/>
          <w:lang w:val="en-GB"/>
        </w:rPr>
        <w:t>infants</w:t>
      </w:r>
      <w:r w:rsidR="00405377" w:rsidRPr="006C09BD">
        <w:rPr>
          <w:rFonts w:cs="Arial"/>
          <w:lang w:val="en-GB"/>
        </w:rPr>
        <w:t>, with a planned sample size of 7</w:t>
      </w:r>
      <w:r w:rsidR="0005001D" w:rsidRPr="006C09BD">
        <w:rPr>
          <w:rFonts w:cs="Arial"/>
          <w:lang w:val="en-GB"/>
        </w:rPr>
        <w:t>,</w:t>
      </w:r>
      <w:r w:rsidR="00405377" w:rsidRPr="006C09BD">
        <w:rPr>
          <w:rFonts w:cs="Arial"/>
          <w:lang w:val="en-GB"/>
        </w:rPr>
        <w:t xml:space="preserve">040 </w:t>
      </w:r>
      <w:r w:rsidR="002A35BF" w:rsidRPr="006C09BD">
        <w:rPr>
          <w:rFonts w:cs="Arial"/>
          <w:lang w:val="en-GB"/>
        </w:rPr>
        <w:t>infants</w:t>
      </w:r>
      <w:r w:rsidR="00405377" w:rsidRPr="006C09BD">
        <w:rPr>
          <w:rFonts w:cs="Arial"/>
          <w:lang w:val="en-GB"/>
        </w:rPr>
        <w:t xml:space="preserve">. Optimal feeding for preterm </w:t>
      </w:r>
      <w:r w:rsidR="002A35BF" w:rsidRPr="006C09BD">
        <w:rPr>
          <w:rFonts w:cs="Arial"/>
          <w:lang w:val="en-GB"/>
        </w:rPr>
        <w:t>infants</w:t>
      </w:r>
      <w:r w:rsidR="00405377" w:rsidRPr="006C09BD">
        <w:rPr>
          <w:rFonts w:cs="Arial"/>
          <w:lang w:val="en-GB"/>
        </w:rPr>
        <w:t xml:space="preserve"> was identified as a research priority by the James Lind Alliance</w:t>
      </w:r>
      <w:r w:rsidR="00CC4DB3" w:rsidRPr="006C09BD">
        <w:rPr>
          <w:rFonts w:cs="Arial"/>
          <w:lang w:val="en-GB"/>
        </w:rPr>
        <w:t xml:space="preserve"> [</w:t>
      </w:r>
      <w:r w:rsidR="006E0BC9" w:rsidRPr="006C09BD">
        <w:rPr>
          <w:rFonts w:cs="Arial"/>
          <w:lang w:val="en-GB"/>
        </w:rPr>
        <w:t>3</w:t>
      </w:r>
      <w:r w:rsidR="00692054" w:rsidRPr="006C09BD">
        <w:rPr>
          <w:rFonts w:cs="Arial"/>
          <w:lang w:val="en-GB"/>
        </w:rPr>
        <w:t>7</w:t>
      </w:r>
      <w:r w:rsidR="00CC4DB3" w:rsidRPr="006C09BD">
        <w:rPr>
          <w:rFonts w:cs="Arial"/>
          <w:lang w:val="en-GB"/>
        </w:rPr>
        <w:t>]</w:t>
      </w:r>
      <w:r w:rsidR="00405377" w:rsidRPr="006C09BD">
        <w:rPr>
          <w:rFonts w:cs="Arial"/>
          <w:lang w:val="en-GB"/>
        </w:rPr>
        <w:t>, and specifically as a priority in relation to this research question by parents and patients</w:t>
      </w:r>
      <w:r w:rsidR="00CC4DB3" w:rsidRPr="006C09BD">
        <w:rPr>
          <w:rFonts w:cs="Arial"/>
          <w:lang w:val="en-GB"/>
        </w:rPr>
        <w:t xml:space="preserve"> [3]</w:t>
      </w:r>
      <w:r w:rsidR="00405377" w:rsidRPr="006C09BD">
        <w:rPr>
          <w:rFonts w:cs="Arial"/>
          <w:lang w:val="en-GB"/>
        </w:rPr>
        <w:t xml:space="preserve">. </w:t>
      </w:r>
    </w:p>
    <w:p w14:paraId="36715199" w14:textId="4C22BE10" w:rsidR="00405377" w:rsidRPr="006C09BD" w:rsidRDefault="00405377">
      <w:pPr>
        <w:pStyle w:val="BodyA"/>
        <w:widowControl w:val="0"/>
        <w:spacing w:before="120" w:line="360" w:lineRule="auto"/>
        <w:rPr>
          <w:rFonts w:cs="Arial"/>
          <w:lang w:val="en-GB"/>
        </w:rPr>
      </w:pPr>
      <w:r w:rsidRPr="006C09BD">
        <w:rPr>
          <w:rFonts w:cs="Arial"/>
          <w:lang w:val="en-GB"/>
        </w:rPr>
        <w:t xml:space="preserve">To achieve the planned sample size within </w:t>
      </w:r>
      <w:r w:rsidR="003146B8" w:rsidRPr="006C09BD">
        <w:rPr>
          <w:rFonts w:cs="Arial"/>
          <w:lang w:val="en-GB"/>
        </w:rPr>
        <w:t xml:space="preserve">three </w:t>
      </w:r>
      <w:r w:rsidRPr="006C09BD">
        <w:rPr>
          <w:rFonts w:cs="Arial"/>
          <w:lang w:val="en-GB"/>
        </w:rPr>
        <w:t>years of recruitment we have designed the neoGASTRIC trial to be pragmatic, simple and low burden for parents and families and for neonatal clinical teams.</w:t>
      </w:r>
      <w:r w:rsidR="003146B8" w:rsidRPr="006C09BD">
        <w:rPr>
          <w:rFonts w:cs="Arial"/>
          <w:lang w:val="en-GB"/>
        </w:rPr>
        <w:t xml:space="preserve"> It</w:t>
      </w:r>
      <w:r w:rsidRPr="006C09BD">
        <w:rPr>
          <w:rFonts w:cs="Arial"/>
          <w:lang w:val="en-GB"/>
        </w:rPr>
        <w:t xml:space="preserve"> will use a simple, streamlined approach to consent that has been developed with parents and families of </w:t>
      </w:r>
      <w:r w:rsidR="002A35BF" w:rsidRPr="006C09BD">
        <w:rPr>
          <w:rFonts w:cs="Arial"/>
          <w:lang w:val="en-GB"/>
        </w:rPr>
        <w:t>infants</w:t>
      </w:r>
      <w:r w:rsidRPr="006C09BD">
        <w:rPr>
          <w:rFonts w:cs="Arial"/>
          <w:lang w:val="en-GB"/>
        </w:rPr>
        <w:t xml:space="preserve"> that received neonatal care and that uses an opt-out approach to consent. </w:t>
      </w:r>
      <w:r w:rsidR="003146B8" w:rsidRPr="006C09BD">
        <w:rPr>
          <w:rFonts w:cs="Arial"/>
          <w:lang w:val="en-GB"/>
        </w:rPr>
        <w:t>A n</w:t>
      </w:r>
      <w:r w:rsidRPr="006C09BD">
        <w:rPr>
          <w:rFonts w:cs="Arial"/>
          <w:lang w:val="en-GB"/>
        </w:rPr>
        <w:t>ested process evaluation will examine the views of parents and healthcare professionals of this approach to consent.</w:t>
      </w:r>
    </w:p>
    <w:p w14:paraId="4AF931A0" w14:textId="63CD5B5F" w:rsidR="00405377" w:rsidRPr="006C09BD" w:rsidRDefault="00405377">
      <w:pPr>
        <w:pStyle w:val="BodyA"/>
        <w:widowControl w:val="0"/>
        <w:spacing w:before="120" w:line="360" w:lineRule="auto"/>
        <w:rPr>
          <w:rFonts w:cs="Arial"/>
          <w:lang w:val="en-GB"/>
        </w:rPr>
      </w:pPr>
      <w:r w:rsidRPr="006C09BD">
        <w:rPr>
          <w:rFonts w:cs="Arial"/>
          <w:lang w:val="en-GB"/>
        </w:rPr>
        <w:t xml:space="preserve">If we can </w:t>
      </w:r>
      <w:r w:rsidR="003146B8" w:rsidRPr="006C09BD">
        <w:rPr>
          <w:rFonts w:cs="Arial"/>
          <w:lang w:val="en-GB"/>
        </w:rPr>
        <w:t xml:space="preserve">demonstrate </w:t>
      </w:r>
      <w:r w:rsidRPr="006C09BD">
        <w:rPr>
          <w:rFonts w:cs="Arial"/>
          <w:lang w:val="en-GB"/>
        </w:rPr>
        <w:t xml:space="preserve">that not routinely measuring gastric residual volumes is beneficial and safe </w:t>
      </w:r>
      <w:r w:rsidR="003146B8" w:rsidRPr="006C09BD">
        <w:rPr>
          <w:rFonts w:cs="Arial"/>
          <w:lang w:val="en-GB"/>
        </w:rPr>
        <w:t>for</w:t>
      </w:r>
      <w:r w:rsidRPr="006C09BD">
        <w:rPr>
          <w:rFonts w:cs="Arial"/>
          <w:lang w:val="en-GB"/>
        </w:rPr>
        <w:t xml:space="preserve"> preterm </w:t>
      </w:r>
      <w:r w:rsidR="002A35BF" w:rsidRPr="006C09BD">
        <w:rPr>
          <w:rFonts w:cs="Arial"/>
          <w:lang w:val="en-GB"/>
        </w:rPr>
        <w:t>infants</w:t>
      </w:r>
      <w:r w:rsidR="003146B8" w:rsidRPr="006C09BD">
        <w:rPr>
          <w:rFonts w:cs="Arial"/>
          <w:lang w:val="en-GB"/>
        </w:rPr>
        <w:t>,</w:t>
      </w:r>
      <w:r w:rsidRPr="006C09BD">
        <w:rPr>
          <w:rFonts w:cs="Arial"/>
          <w:lang w:val="en-GB"/>
        </w:rPr>
        <w:t xml:space="preserve"> this will improve </w:t>
      </w:r>
      <w:r w:rsidR="003146B8" w:rsidRPr="006C09BD">
        <w:rPr>
          <w:rFonts w:cs="Arial"/>
          <w:lang w:val="en-GB"/>
        </w:rPr>
        <w:t>their care</w:t>
      </w:r>
      <w:r w:rsidR="00522044" w:rsidRPr="006C09BD">
        <w:rPr>
          <w:rFonts w:cs="Arial"/>
          <w:lang w:val="en-GB"/>
        </w:rPr>
        <w:t xml:space="preserve"> </w:t>
      </w:r>
      <w:r w:rsidRPr="006C09BD">
        <w:rPr>
          <w:rFonts w:cs="Arial"/>
          <w:lang w:val="en-GB"/>
        </w:rPr>
        <w:t xml:space="preserve">internationally and reduce unnecessary resource use. Conversely, if we show that routine measurement of gastric residual volumes is beneficial in reducing </w:t>
      </w:r>
      <w:r w:rsidR="003146B8" w:rsidRPr="006C09BD">
        <w:rPr>
          <w:rFonts w:cs="Arial"/>
          <w:lang w:val="en-GB"/>
        </w:rPr>
        <w:t>NEC</w:t>
      </w:r>
      <w:r w:rsidRPr="006C09BD">
        <w:rPr>
          <w:rFonts w:cs="Arial"/>
          <w:lang w:val="en-GB"/>
        </w:rPr>
        <w:t xml:space="preserve">, this </w:t>
      </w:r>
      <w:r w:rsidR="000D72EF" w:rsidRPr="006C09BD">
        <w:rPr>
          <w:rFonts w:cs="Arial"/>
          <w:lang w:val="en-GB"/>
        </w:rPr>
        <w:t>trial will identify a simple preventative approach to help prevent a feared neonatal condition.</w:t>
      </w:r>
    </w:p>
    <w:p w14:paraId="59FBE0A2" w14:textId="1B55F087" w:rsidR="0050292B" w:rsidRPr="006C09BD" w:rsidRDefault="00551CF0">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br/>
        <w:t>Trial status</w:t>
      </w:r>
    </w:p>
    <w:p w14:paraId="4054DDE2" w14:textId="33CC7FED" w:rsidR="004469BD" w:rsidRPr="006C09BD" w:rsidRDefault="004469BD">
      <w:pPr>
        <w:pStyle w:val="BodyA"/>
        <w:widowControl w:val="0"/>
        <w:spacing w:line="360" w:lineRule="auto"/>
        <w:rPr>
          <w:rStyle w:val="None"/>
          <w:rFonts w:cs="Arial"/>
          <w:color w:val="006600"/>
          <w:u w:color="004C7F"/>
          <w:lang w:val="en-GB"/>
        </w:rPr>
      </w:pPr>
      <w:r w:rsidRPr="006C09BD">
        <w:rPr>
          <w:rStyle w:val="None"/>
          <w:rFonts w:cs="Arial"/>
          <w:color w:val="auto"/>
          <w:u w:color="004C7F"/>
          <w:lang w:val="en-GB"/>
        </w:rPr>
        <w:t>Protocol Version 3.0, dated 19 April 2024</w:t>
      </w:r>
      <w:r w:rsidR="007E7463" w:rsidRPr="006C09BD">
        <w:rPr>
          <w:rStyle w:val="None"/>
          <w:rFonts w:cs="Arial"/>
          <w:color w:val="auto"/>
          <w:u w:color="004C7F"/>
          <w:lang w:val="en-GB"/>
        </w:rPr>
        <w:t>.</w:t>
      </w:r>
      <w:r w:rsidRPr="006C09BD">
        <w:rPr>
          <w:rStyle w:val="None"/>
          <w:rFonts w:cs="Arial"/>
          <w:color w:val="auto"/>
          <w:u w:color="004C7F"/>
          <w:lang w:val="en-GB"/>
        </w:rPr>
        <w:t xml:space="preserve"> </w:t>
      </w:r>
      <w:r w:rsidRPr="006C09BD">
        <w:rPr>
          <w:rFonts w:cs="Arial"/>
          <w:lang w:val="en-GB"/>
        </w:rPr>
        <w:t>neoGASTRIC participant recruitment is still underway. Recruitment began in June 2023 and will continue until early 2026</w:t>
      </w:r>
      <w:r w:rsidR="00345256" w:rsidRPr="006C09BD">
        <w:rPr>
          <w:rFonts w:cs="Arial"/>
          <w:lang w:val="en-GB"/>
        </w:rPr>
        <w:t>.</w:t>
      </w:r>
    </w:p>
    <w:p w14:paraId="2DFCF920" w14:textId="192E9E32" w:rsidR="0050292B" w:rsidRPr="006C09BD" w:rsidRDefault="00551CF0" w:rsidP="00284D59">
      <w:pPr>
        <w:pStyle w:val="BodyA"/>
        <w:widowControl w:val="0"/>
        <w:spacing w:before="120" w:line="360" w:lineRule="auto"/>
        <w:rPr>
          <w:rStyle w:val="None"/>
          <w:rFonts w:cs="Arial"/>
          <w:color w:val="006600"/>
          <w:u w:color="004C7F"/>
          <w:lang w:val="en-GB"/>
        </w:rPr>
      </w:pPr>
      <w:r w:rsidRPr="006C09BD">
        <w:rPr>
          <w:rStyle w:val="None"/>
          <w:rFonts w:cs="Arial"/>
          <w:b/>
          <w:bCs/>
          <w:sz w:val="28"/>
          <w:szCs w:val="28"/>
          <w:lang w:val="en-GB"/>
        </w:rPr>
        <w:t>Abbreviations</w:t>
      </w:r>
    </w:p>
    <w:tbl>
      <w:tblPr>
        <w:tblStyle w:val="PlainTable5"/>
        <w:tblW w:w="0" w:type="auto"/>
        <w:tblLook w:val="04A0" w:firstRow="1" w:lastRow="0" w:firstColumn="1" w:lastColumn="0" w:noHBand="0" w:noVBand="1"/>
      </w:tblPr>
      <w:tblGrid>
        <w:gridCol w:w="1439"/>
        <w:gridCol w:w="5541"/>
      </w:tblGrid>
      <w:tr w:rsidR="00C81EF8" w:rsidRPr="006C09BD" w14:paraId="5B2A6148" w14:textId="77777777" w:rsidTr="009F65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9E36DCB"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eastAsia="Times New Roman" w:hAnsi="Arial" w:cs="Arial"/>
                <w:b/>
                <w:bCs/>
                <w:i w:val="0"/>
                <w:sz w:val="20"/>
                <w:szCs w:val="20"/>
                <w:bdr w:val="none" w:sz="0" w:space="0" w:color="auto"/>
                <w:lang w:eastAsia="en-GB"/>
              </w:rPr>
            </w:pPr>
            <w:r w:rsidRPr="006C09BD">
              <w:rPr>
                <w:rFonts w:ascii="Arial" w:eastAsia="Times New Roman" w:hAnsi="Arial" w:cs="Arial"/>
                <w:b/>
                <w:bCs/>
                <w:sz w:val="20"/>
                <w:szCs w:val="20"/>
                <w:bdr w:val="none" w:sz="0" w:space="0" w:color="auto"/>
                <w:lang w:eastAsia="en-GB"/>
              </w:rPr>
              <w:t>Abbreviation</w:t>
            </w:r>
          </w:p>
        </w:tc>
        <w:tc>
          <w:tcPr>
            <w:tcW w:w="0" w:type="auto"/>
            <w:hideMark/>
          </w:tcPr>
          <w:p w14:paraId="24F80D7E"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sz w:val="20"/>
                <w:szCs w:val="20"/>
                <w:bdr w:val="none" w:sz="0" w:space="0" w:color="auto"/>
                <w:lang w:eastAsia="en-GB"/>
              </w:rPr>
            </w:pPr>
            <w:r w:rsidRPr="006C09BD">
              <w:rPr>
                <w:rFonts w:ascii="Arial" w:eastAsia="Times New Roman" w:hAnsi="Arial" w:cs="Arial"/>
                <w:b/>
                <w:bCs/>
                <w:sz w:val="20"/>
                <w:szCs w:val="20"/>
                <w:bdr w:val="none" w:sz="0" w:space="0" w:color="auto"/>
                <w:lang w:eastAsia="en-GB"/>
              </w:rPr>
              <w:t>Definition</w:t>
            </w:r>
          </w:p>
        </w:tc>
      </w:tr>
      <w:tr w:rsidR="006A3135" w:rsidRPr="006C09BD" w14:paraId="5523BD06" w14:textId="77777777" w:rsidTr="006A3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E2DE14"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ACI</w:t>
            </w:r>
          </w:p>
        </w:tc>
        <w:tc>
          <w:tcPr>
            <w:tcW w:w="0" w:type="auto"/>
            <w:shd w:val="clear" w:color="auto" w:fill="auto"/>
            <w:hideMark/>
          </w:tcPr>
          <w:p w14:paraId="316E4D5A"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Australian Chief Investigator</w:t>
            </w:r>
          </w:p>
        </w:tc>
      </w:tr>
      <w:tr w:rsidR="00C81EF8" w:rsidRPr="006C09BD" w14:paraId="38623399" w14:textId="77777777" w:rsidTr="00092DA7">
        <w:tc>
          <w:tcPr>
            <w:cnfStyle w:val="001000000000" w:firstRow="0" w:lastRow="0" w:firstColumn="1" w:lastColumn="0" w:oddVBand="0" w:evenVBand="0" w:oddHBand="0" w:evenHBand="0" w:firstRowFirstColumn="0" w:firstRowLastColumn="0" w:lastRowFirstColumn="0" w:lastRowLastColumn="0"/>
            <w:tcW w:w="0" w:type="auto"/>
            <w:hideMark/>
          </w:tcPr>
          <w:p w14:paraId="0EEFA0AD"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lastRenderedPageBreak/>
              <w:t>AE</w:t>
            </w:r>
          </w:p>
        </w:tc>
        <w:tc>
          <w:tcPr>
            <w:tcW w:w="0" w:type="auto"/>
            <w:hideMark/>
          </w:tcPr>
          <w:p w14:paraId="19F3C891"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Adverse Event</w:t>
            </w:r>
          </w:p>
        </w:tc>
      </w:tr>
      <w:tr w:rsidR="00A96DFA" w:rsidRPr="006C09BD" w14:paraId="7DB2D204"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AAE411" w14:textId="028DDB8A" w:rsidR="00A96DFA" w:rsidRPr="006C09BD" w:rsidRDefault="00A96DFA"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BAPM</w:t>
            </w:r>
          </w:p>
        </w:tc>
        <w:tc>
          <w:tcPr>
            <w:tcW w:w="0" w:type="auto"/>
            <w:shd w:val="clear" w:color="auto" w:fill="auto"/>
          </w:tcPr>
          <w:p w14:paraId="57FC1B5E" w14:textId="20A8C521" w:rsidR="00A96DFA" w:rsidRPr="006C09BD" w:rsidRDefault="00A96DFA"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British Association of Perinatal Medicine</w:t>
            </w:r>
          </w:p>
        </w:tc>
      </w:tr>
      <w:tr w:rsidR="00BC5BBC" w:rsidRPr="006C09BD" w14:paraId="6AAC36FF" w14:textId="77777777" w:rsidTr="00092DA7">
        <w:tc>
          <w:tcPr>
            <w:cnfStyle w:val="001000000000" w:firstRow="0" w:lastRow="0" w:firstColumn="1" w:lastColumn="0" w:oddVBand="0" w:evenVBand="0" w:oddHBand="0" w:evenHBand="0" w:firstRowFirstColumn="0" w:firstRowLastColumn="0" w:lastRowFirstColumn="0" w:lastRowLastColumn="0"/>
            <w:tcW w:w="0" w:type="auto"/>
          </w:tcPr>
          <w:p w14:paraId="1F3E8DD0" w14:textId="03A318BE" w:rsidR="00BC5BBC" w:rsidRPr="006C09BD" w:rsidRDefault="00BC5BBC"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B</w:t>
            </w:r>
            <w:r w:rsidRPr="006C09BD">
              <w:rPr>
                <w:rFonts w:ascii="Arial" w:eastAsia="Times New Roman" w:hAnsi="Arial"/>
                <w:sz w:val="20"/>
                <w:szCs w:val="20"/>
                <w:bdr w:val="none" w:sz="0" w:space="0" w:color="auto"/>
                <w:lang w:eastAsia="en-GB"/>
              </w:rPr>
              <w:t>ERC</w:t>
            </w:r>
          </w:p>
        </w:tc>
        <w:tc>
          <w:tcPr>
            <w:tcW w:w="0" w:type="auto"/>
          </w:tcPr>
          <w:p w14:paraId="3DD33530" w14:textId="680EEFB9" w:rsidR="00BC5BBC" w:rsidRPr="006C09BD" w:rsidRDefault="00BC5BBC"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B</w:t>
            </w:r>
            <w:r w:rsidRPr="006C09BD">
              <w:rPr>
                <w:rFonts w:ascii="Arial" w:eastAsia="Times New Roman" w:hAnsi="Arial"/>
                <w:sz w:val="20"/>
                <w:szCs w:val="20"/>
                <w:bdr w:val="none" w:sz="0" w:space="0" w:color="auto"/>
                <w:lang w:eastAsia="en-GB"/>
              </w:rPr>
              <w:t xml:space="preserve">linded Endpoint Review Committee </w:t>
            </w:r>
          </w:p>
        </w:tc>
      </w:tr>
      <w:tr w:rsidR="00A96DFA" w:rsidRPr="006C09BD" w14:paraId="5A995232" w14:textId="77777777" w:rsidTr="009F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65DE3" w14:textId="2DFC6E1F" w:rsidR="00A96DFA" w:rsidRPr="006C09BD" w:rsidRDefault="00A96DFA"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CDMS</w:t>
            </w:r>
          </w:p>
        </w:tc>
        <w:tc>
          <w:tcPr>
            <w:tcW w:w="0" w:type="auto"/>
            <w:shd w:val="clear" w:color="auto" w:fill="auto"/>
          </w:tcPr>
          <w:p w14:paraId="1EAC7F38" w14:textId="299578AD" w:rsidR="00A96DFA" w:rsidRPr="006C09BD" w:rsidRDefault="00A96DFA"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Clinical Database Management System</w:t>
            </w:r>
          </w:p>
        </w:tc>
      </w:tr>
      <w:tr w:rsidR="00A96DFA" w:rsidRPr="006C09BD" w14:paraId="445814E9" w14:textId="77777777" w:rsidTr="00092DA7">
        <w:tc>
          <w:tcPr>
            <w:cnfStyle w:val="001000000000" w:firstRow="0" w:lastRow="0" w:firstColumn="1" w:lastColumn="0" w:oddVBand="0" w:evenVBand="0" w:oddHBand="0" w:evenHBand="0" w:firstRowFirstColumn="0" w:firstRowLastColumn="0" w:lastRowFirstColumn="0" w:lastRowLastColumn="0"/>
            <w:tcW w:w="0" w:type="auto"/>
          </w:tcPr>
          <w:p w14:paraId="43E02F5C" w14:textId="0C9BDC3A" w:rsidR="00A96DFA" w:rsidRPr="006C09BD" w:rsidRDefault="00A96DFA"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CCS</w:t>
            </w:r>
          </w:p>
        </w:tc>
        <w:tc>
          <w:tcPr>
            <w:tcW w:w="0" w:type="auto"/>
          </w:tcPr>
          <w:p w14:paraId="0A85A6AE" w14:textId="4D91A696" w:rsidR="00A96DFA" w:rsidRPr="006C09BD" w:rsidRDefault="00A96DFA"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Continuing Care Site</w:t>
            </w:r>
          </w:p>
        </w:tc>
      </w:tr>
      <w:tr w:rsidR="00C81EF8" w:rsidRPr="006C09BD" w14:paraId="6884DEC1" w14:textId="77777777" w:rsidTr="009F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9CB58D"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CI</w:t>
            </w:r>
          </w:p>
        </w:tc>
        <w:tc>
          <w:tcPr>
            <w:tcW w:w="0" w:type="auto"/>
            <w:shd w:val="clear" w:color="auto" w:fill="auto"/>
            <w:hideMark/>
          </w:tcPr>
          <w:p w14:paraId="32EDD158"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Chief Investigator</w:t>
            </w:r>
          </w:p>
        </w:tc>
      </w:tr>
      <w:tr w:rsidR="006A3135" w:rsidRPr="006C09BD" w14:paraId="147CAAD6" w14:textId="77777777" w:rsidTr="00092DA7">
        <w:tc>
          <w:tcPr>
            <w:cnfStyle w:val="001000000000" w:firstRow="0" w:lastRow="0" w:firstColumn="1" w:lastColumn="0" w:oddVBand="0" w:evenVBand="0" w:oddHBand="0" w:evenHBand="0" w:firstRowFirstColumn="0" w:firstRowLastColumn="0" w:lastRowFirstColumn="0" w:lastRowLastColumn="0"/>
            <w:tcW w:w="0" w:type="auto"/>
            <w:hideMark/>
          </w:tcPr>
          <w:p w14:paraId="4C627E62"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CRF</w:t>
            </w:r>
          </w:p>
        </w:tc>
        <w:tc>
          <w:tcPr>
            <w:tcW w:w="0" w:type="auto"/>
            <w:hideMark/>
          </w:tcPr>
          <w:p w14:paraId="7997617F"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Case Report Form</w:t>
            </w:r>
          </w:p>
        </w:tc>
      </w:tr>
      <w:tr w:rsidR="00C81EF8" w:rsidRPr="006C09BD" w14:paraId="3023CAC6" w14:textId="77777777" w:rsidTr="009F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E10952"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CTU</w:t>
            </w:r>
          </w:p>
        </w:tc>
        <w:tc>
          <w:tcPr>
            <w:tcW w:w="0" w:type="auto"/>
            <w:shd w:val="clear" w:color="auto" w:fill="auto"/>
            <w:hideMark/>
          </w:tcPr>
          <w:p w14:paraId="4D2F718B"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Clinical Trials Unit</w:t>
            </w:r>
          </w:p>
        </w:tc>
      </w:tr>
      <w:tr w:rsidR="006A3135" w:rsidRPr="006C09BD" w14:paraId="314754B5" w14:textId="77777777" w:rsidTr="00092DA7">
        <w:tc>
          <w:tcPr>
            <w:cnfStyle w:val="001000000000" w:firstRow="0" w:lastRow="0" w:firstColumn="1" w:lastColumn="0" w:oddVBand="0" w:evenVBand="0" w:oddHBand="0" w:evenHBand="0" w:firstRowFirstColumn="0" w:firstRowLastColumn="0" w:lastRowFirstColumn="0" w:lastRowLastColumn="0"/>
            <w:tcW w:w="0" w:type="auto"/>
            <w:hideMark/>
          </w:tcPr>
          <w:p w14:paraId="6826C945"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DMC</w:t>
            </w:r>
          </w:p>
        </w:tc>
        <w:tc>
          <w:tcPr>
            <w:tcW w:w="0" w:type="auto"/>
            <w:hideMark/>
          </w:tcPr>
          <w:p w14:paraId="330456E0"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Data Monitoring Committee</w:t>
            </w:r>
          </w:p>
        </w:tc>
      </w:tr>
      <w:tr w:rsidR="00C81EF8" w:rsidRPr="006C09BD" w14:paraId="4DE6D376"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0D27EC" w14:textId="41FEABDD"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G</w:t>
            </w:r>
            <w:r w:rsidR="001939B9" w:rsidRPr="006C09BD">
              <w:rPr>
                <w:rFonts w:ascii="Arial" w:eastAsia="Times New Roman" w:hAnsi="Arial" w:cs="Arial"/>
                <w:sz w:val="20"/>
                <w:szCs w:val="20"/>
                <w:bdr w:val="none" w:sz="0" w:space="0" w:color="auto"/>
                <w:lang w:eastAsia="en-GB"/>
              </w:rPr>
              <w:t>D</w:t>
            </w:r>
            <w:r w:rsidRPr="006C09BD">
              <w:rPr>
                <w:rFonts w:ascii="Arial" w:eastAsia="Times New Roman" w:hAnsi="Arial" w:cs="Arial"/>
                <w:sz w:val="20"/>
                <w:szCs w:val="20"/>
                <w:bdr w:val="none" w:sz="0" w:space="0" w:color="auto"/>
                <w:lang w:eastAsia="en-GB"/>
              </w:rPr>
              <w:t>P</w:t>
            </w:r>
            <w:r w:rsidR="001939B9" w:rsidRPr="006C09BD">
              <w:rPr>
                <w:rFonts w:ascii="Arial" w:eastAsia="Times New Roman" w:hAnsi="Arial" w:cs="Arial"/>
                <w:sz w:val="20"/>
                <w:szCs w:val="20"/>
                <w:bdr w:val="none" w:sz="0" w:space="0" w:color="auto"/>
                <w:lang w:eastAsia="en-GB"/>
              </w:rPr>
              <w:t>R</w:t>
            </w:r>
          </w:p>
        </w:tc>
        <w:tc>
          <w:tcPr>
            <w:tcW w:w="0" w:type="auto"/>
            <w:hideMark/>
          </w:tcPr>
          <w:p w14:paraId="18C1625A" w14:textId="352AEE61"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G</w:t>
            </w:r>
            <w:r w:rsidR="001939B9" w:rsidRPr="006C09BD">
              <w:rPr>
                <w:rFonts w:ascii="Arial" w:eastAsia="Times New Roman" w:hAnsi="Arial" w:cs="Arial"/>
                <w:sz w:val="20"/>
                <w:szCs w:val="20"/>
                <w:bdr w:val="none" w:sz="0" w:space="0" w:color="auto"/>
                <w:lang w:eastAsia="en-GB"/>
              </w:rPr>
              <w:t xml:space="preserve">eneral Data Protection Regulation </w:t>
            </w:r>
          </w:p>
        </w:tc>
      </w:tr>
      <w:tr w:rsidR="006A3135" w:rsidRPr="006C09BD" w14:paraId="62685025" w14:textId="77777777" w:rsidTr="00092DA7">
        <w:tc>
          <w:tcPr>
            <w:cnfStyle w:val="001000000000" w:firstRow="0" w:lastRow="0" w:firstColumn="1" w:lastColumn="0" w:oddVBand="0" w:evenVBand="0" w:oddHBand="0" w:evenHBand="0" w:firstRowFirstColumn="0" w:firstRowLastColumn="0" w:lastRowFirstColumn="0" w:lastRowLastColumn="0"/>
            <w:tcW w:w="0" w:type="auto"/>
            <w:hideMark/>
          </w:tcPr>
          <w:p w14:paraId="2B4B3B9F"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HRA</w:t>
            </w:r>
          </w:p>
        </w:tc>
        <w:tc>
          <w:tcPr>
            <w:tcW w:w="0" w:type="auto"/>
            <w:shd w:val="clear" w:color="auto" w:fill="auto"/>
            <w:hideMark/>
          </w:tcPr>
          <w:p w14:paraId="003B0FDE"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Health Research Authority</w:t>
            </w:r>
          </w:p>
        </w:tc>
      </w:tr>
      <w:tr w:rsidR="00C81EF8" w:rsidRPr="006C09BD" w14:paraId="04B460BD" w14:textId="77777777" w:rsidTr="009F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7F6260"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HREC</w:t>
            </w:r>
          </w:p>
        </w:tc>
        <w:tc>
          <w:tcPr>
            <w:tcW w:w="0" w:type="auto"/>
            <w:hideMark/>
          </w:tcPr>
          <w:p w14:paraId="1FEDE69A"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Human Research Ethics Committee</w:t>
            </w:r>
          </w:p>
        </w:tc>
      </w:tr>
      <w:tr w:rsidR="006A3135" w:rsidRPr="006C09BD" w14:paraId="714FB369" w14:textId="77777777" w:rsidTr="00092DA7">
        <w:tc>
          <w:tcPr>
            <w:cnfStyle w:val="001000000000" w:firstRow="0" w:lastRow="0" w:firstColumn="1" w:lastColumn="0" w:oddVBand="0" w:evenVBand="0" w:oddHBand="0" w:evenHBand="0" w:firstRowFirstColumn="0" w:firstRowLastColumn="0" w:lastRowFirstColumn="0" w:lastRowLastColumn="0"/>
            <w:tcW w:w="0" w:type="auto"/>
            <w:hideMark/>
          </w:tcPr>
          <w:p w14:paraId="16EFEE61"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HTA</w:t>
            </w:r>
          </w:p>
        </w:tc>
        <w:tc>
          <w:tcPr>
            <w:tcW w:w="0" w:type="auto"/>
            <w:shd w:val="clear" w:color="auto" w:fill="auto"/>
            <w:hideMark/>
          </w:tcPr>
          <w:p w14:paraId="0D98D02A"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Health Technology Assessment</w:t>
            </w:r>
          </w:p>
        </w:tc>
      </w:tr>
      <w:tr w:rsidR="00C81EF8" w:rsidRPr="006C09BD" w14:paraId="31307731" w14:textId="77777777" w:rsidTr="009F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4B8896"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ICC</w:t>
            </w:r>
          </w:p>
        </w:tc>
        <w:tc>
          <w:tcPr>
            <w:tcW w:w="0" w:type="auto"/>
            <w:hideMark/>
          </w:tcPr>
          <w:p w14:paraId="56C3D0DC"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Intracluster Correlation Coefficient</w:t>
            </w:r>
          </w:p>
        </w:tc>
      </w:tr>
      <w:tr w:rsidR="006A3135" w:rsidRPr="006C09BD" w14:paraId="7EC30E17" w14:textId="77777777" w:rsidTr="00092DA7">
        <w:tc>
          <w:tcPr>
            <w:cnfStyle w:val="001000000000" w:firstRow="0" w:lastRow="0" w:firstColumn="1" w:lastColumn="0" w:oddVBand="0" w:evenVBand="0" w:oddHBand="0" w:evenHBand="0" w:firstRowFirstColumn="0" w:firstRowLastColumn="0" w:lastRowFirstColumn="0" w:lastRowLastColumn="0"/>
            <w:tcW w:w="0" w:type="auto"/>
            <w:hideMark/>
          </w:tcPr>
          <w:p w14:paraId="2B596287"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ISRCTN</w:t>
            </w:r>
          </w:p>
        </w:tc>
        <w:tc>
          <w:tcPr>
            <w:tcW w:w="0" w:type="auto"/>
            <w:shd w:val="clear" w:color="auto" w:fill="auto"/>
            <w:hideMark/>
          </w:tcPr>
          <w:p w14:paraId="1F2592B6"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International Standard Randomised Controlled Trial Number</w:t>
            </w:r>
          </w:p>
        </w:tc>
      </w:tr>
      <w:tr w:rsidR="00092DA7" w:rsidRPr="006C09BD" w14:paraId="1227C32A"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C45A62" w14:textId="01E6D5AE" w:rsidR="00092DA7" w:rsidRPr="006C09BD" w:rsidRDefault="00092DA7"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ITT</w:t>
            </w:r>
          </w:p>
        </w:tc>
        <w:tc>
          <w:tcPr>
            <w:tcW w:w="0" w:type="auto"/>
          </w:tcPr>
          <w:p w14:paraId="2DCC500D" w14:textId="382B11A3" w:rsidR="00092DA7" w:rsidRPr="006C09BD" w:rsidRDefault="00092DA7"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Intention-to-Treat</w:t>
            </w:r>
          </w:p>
        </w:tc>
      </w:tr>
      <w:tr w:rsidR="00C81EF8" w:rsidRPr="006C09BD" w14:paraId="787B9055" w14:textId="77777777" w:rsidTr="009F652E">
        <w:tc>
          <w:tcPr>
            <w:cnfStyle w:val="001000000000" w:firstRow="0" w:lastRow="0" w:firstColumn="1" w:lastColumn="0" w:oddVBand="0" w:evenVBand="0" w:oddHBand="0" w:evenHBand="0" w:firstRowFirstColumn="0" w:firstRowLastColumn="0" w:lastRowFirstColumn="0" w:lastRowLastColumn="0"/>
            <w:tcW w:w="0" w:type="auto"/>
            <w:hideMark/>
          </w:tcPr>
          <w:p w14:paraId="09BA2F6F"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LNU</w:t>
            </w:r>
          </w:p>
        </w:tc>
        <w:tc>
          <w:tcPr>
            <w:tcW w:w="0" w:type="auto"/>
            <w:shd w:val="clear" w:color="auto" w:fill="auto"/>
            <w:hideMark/>
          </w:tcPr>
          <w:p w14:paraId="46BA69D9"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Local Neonatal Unit</w:t>
            </w:r>
          </w:p>
        </w:tc>
      </w:tr>
      <w:tr w:rsidR="006A3135" w:rsidRPr="006C09BD" w14:paraId="499A8B78"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5CF94D"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NEC</w:t>
            </w:r>
          </w:p>
        </w:tc>
        <w:tc>
          <w:tcPr>
            <w:tcW w:w="0" w:type="auto"/>
            <w:hideMark/>
          </w:tcPr>
          <w:p w14:paraId="04D4D286" w14:textId="77777777" w:rsidR="00C81EF8" w:rsidRPr="006C09BD" w:rsidRDefault="00C81EF8"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Necrotising Enterocolitis</w:t>
            </w:r>
          </w:p>
        </w:tc>
      </w:tr>
      <w:tr w:rsidR="008E781E" w:rsidRPr="006C09BD" w14:paraId="68A06DE4" w14:textId="77777777" w:rsidTr="00092DA7">
        <w:tc>
          <w:tcPr>
            <w:cnfStyle w:val="001000000000" w:firstRow="0" w:lastRow="0" w:firstColumn="1" w:lastColumn="0" w:oddVBand="0" w:evenVBand="0" w:oddHBand="0" w:evenHBand="0" w:firstRowFirstColumn="0" w:firstRowLastColumn="0" w:lastRowFirstColumn="0" w:lastRowLastColumn="0"/>
            <w:tcW w:w="0" w:type="auto"/>
          </w:tcPr>
          <w:p w14:paraId="0E16C02C" w14:textId="6D9DDDD2" w:rsidR="008E781E" w:rsidRPr="006C09BD" w:rsidRDefault="008E781E"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NHMRC</w:t>
            </w:r>
          </w:p>
        </w:tc>
        <w:tc>
          <w:tcPr>
            <w:tcW w:w="0" w:type="auto"/>
            <w:shd w:val="clear" w:color="auto" w:fill="auto"/>
          </w:tcPr>
          <w:p w14:paraId="19D70325" w14:textId="645B85DA" w:rsidR="00F84A8A" w:rsidRPr="006C09BD" w:rsidRDefault="008E781E"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color="004C7F"/>
              </w:rPr>
            </w:pPr>
            <w:r w:rsidRPr="006C09BD">
              <w:rPr>
                <w:rFonts w:ascii="Arial" w:hAnsi="Arial" w:cs="Arial"/>
                <w:sz w:val="20"/>
                <w:szCs w:val="20"/>
                <w:u w:color="004C7F"/>
              </w:rPr>
              <w:t>National Health and Medical Research Council</w:t>
            </w:r>
          </w:p>
        </w:tc>
      </w:tr>
      <w:tr w:rsidR="00F84A8A" w:rsidRPr="006C09BD" w14:paraId="1849CBB3"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5F8CE5" w14:textId="0244814E" w:rsidR="00F84A8A" w:rsidRPr="006C09BD" w:rsidRDefault="00F84A8A"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NHS</w:t>
            </w:r>
          </w:p>
        </w:tc>
        <w:tc>
          <w:tcPr>
            <w:tcW w:w="0" w:type="auto"/>
          </w:tcPr>
          <w:p w14:paraId="5BAD0947" w14:textId="3752E4B2" w:rsidR="00F84A8A" w:rsidRPr="006C09BD" w:rsidRDefault="00F84A8A"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color="004C7F"/>
              </w:rPr>
            </w:pPr>
            <w:r w:rsidRPr="006C09BD">
              <w:rPr>
                <w:rFonts w:ascii="Arial" w:hAnsi="Arial" w:cs="Arial"/>
                <w:sz w:val="20"/>
                <w:szCs w:val="20"/>
                <w:u w:color="004C7F"/>
              </w:rPr>
              <w:t>National Health Service</w:t>
            </w:r>
          </w:p>
        </w:tc>
      </w:tr>
      <w:tr w:rsidR="00984F52" w:rsidRPr="006C09BD" w14:paraId="232BF5AE" w14:textId="77777777" w:rsidTr="00092DA7">
        <w:tc>
          <w:tcPr>
            <w:cnfStyle w:val="001000000000" w:firstRow="0" w:lastRow="0" w:firstColumn="1" w:lastColumn="0" w:oddVBand="0" w:evenVBand="0" w:oddHBand="0" w:evenHBand="0" w:firstRowFirstColumn="0" w:firstRowLastColumn="0" w:lastRowFirstColumn="0" w:lastRowLastColumn="0"/>
            <w:tcW w:w="0" w:type="auto"/>
          </w:tcPr>
          <w:p w14:paraId="2C21D791" w14:textId="3D680138"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NICE</w:t>
            </w:r>
          </w:p>
        </w:tc>
        <w:tc>
          <w:tcPr>
            <w:tcW w:w="0" w:type="auto"/>
            <w:shd w:val="clear" w:color="auto" w:fill="auto"/>
          </w:tcPr>
          <w:p w14:paraId="2957AA46" w14:textId="5A03A79F"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color="004C7F"/>
              </w:rPr>
            </w:pPr>
            <w:r w:rsidRPr="006C09BD">
              <w:rPr>
                <w:rFonts w:ascii="Arial" w:eastAsia="Times New Roman" w:hAnsi="Arial" w:cs="Arial"/>
                <w:sz w:val="20"/>
                <w:szCs w:val="20"/>
                <w:bdr w:val="none" w:sz="0" w:space="0" w:color="auto"/>
                <w:lang w:eastAsia="en-GB"/>
              </w:rPr>
              <w:t>National Institute for Health and Care Excellence</w:t>
            </w:r>
          </w:p>
        </w:tc>
      </w:tr>
      <w:tr w:rsidR="00984F52" w:rsidRPr="006C09BD" w14:paraId="2BE5E153"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0DD1A2" w14:textId="5942564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NICU</w:t>
            </w:r>
          </w:p>
        </w:tc>
        <w:tc>
          <w:tcPr>
            <w:tcW w:w="0" w:type="auto"/>
          </w:tcPr>
          <w:p w14:paraId="0C3016C3" w14:textId="60F4C1A0"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color="004C7F"/>
              </w:rPr>
            </w:pPr>
            <w:r w:rsidRPr="006C09BD">
              <w:rPr>
                <w:rFonts w:ascii="Arial" w:eastAsia="Times New Roman" w:hAnsi="Arial" w:cs="Arial"/>
                <w:sz w:val="20"/>
                <w:szCs w:val="20"/>
                <w:bdr w:val="none" w:sz="0" w:space="0" w:color="auto"/>
                <w:lang w:eastAsia="en-GB"/>
              </w:rPr>
              <w:t>Neonatal Intensive Care Unit</w:t>
            </w:r>
          </w:p>
        </w:tc>
      </w:tr>
      <w:tr w:rsidR="00984F52" w:rsidRPr="006C09BD" w14:paraId="375C9E0C" w14:textId="77777777" w:rsidTr="006A3135">
        <w:tc>
          <w:tcPr>
            <w:cnfStyle w:val="001000000000" w:firstRow="0" w:lastRow="0" w:firstColumn="1" w:lastColumn="0" w:oddVBand="0" w:evenVBand="0" w:oddHBand="0" w:evenHBand="0" w:firstRowFirstColumn="0" w:firstRowLastColumn="0" w:lastRowFirstColumn="0" w:lastRowLastColumn="0"/>
            <w:tcW w:w="0" w:type="auto"/>
            <w:hideMark/>
          </w:tcPr>
          <w:p w14:paraId="7FB9E350"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NIHR</w:t>
            </w:r>
          </w:p>
        </w:tc>
        <w:tc>
          <w:tcPr>
            <w:tcW w:w="0" w:type="auto"/>
            <w:shd w:val="clear" w:color="auto" w:fill="auto"/>
            <w:hideMark/>
          </w:tcPr>
          <w:p w14:paraId="195277CA"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National Institute for Health and Care Research</w:t>
            </w:r>
          </w:p>
        </w:tc>
      </w:tr>
      <w:tr w:rsidR="00984F52" w:rsidRPr="006C09BD" w14:paraId="420CC0F6"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173ADD"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NNRD</w:t>
            </w:r>
          </w:p>
        </w:tc>
        <w:tc>
          <w:tcPr>
            <w:tcW w:w="0" w:type="auto"/>
            <w:hideMark/>
          </w:tcPr>
          <w:p w14:paraId="3B3A2E3D"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National Neonatal Research Database</w:t>
            </w:r>
          </w:p>
        </w:tc>
      </w:tr>
      <w:tr w:rsidR="00984F52" w:rsidRPr="006C09BD" w14:paraId="43E6B6AA" w14:textId="77777777" w:rsidTr="006A3135">
        <w:tc>
          <w:tcPr>
            <w:cnfStyle w:val="001000000000" w:firstRow="0" w:lastRow="0" w:firstColumn="1" w:lastColumn="0" w:oddVBand="0" w:evenVBand="0" w:oddHBand="0" w:evenHBand="0" w:firstRowFirstColumn="0" w:firstRowLastColumn="0" w:lastRowFirstColumn="0" w:lastRowLastColumn="0"/>
            <w:tcW w:w="0" w:type="auto"/>
            <w:hideMark/>
          </w:tcPr>
          <w:p w14:paraId="7E537F4C"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NPEU</w:t>
            </w:r>
          </w:p>
        </w:tc>
        <w:tc>
          <w:tcPr>
            <w:tcW w:w="0" w:type="auto"/>
            <w:shd w:val="clear" w:color="auto" w:fill="auto"/>
            <w:hideMark/>
          </w:tcPr>
          <w:p w14:paraId="64476FF5"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National Perinatal Epidemiology Unit</w:t>
            </w:r>
          </w:p>
        </w:tc>
      </w:tr>
      <w:tr w:rsidR="00984F52" w:rsidRPr="006C09BD" w14:paraId="074B819B" w14:textId="77777777" w:rsidTr="006A3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6357F6" w14:textId="525CFD79"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PAG</w:t>
            </w:r>
          </w:p>
        </w:tc>
        <w:tc>
          <w:tcPr>
            <w:tcW w:w="0" w:type="auto"/>
          </w:tcPr>
          <w:p w14:paraId="76326B4E" w14:textId="32C79F95"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Parent Advisory Group</w:t>
            </w:r>
          </w:p>
        </w:tc>
      </w:tr>
      <w:tr w:rsidR="00984F52" w:rsidRPr="006C09BD" w14:paraId="329FF6AE" w14:textId="77777777" w:rsidTr="00092DA7">
        <w:tc>
          <w:tcPr>
            <w:cnfStyle w:val="001000000000" w:firstRow="0" w:lastRow="0" w:firstColumn="1" w:lastColumn="0" w:oddVBand="0" w:evenVBand="0" w:oddHBand="0" w:evenHBand="0" w:firstRowFirstColumn="0" w:firstRowLastColumn="0" w:lastRowFirstColumn="0" w:lastRowLastColumn="0"/>
            <w:tcW w:w="0" w:type="auto"/>
            <w:hideMark/>
          </w:tcPr>
          <w:p w14:paraId="77607BD6"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PI</w:t>
            </w:r>
          </w:p>
        </w:tc>
        <w:tc>
          <w:tcPr>
            <w:tcW w:w="0" w:type="auto"/>
            <w:shd w:val="clear" w:color="auto" w:fill="auto"/>
            <w:hideMark/>
          </w:tcPr>
          <w:p w14:paraId="4B7BC943"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Principal Investigator</w:t>
            </w:r>
          </w:p>
        </w:tc>
      </w:tr>
      <w:tr w:rsidR="00984F52" w:rsidRPr="006C09BD" w14:paraId="70A2405C"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E2FD8D" w14:textId="0511295E"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P</w:t>
            </w:r>
            <w:r w:rsidRPr="006C09BD">
              <w:rPr>
                <w:rFonts w:ascii="Arial" w:eastAsia="Times New Roman" w:hAnsi="Arial"/>
                <w:sz w:val="20"/>
                <w:szCs w:val="20"/>
                <w:bdr w:val="none" w:sz="0" w:space="0" w:color="auto"/>
                <w:lang w:eastAsia="en-GB"/>
              </w:rPr>
              <w:t>IS</w:t>
            </w:r>
          </w:p>
        </w:tc>
        <w:tc>
          <w:tcPr>
            <w:tcW w:w="0" w:type="auto"/>
          </w:tcPr>
          <w:p w14:paraId="5325EA81" w14:textId="28C5A2AD"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P</w:t>
            </w:r>
            <w:r w:rsidRPr="006C09BD">
              <w:rPr>
                <w:rFonts w:ascii="Arial" w:eastAsia="Times New Roman" w:hAnsi="Arial"/>
                <w:sz w:val="20"/>
                <w:szCs w:val="20"/>
                <w:bdr w:val="none" w:sz="0" w:space="0" w:color="auto"/>
                <w:lang w:eastAsia="en-GB"/>
              </w:rPr>
              <w:t>arent Information Sheet</w:t>
            </w:r>
          </w:p>
        </w:tc>
      </w:tr>
      <w:tr w:rsidR="00984F52" w:rsidRPr="006C09BD" w14:paraId="389434B5" w14:textId="77777777" w:rsidTr="009F652E">
        <w:tc>
          <w:tcPr>
            <w:cnfStyle w:val="001000000000" w:firstRow="0" w:lastRow="0" w:firstColumn="1" w:lastColumn="0" w:oddVBand="0" w:evenVBand="0" w:oddHBand="0" w:evenHBand="0" w:firstRowFirstColumn="0" w:firstRowLastColumn="0" w:lastRowFirstColumn="0" w:lastRowLastColumn="0"/>
            <w:tcW w:w="0" w:type="auto"/>
            <w:hideMark/>
          </w:tcPr>
          <w:p w14:paraId="768D5E7C"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PMG</w:t>
            </w:r>
          </w:p>
        </w:tc>
        <w:tc>
          <w:tcPr>
            <w:tcW w:w="0" w:type="auto"/>
            <w:shd w:val="clear" w:color="auto" w:fill="auto"/>
            <w:hideMark/>
          </w:tcPr>
          <w:p w14:paraId="286EAA9E"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Project Management Group</w:t>
            </w:r>
          </w:p>
        </w:tc>
      </w:tr>
      <w:tr w:rsidR="00984F52" w:rsidRPr="006C09BD" w14:paraId="2B637BED"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B6DE45"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R&amp;D</w:t>
            </w:r>
          </w:p>
        </w:tc>
        <w:tc>
          <w:tcPr>
            <w:tcW w:w="0" w:type="auto"/>
            <w:hideMark/>
          </w:tcPr>
          <w:p w14:paraId="0A79C0BB"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Research &amp; Development</w:t>
            </w:r>
          </w:p>
        </w:tc>
      </w:tr>
      <w:tr w:rsidR="00984F52" w:rsidRPr="006C09BD" w14:paraId="1A4DF4C1" w14:textId="77777777" w:rsidTr="009F652E">
        <w:tc>
          <w:tcPr>
            <w:cnfStyle w:val="001000000000" w:firstRow="0" w:lastRow="0" w:firstColumn="1" w:lastColumn="0" w:oddVBand="0" w:evenVBand="0" w:oddHBand="0" w:evenHBand="0" w:firstRowFirstColumn="0" w:firstRowLastColumn="0" w:lastRowFirstColumn="0" w:lastRowLastColumn="0"/>
            <w:tcW w:w="0" w:type="auto"/>
            <w:hideMark/>
          </w:tcPr>
          <w:p w14:paraId="60D52164"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REC</w:t>
            </w:r>
          </w:p>
        </w:tc>
        <w:tc>
          <w:tcPr>
            <w:tcW w:w="0" w:type="auto"/>
            <w:shd w:val="clear" w:color="auto" w:fill="auto"/>
            <w:hideMark/>
          </w:tcPr>
          <w:p w14:paraId="6B6EF22F"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Research Ethics Committee</w:t>
            </w:r>
          </w:p>
        </w:tc>
      </w:tr>
      <w:tr w:rsidR="00984F52" w:rsidRPr="006C09BD" w14:paraId="65B7E766"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B3575F"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SAE</w:t>
            </w:r>
          </w:p>
        </w:tc>
        <w:tc>
          <w:tcPr>
            <w:tcW w:w="0" w:type="auto"/>
            <w:hideMark/>
          </w:tcPr>
          <w:p w14:paraId="6A2BA762"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Serious Adverse Event</w:t>
            </w:r>
          </w:p>
        </w:tc>
      </w:tr>
      <w:tr w:rsidR="00984F52" w:rsidRPr="006C09BD" w14:paraId="1076EAE2" w14:textId="77777777" w:rsidTr="00092DA7">
        <w:tc>
          <w:tcPr>
            <w:cnfStyle w:val="001000000000" w:firstRow="0" w:lastRow="0" w:firstColumn="1" w:lastColumn="0" w:oddVBand="0" w:evenVBand="0" w:oddHBand="0" w:evenHBand="0" w:firstRowFirstColumn="0" w:firstRowLastColumn="0" w:lastRowFirstColumn="0" w:lastRowLastColumn="0"/>
            <w:tcW w:w="0" w:type="auto"/>
          </w:tcPr>
          <w:p w14:paraId="09B97FF1" w14:textId="743BC02F"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SAP</w:t>
            </w:r>
          </w:p>
        </w:tc>
        <w:tc>
          <w:tcPr>
            <w:tcW w:w="0" w:type="auto"/>
            <w:shd w:val="clear" w:color="auto" w:fill="auto"/>
          </w:tcPr>
          <w:p w14:paraId="2C6DEF02" w14:textId="47277D52"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Statistical Analysis Plan</w:t>
            </w:r>
          </w:p>
        </w:tc>
      </w:tr>
      <w:tr w:rsidR="00984F52" w:rsidRPr="006C09BD" w14:paraId="4AEE2A9A"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20B073" w14:textId="29906C05"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SCBU</w:t>
            </w:r>
          </w:p>
        </w:tc>
        <w:tc>
          <w:tcPr>
            <w:tcW w:w="0" w:type="auto"/>
          </w:tcPr>
          <w:p w14:paraId="181DD12B" w14:textId="2B541A83"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Special Care Baby Unit</w:t>
            </w:r>
          </w:p>
        </w:tc>
      </w:tr>
      <w:tr w:rsidR="00984F52" w:rsidRPr="006C09BD" w14:paraId="7DC53493" w14:textId="77777777" w:rsidTr="00092DA7">
        <w:tc>
          <w:tcPr>
            <w:cnfStyle w:val="001000000000" w:firstRow="0" w:lastRow="0" w:firstColumn="1" w:lastColumn="0" w:oddVBand="0" w:evenVBand="0" w:oddHBand="0" w:evenHBand="0" w:firstRowFirstColumn="0" w:firstRowLastColumn="0" w:lastRowFirstColumn="0" w:lastRowLastColumn="0"/>
            <w:tcW w:w="0" w:type="auto"/>
          </w:tcPr>
          <w:p w14:paraId="6EAFE3C9" w14:textId="5F13AA22"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SPSS</w:t>
            </w:r>
          </w:p>
        </w:tc>
        <w:tc>
          <w:tcPr>
            <w:tcW w:w="0" w:type="auto"/>
            <w:shd w:val="clear" w:color="auto" w:fill="auto"/>
          </w:tcPr>
          <w:p w14:paraId="6CC28715" w14:textId="46CB8EBE"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Statistical Product and Service Solutions</w:t>
            </w:r>
          </w:p>
        </w:tc>
      </w:tr>
      <w:tr w:rsidR="00984F52" w:rsidRPr="006C09BD" w14:paraId="038FC0FA" w14:textId="77777777" w:rsidTr="006A3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A9141C"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SSNAP</w:t>
            </w:r>
          </w:p>
        </w:tc>
        <w:tc>
          <w:tcPr>
            <w:tcW w:w="0" w:type="auto"/>
            <w:hideMark/>
          </w:tcPr>
          <w:p w14:paraId="307544FF"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Support for Sick Newborns and their Parents</w:t>
            </w:r>
          </w:p>
        </w:tc>
      </w:tr>
      <w:tr w:rsidR="00984F52" w:rsidRPr="006C09BD" w14:paraId="561EB5E8" w14:textId="77777777" w:rsidTr="006A3135">
        <w:tc>
          <w:tcPr>
            <w:cnfStyle w:val="001000000000" w:firstRow="0" w:lastRow="0" w:firstColumn="1" w:lastColumn="0" w:oddVBand="0" w:evenVBand="0" w:oddHBand="0" w:evenHBand="0" w:firstRowFirstColumn="0" w:firstRowLastColumn="0" w:lastRowFirstColumn="0" w:lastRowLastColumn="0"/>
            <w:tcW w:w="0" w:type="auto"/>
            <w:hideMark/>
          </w:tcPr>
          <w:p w14:paraId="730DB067"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TSC</w:t>
            </w:r>
          </w:p>
        </w:tc>
        <w:tc>
          <w:tcPr>
            <w:tcW w:w="0" w:type="auto"/>
            <w:shd w:val="clear" w:color="auto" w:fill="auto"/>
            <w:hideMark/>
          </w:tcPr>
          <w:p w14:paraId="6F355BB9"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Trial Steering Committee</w:t>
            </w:r>
          </w:p>
        </w:tc>
      </w:tr>
      <w:tr w:rsidR="00984F52" w:rsidRPr="006C09BD" w14:paraId="28AA3349" w14:textId="77777777" w:rsidTr="00092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AB6159"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i w:val="0"/>
                <w:sz w:val="20"/>
                <w:szCs w:val="20"/>
                <w:bdr w:val="none" w:sz="0" w:space="0" w:color="auto"/>
                <w:lang w:eastAsia="en-GB"/>
              </w:rPr>
            </w:pPr>
            <w:r w:rsidRPr="006C09BD">
              <w:rPr>
                <w:rFonts w:ascii="Arial" w:eastAsia="Times New Roman" w:hAnsi="Arial" w:cs="Arial"/>
                <w:sz w:val="20"/>
                <w:szCs w:val="20"/>
                <w:bdr w:val="none" w:sz="0" w:space="0" w:color="auto"/>
                <w:lang w:eastAsia="en-GB"/>
              </w:rPr>
              <w:t>UK</w:t>
            </w:r>
          </w:p>
        </w:tc>
        <w:tc>
          <w:tcPr>
            <w:tcW w:w="0" w:type="auto"/>
            <w:hideMark/>
          </w:tcPr>
          <w:p w14:paraId="3BC25100" w14:textId="77777777" w:rsidR="00984F52" w:rsidRPr="006C09BD" w:rsidRDefault="00984F52" w:rsidP="009E60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bdr w:val="none" w:sz="0" w:space="0" w:color="auto"/>
                <w:lang w:eastAsia="en-GB"/>
              </w:rPr>
            </w:pPr>
            <w:r w:rsidRPr="006C09BD">
              <w:rPr>
                <w:rFonts w:ascii="Arial" w:eastAsia="Times New Roman" w:hAnsi="Arial" w:cs="Arial"/>
                <w:sz w:val="20"/>
                <w:szCs w:val="20"/>
                <w:bdr w:val="none" w:sz="0" w:space="0" w:color="auto"/>
                <w:lang w:eastAsia="en-GB"/>
              </w:rPr>
              <w:t>United Kingdom</w:t>
            </w:r>
          </w:p>
        </w:tc>
      </w:tr>
    </w:tbl>
    <w:p w14:paraId="35DBD482" w14:textId="79CED6EF" w:rsidR="0050292B" w:rsidRPr="006C09BD" w:rsidRDefault="00551CF0">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t>Declarations</w:t>
      </w:r>
      <w:r w:rsidR="00B10953" w:rsidRPr="006C09BD">
        <w:rPr>
          <w:rStyle w:val="None"/>
          <w:rFonts w:cs="Arial"/>
          <w:b/>
          <w:bCs/>
          <w:sz w:val="28"/>
          <w:szCs w:val="28"/>
          <w:lang w:val="en-GB"/>
        </w:rPr>
        <w:t xml:space="preserve"> </w:t>
      </w:r>
    </w:p>
    <w:p w14:paraId="0440CBBD" w14:textId="708A40D5"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lastRenderedPageBreak/>
        <w:t>Acknowledgements</w:t>
      </w:r>
    </w:p>
    <w:p w14:paraId="35FCFF76" w14:textId="20D01B09" w:rsidR="00C779C3" w:rsidRPr="006C09BD" w:rsidRDefault="00C779C3" w:rsidP="00C779C3">
      <w:pPr>
        <w:pStyle w:val="BodyA"/>
        <w:widowControl w:val="0"/>
        <w:spacing w:before="120" w:line="360" w:lineRule="auto"/>
        <w:rPr>
          <w:lang w:val="en-GB"/>
        </w:rPr>
      </w:pPr>
      <w:r w:rsidRPr="006C09BD">
        <w:rPr>
          <w:rFonts w:cs="Arial"/>
          <w:lang w:val="en-GB"/>
        </w:rPr>
        <w:t xml:space="preserve">We would like to acknowledge all the </w:t>
      </w:r>
      <w:r w:rsidR="00CA6094" w:rsidRPr="006C09BD">
        <w:rPr>
          <w:rFonts w:cs="Arial"/>
          <w:lang w:val="en-GB"/>
        </w:rPr>
        <w:t>parent and patient</w:t>
      </w:r>
      <w:r w:rsidRPr="006C09BD">
        <w:rPr>
          <w:rFonts w:cs="Arial"/>
          <w:lang w:val="en-GB"/>
        </w:rPr>
        <w:t xml:space="preserve"> input that have helped to shape this trial, in particular we would like thank the </w:t>
      </w:r>
      <w:r w:rsidR="00D238C8" w:rsidRPr="006C09BD">
        <w:rPr>
          <w:rFonts w:cs="Arial"/>
          <w:lang w:val="en-GB"/>
        </w:rPr>
        <w:t>c</w:t>
      </w:r>
      <w:r w:rsidRPr="006C09BD">
        <w:rPr>
          <w:rFonts w:cs="Arial"/>
          <w:lang w:val="en-GB"/>
        </w:rPr>
        <w:t xml:space="preserve">harities Bliss and SSNAP, our parent advisory group </w:t>
      </w:r>
      <w:r w:rsidR="00D238C8" w:rsidRPr="006C09BD">
        <w:rPr>
          <w:rFonts w:cs="Arial"/>
          <w:lang w:val="en-GB"/>
        </w:rPr>
        <w:t xml:space="preserve">members </w:t>
      </w:r>
      <w:r w:rsidRPr="006C09BD">
        <w:rPr>
          <w:rFonts w:cs="Arial"/>
          <w:lang w:val="en-GB"/>
        </w:rPr>
        <w:t>past and present and</w:t>
      </w:r>
      <w:r w:rsidR="00D238C8" w:rsidRPr="006C09BD">
        <w:rPr>
          <w:rFonts w:cs="Arial"/>
          <w:lang w:val="en-GB"/>
        </w:rPr>
        <w:t xml:space="preserve"> our Patient and Public Involvement (PPI) mentor Rachel Plachcinski.</w:t>
      </w:r>
      <w:r w:rsidRPr="006C09BD">
        <w:rPr>
          <w:rFonts w:cs="Arial"/>
          <w:lang w:val="en-GB"/>
        </w:rPr>
        <w:t xml:space="preserve"> </w:t>
      </w:r>
    </w:p>
    <w:p w14:paraId="73F78425" w14:textId="77777777" w:rsidR="00C94F1B" w:rsidRPr="006C09BD" w:rsidRDefault="00C94F1B">
      <w:pPr>
        <w:pStyle w:val="BodyA"/>
        <w:widowControl w:val="0"/>
        <w:spacing w:before="120" w:line="360" w:lineRule="auto"/>
        <w:rPr>
          <w:rStyle w:val="None"/>
          <w:rFonts w:cs="Arial"/>
          <w:b/>
          <w:bCs/>
          <w:sz w:val="24"/>
          <w:szCs w:val="24"/>
          <w:lang w:val="en-GB"/>
        </w:rPr>
      </w:pPr>
    </w:p>
    <w:p w14:paraId="63E9FB0D" w14:textId="3B49904D"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Authors’ contributions {</w:t>
      </w:r>
      <w:r w:rsidR="00522044" w:rsidRPr="006C09BD">
        <w:rPr>
          <w:rStyle w:val="None"/>
          <w:rFonts w:cs="Arial"/>
          <w:b/>
          <w:bCs/>
          <w:sz w:val="24"/>
          <w:szCs w:val="24"/>
          <w:lang w:val="en-GB"/>
        </w:rPr>
        <w:t>3a</w:t>
      </w:r>
      <w:r w:rsidRPr="006C09BD">
        <w:rPr>
          <w:rStyle w:val="None"/>
          <w:rFonts w:cs="Arial"/>
          <w:b/>
          <w:bCs/>
          <w:sz w:val="24"/>
          <w:szCs w:val="24"/>
          <w:lang w:val="en-GB"/>
        </w:rPr>
        <w:t>}</w:t>
      </w:r>
    </w:p>
    <w:p w14:paraId="618F6164" w14:textId="572548D3" w:rsidR="003255A3" w:rsidRDefault="000D72EF">
      <w:pPr>
        <w:pStyle w:val="BodyA"/>
        <w:widowControl w:val="0"/>
        <w:spacing w:line="360" w:lineRule="auto"/>
        <w:rPr>
          <w:rStyle w:val="None"/>
          <w:rFonts w:cs="Arial"/>
          <w:lang w:val="en-GB"/>
        </w:rPr>
      </w:pPr>
      <w:r w:rsidRPr="006C09BD">
        <w:rPr>
          <w:rStyle w:val="None"/>
          <w:rFonts w:cs="Arial"/>
          <w:lang w:val="en-GB"/>
        </w:rPr>
        <w:t>CG is Chief Investigator</w:t>
      </w:r>
      <w:r w:rsidR="00212F9E">
        <w:rPr>
          <w:rStyle w:val="None"/>
          <w:rFonts w:cs="Arial"/>
          <w:lang w:val="en-GB"/>
        </w:rPr>
        <w:t xml:space="preserve"> and </w:t>
      </w:r>
      <w:r w:rsidRPr="006C09BD">
        <w:rPr>
          <w:rStyle w:val="None"/>
          <w:rFonts w:cs="Arial"/>
          <w:lang w:val="en-GB"/>
        </w:rPr>
        <w:t>led the proposal</w:t>
      </w:r>
      <w:r w:rsidR="00AD284D">
        <w:rPr>
          <w:rStyle w:val="None"/>
          <w:rFonts w:cs="Arial"/>
          <w:lang w:val="en-GB"/>
        </w:rPr>
        <w:t xml:space="preserve"> (</w:t>
      </w:r>
      <w:r w:rsidR="00AD284D" w:rsidRPr="003255A3">
        <w:rPr>
          <w:rStyle w:val="None"/>
          <w:rFonts w:cs="Arial"/>
          <w:lang w:val="en-GB"/>
        </w:rPr>
        <w:t>conceptualisation, methodology, funding acquisition</w:t>
      </w:r>
      <w:r w:rsidR="00AD284D">
        <w:rPr>
          <w:rStyle w:val="None"/>
          <w:rFonts w:cs="Arial"/>
          <w:lang w:val="en-GB"/>
        </w:rPr>
        <w:t>)</w:t>
      </w:r>
      <w:r w:rsidR="00212F9E">
        <w:rPr>
          <w:rStyle w:val="None"/>
          <w:rFonts w:cs="Arial"/>
          <w:lang w:val="en-GB"/>
        </w:rPr>
        <w:t xml:space="preserve">. </w:t>
      </w:r>
      <w:r w:rsidR="00B00395">
        <w:rPr>
          <w:rStyle w:val="None"/>
          <w:rFonts w:cs="Arial"/>
          <w:lang w:val="en-GB"/>
        </w:rPr>
        <w:t>Provided</w:t>
      </w:r>
      <w:r w:rsidR="00212F9E">
        <w:rPr>
          <w:rStyle w:val="None"/>
          <w:rFonts w:cs="Arial"/>
          <w:lang w:val="en-GB"/>
        </w:rPr>
        <w:t xml:space="preserve"> oversight, </w:t>
      </w:r>
      <w:r w:rsidR="00AD284D">
        <w:rPr>
          <w:rStyle w:val="None"/>
          <w:rFonts w:cs="Arial"/>
          <w:lang w:val="en-GB"/>
        </w:rPr>
        <w:t>supervision and leadership of the trial and</w:t>
      </w:r>
      <w:r w:rsidRPr="006C09BD">
        <w:rPr>
          <w:rStyle w:val="None"/>
          <w:rFonts w:cs="Arial"/>
          <w:lang w:val="en-GB"/>
        </w:rPr>
        <w:t xml:space="preserve"> protocol </w:t>
      </w:r>
      <w:r w:rsidR="00AF5F7A">
        <w:rPr>
          <w:rStyle w:val="None"/>
          <w:rFonts w:cs="Arial"/>
          <w:lang w:val="en-GB"/>
        </w:rPr>
        <w:t xml:space="preserve">manuscript </w:t>
      </w:r>
      <w:r w:rsidRPr="006C09BD">
        <w:rPr>
          <w:rStyle w:val="None"/>
          <w:rFonts w:cs="Arial"/>
          <w:lang w:val="en-GB"/>
        </w:rPr>
        <w:t>development.</w:t>
      </w:r>
      <w:r w:rsidR="003B039B" w:rsidRPr="006C09BD">
        <w:rPr>
          <w:rStyle w:val="None"/>
          <w:rFonts w:cs="Arial"/>
          <w:lang w:val="en-GB"/>
        </w:rPr>
        <w:t xml:space="preserve"> </w:t>
      </w:r>
    </w:p>
    <w:p w14:paraId="3857E0DB" w14:textId="0771DC47" w:rsidR="0050292B" w:rsidRDefault="003B039B">
      <w:pPr>
        <w:pStyle w:val="BodyA"/>
        <w:widowControl w:val="0"/>
        <w:spacing w:line="360" w:lineRule="auto"/>
        <w:rPr>
          <w:rStyle w:val="None"/>
          <w:rFonts w:cs="Arial"/>
          <w:lang w:val="en-GB"/>
        </w:rPr>
      </w:pPr>
      <w:r w:rsidRPr="006C09BD">
        <w:rPr>
          <w:rStyle w:val="None"/>
          <w:rFonts w:cs="Arial"/>
          <w:lang w:val="en-GB"/>
        </w:rPr>
        <w:t>CR is the Australian Chief Investigator</w:t>
      </w:r>
      <w:r w:rsidR="00212F9E">
        <w:rPr>
          <w:rStyle w:val="None"/>
          <w:rFonts w:cs="Arial"/>
          <w:lang w:val="en-GB"/>
        </w:rPr>
        <w:t xml:space="preserve"> and</w:t>
      </w:r>
      <w:r w:rsidRPr="006C09BD">
        <w:rPr>
          <w:rStyle w:val="None"/>
          <w:rFonts w:cs="Arial"/>
          <w:lang w:val="en-GB"/>
        </w:rPr>
        <w:t xml:space="preserve"> contributed to </w:t>
      </w:r>
      <w:r w:rsidR="00B00395">
        <w:rPr>
          <w:rStyle w:val="None"/>
          <w:rFonts w:cs="Arial"/>
          <w:lang w:val="en-GB"/>
        </w:rPr>
        <w:t>trial</w:t>
      </w:r>
      <w:r w:rsidRPr="006C09BD">
        <w:rPr>
          <w:rStyle w:val="None"/>
          <w:rFonts w:cs="Arial"/>
          <w:lang w:val="en-GB"/>
        </w:rPr>
        <w:t xml:space="preserve"> design</w:t>
      </w:r>
      <w:r w:rsidR="00212F9E">
        <w:rPr>
          <w:rStyle w:val="None"/>
          <w:rFonts w:cs="Arial"/>
          <w:lang w:val="en-GB"/>
        </w:rPr>
        <w:t xml:space="preserve"> (</w:t>
      </w:r>
      <w:r w:rsidR="00212F9E" w:rsidRPr="003255A3">
        <w:rPr>
          <w:rStyle w:val="None"/>
          <w:rFonts w:cs="Arial"/>
          <w:lang w:val="en-GB"/>
        </w:rPr>
        <w:t>conceptualisation, methodology</w:t>
      </w:r>
      <w:r w:rsidRPr="006C09BD">
        <w:rPr>
          <w:rStyle w:val="None"/>
          <w:rFonts w:cs="Arial"/>
          <w:lang w:val="en-GB"/>
        </w:rPr>
        <w:t xml:space="preserve"> and protocol development</w:t>
      </w:r>
      <w:r w:rsidR="00212F9E">
        <w:rPr>
          <w:rStyle w:val="None"/>
          <w:rFonts w:cs="Arial"/>
          <w:lang w:val="en-GB"/>
        </w:rPr>
        <w:t>)</w:t>
      </w:r>
      <w:r w:rsidRPr="006C09BD">
        <w:rPr>
          <w:rStyle w:val="None"/>
          <w:rFonts w:cs="Arial"/>
          <w:lang w:val="en-GB"/>
        </w:rPr>
        <w:t xml:space="preserve">, and led the proposal </w:t>
      </w:r>
      <w:r w:rsidR="00212F9E">
        <w:rPr>
          <w:rStyle w:val="None"/>
          <w:rFonts w:cs="Arial"/>
          <w:lang w:val="en-GB"/>
        </w:rPr>
        <w:t xml:space="preserve">and funding acquisition </w:t>
      </w:r>
      <w:r w:rsidRPr="006C09BD">
        <w:rPr>
          <w:rStyle w:val="None"/>
          <w:rFonts w:cs="Arial"/>
          <w:lang w:val="en-GB"/>
        </w:rPr>
        <w:t>within Australia.</w:t>
      </w:r>
    </w:p>
    <w:p w14:paraId="05B3DD02" w14:textId="603257E3" w:rsidR="00212F9E" w:rsidRDefault="00212F9E">
      <w:pPr>
        <w:pStyle w:val="BodyA"/>
        <w:widowControl w:val="0"/>
        <w:spacing w:line="360" w:lineRule="auto"/>
        <w:rPr>
          <w:rStyle w:val="None"/>
          <w:rFonts w:cs="Arial"/>
          <w:lang w:val="en-GB"/>
        </w:rPr>
      </w:pPr>
    </w:p>
    <w:p w14:paraId="4CA2B15C" w14:textId="37C7FD9D" w:rsidR="00212F9E" w:rsidRDefault="00212F9E" w:rsidP="00212F9E">
      <w:pPr>
        <w:pStyle w:val="BodyA"/>
        <w:widowControl w:val="0"/>
        <w:spacing w:line="360" w:lineRule="auto"/>
      </w:pPr>
      <w:r>
        <w:rPr>
          <w:rStyle w:val="None"/>
          <w:rFonts w:cs="Arial"/>
          <w:lang w:val="en-GB"/>
        </w:rPr>
        <w:t>EN and AR</w:t>
      </w:r>
      <w:r w:rsidR="00564A38">
        <w:rPr>
          <w:rStyle w:val="None"/>
          <w:rFonts w:cs="Arial"/>
          <w:lang w:val="en-GB"/>
        </w:rPr>
        <w:t xml:space="preserve"> provided </w:t>
      </w:r>
      <w:r w:rsidR="00D6611A">
        <w:t>project</w:t>
      </w:r>
      <w:r>
        <w:t xml:space="preserve"> administration and supervision of trial teams. Lead authors drafting the original protocol manuscript including reviewing and editing</w:t>
      </w:r>
      <w:r w:rsidR="00564A38">
        <w:t>.</w:t>
      </w:r>
    </w:p>
    <w:p w14:paraId="083289CD" w14:textId="5498126B" w:rsidR="00CA6094" w:rsidRDefault="00CA6094">
      <w:pPr>
        <w:pStyle w:val="BodyA"/>
        <w:widowControl w:val="0"/>
        <w:spacing w:line="360" w:lineRule="auto"/>
        <w:rPr>
          <w:rStyle w:val="None"/>
          <w:rFonts w:cs="Arial"/>
          <w:lang w:val="en-GB"/>
        </w:rPr>
      </w:pPr>
    </w:p>
    <w:p w14:paraId="69076B96" w14:textId="434854E7" w:rsidR="003255A3" w:rsidRDefault="003255A3">
      <w:pPr>
        <w:pStyle w:val="BodyA"/>
        <w:widowControl w:val="0"/>
        <w:spacing w:line="360" w:lineRule="auto"/>
        <w:rPr>
          <w:rStyle w:val="None"/>
          <w:rFonts w:cs="Arial"/>
          <w:lang w:val="en-GB"/>
        </w:rPr>
      </w:pPr>
      <w:r>
        <w:rPr>
          <w:rStyle w:val="None"/>
          <w:rFonts w:cs="Arial"/>
          <w:lang w:val="en-GB"/>
        </w:rPr>
        <w:t xml:space="preserve">IA, CBa, CBe, HC, PD, </w:t>
      </w:r>
      <w:r w:rsidR="00B71464">
        <w:rPr>
          <w:rStyle w:val="None"/>
          <w:rFonts w:cs="Arial"/>
          <w:lang w:val="en-GB"/>
        </w:rPr>
        <w:t>JD, AF, NH, M</w:t>
      </w:r>
      <w:r w:rsidR="00AF5F7A">
        <w:rPr>
          <w:rStyle w:val="None"/>
          <w:rFonts w:cs="Arial"/>
          <w:lang w:val="en-GB"/>
        </w:rPr>
        <w:t>Hub, RH, LL, BM, SO, CRo, ORA, LT</w:t>
      </w:r>
      <w:r w:rsidR="00AD284D">
        <w:rPr>
          <w:rStyle w:val="None"/>
          <w:rFonts w:cs="Arial"/>
          <w:lang w:val="en-GB"/>
        </w:rPr>
        <w:t>, KW</w:t>
      </w:r>
      <w:r w:rsidR="00490BF9">
        <w:rPr>
          <w:rStyle w:val="None"/>
          <w:rFonts w:cs="Arial"/>
          <w:lang w:val="en-GB"/>
        </w:rPr>
        <w:t xml:space="preserve"> </w:t>
      </w:r>
      <w:r>
        <w:rPr>
          <w:rStyle w:val="None"/>
          <w:rFonts w:cs="Arial"/>
          <w:lang w:val="en-GB"/>
        </w:rPr>
        <w:t xml:space="preserve">are all </w:t>
      </w:r>
      <w:r w:rsidR="00B00395">
        <w:rPr>
          <w:rStyle w:val="None"/>
          <w:rFonts w:cs="Arial"/>
          <w:lang w:val="en-GB"/>
        </w:rPr>
        <w:t>c</w:t>
      </w:r>
      <w:r w:rsidRPr="003255A3">
        <w:rPr>
          <w:rStyle w:val="None"/>
          <w:rFonts w:cs="Arial"/>
          <w:lang w:val="en-GB"/>
        </w:rPr>
        <w:t>o-applicant</w:t>
      </w:r>
      <w:r w:rsidR="00AF5F7A">
        <w:rPr>
          <w:rStyle w:val="None"/>
          <w:rFonts w:cs="Arial"/>
          <w:lang w:val="en-GB"/>
        </w:rPr>
        <w:t>s</w:t>
      </w:r>
      <w:r w:rsidRPr="003255A3">
        <w:rPr>
          <w:rStyle w:val="None"/>
          <w:rFonts w:cs="Arial"/>
          <w:lang w:val="en-GB"/>
        </w:rPr>
        <w:t xml:space="preserve"> on grant (conceptualisation, methodology, funding acquisition)</w:t>
      </w:r>
      <w:r w:rsidR="00B00395">
        <w:rPr>
          <w:rStyle w:val="None"/>
          <w:rFonts w:cs="Arial"/>
          <w:lang w:val="en-GB"/>
        </w:rPr>
        <w:t xml:space="preserve"> and provided</w:t>
      </w:r>
      <w:r w:rsidR="00B00395" w:rsidRPr="00B00395">
        <w:rPr>
          <w:rStyle w:val="None"/>
          <w:rFonts w:cs="Arial"/>
          <w:lang w:val="en-GB"/>
        </w:rPr>
        <w:t xml:space="preserve"> </w:t>
      </w:r>
      <w:r w:rsidR="00B00395">
        <w:rPr>
          <w:rStyle w:val="None"/>
          <w:rFonts w:cs="Arial"/>
          <w:lang w:val="en-GB"/>
        </w:rPr>
        <w:t>c</w:t>
      </w:r>
      <w:r w:rsidR="00B00395" w:rsidRPr="00B00395">
        <w:rPr>
          <w:rStyle w:val="None"/>
          <w:rFonts w:cs="Arial"/>
          <w:lang w:val="en-GB"/>
        </w:rPr>
        <w:t xml:space="preserve">linical and scientific contributions to trial design </w:t>
      </w:r>
      <w:r w:rsidRPr="003255A3">
        <w:rPr>
          <w:rStyle w:val="None"/>
          <w:rFonts w:cs="Arial"/>
          <w:lang w:val="en-GB"/>
        </w:rPr>
        <w:t>and review of study documents and protocol</w:t>
      </w:r>
      <w:r>
        <w:rPr>
          <w:rStyle w:val="None"/>
          <w:rFonts w:cs="Arial"/>
          <w:lang w:val="en-GB"/>
        </w:rPr>
        <w:t xml:space="preserve"> manuscript</w:t>
      </w:r>
      <w:r w:rsidR="00AD284D">
        <w:rPr>
          <w:rStyle w:val="None"/>
          <w:rFonts w:cs="Arial"/>
          <w:lang w:val="en-GB"/>
        </w:rPr>
        <w:t xml:space="preserve">. </w:t>
      </w:r>
    </w:p>
    <w:p w14:paraId="05B71597" w14:textId="5BC3FB66" w:rsidR="00490BF9" w:rsidRDefault="00490BF9">
      <w:pPr>
        <w:pStyle w:val="BodyA"/>
        <w:widowControl w:val="0"/>
        <w:spacing w:line="360" w:lineRule="auto"/>
        <w:rPr>
          <w:rStyle w:val="None"/>
          <w:rFonts w:cs="Arial"/>
          <w:lang w:val="en-GB"/>
        </w:rPr>
      </w:pPr>
    </w:p>
    <w:p w14:paraId="08906514" w14:textId="41701DE0" w:rsidR="00490BF9" w:rsidRDefault="00490BF9">
      <w:pPr>
        <w:pStyle w:val="BodyA"/>
        <w:widowControl w:val="0"/>
        <w:spacing w:line="360" w:lineRule="auto"/>
        <w:rPr>
          <w:rStyle w:val="None"/>
          <w:rFonts w:cs="Arial"/>
          <w:lang w:val="en-GB"/>
        </w:rPr>
      </w:pPr>
      <w:r>
        <w:rPr>
          <w:rStyle w:val="None"/>
          <w:rFonts w:cs="Arial"/>
          <w:lang w:val="en-GB"/>
        </w:rPr>
        <w:t>LY</w:t>
      </w:r>
      <w:r w:rsidR="00212F9E" w:rsidRPr="00212F9E">
        <w:rPr>
          <w:rStyle w:val="None"/>
          <w:rFonts w:cs="Arial"/>
        </w:rPr>
        <w:t xml:space="preserve"> contributed public and parent perspectives on trial design</w:t>
      </w:r>
      <w:r w:rsidR="00212F9E" w:rsidRPr="00212F9E">
        <w:rPr>
          <w:rStyle w:val="None"/>
          <w:rFonts w:cs="Arial"/>
          <w:lang w:val="en-GB"/>
        </w:rPr>
        <w:t>. Review</w:t>
      </w:r>
      <w:r w:rsidR="00212F9E" w:rsidRPr="00AF5F7A">
        <w:t xml:space="preserve"> of the protocol</w:t>
      </w:r>
      <w:r w:rsidR="00212F9E">
        <w:t xml:space="preserve"> manuscript.</w:t>
      </w:r>
    </w:p>
    <w:p w14:paraId="3E32171C" w14:textId="6E07838C" w:rsidR="003255A3" w:rsidRDefault="003255A3">
      <w:pPr>
        <w:pStyle w:val="BodyA"/>
        <w:widowControl w:val="0"/>
        <w:spacing w:line="360" w:lineRule="auto"/>
        <w:rPr>
          <w:rStyle w:val="None"/>
          <w:rFonts w:cs="Arial"/>
          <w:lang w:val="en-GB"/>
        </w:rPr>
      </w:pPr>
    </w:p>
    <w:p w14:paraId="314E724B" w14:textId="1E39AB12" w:rsidR="003255A3" w:rsidRDefault="003255A3">
      <w:pPr>
        <w:pStyle w:val="BodyA"/>
        <w:widowControl w:val="0"/>
        <w:spacing w:line="360" w:lineRule="auto"/>
        <w:rPr>
          <w:rStyle w:val="None"/>
          <w:rFonts w:cs="Arial"/>
          <w:lang w:val="en-GB"/>
        </w:rPr>
      </w:pPr>
      <w:r>
        <w:rPr>
          <w:rStyle w:val="None"/>
          <w:rFonts w:cs="Arial"/>
          <w:lang w:val="en-GB"/>
        </w:rPr>
        <w:t>KS</w:t>
      </w:r>
      <w:r w:rsidR="00490BF9">
        <w:rPr>
          <w:rStyle w:val="None"/>
          <w:rFonts w:cs="Arial"/>
          <w:lang w:val="en-GB"/>
        </w:rPr>
        <w:t xml:space="preserve"> and PH</w:t>
      </w:r>
      <w:r w:rsidR="00212F9E">
        <w:rPr>
          <w:rStyle w:val="None"/>
          <w:rFonts w:cs="Arial"/>
          <w:lang w:val="en-GB"/>
        </w:rPr>
        <w:t xml:space="preserve"> </w:t>
      </w:r>
      <w:r w:rsidR="00B00395">
        <w:rPr>
          <w:rStyle w:val="None"/>
          <w:rFonts w:cs="Arial"/>
          <w:lang w:val="en-GB"/>
        </w:rPr>
        <w:t>are</w:t>
      </w:r>
      <w:r w:rsidR="00212F9E">
        <w:rPr>
          <w:rStyle w:val="None"/>
          <w:rFonts w:cs="Arial"/>
          <w:lang w:val="en-GB"/>
        </w:rPr>
        <w:t xml:space="preserve"> both</w:t>
      </w:r>
      <w:r>
        <w:rPr>
          <w:rStyle w:val="None"/>
          <w:rFonts w:cs="Arial"/>
          <w:lang w:val="en-GB"/>
        </w:rPr>
        <w:t xml:space="preserve"> c</w:t>
      </w:r>
      <w:r w:rsidRPr="003255A3">
        <w:rPr>
          <w:rStyle w:val="None"/>
          <w:rFonts w:cs="Arial"/>
          <w:lang w:val="en-GB"/>
        </w:rPr>
        <w:t>o-applicant</w:t>
      </w:r>
      <w:r w:rsidR="00212F9E">
        <w:rPr>
          <w:rStyle w:val="None"/>
          <w:rFonts w:cs="Arial"/>
          <w:lang w:val="en-GB"/>
        </w:rPr>
        <w:t>s</w:t>
      </w:r>
      <w:r w:rsidRPr="003255A3">
        <w:rPr>
          <w:rStyle w:val="None"/>
          <w:rFonts w:cs="Arial"/>
          <w:lang w:val="en-GB"/>
        </w:rPr>
        <w:t xml:space="preserve"> on grant (conceptualisation, methodology, funding acquisition), trial oversight and administration, </w:t>
      </w:r>
      <w:r w:rsidR="00212F9E">
        <w:t>supervision of trial teams</w:t>
      </w:r>
      <w:r w:rsidR="00212F9E">
        <w:rPr>
          <w:rStyle w:val="None"/>
          <w:rFonts w:cs="Arial"/>
          <w:lang w:val="en-GB"/>
        </w:rPr>
        <w:t xml:space="preserve">, </w:t>
      </w:r>
      <w:r w:rsidRPr="003255A3">
        <w:rPr>
          <w:rStyle w:val="None"/>
          <w:rFonts w:cs="Arial"/>
          <w:lang w:val="en-GB"/>
        </w:rPr>
        <w:t>writing and review of study documents and protocol manuscript</w:t>
      </w:r>
    </w:p>
    <w:p w14:paraId="47B1F0DC" w14:textId="3B637764" w:rsidR="00AF5F7A" w:rsidRDefault="00AF5F7A" w:rsidP="00AF5F7A">
      <w:pPr>
        <w:pStyle w:val="BodyA"/>
        <w:widowControl w:val="0"/>
        <w:spacing w:line="360" w:lineRule="auto"/>
      </w:pPr>
      <w:r>
        <w:br/>
        <w:t xml:space="preserve">ZA, </w:t>
      </w:r>
      <w:r w:rsidR="00490BF9">
        <w:t xml:space="preserve">CC, </w:t>
      </w:r>
      <w:r>
        <w:t>ZD, AD, MGT, AK</w:t>
      </w:r>
      <w:r w:rsidR="00212F9E">
        <w:t>e</w:t>
      </w:r>
      <w:r w:rsidR="00490BF9">
        <w:t>, TM, JW</w:t>
      </w:r>
      <w:r w:rsidR="00B00395">
        <w:t xml:space="preserve"> provided p</w:t>
      </w:r>
      <w:r w:rsidR="00212F9E">
        <w:t>roject</w:t>
      </w:r>
      <w:r w:rsidRPr="00AF5F7A">
        <w:t xml:space="preserve"> </w:t>
      </w:r>
      <w:r w:rsidR="00212F9E">
        <w:t>a</w:t>
      </w:r>
      <w:r w:rsidRPr="00AF5F7A">
        <w:t>dministration</w:t>
      </w:r>
      <w:r w:rsidR="00490BF9">
        <w:t>, quality assurance</w:t>
      </w:r>
      <w:r w:rsidR="00212F9E">
        <w:t xml:space="preserve"> </w:t>
      </w:r>
      <w:r w:rsidRPr="00AF5F7A">
        <w:t>and data curation of the trial</w:t>
      </w:r>
      <w:r w:rsidR="00B00395">
        <w:t>, r</w:t>
      </w:r>
      <w:r w:rsidRPr="00AF5F7A">
        <w:t>eview and editing of the protocol</w:t>
      </w:r>
      <w:r w:rsidR="00212F9E">
        <w:t>.</w:t>
      </w:r>
    </w:p>
    <w:p w14:paraId="499BD015" w14:textId="350E7409" w:rsidR="00212F9E" w:rsidRDefault="00212F9E" w:rsidP="00AF5F7A">
      <w:pPr>
        <w:pStyle w:val="BodyA"/>
        <w:widowControl w:val="0"/>
        <w:spacing w:line="360" w:lineRule="auto"/>
      </w:pPr>
      <w:r>
        <w:br/>
        <w:t xml:space="preserve">HOC: </w:t>
      </w:r>
      <w:r w:rsidR="00B00395">
        <w:t>Provided p</w:t>
      </w:r>
      <w:r>
        <w:t>roject administration and application of statistical techniques.</w:t>
      </w:r>
    </w:p>
    <w:p w14:paraId="1CBC9304" w14:textId="0960B056" w:rsidR="00AF5F7A" w:rsidRDefault="00AF5F7A" w:rsidP="00AF5F7A">
      <w:pPr>
        <w:pStyle w:val="BodyA"/>
        <w:widowControl w:val="0"/>
        <w:spacing w:line="360" w:lineRule="auto"/>
      </w:pPr>
    </w:p>
    <w:p w14:paraId="5D598957" w14:textId="345EA03A" w:rsidR="00AF5F7A" w:rsidRDefault="00AF5F7A" w:rsidP="00AF5F7A">
      <w:pPr>
        <w:pStyle w:val="BodyA"/>
        <w:widowControl w:val="0"/>
        <w:spacing w:line="360" w:lineRule="auto"/>
      </w:pPr>
      <w:r>
        <w:t>MHur, AK</w:t>
      </w:r>
      <w:r w:rsidR="00212F9E">
        <w:t>i</w:t>
      </w:r>
      <w:r>
        <w:t>, DM, RW</w:t>
      </w:r>
      <w:r w:rsidR="00B00395">
        <w:t xml:space="preserve"> provided p</w:t>
      </w:r>
      <w:r w:rsidRPr="00AF5F7A">
        <w:t>roject Administration</w:t>
      </w:r>
      <w:r w:rsidR="00B00395">
        <w:t xml:space="preserve">, </w:t>
      </w:r>
      <w:r w:rsidRPr="00AF5F7A">
        <w:t>data curation of the trial</w:t>
      </w:r>
      <w:r w:rsidR="00B00395">
        <w:t>, d</w:t>
      </w:r>
      <w:r>
        <w:t>evelopment of IT systems</w:t>
      </w:r>
      <w:r w:rsidR="00B00395">
        <w:t>,</w:t>
      </w:r>
      <w:r w:rsidR="00212F9E">
        <w:t xml:space="preserve"> </w:t>
      </w:r>
      <w:r>
        <w:t>programming</w:t>
      </w:r>
      <w:r w:rsidR="00B00395">
        <w:t>, r</w:t>
      </w:r>
      <w:r w:rsidRPr="00AF5F7A">
        <w:t>eview and editing of the protocol</w:t>
      </w:r>
    </w:p>
    <w:p w14:paraId="0A44D3B8" w14:textId="7B598A9C" w:rsidR="00AF5F7A" w:rsidRDefault="00AF5F7A" w:rsidP="00AF5F7A">
      <w:pPr>
        <w:pStyle w:val="BodyA"/>
        <w:widowControl w:val="0"/>
        <w:spacing w:line="360" w:lineRule="auto"/>
      </w:pPr>
    </w:p>
    <w:p w14:paraId="4B9E64B9" w14:textId="77777777" w:rsidR="00212F9E" w:rsidRPr="006C09BD" w:rsidRDefault="00212F9E" w:rsidP="00212F9E">
      <w:pPr>
        <w:pStyle w:val="BodyA"/>
        <w:widowControl w:val="0"/>
        <w:spacing w:line="360" w:lineRule="auto"/>
        <w:rPr>
          <w:rStyle w:val="None"/>
          <w:rFonts w:cs="Arial"/>
          <w:lang w:val="en-GB"/>
        </w:rPr>
      </w:pPr>
      <w:r w:rsidRPr="006C09BD">
        <w:rPr>
          <w:rStyle w:val="None"/>
          <w:rFonts w:cs="Arial"/>
          <w:lang w:val="en-GB"/>
        </w:rPr>
        <w:t>All authors read and approved the final manuscript.</w:t>
      </w:r>
    </w:p>
    <w:p w14:paraId="172D9AF5" w14:textId="77777777" w:rsidR="00212F9E" w:rsidRDefault="00212F9E" w:rsidP="00AF5F7A">
      <w:pPr>
        <w:pStyle w:val="BodyA"/>
        <w:widowControl w:val="0"/>
        <w:spacing w:line="360" w:lineRule="auto"/>
      </w:pPr>
    </w:p>
    <w:p w14:paraId="1A23FCD6" w14:textId="1F17CF3D" w:rsidR="00AF5F7A" w:rsidRDefault="00AF5F7A" w:rsidP="00AF5F7A">
      <w:pPr>
        <w:pStyle w:val="BodyA"/>
        <w:widowControl w:val="0"/>
        <w:spacing w:line="360" w:lineRule="auto"/>
      </w:pPr>
      <w:r>
        <w:t>Use of AI tools:</w:t>
      </w:r>
      <w:r w:rsidR="00AF4309">
        <w:t xml:space="preserve"> </w:t>
      </w:r>
      <w:r>
        <w:t xml:space="preserve">RW </w:t>
      </w:r>
      <w:r w:rsidRPr="00AF5F7A">
        <w:t>occasional use of Microsoft Copilot to aid with code development; all AI output is reviewed, modified and tested</w:t>
      </w:r>
      <w:r w:rsidR="00AF4309">
        <w:t xml:space="preserve">. </w:t>
      </w:r>
      <w:r>
        <w:t>None declared by other authors</w:t>
      </w:r>
    </w:p>
    <w:p w14:paraId="5D87A319" w14:textId="77777777" w:rsidR="000D72EF" w:rsidRPr="006C09BD" w:rsidRDefault="000D72EF">
      <w:pPr>
        <w:pStyle w:val="BodyA"/>
        <w:widowControl w:val="0"/>
        <w:spacing w:line="360" w:lineRule="auto"/>
        <w:rPr>
          <w:rStyle w:val="None"/>
          <w:rFonts w:cs="Arial"/>
          <w:b/>
          <w:bCs/>
          <w:sz w:val="24"/>
          <w:szCs w:val="24"/>
          <w:lang w:val="en-GB"/>
        </w:rPr>
      </w:pPr>
    </w:p>
    <w:p w14:paraId="1E5A0854" w14:textId="1B480ACD" w:rsidR="0050292B" w:rsidRPr="006C09BD" w:rsidRDefault="00CA6094">
      <w:pPr>
        <w:pStyle w:val="BodyA"/>
        <w:widowControl w:val="0"/>
        <w:spacing w:line="360" w:lineRule="auto"/>
        <w:rPr>
          <w:rStyle w:val="None"/>
          <w:rFonts w:cs="Arial"/>
          <w:b/>
          <w:bCs/>
          <w:sz w:val="24"/>
          <w:szCs w:val="24"/>
          <w:lang w:val="en-GB"/>
        </w:rPr>
      </w:pPr>
      <w:r w:rsidRPr="006C09BD">
        <w:rPr>
          <w:rStyle w:val="None"/>
          <w:rFonts w:cs="Arial"/>
          <w:b/>
          <w:bCs/>
          <w:sz w:val="24"/>
          <w:szCs w:val="24"/>
          <w:lang w:val="en-GB"/>
        </w:rPr>
        <w:t>Sources of f</w:t>
      </w:r>
      <w:r w:rsidR="00551CF0" w:rsidRPr="006C09BD">
        <w:rPr>
          <w:rStyle w:val="None"/>
          <w:rFonts w:cs="Arial"/>
          <w:b/>
          <w:bCs/>
          <w:sz w:val="24"/>
          <w:szCs w:val="24"/>
          <w:lang w:val="en-GB"/>
        </w:rPr>
        <w:t>unding</w:t>
      </w:r>
      <w:r w:rsidRPr="006C09BD">
        <w:rPr>
          <w:rStyle w:val="None"/>
          <w:rFonts w:cs="Arial"/>
          <w:b/>
          <w:bCs/>
          <w:sz w:val="24"/>
          <w:szCs w:val="24"/>
          <w:lang w:val="en-GB"/>
        </w:rPr>
        <w:t xml:space="preserve"> and other support</w:t>
      </w:r>
      <w:r w:rsidR="00551CF0" w:rsidRPr="006C09BD">
        <w:rPr>
          <w:rStyle w:val="None"/>
          <w:rFonts w:cs="Arial"/>
          <w:b/>
          <w:bCs/>
          <w:sz w:val="24"/>
          <w:szCs w:val="24"/>
          <w:lang w:val="en-GB"/>
        </w:rPr>
        <w:t xml:space="preserve"> {</w:t>
      </w:r>
      <w:r w:rsidR="006D5E8E" w:rsidRPr="006C09BD">
        <w:rPr>
          <w:rStyle w:val="None"/>
          <w:rFonts w:cs="Arial"/>
          <w:b/>
          <w:bCs/>
          <w:sz w:val="24"/>
          <w:szCs w:val="24"/>
          <w:lang w:val="en-GB"/>
        </w:rPr>
        <w:t>7a</w:t>
      </w:r>
      <w:r w:rsidR="00551CF0" w:rsidRPr="006C09BD">
        <w:rPr>
          <w:rStyle w:val="None"/>
          <w:rFonts w:cs="Arial"/>
          <w:b/>
          <w:bCs/>
          <w:sz w:val="24"/>
          <w:szCs w:val="24"/>
          <w:lang w:val="en-GB"/>
        </w:rPr>
        <w:t>}</w:t>
      </w:r>
    </w:p>
    <w:p w14:paraId="47C61C6A" w14:textId="77777777" w:rsidR="00F073DF" w:rsidRPr="006C09BD" w:rsidRDefault="00F073DF">
      <w:pPr>
        <w:pStyle w:val="BodyA"/>
        <w:widowControl w:val="0"/>
        <w:spacing w:line="360" w:lineRule="auto"/>
        <w:rPr>
          <w:rFonts w:cs="Arial"/>
          <w:lang w:val="en-GB"/>
        </w:rPr>
      </w:pPr>
      <w:r w:rsidRPr="006C09BD">
        <w:rPr>
          <w:rFonts w:cs="Arial"/>
          <w:lang w:val="en-GB"/>
        </w:rPr>
        <w:lastRenderedPageBreak/>
        <w:t>This study is funded by the NIHR Health Research (NIHR) Health Technology Assessment (HTA) Programme Funder reference: NIHR134216 and National Health and Medical Research Council NHMRC-NIHR Collaborative Research Grant Scheme (NHMRC2014792).</w:t>
      </w:r>
    </w:p>
    <w:p w14:paraId="426B28EB" w14:textId="2234E054" w:rsidR="0050292B" w:rsidRPr="006C09BD" w:rsidRDefault="00F073DF" w:rsidP="00F073DF">
      <w:pPr>
        <w:pStyle w:val="BodyA"/>
        <w:widowControl w:val="0"/>
        <w:spacing w:line="360" w:lineRule="auto"/>
        <w:rPr>
          <w:rFonts w:cs="Arial"/>
          <w:lang w:val="en-GB"/>
        </w:rPr>
      </w:pPr>
      <w:r w:rsidRPr="006C09BD">
        <w:rPr>
          <w:rFonts w:cs="Arial"/>
          <w:lang w:val="en-GB"/>
        </w:rPr>
        <w:t>The views expressed are those of the author(s) and not necessarily those of the NIHR or National Health and Medical Research Council.</w:t>
      </w:r>
    </w:p>
    <w:p w14:paraId="618EB933" w14:textId="77777777" w:rsidR="00F073DF" w:rsidRPr="006C09BD" w:rsidRDefault="00F073DF" w:rsidP="00F073DF">
      <w:pPr>
        <w:pStyle w:val="BodyA"/>
        <w:widowControl w:val="0"/>
        <w:spacing w:line="360" w:lineRule="auto"/>
        <w:rPr>
          <w:rFonts w:cs="Arial"/>
          <w:lang w:val="en-GB"/>
        </w:rPr>
      </w:pPr>
    </w:p>
    <w:p w14:paraId="240D9338" w14:textId="77777777" w:rsidR="0050292B" w:rsidRPr="006C09BD" w:rsidRDefault="00551CF0">
      <w:pPr>
        <w:pStyle w:val="BodyA"/>
        <w:widowControl w:val="0"/>
        <w:spacing w:line="360" w:lineRule="auto"/>
        <w:rPr>
          <w:rStyle w:val="None"/>
          <w:rFonts w:cs="Arial"/>
          <w:b/>
          <w:bCs/>
          <w:sz w:val="24"/>
          <w:szCs w:val="24"/>
          <w:lang w:val="en-GB"/>
        </w:rPr>
      </w:pPr>
      <w:r w:rsidRPr="006C09BD">
        <w:rPr>
          <w:rStyle w:val="None"/>
          <w:rFonts w:cs="Arial"/>
          <w:b/>
          <w:bCs/>
          <w:sz w:val="24"/>
          <w:szCs w:val="24"/>
          <w:lang w:val="en-GB"/>
        </w:rPr>
        <w:t>Availability of data and materials {29}</w:t>
      </w:r>
    </w:p>
    <w:p w14:paraId="79EF6326" w14:textId="51EE9519" w:rsidR="00F073DF" w:rsidRPr="006C09BD" w:rsidRDefault="00F073DF" w:rsidP="009B19C1">
      <w:pPr>
        <w:pStyle w:val="BodyA"/>
        <w:widowControl w:val="0"/>
        <w:spacing w:before="120" w:line="360" w:lineRule="auto"/>
        <w:rPr>
          <w:rStyle w:val="None"/>
          <w:rFonts w:cs="Arial"/>
          <w:b/>
          <w:bCs/>
          <w:sz w:val="24"/>
          <w:szCs w:val="24"/>
          <w:lang w:val="en-GB"/>
        </w:rPr>
      </w:pPr>
      <w:r w:rsidRPr="006C09BD">
        <w:rPr>
          <w:rFonts w:cs="Arial"/>
          <w:lang w:val="en-GB"/>
        </w:rPr>
        <w:t>Data requests should be directed to the corresponding author for review and consideration. Please note that exclusive access to the data will be maintained until the publication of the main study findings. Subsequently, access to anonymised data may be granted upon a detailed review process.</w:t>
      </w:r>
    </w:p>
    <w:p w14:paraId="71CC596E" w14:textId="77777777" w:rsidR="0050292B" w:rsidRPr="006C09BD" w:rsidRDefault="0050292B">
      <w:pPr>
        <w:pStyle w:val="BodyA"/>
        <w:widowControl w:val="0"/>
        <w:spacing w:line="360" w:lineRule="auto"/>
        <w:rPr>
          <w:rStyle w:val="None"/>
          <w:rFonts w:cs="Arial"/>
          <w:color w:val="004C7F"/>
          <w:u w:color="004C7F"/>
          <w:lang w:val="en-GB"/>
        </w:rPr>
      </w:pPr>
    </w:p>
    <w:p w14:paraId="73358B8E" w14:textId="2A75DA86"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Ethics approval and consent to participate {</w:t>
      </w:r>
      <w:r w:rsidR="00522044" w:rsidRPr="006C09BD">
        <w:rPr>
          <w:rStyle w:val="None"/>
          <w:rFonts w:cs="Arial"/>
          <w:b/>
          <w:bCs/>
          <w:sz w:val="24"/>
          <w:szCs w:val="24"/>
          <w:lang w:val="en-GB"/>
        </w:rPr>
        <w:t>30</w:t>
      </w:r>
      <w:r w:rsidRPr="006C09BD">
        <w:rPr>
          <w:rStyle w:val="None"/>
          <w:rFonts w:cs="Arial"/>
          <w:b/>
          <w:bCs/>
          <w:sz w:val="24"/>
          <w:szCs w:val="24"/>
          <w:lang w:val="en-GB"/>
        </w:rPr>
        <w:t>}</w:t>
      </w:r>
    </w:p>
    <w:p w14:paraId="7AE461AF" w14:textId="495B66E4" w:rsidR="002342BF" w:rsidRPr="006C09BD" w:rsidRDefault="00491313" w:rsidP="00DA2762">
      <w:pPr>
        <w:pStyle w:val="BodyA"/>
        <w:widowControl w:val="0"/>
        <w:spacing w:before="120" w:line="360" w:lineRule="auto"/>
        <w:rPr>
          <w:rFonts w:cs="Arial"/>
          <w:lang w:val="en-GB"/>
        </w:rPr>
      </w:pPr>
      <w:r w:rsidRPr="006C09BD">
        <w:rPr>
          <w:rFonts w:cs="Arial"/>
          <w:lang w:val="en-GB"/>
        </w:rPr>
        <w:t>The neoGASTRIC trial was approved</w:t>
      </w:r>
      <w:r w:rsidR="002342BF" w:rsidRPr="006C09BD">
        <w:rPr>
          <w:rFonts w:cs="Arial"/>
          <w:lang w:val="en-GB"/>
        </w:rPr>
        <w:t xml:space="preserve"> by the London </w:t>
      </w:r>
      <w:r w:rsidR="006B211B" w:rsidRPr="009E60BE">
        <w:rPr>
          <w:rFonts w:cs="Arial"/>
          <w:color w:val="auto"/>
          <w:u w:color="004C7F"/>
          <w:lang w:val="en-GB"/>
        </w:rPr>
        <w:t>–</w:t>
      </w:r>
      <w:r w:rsidR="002342BF" w:rsidRPr="006C09BD">
        <w:rPr>
          <w:rFonts w:cs="Arial"/>
          <w:lang w:val="en-GB"/>
        </w:rPr>
        <w:t xml:space="preserve"> Riverside Research Ethics Committee</w:t>
      </w:r>
      <w:r w:rsidRPr="006C09BD">
        <w:rPr>
          <w:rFonts w:cs="Arial"/>
          <w:lang w:val="en-GB"/>
        </w:rPr>
        <w:t xml:space="preserve"> </w:t>
      </w:r>
      <w:r w:rsidR="002342BF" w:rsidRPr="006C09BD">
        <w:rPr>
          <w:rFonts w:cs="Arial"/>
          <w:lang w:val="en-GB"/>
        </w:rPr>
        <w:t xml:space="preserve">on </w:t>
      </w:r>
      <w:r w:rsidR="00D41C9D" w:rsidRPr="006C09BD">
        <w:rPr>
          <w:rFonts w:cs="Arial"/>
          <w:lang w:val="en-GB"/>
        </w:rPr>
        <w:t>8 February 2023</w:t>
      </w:r>
      <w:r w:rsidR="002342BF" w:rsidRPr="006C09BD">
        <w:rPr>
          <w:rFonts w:cs="Arial"/>
          <w:lang w:val="en-GB"/>
        </w:rPr>
        <w:t xml:space="preserve">, Ref: </w:t>
      </w:r>
      <w:r w:rsidRPr="006C09BD">
        <w:rPr>
          <w:rFonts w:cs="Arial"/>
          <w:lang w:val="en-GB"/>
        </w:rPr>
        <w:t>23/LO/0060</w:t>
      </w:r>
      <w:r w:rsidR="00662F3D" w:rsidRPr="006C09BD">
        <w:rPr>
          <w:rFonts w:cs="Arial"/>
          <w:lang w:val="en-GB"/>
        </w:rPr>
        <w:t xml:space="preserve">, and the Monash Health Human Research Ethics Committee on </w:t>
      </w:r>
      <w:r w:rsidR="00D41C9D" w:rsidRPr="006C09BD">
        <w:rPr>
          <w:rFonts w:cs="Arial"/>
          <w:lang w:val="en-GB"/>
        </w:rPr>
        <w:t xml:space="preserve">30 March </w:t>
      </w:r>
      <w:r w:rsidR="00662F3D" w:rsidRPr="006C09BD">
        <w:rPr>
          <w:rFonts w:cs="Arial"/>
          <w:lang w:val="en-GB"/>
        </w:rPr>
        <w:t>2023, Ref: RES-22-0000-724A</w:t>
      </w:r>
      <w:r w:rsidR="000D72EF" w:rsidRPr="006C09BD">
        <w:rPr>
          <w:rFonts w:cs="Arial"/>
          <w:lang w:val="en-GB"/>
        </w:rPr>
        <w:t xml:space="preserve">. The neoGASTRIC trial will use an opt-out approach to consent. </w:t>
      </w:r>
      <w:r w:rsidR="002342BF" w:rsidRPr="006C09BD">
        <w:rPr>
          <w:rFonts w:cs="Arial"/>
          <w:lang w:val="en-GB"/>
        </w:rPr>
        <w:t xml:space="preserve">Parents or carers will be informed about neoGASTRIC through posters, a leaflet and/or electronic media given when their </w:t>
      </w:r>
      <w:r w:rsidR="00865C1B" w:rsidRPr="006C09BD">
        <w:rPr>
          <w:rFonts w:cs="Arial"/>
          <w:color w:val="auto"/>
          <w:u w:color="004C7F"/>
          <w:lang w:val="en-GB"/>
        </w:rPr>
        <w:t>infant</w:t>
      </w:r>
      <w:r w:rsidR="002342BF" w:rsidRPr="006C09BD">
        <w:rPr>
          <w:rFonts w:cs="Arial"/>
          <w:lang w:val="en-GB"/>
        </w:rPr>
        <w:t xml:space="preserve"> is admitted to the neonatal unit. Study information will be made </w:t>
      </w:r>
      <w:r w:rsidR="000D72EF" w:rsidRPr="006C09BD">
        <w:rPr>
          <w:rFonts w:cs="Arial"/>
          <w:lang w:val="en-GB"/>
        </w:rPr>
        <w:t>available</w:t>
      </w:r>
      <w:r w:rsidR="002342BF" w:rsidRPr="006C09BD">
        <w:rPr>
          <w:rFonts w:cs="Arial"/>
          <w:lang w:val="en-GB"/>
        </w:rPr>
        <w:t xml:space="preserve"> to parents/carers prior to randomisation. After this information is made available, </w:t>
      </w:r>
      <w:r w:rsidR="002A35BF" w:rsidRPr="006C09BD">
        <w:rPr>
          <w:rFonts w:cs="Arial"/>
          <w:lang w:val="en-GB"/>
        </w:rPr>
        <w:t>infants</w:t>
      </w:r>
      <w:r w:rsidR="002342BF" w:rsidRPr="006C09BD">
        <w:rPr>
          <w:rFonts w:cs="Arial"/>
          <w:lang w:val="en-GB"/>
        </w:rPr>
        <w:t xml:space="preserve"> meeting the eligibility criteria will automatically be included in the trial</w:t>
      </w:r>
      <w:r w:rsidR="000D72EF" w:rsidRPr="006C09BD">
        <w:rPr>
          <w:rFonts w:cs="Arial"/>
          <w:lang w:val="en-GB"/>
        </w:rPr>
        <w:t xml:space="preserve"> unless parents express a wish for them not to (to opt</w:t>
      </w:r>
      <w:r w:rsidR="0078461D" w:rsidRPr="006C09BD">
        <w:rPr>
          <w:rFonts w:cs="Arial"/>
          <w:lang w:val="en-GB"/>
        </w:rPr>
        <w:t xml:space="preserve"> </w:t>
      </w:r>
      <w:r w:rsidR="000D72EF" w:rsidRPr="006C09BD">
        <w:rPr>
          <w:rFonts w:cs="Arial"/>
          <w:lang w:val="en-GB"/>
        </w:rPr>
        <w:t>out of trial participation).</w:t>
      </w:r>
    </w:p>
    <w:p w14:paraId="65D7ED37" w14:textId="327B2DF9" w:rsidR="003E0B9E" w:rsidRPr="006C09BD" w:rsidRDefault="003E0B9E" w:rsidP="00DA2762">
      <w:pPr>
        <w:pStyle w:val="BodyA"/>
        <w:widowControl w:val="0"/>
        <w:spacing w:before="120" w:line="360" w:lineRule="auto"/>
        <w:rPr>
          <w:rFonts w:cs="Arial"/>
          <w:lang w:val="en-GB"/>
        </w:rPr>
      </w:pPr>
      <w:r w:rsidRPr="006C09BD">
        <w:rPr>
          <w:rFonts w:cs="Arial"/>
          <w:lang w:val="en-GB"/>
        </w:rPr>
        <w:t>Opt-out consent will cover data linkage to routinely recorded long-term outcome data (for UK trial participants this will be NNRD, Hospital Episode Statistics and the National Pupil Database) and for Australian trial participants this will be administrative hospital costing records from individual participating hospitals.</w:t>
      </w:r>
    </w:p>
    <w:p w14:paraId="2FA876CF" w14:textId="77777777" w:rsidR="0050292B" w:rsidRPr="006C09BD" w:rsidRDefault="0050292B" w:rsidP="003146B8">
      <w:pPr>
        <w:pStyle w:val="BodyA"/>
        <w:widowControl w:val="0"/>
        <w:spacing w:line="360" w:lineRule="auto"/>
        <w:rPr>
          <w:rStyle w:val="None"/>
          <w:rFonts w:cs="Arial"/>
          <w:color w:val="004C7F"/>
          <w:u w:color="004C7F"/>
          <w:lang w:val="en-GB"/>
        </w:rPr>
      </w:pPr>
    </w:p>
    <w:p w14:paraId="0C02B500" w14:textId="35D319B7"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t>Competing interests {</w:t>
      </w:r>
      <w:r w:rsidR="00522044" w:rsidRPr="006C09BD">
        <w:rPr>
          <w:rStyle w:val="None"/>
          <w:rFonts w:cs="Arial"/>
          <w:b/>
          <w:bCs/>
          <w:sz w:val="24"/>
          <w:szCs w:val="24"/>
          <w:lang w:val="en-GB"/>
        </w:rPr>
        <w:t>7b</w:t>
      </w:r>
      <w:r w:rsidRPr="006C09BD">
        <w:rPr>
          <w:rStyle w:val="None"/>
          <w:rFonts w:cs="Arial"/>
          <w:b/>
          <w:bCs/>
          <w:sz w:val="24"/>
          <w:szCs w:val="24"/>
          <w:lang w:val="en-GB"/>
        </w:rPr>
        <w:t>}</w:t>
      </w:r>
      <w:r w:rsidR="00CA6094" w:rsidRPr="006C09BD">
        <w:rPr>
          <w:rStyle w:val="None"/>
          <w:rFonts w:cs="Arial"/>
          <w:b/>
          <w:bCs/>
          <w:sz w:val="24"/>
          <w:szCs w:val="24"/>
          <w:lang w:val="en-GB"/>
        </w:rPr>
        <w:t xml:space="preserve"> </w:t>
      </w:r>
    </w:p>
    <w:p w14:paraId="57D9D193" w14:textId="77777777" w:rsidR="008E67D3" w:rsidRPr="006C09BD" w:rsidRDefault="000D72EF">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CG is chair of the NIHR Research for Patient Benefit Regional Assessment Panel, London; CG has received grant funding for research from the NIHR (including for neoGASTRIC), the MRC, Action Medical Research, Rosetrees Foundation and Chiesi Pharmaceuticals.</w:t>
      </w:r>
      <w:r w:rsidR="003B039B" w:rsidRPr="006C09BD">
        <w:rPr>
          <w:rStyle w:val="None"/>
          <w:rFonts w:cs="Arial"/>
          <w:color w:val="auto"/>
          <w:u w:color="004C7F"/>
          <w:lang w:val="en-GB"/>
        </w:rPr>
        <w:t xml:space="preserve"> </w:t>
      </w:r>
    </w:p>
    <w:p w14:paraId="0B5C0C7F" w14:textId="77777777" w:rsidR="00DA75A0" w:rsidRPr="006C09BD" w:rsidRDefault="00DA75A0">
      <w:pPr>
        <w:pStyle w:val="BodyA"/>
        <w:widowControl w:val="0"/>
        <w:spacing w:line="360" w:lineRule="auto"/>
        <w:rPr>
          <w:rStyle w:val="None"/>
          <w:rFonts w:cs="Arial"/>
          <w:color w:val="auto"/>
          <w:u w:color="004C7F"/>
          <w:lang w:val="en-GB"/>
        </w:rPr>
      </w:pPr>
    </w:p>
    <w:p w14:paraId="00AB8130" w14:textId="19BF28B6" w:rsidR="0050292B" w:rsidRDefault="003B039B">
      <w:pPr>
        <w:pStyle w:val="BodyA"/>
        <w:widowControl w:val="0"/>
        <w:spacing w:line="360" w:lineRule="auto"/>
        <w:rPr>
          <w:rStyle w:val="None"/>
          <w:rFonts w:cs="Arial"/>
          <w:color w:val="auto"/>
          <w:u w:color="004C7F"/>
          <w:lang w:val="en-GB"/>
        </w:rPr>
      </w:pPr>
      <w:r w:rsidRPr="006C09BD">
        <w:rPr>
          <w:rStyle w:val="None"/>
          <w:rFonts w:cs="Arial"/>
          <w:color w:val="auto"/>
          <w:u w:color="004C7F"/>
          <w:lang w:val="en-GB"/>
        </w:rPr>
        <w:t>CR has received grant funding for research from the NHMRC (including for neoGASTRIC), Heart Foundation of Australia, Cerebral Palsy Alliance (Australia), Royal Australasian College of Physicians, and Chiesi Pharmaceuticals.</w:t>
      </w:r>
    </w:p>
    <w:p w14:paraId="55898F27" w14:textId="1945BE7C" w:rsidR="00D62E63" w:rsidRDefault="00D62E63">
      <w:pPr>
        <w:pStyle w:val="BodyA"/>
        <w:widowControl w:val="0"/>
        <w:spacing w:line="360" w:lineRule="auto"/>
        <w:rPr>
          <w:rStyle w:val="None"/>
          <w:rFonts w:cs="Arial"/>
          <w:color w:val="auto"/>
          <w:u w:color="004C7F"/>
          <w:lang w:val="en-GB"/>
        </w:rPr>
      </w:pPr>
    </w:p>
    <w:p w14:paraId="23A9636E" w14:textId="050303B7" w:rsidR="00D62E63" w:rsidRDefault="00D62E63">
      <w:pPr>
        <w:pStyle w:val="BodyA"/>
        <w:widowControl w:val="0"/>
        <w:spacing w:line="360" w:lineRule="auto"/>
        <w:rPr>
          <w:rFonts w:eastAsia="Times New Roman"/>
          <w:color w:val="212121"/>
        </w:rPr>
      </w:pPr>
      <w:r>
        <w:rPr>
          <w:rStyle w:val="None"/>
          <w:rFonts w:cs="Arial"/>
          <w:color w:val="auto"/>
          <w:u w:color="004C7F"/>
          <w:lang w:val="en-GB"/>
        </w:rPr>
        <w:t>CB is s</w:t>
      </w:r>
      <w:r>
        <w:rPr>
          <w:rFonts w:eastAsia="Times New Roman"/>
          <w:color w:val="212121"/>
        </w:rPr>
        <w:t>upported by a Personal fellowship awarded by the UK National Institute for Health and Care Research (NIHR)</w:t>
      </w:r>
    </w:p>
    <w:p w14:paraId="5FB23861" w14:textId="5329C438" w:rsidR="00D62E63" w:rsidRDefault="00D62E63">
      <w:pPr>
        <w:pStyle w:val="BodyA"/>
        <w:widowControl w:val="0"/>
        <w:spacing w:line="360" w:lineRule="auto"/>
        <w:rPr>
          <w:rFonts w:eastAsia="Times New Roman"/>
          <w:color w:val="212121"/>
        </w:rPr>
      </w:pPr>
    </w:p>
    <w:p w14:paraId="0459702A" w14:textId="6FABB7C9" w:rsidR="00D62E63" w:rsidRPr="006C09BD" w:rsidRDefault="00D62E63">
      <w:pPr>
        <w:pStyle w:val="BodyA"/>
        <w:widowControl w:val="0"/>
        <w:spacing w:line="360" w:lineRule="auto"/>
        <w:rPr>
          <w:rStyle w:val="None"/>
          <w:rFonts w:cs="Arial"/>
          <w:color w:val="auto"/>
          <w:u w:color="004C7F"/>
          <w:lang w:val="en-GB"/>
        </w:rPr>
      </w:pPr>
      <w:r>
        <w:rPr>
          <w:rFonts w:eastAsia="Times New Roman"/>
          <w:color w:val="212121"/>
        </w:rPr>
        <w:t>All other authors have nothing to declare</w:t>
      </w:r>
    </w:p>
    <w:p w14:paraId="74AFE170" w14:textId="77777777" w:rsidR="000D72EF" w:rsidRPr="006C09BD" w:rsidRDefault="000D72EF">
      <w:pPr>
        <w:pStyle w:val="BodyA"/>
        <w:widowControl w:val="0"/>
        <w:spacing w:line="360" w:lineRule="auto"/>
        <w:rPr>
          <w:rStyle w:val="None"/>
          <w:rFonts w:cs="Arial"/>
          <w:color w:val="004C7F"/>
          <w:u w:color="004C7F"/>
          <w:lang w:val="en-GB"/>
        </w:rPr>
      </w:pPr>
    </w:p>
    <w:p w14:paraId="4E87B746" w14:textId="58D3968B" w:rsidR="0050292B" w:rsidRPr="006C09BD" w:rsidRDefault="00551CF0">
      <w:pPr>
        <w:pStyle w:val="BodyA"/>
        <w:widowControl w:val="0"/>
        <w:spacing w:before="120" w:line="360" w:lineRule="auto"/>
        <w:rPr>
          <w:rStyle w:val="None"/>
          <w:rFonts w:cs="Arial"/>
          <w:b/>
          <w:bCs/>
          <w:sz w:val="24"/>
          <w:szCs w:val="24"/>
          <w:lang w:val="en-GB"/>
        </w:rPr>
      </w:pPr>
      <w:r w:rsidRPr="006C09BD">
        <w:rPr>
          <w:rStyle w:val="None"/>
          <w:rFonts w:cs="Arial"/>
          <w:b/>
          <w:bCs/>
          <w:sz w:val="24"/>
          <w:szCs w:val="24"/>
          <w:lang w:val="en-GB"/>
        </w:rPr>
        <w:lastRenderedPageBreak/>
        <w:t xml:space="preserve">Authors’ information (optional) </w:t>
      </w:r>
    </w:p>
    <w:p w14:paraId="48432CDC" w14:textId="123D2687" w:rsidR="00140D64" w:rsidRPr="006C09BD" w:rsidRDefault="00140D64">
      <w:pPr>
        <w:pStyle w:val="BodyA"/>
        <w:widowControl w:val="0"/>
        <w:spacing w:before="120" w:line="360" w:lineRule="auto"/>
        <w:rPr>
          <w:rStyle w:val="None"/>
          <w:rFonts w:cs="Arial"/>
          <w:sz w:val="24"/>
          <w:szCs w:val="24"/>
          <w:lang w:val="en-GB"/>
        </w:rPr>
      </w:pPr>
      <w:r w:rsidRPr="006C09BD">
        <w:rPr>
          <w:rStyle w:val="None"/>
          <w:rFonts w:cs="Arial"/>
          <w:sz w:val="24"/>
          <w:szCs w:val="24"/>
          <w:lang w:val="en-GB"/>
        </w:rPr>
        <w:t>N/A</w:t>
      </w:r>
      <w:r w:rsidR="00375392" w:rsidRPr="006C09BD">
        <w:rPr>
          <w:rStyle w:val="None"/>
          <w:rFonts w:cs="Arial"/>
          <w:sz w:val="24"/>
          <w:szCs w:val="24"/>
          <w:lang w:val="en-GB"/>
        </w:rPr>
        <w:t xml:space="preserve"> – no additional information to share</w:t>
      </w:r>
    </w:p>
    <w:p w14:paraId="2F88C283" w14:textId="77777777" w:rsidR="008E67D3" w:rsidRPr="006C09BD" w:rsidRDefault="008E67D3">
      <w:pPr>
        <w:pStyle w:val="BodyA"/>
        <w:widowControl w:val="0"/>
        <w:spacing w:before="120" w:line="360" w:lineRule="auto"/>
        <w:rPr>
          <w:rStyle w:val="None"/>
          <w:rFonts w:cs="Arial"/>
          <w:b/>
          <w:bCs/>
          <w:sz w:val="24"/>
          <w:szCs w:val="24"/>
          <w:lang w:val="en-GB"/>
        </w:rPr>
      </w:pPr>
    </w:p>
    <w:p w14:paraId="4A6124F2" w14:textId="3AB446FE" w:rsidR="0050292B" w:rsidRPr="006C09BD" w:rsidRDefault="00551CF0">
      <w:pPr>
        <w:pStyle w:val="BodyA"/>
        <w:widowControl w:val="0"/>
        <w:spacing w:before="120" w:line="360" w:lineRule="auto"/>
        <w:rPr>
          <w:rStyle w:val="None"/>
          <w:rFonts w:cs="Arial"/>
          <w:b/>
          <w:bCs/>
          <w:sz w:val="28"/>
          <w:szCs w:val="28"/>
          <w:lang w:val="en-GB"/>
        </w:rPr>
      </w:pPr>
      <w:r w:rsidRPr="006C09BD">
        <w:rPr>
          <w:rStyle w:val="None"/>
          <w:rFonts w:cs="Arial"/>
          <w:b/>
          <w:bCs/>
          <w:sz w:val="28"/>
          <w:szCs w:val="28"/>
          <w:lang w:val="en-GB"/>
        </w:rPr>
        <w:t>References</w:t>
      </w:r>
      <w:r w:rsidR="00F073DF" w:rsidRPr="006C09BD">
        <w:rPr>
          <w:rStyle w:val="None"/>
          <w:rFonts w:cs="Arial"/>
          <w:b/>
          <w:bCs/>
          <w:sz w:val="28"/>
          <w:szCs w:val="28"/>
          <w:lang w:val="en-GB"/>
        </w:rPr>
        <w:t xml:space="preserve"> </w:t>
      </w:r>
    </w:p>
    <w:p w14:paraId="3F0CFC4D" w14:textId="44F28706" w:rsidR="004633E8" w:rsidRPr="006C09BD" w:rsidRDefault="002A7CFD" w:rsidP="004633E8">
      <w:pPr>
        <w:pStyle w:val="Bibliography"/>
        <w:rPr>
          <w:rFonts w:ascii="Arial" w:hAnsi="Arial" w:cs="Arial"/>
          <w:noProof/>
        </w:rPr>
      </w:pPr>
      <w:r w:rsidRPr="006C09BD">
        <w:rPr>
          <w:rStyle w:val="None"/>
          <w:rFonts w:ascii="Arial" w:eastAsia="Arial" w:hAnsi="Arial" w:cs="Arial"/>
          <w:color w:val="006600"/>
          <w:sz w:val="20"/>
          <w:szCs w:val="20"/>
          <w:u w:color="004C7F"/>
        </w:rPr>
        <w:fldChar w:fldCharType="begin"/>
      </w:r>
      <w:r w:rsidRPr="006C09BD">
        <w:rPr>
          <w:rStyle w:val="None"/>
          <w:rFonts w:ascii="Arial" w:eastAsia="Arial" w:hAnsi="Arial" w:cs="Arial"/>
          <w:color w:val="006600"/>
          <w:sz w:val="20"/>
          <w:szCs w:val="20"/>
          <w:u w:color="004C7F"/>
        </w:rPr>
        <w:instrText xml:space="preserve"> BIBLIOGRAPHY  \l 2057 </w:instrText>
      </w:r>
      <w:r w:rsidRPr="006C09BD">
        <w:rPr>
          <w:rStyle w:val="None"/>
          <w:rFonts w:ascii="Arial" w:eastAsia="Arial" w:hAnsi="Arial" w:cs="Arial"/>
          <w:color w:val="006600"/>
          <w:sz w:val="20"/>
          <w:szCs w:val="20"/>
          <w:u w:color="004C7F"/>
        </w:rPr>
        <w:fldChar w:fldCharType="separate"/>
      </w:r>
      <w:r w:rsidR="004633E8" w:rsidRPr="006C09BD">
        <w:rPr>
          <w:rFonts w:ascii="Arial" w:hAnsi="Arial" w:cs="Arial"/>
          <w:noProof/>
        </w:rPr>
        <w:t xml:space="preserve">1. </w:t>
      </w:r>
      <w:r w:rsidR="006B5EAF" w:rsidRPr="006C09BD">
        <w:rPr>
          <w:rFonts w:ascii="Arial" w:hAnsi="Arial" w:cs="Arial"/>
          <w:noProof/>
        </w:rPr>
        <w:t>Pathrose SP, Spence K, Taylor C, Psalia K, Schmied V, Dahlen H, et al. A cross-sectional survey of enteral feeding tube placement and gastric residual aspiration practices: need for an evidence-based clinical practice guideline. Adv Neonatal Care. 2021.</w:t>
      </w:r>
    </w:p>
    <w:p w14:paraId="7037DCED" w14:textId="47490E22" w:rsidR="004633E8" w:rsidRPr="006C09BD" w:rsidRDefault="004633E8" w:rsidP="004633E8">
      <w:pPr>
        <w:pStyle w:val="Bibliography"/>
        <w:rPr>
          <w:rFonts w:ascii="Arial" w:hAnsi="Arial" w:cs="Arial"/>
          <w:noProof/>
        </w:rPr>
      </w:pPr>
      <w:r w:rsidRPr="006C09BD">
        <w:rPr>
          <w:rFonts w:ascii="Arial" w:hAnsi="Arial" w:cs="Arial"/>
          <w:noProof/>
        </w:rPr>
        <w:t xml:space="preserve">2. </w:t>
      </w:r>
      <w:r w:rsidR="006B5EAF" w:rsidRPr="006C09BD">
        <w:rPr>
          <w:rFonts w:ascii="Arial" w:hAnsi="Arial" w:cs="Arial"/>
          <w:noProof/>
        </w:rPr>
        <w:t>Dorling J, Tume L, Arch B, Woolfall K, Latten L, Roper L, et al. Gastric residual volume measurement in British neonatal intensive care units: a survey of practice. BMJ Paediatr Open. 2020;4(1):e000601.</w:t>
      </w:r>
    </w:p>
    <w:p w14:paraId="2A2370D3" w14:textId="7F627ECE" w:rsidR="004633E8" w:rsidRPr="006C09BD" w:rsidRDefault="004633E8" w:rsidP="004633E8">
      <w:pPr>
        <w:pStyle w:val="Bibliography"/>
        <w:rPr>
          <w:rFonts w:ascii="Arial" w:hAnsi="Arial" w:cs="Arial"/>
          <w:noProof/>
        </w:rPr>
      </w:pPr>
      <w:r w:rsidRPr="006C09BD">
        <w:rPr>
          <w:rFonts w:ascii="Arial" w:hAnsi="Arial" w:cs="Arial"/>
          <w:noProof/>
        </w:rPr>
        <w:t xml:space="preserve">3. </w:t>
      </w:r>
      <w:r w:rsidR="006B5EAF" w:rsidRPr="006C09BD">
        <w:rPr>
          <w:rFonts w:ascii="Arial" w:hAnsi="Arial" w:cs="Arial"/>
          <w:noProof/>
        </w:rPr>
        <w:t>Gregory KE, Connolly TC. Enteral feeding practices in the NICU: results from a 2009 Neonatal Enteral Feeding Survey. Adv Neonatal Care. 2012;12(1):46-55.</w:t>
      </w:r>
    </w:p>
    <w:p w14:paraId="2CAC2AE4" w14:textId="08F99485" w:rsidR="004633E8" w:rsidRPr="006C09BD" w:rsidRDefault="004633E8" w:rsidP="004633E8">
      <w:pPr>
        <w:pStyle w:val="Bibliography"/>
        <w:rPr>
          <w:rFonts w:ascii="Arial" w:hAnsi="Arial" w:cs="Arial"/>
          <w:noProof/>
        </w:rPr>
      </w:pPr>
      <w:r w:rsidRPr="006C09BD">
        <w:rPr>
          <w:rFonts w:ascii="Arial" w:hAnsi="Arial" w:cs="Arial"/>
          <w:noProof/>
        </w:rPr>
        <w:t xml:space="preserve">4. </w:t>
      </w:r>
      <w:r w:rsidR="006B5EAF" w:rsidRPr="006C09BD">
        <w:rPr>
          <w:rFonts w:ascii="Arial" w:hAnsi="Arial" w:cs="Arial"/>
          <w:noProof/>
        </w:rPr>
        <w:t>NPSA. Reducing the harm caused by misplaced nasogastric feeding tubes in adults, children and infants. National Patient Safety Authority.</w:t>
      </w:r>
    </w:p>
    <w:p w14:paraId="63F6374E" w14:textId="46053573" w:rsidR="004633E8" w:rsidRPr="006C09BD" w:rsidRDefault="004633E8" w:rsidP="004633E8">
      <w:pPr>
        <w:pStyle w:val="Bibliography"/>
        <w:rPr>
          <w:rFonts w:ascii="Arial" w:hAnsi="Arial" w:cs="Arial"/>
          <w:noProof/>
        </w:rPr>
      </w:pPr>
      <w:r w:rsidRPr="006C09BD">
        <w:rPr>
          <w:rFonts w:ascii="Arial" w:hAnsi="Arial" w:cs="Arial"/>
          <w:noProof/>
        </w:rPr>
        <w:t xml:space="preserve">5. </w:t>
      </w:r>
      <w:r w:rsidR="006B5EAF" w:rsidRPr="006C09BD">
        <w:rPr>
          <w:rFonts w:ascii="Arial" w:hAnsi="Arial" w:cs="Arial"/>
          <w:noProof/>
        </w:rPr>
        <w:t>Cobb BA, Carlo WA, Ambalavanan N. Gastric residuals and their relationship to necrotizing enterocolitis in very low birth weight infants. Pediatrics. 2004;113(1 Pt 1):50-3.</w:t>
      </w:r>
    </w:p>
    <w:p w14:paraId="77B49A4D" w14:textId="61D52CBF" w:rsidR="004633E8" w:rsidRPr="006C09BD" w:rsidRDefault="004633E8" w:rsidP="004633E8">
      <w:pPr>
        <w:pStyle w:val="Bibliography"/>
        <w:rPr>
          <w:rFonts w:ascii="Arial" w:hAnsi="Arial" w:cs="Arial"/>
          <w:noProof/>
        </w:rPr>
      </w:pPr>
      <w:r w:rsidRPr="006C09BD">
        <w:rPr>
          <w:rFonts w:ascii="Arial" w:hAnsi="Arial" w:cs="Arial"/>
          <w:noProof/>
        </w:rPr>
        <w:t xml:space="preserve">6. </w:t>
      </w:r>
      <w:r w:rsidR="006B5EAF" w:rsidRPr="006C09BD">
        <w:rPr>
          <w:rFonts w:ascii="Arial" w:hAnsi="Arial" w:cs="Arial"/>
          <w:noProof/>
        </w:rPr>
        <w:t>Bertino E, Giuliani F, Prandi G, Coscia A, Martano C, Fabris C. Necrotizing enterocolitis: risk factor analysis and role of gastric residuals in very low birth weight infants. J Pediatr Gastroenterol Nutr. 2009;48(4):437-42.</w:t>
      </w:r>
    </w:p>
    <w:p w14:paraId="66907C8C" w14:textId="1A3795C6" w:rsidR="004633E8" w:rsidRPr="006C09BD" w:rsidRDefault="004633E8" w:rsidP="004633E8">
      <w:pPr>
        <w:pStyle w:val="Bibliography"/>
        <w:rPr>
          <w:rFonts w:ascii="Arial" w:hAnsi="Arial" w:cs="Arial"/>
          <w:noProof/>
        </w:rPr>
      </w:pPr>
      <w:r w:rsidRPr="006C09BD">
        <w:rPr>
          <w:rFonts w:ascii="Arial" w:hAnsi="Arial" w:cs="Arial"/>
          <w:noProof/>
        </w:rPr>
        <w:t xml:space="preserve">7. </w:t>
      </w:r>
      <w:r w:rsidR="006B5EAF" w:rsidRPr="006C09BD">
        <w:rPr>
          <w:rFonts w:ascii="Arial" w:hAnsi="Arial" w:cs="Arial"/>
          <w:noProof/>
        </w:rPr>
        <w:t>Tume LN, Woolfall K, Arch B, Roper L, Deja E, Jones AP, et al. Routine gastric residual volume measurement to guide enteral feeding in mechanically ventilated infants and children: the GASTRIC feasibility study. Health Technol Assess. 2020;24(23):1-120.</w:t>
      </w:r>
    </w:p>
    <w:p w14:paraId="5006FB5F" w14:textId="38A351C1" w:rsidR="004633E8" w:rsidRPr="006C09BD" w:rsidRDefault="004633E8" w:rsidP="004633E8">
      <w:pPr>
        <w:pStyle w:val="Bibliography"/>
        <w:rPr>
          <w:rFonts w:ascii="Arial" w:hAnsi="Arial" w:cs="Arial"/>
          <w:noProof/>
        </w:rPr>
      </w:pPr>
      <w:r w:rsidRPr="006C09BD">
        <w:rPr>
          <w:rFonts w:ascii="Arial" w:hAnsi="Arial" w:cs="Arial"/>
          <w:noProof/>
        </w:rPr>
        <w:t xml:space="preserve">8. </w:t>
      </w:r>
      <w:r w:rsidR="006B5EAF" w:rsidRPr="006C09BD">
        <w:rPr>
          <w:rFonts w:ascii="Arial" w:hAnsi="Arial" w:cs="Arial"/>
          <w:noProof/>
        </w:rPr>
        <w:t>Abiramalatha T, Thanigainathan S, Ninan B. Routine monitoring of gastric residual for prevention of necrotising enterocolitis in preterm infants. Cochrane Database Syst Rev. 2019;7:CD012937.</w:t>
      </w:r>
    </w:p>
    <w:p w14:paraId="36E656A9" w14:textId="3C7AE52F" w:rsidR="004633E8" w:rsidRPr="006C09BD" w:rsidRDefault="004633E8" w:rsidP="004633E8">
      <w:pPr>
        <w:pStyle w:val="Bibliography"/>
        <w:rPr>
          <w:rFonts w:ascii="Arial" w:hAnsi="Arial" w:cs="Arial"/>
          <w:noProof/>
        </w:rPr>
      </w:pPr>
      <w:r w:rsidRPr="006C09BD">
        <w:rPr>
          <w:rFonts w:ascii="Arial" w:hAnsi="Arial" w:cs="Arial"/>
          <w:noProof/>
        </w:rPr>
        <w:t xml:space="preserve">9. </w:t>
      </w:r>
      <w:r w:rsidR="006B5EAF" w:rsidRPr="006C09BD">
        <w:rPr>
          <w:rFonts w:ascii="Arial" w:hAnsi="Arial" w:cs="Arial"/>
          <w:noProof/>
        </w:rPr>
        <w:t>Kumar J, Meena J, Mittal P, Shankar J, Kumar P, Shenoi A. Routine prefeed gastric aspiration in preterm infants: a systematic review and meta-analysis. Eur J Pediatr. 2021;180(8):2367-77.</w:t>
      </w:r>
    </w:p>
    <w:p w14:paraId="3D97617E" w14:textId="47F3FDBC" w:rsidR="004633E8" w:rsidRPr="006C09BD" w:rsidRDefault="004633E8" w:rsidP="004633E8">
      <w:pPr>
        <w:pStyle w:val="Bibliography"/>
        <w:rPr>
          <w:rFonts w:ascii="Arial" w:hAnsi="Arial" w:cs="Arial"/>
          <w:noProof/>
        </w:rPr>
      </w:pPr>
      <w:r w:rsidRPr="006C09BD">
        <w:rPr>
          <w:rFonts w:ascii="Arial" w:hAnsi="Arial" w:cs="Arial"/>
          <w:noProof/>
        </w:rPr>
        <w:t xml:space="preserve">10. </w:t>
      </w:r>
      <w:r w:rsidR="006B5EAF" w:rsidRPr="006C09BD">
        <w:rPr>
          <w:rFonts w:ascii="Arial" w:hAnsi="Arial" w:cs="Arial"/>
          <w:noProof/>
        </w:rPr>
        <w:t>van Puffelen E, Vanhorebeek I, Joosten KFM, Wouters PJ, Van den Berghe G, Verbruggen SCAT. Early versus late parenteral nutrition in critically ill, term neonates: a preplanned secondary subgroup analysis of the PEPaNIC multicentre, randomised controlled trial. Lancet Child Adolesc Health. 2018;2(7):505-15.</w:t>
      </w:r>
    </w:p>
    <w:p w14:paraId="7383FF47" w14:textId="695212E1" w:rsidR="004633E8" w:rsidRPr="006C09BD" w:rsidRDefault="004633E8" w:rsidP="004633E8">
      <w:pPr>
        <w:pStyle w:val="Bibliography"/>
        <w:rPr>
          <w:rFonts w:ascii="Arial" w:hAnsi="Arial" w:cs="Arial"/>
          <w:noProof/>
        </w:rPr>
      </w:pPr>
      <w:r w:rsidRPr="006C09BD">
        <w:rPr>
          <w:rFonts w:ascii="Arial" w:hAnsi="Arial" w:cs="Arial"/>
          <w:noProof/>
        </w:rPr>
        <w:t xml:space="preserve">11. </w:t>
      </w:r>
      <w:r w:rsidR="006B5EAF" w:rsidRPr="006C09BD">
        <w:rPr>
          <w:rFonts w:ascii="Arial" w:hAnsi="Arial" w:cs="Arial"/>
          <w:noProof/>
        </w:rPr>
        <w:t>King BC, Richardson T, Patel RM, Lee HC, Bamat NA, Patrick SW, et al. Cost of clinician driven tests and treatments in very low birth weight and/or very preterm infants. J Perinatol. 2021;41(2):295-304.</w:t>
      </w:r>
    </w:p>
    <w:p w14:paraId="29E54533" w14:textId="302A3FBC" w:rsidR="004633E8" w:rsidRPr="006C09BD" w:rsidRDefault="004633E8" w:rsidP="004633E8">
      <w:pPr>
        <w:pStyle w:val="Bibliography"/>
        <w:rPr>
          <w:rFonts w:ascii="Arial" w:hAnsi="Arial" w:cs="Arial"/>
          <w:noProof/>
        </w:rPr>
      </w:pPr>
      <w:r w:rsidRPr="006C09BD">
        <w:rPr>
          <w:rFonts w:ascii="Arial" w:hAnsi="Arial" w:cs="Arial"/>
          <w:noProof/>
        </w:rPr>
        <w:t xml:space="preserve">12. </w:t>
      </w:r>
      <w:r w:rsidR="006B5EAF" w:rsidRPr="006C09BD">
        <w:rPr>
          <w:rFonts w:ascii="Arial" w:hAnsi="Arial" w:cs="Arial"/>
          <w:noProof/>
        </w:rPr>
        <w:t>Parker LA, Weaver M, Murgas Torrazza RJ, Shuster J, Li N, Krueger C, et al. Effect of gastric residual evaluation on enteral intake in extremely preterm infants: a randomized clinical trial. JAMA Pediatr. 2019;173(6):534-43.</w:t>
      </w:r>
    </w:p>
    <w:p w14:paraId="5B9C797C" w14:textId="0A3E763D" w:rsidR="004633E8" w:rsidRPr="006C09BD" w:rsidRDefault="004633E8" w:rsidP="004633E8">
      <w:pPr>
        <w:pStyle w:val="Bibliography"/>
        <w:rPr>
          <w:rFonts w:ascii="Arial" w:hAnsi="Arial" w:cs="Arial"/>
          <w:noProof/>
        </w:rPr>
      </w:pPr>
      <w:r w:rsidRPr="006C09BD">
        <w:rPr>
          <w:rFonts w:ascii="Arial" w:hAnsi="Arial" w:cs="Arial"/>
          <w:noProof/>
        </w:rPr>
        <w:t xml:space="preserve">13. </w:t>
      </w:r>
      <w:r w:rsidR="006B5EAF" w:rsidRPr="006C09BD">
        <w:rPr>
          <w:rFonts w:ascii="Arial" w:hAnsi="Arial" w:cs="Arial"/>
          <w:noProof/>
        </w:rPr>
        <w:t>Thomas S, Nesargi S, Roshan P, Raju R, Mathew S, PS, et al. Gastric residual volumes versus abdominal girth measurement in assessment of feed tolerance in preterm neonates: a randomized controlled trial. Adv Neonatal Care. 2018;18(4):E13-9.</w:t>
      </w:r>
    </w:p>
    <w:p w14:paraId="22C93E66" w14:textId="4A356787" w:rsidR="00DC4A3F" w:rsidRPr="006C09BD" w:rsidRDefault="004633E8" w:rsidP="00DC4A3F">
      <w:pPr>
        <w:pStyle w:val="Bibliography"/>
        <w:rPr>
          <w:rFonts w:ascii="Arial" w:hAnsi="Arial" w:cs="Arial"/>
          <w:noProof/>
        </w:rPr>
      </w:pPr>
      <w:r w:rsidRPr="006C09BD">
        <w:rPr>
          <w:rFonts w:ascii="Arial" w:hAnsi="Arial" w:cs="Arial"/>
          <w:noProof/>
        </w:rPr>
        <w:t xml:space="preserve">14. </w:t>
      </w:r>
      <w:r w:rsidR="006B5EAF" w:rsidRPr="006C09BD">
        <w:rPr>
          <w:rFonts w:ascii="Arial" w:hAnsi="Arial" w:cs="Arial"/>
          <w:noProof/>
        </w:rPr>
        <w:t>Parker LA, Weaver M, Murgas Torrazza RJ, Shuster J, Li N, Krueger C, et al. Effect of aspiration and evaluation of gastric residuals on intestinal inflammation, bleeding, and gastrointestinal peptide level. J Pediatr. 2020;217:165-71.e2.</w:t>
      </w:r>
    </w:p>
    <w:p w14:paraId="06CC5AC8" w14:textId="0606B409" w:rsidR="00DC4A3F" w:rsidRPr="006C09BD" w:rsidRDefault="004633E8" w:rsidP="004633E8">
      <w:pPr>
        <w:pStyle w:val="Bibliography"/>
        <w:rPr>
          <w:rFonts w:ascii="Arial" w:hAnsi="Arial" w:cs="Arial"/>
          <w:noProof/>
        </w:rPr>
      </w:pPr>
      <w:r w:rsidRPr="006C09BD">
        <w:rPr>
          <w:rFonts w:ascii="Arial" w:hAnsi="Arial" w:cs="Arial"/>
          <w:noProof/>
        </w:rPr>
        <w:lastRenderedPageBreak/>
        <w:t xml:space="preserve">15. </w:t>
      </w:r>
      <w:r w:rsidR="00DC4A3F" w:rsidRPr="006C09BD">
        <w:rPr>
          <w:rFonts w:ascii="Arial" w:hAnsi="Arial" w:cs="Arial"/>
          <w:noProof/>
        </w:rPr>
        <w:t>Singh B, Rochow N, Chessell L, Wilson J, Cunningham K, Fusch C, et al. Gastric residual volume in feeding advancement in preterm infants (GRIP study): a randomized trial. J Pediatr. 2018;200:79-83.e1.</w:t>
      </w:r>
    </w:p>
    <w:p w14:paraId="3FABFD3B" w14:textId="58F83A90" w:rsidR="004633E8" w:rsidRPr="006C09BD" w:rsidRDefault="004633E8" w:rsidP="004633E8">
      <w:pPr>
        <w:pStyle w:val="Bibliography"/>
        <w:rPr>
          <w:rFonts w:ascii="Arial" w:hAnsi="Arial" w:cs="Arial"/>
          <w:noProof/>
        </w:rPr>
      </w:pPr>
      <w:r w:rsidRPr="006C09BD">
        <w:rPr>
          <w:rFonts w:ascii="Arial" w:hAnsi="Arial" w:cs="Arial"/>
          <w:noProof/>
        </w:rPr>
        <w:t xml:space="preserve">16. </w:t>
      </w:r>
      <w:r w:rsidR="006B5EAF" w:rsidRPr="006C09BD">
        <w:rPr>
          <w:rFonts w:ascii="Arial" w:hAnsi="Arial" w:cs="Arial"/>
          <w:noProof/>
        </w:rPr>
        <w:t>Branagan A, Murphy C, O’Sullivan A, Bodnarova I, Feyereislova S, Berka I, Miletin J, Stranak Z. Influence of gastric residual assessment in preterm neonates on time to achieve enteral feeding (the GRASS trial): multi-centre, assessor-blinded randomised clinical trial. Eur J Pediatr. 2024;183(5):2325-32. doi:10.1007/s00431-024-05483-w.</w:t>
      </w:r>
    </w:p>
    <w:p w14:paraId="4E3FF0D3" w14:textId="378B6BC2" w:rsidR="00DC4A3F" w:rsidRPr="006C09BD" w:rsidRDefault="004633E8" w:rsidP="00E65880">
      <w:pPr>
        <w:pStyle w:val="Bibliography"/>
        <w:rPr>
          <w:rFonts w:ascii="Arial" w:hAnsi="Arial" w:cs="Arial"/>
          <w:noProof/>
        </w:rPr>
      </w:pPr>
      <w:r w:rsidRPr="006C09BD">
        <w:rPr>
          <w:rFonts w:ascii="Arial" w:hAnsi="Arial" w:cs="Arial"/>
          <w:noProof/>
        </w:rPr>
        <w:t xml:space="preserve">17. </w:t>
      </w:r>
      <w:r w:rsidR="00DC4A3F" w:rsidRPr="006C09BD">
        <w:rPr>
          <w:rFonts w:ascii="Arial" w:hAnsi="Arial" w:cs="Arial"/>
          <w:noProof/>
        </w:rPr>
        <w:t>Williams S, Bostain R, Couch N, Kamdar T, Oh W, Thompson L, Pepe J, Yi F, Dereddy N. Routine versus no assessment of gastric residual volumes in preterm infants receiving enteral feeding via intermittent feeding tubes: a randomized controlled trial. J Matern Fetal Neonatal Med. 2023;36(1):2211200. doi:10.1080/14767058.2023.2211200.</w:t>
      </w:r>
    </w:p>
    <w:p w14:paraId="2875D1F0" w14:textId="194AB1D1" w:rsidR="006E0BC9" w:rsidRPr="006C09BD" w:rsidRDefault="004633E8" w:rsidP="00E65880">
      <w:pPr>
        <w:pStyle w:val="Bibliography"/>
        <w:rPr>
          <w:rFonts w:ascii="Arial" w:hAnsi="Arial" w:cs="Arial"/>
          <w:noProof/>
        </w:rPr>
      </w:pPr>
      <w:r w:rsidRPr="006C09BD">
        <w:rPr>
          <w:rFonts w:ascii="Arial" w:hAnsi="Arial" w:cs="Arial"/>
          <w:noProof/>
        </w:rPr>
        <w:t>18.</w:t>
      </w:r>
      <w:r w:rsidR="00D93981" w:rsidRPr="006C09BD">
        <w:rPr>
          <w:rFonts w:ascii="Arial" w:hAnsi="Arial" w:cs="Arial"/>
          <w:noProof/>
        </w:rPr>
        <w:t xml:space="preserve"> </w:t>
      </w:r>
      <w:r w:rsidR="006E0BC9" w:rsidRPr="006C09BD">
        <w:rPr>
          <w:rFonts w:ascii="Arial" w:hAnsi="Arial" w:cs="Arial"/>
          <w:noProof/>
        </w:rPr>
        <w:t>Health Research Authority. Applying a proportionate approach to the process of seeking consent. Health Research Authority; 2017.</w:t>
      </w:r>
    </w:p>
    <w:p w14:paraId="44B90B85" w14:textId="061C1884" w:rsidR="00E65880" w:rsidRPr="006C09BD" w:rsidRDefault="006E0BC9" w:rsidP="00E65880">
      <w:pPr>
        <w:pStyle w:val="Bibliography"/>
        <w:rPr>
          <w:rFonts w:ascii="Arial" w:hAnsi="Arial" w:cs="Arial"/>
          <w:noProof/>
        </w:rPr>
      </w:pPr>
      <w:r w:rsidRPr="006C09BD">
        <w:rPr>
          <w:rFonts w:ascii="Arial" w:hAnsi="Arial" w:cs="Arial"/>
          <w:noProof/>
        </w:rPr>
        <w:t xml:space="preserve">19. </w:t>
      </w:r>
      <w:r w:rsidR="00AF7A58" w:rsidRPr="00AF7A58">
        <w:rPr>
          <w:rFonts w:ascii="Arial" w:hAnsi="Arial" w:cs="Arial"/>
          <w:noProof/>
        </w:rPr>
        <w:t>Gale C, Modi N, Jawad S, Culshaw L, Dorling J, Bowler U, et al. The WHEAT pilot trial—WithHolding enteral feeds around packed red cell transfusion to prevent necrotising enterocolitis in preterm neonates: a multicentre, electronic patient record (EPR), randomised controlled point-of-care pilot trial. BMJ Open. 2019;9(9):e033543.</w:t>
      </w:r>
    </w:p>
    <w:p w14:paraId="57F2A91D" w14:textId="5615050F" w:rsidR="00E65880" w:rsidRPr="006C09BD" w:rsidRDefault="006E0BC9" w:rsidP="00E65880">
      <w:pPr>
        <w:pStyle w:val="Bibliography"/>
        <w:rPr>
          <w:rFonts w:ascii="Arial" w:hAnsi="Arial" w:cs="Arial"/>
          <w:noProof/>
        </w:rPr>
      </w:pPr>
      <w:r w:rsidRPr="006C09BD">
        <w:rPr>
          <w:rFonts w:ascii="Arial" w:hAnsi="Arial" w:cs="Arial"/>
          <w:noProof/>
        </w:rPr>
        <w:t>20</w:t>
      </w:r>
      <w:r w:rsidR="00E65880" w:rsidRPr="006C09BD">
        <w:rPr>
          <w:rFonts w:ascii="Arial" w:hAnsi="Arial" w:cs="Arial"/>
          <w:noProof/>
        </w:rPr>
        <w:t>. Gale C, Dorling J, Arch B, Woolfall K, Deja E, Roper L, Jones AP, Latten L, Eccleson H, Hickey H, Pathan N. Optimal outcome measures for a trial of not routinely measuring gastric residual volume in neonatal care: a mixed methods consensus process. Arch Dis Child Fetal Neonatal Ed. 2021;106(3):292-7.</w:t>
      </w:r>
    </w:p>
    <w:p w14:paraId="134EAAA2" w14:textId="5F680CE0" w:rsidR="00E65880" w:rsidRPr="006C09BD" w:rsidRDefault="00E65880" w:rsidP="00E65880">
      <w:pPr>
        <w:pStyle w:val="Bibliography"/>
        <w:rPr>
          <w:rFonts w:ascii="Arial" w:hAnsi="Arial" w:cs="Arial"/>
          <w:noProof/>
        </w:rPr>
      </w:pPr>
      <w:r w:rsidRPr="006C09BD">
        <w:rPr>
          <w:rFonts w:ascii="Arial" w:hAnsi="Arial" w:cs="Arial"/>
          <w:noProof/>
        </w:rPr>
        <w:t>2</w:t>
      </w:r>
      <w:r w:rsidR="006E0BC9" w:rsidRPr="006C09BD">
        <w:rPr>
          <w:rFonts w:ascii="Arial" w:hAnsi="Arial" w:cs="Arial"/>
          <w:noProof/>
        </w:rPr>
        <w:t>1</w:t>
      </w:r>
      <w:r w:rsidRPr="006C09BD">
        <w:rPr>
          <w:rFonts w:ascii="Arial" w:hAnsi="Arial" w:cs="Arial"/>
          <w:noProof/>
        </w:rPr>
        <w:t xml:space="preserve">. </w:t>
      </w:r>
      <w:r w:rsidR="00AF7A58" w:rsidRPr="00AF7A58">
        <w:rPr>
          <w:rFonts w:ascii="Arial" w:hAnsi="Arial" w:cs="Arial"/>
          <w:noProof/>
        </w:rPr>
        <w:t>McLeish J, Alderdice F, Robberts H, Cole C, Dorling J, Gale C. Challenges of a simplified opt-out consent process in a neonatal randomised controlled trial: qualitative study of parents’ and health professionals’ views and experiences. Arch Dis Child Fetal Neonatal Ed. 2021;106(3):244–50</w:t>
      </w:r>
      <w:r w:rsidRPr="006C09BD">
        <w:rPr>
          <w:rFonts w:ascii="Arial" w:hAnsi="Arial" w:cs="Arial"/>
          <w:noProof/>
        </w:rPr>
        <w:t>.</w:t>
      </w:r>
    </w:p>
    <w:p w14:paraId="267CB0CC" w14:textId="1CAA7A51" w:rsidR="00E65880" w:rsidRPr="006C09BD" w:rsidRDefault="006E0BC9" w:rsidP="00E65880">
      <w:pPr>
        <w:pStyle w:val="Bibliography"/>
        <w:rPr>
          <w:rFonts w:ascii="Arial" w:hAnsi="Arial" w:cs="Arial"/>
          <w:noProof/>
        </w:rPr>
      </w:pPr>
      <w:r w:rsidRPr="006C09BD">
        <w:rPr>
          <w:rFonts w:ascii="Arial" w:hAnsi="Arial" w:cs="Arial"/>
          <w:noProof/>
        </w:rPr>
        <w:t>22</w:t>
      </w:r>
      <w:r w:rsidR="00E65880" w:rsidRPr="006C09BD">
        <w:rPr>
          <w:rFonts w:ascii="Arial" w:hAnsi="Arial" w:cs="Arial"/>
          <w:noProof/>
        </w:rPr>
        <w:t>. International Committee for the Classification of Retinopathy of P. The International Classification of Retinopathy of Prematurity revisited. Arch Ophthalmol. 2005;123(7):991-9.</w:t>
      </w:r>
    </w:p>
    <w:p w14:paraId="00EBAAAA" w14:textId="076C1184" w:rsidR="00E65880" w:rsidRPr="006C09BD" w:rsidRDefault="00E65880" w:rsidP="00E65880">
      <w:pPr>
        <w:pStyle w:val="Bibliography"/>
        <w:rPr>
          <w:rFonts w:ascii="Arial" w:hAnsi="Arial" w:cs="Arial"/>
          <w:noProof/>
        </w:rPr>
      </w:pPr>
      <w:r w:rsidRPr="006C09BD">
        <w:rPr>
          <w:rFonts w:ascii="Arial" w:hAnsi="Arial" w:cs="Arial"/>
          <w:noProof/>
        </w:rPr>
        <w:t>2</w:t>
      </w:r>
      <w:r w:rsidR="006E0BC9" w:rsidRPr="006C09BD">
        <w:rPr>
          <w:rFonts w:ascii="Arial" w:hAnsi="Arial" w:cs="Arial"/>
          <w:noProof/>
        </w:rPr>
        <w:t>3</w:t>
      </w:r>
      <w:r w:rsidRPr="006C09BD">
        <w:rPr>
          <w:rFonts w:ascii="Arial" w:hAnsi="Arial" w:cs="Arial"/>
          <w:noProof/>
        </w:rPr>
        <w:t>. Papile LA, Burstein R, Koffler H. Incidence and evolution of subependymal and intraventricular hemorrhage: a study of infants with birth weights less than 1,500 gm. J Pediatr. 1978;92(4):529-34.</w:t>
      </w:r>
    </w:p>
    <w:p w14:paraId="5048B52D" w14:textId="133939A5" w:rsidR="0068406A" w:rsidRPr="006C09BD" w:rsidRDefault="0068406A" w:rsidP="0068406A">
      <w:pPr>
        <w:pStyle w:val="Bibliography"/>
        <w:rPr>
          <w:rFonts w:ascii="Arial" w:hAnsi="Arial" w:cs="Arial"/>
          <w:noProof/>
        </w:rPr>
      </w:pPr>
      <w:r w:rsidRPr="006C09BD">
        <w:rPr>
          <w:rFonts w:ascii="Arial" w:hAnsi="Arial" w:cs="Arial"/>
          <w:noProof/>
        </w:rPr>
        <w:t>2</w:t>
      </w:r>
      <w:r w:rsidR="006E0BC9" w:rsidRPr="006C09BD">
        <w:rPr>
          <w:rFonts w:ascii="Arial" w:hAnsi="Arial" w:cs="Arial"/>
          <w:noProof/>
        </w:rPr>
        <w:t>4</w:t>
      </w:r>
      <w:r w:rsidRPr="006C09BD">
        <w:rPr>
          <w:rFonts w:ascii="Arial" w:hAnsi="Arial" w:cs="Arial"/>
          <w:noProof/>
        </w:rPr>
        <w:t>. Dorling J, Abbott J, Berrington J, Bosiak B, Bowler U, Boyle E, et al. Controlled trial of two incremental milk-feeding rates in preterm infants. N Engl J Med. 2019;381(15):1434-43</w:t>
      </w:r>
    </w:p>
    <w:p w14:paraId="2FDCD84E" w14:textId="65BABF76" w:rsidR="0068406A" w:rsidRPr="006C09BD" w:rsidRDefault="0068406A" w:rsidP="0068406A">
      <w:pPr>
        <w:pStyle w:val="Bibliography"/>
        <w:rPr>
          <w:rFonts w:ascii="Arial" w:hAnsi="Arial" w:cs="Arial"/>
          <w:noProof/>
        </w:rPr>
      </w:pPr>
      <w:r w:rsidRPr="006C09BD">
        <w:rPr>
          <w:rFonts w:ascii="Arial" w:hAnsi="Arial" w:cs="Arial"/>
          <w:noProof/>
        </w:rPr>
        <w:t>2</w:t>
      </w:r>
      <w:r w:rsidR="006E0BC9" w:rsidRPr="006C09BD">
        <w:rPr>
          <w:rFonts w:ascii="Arial" w:hAnsi="Arial" w:cs="Arial"/>
          <w:noProof/>
        </w:rPr>
        <w:t>5</w:t>
      </w:r>
      <w:r w:rsidRPr="006C09BD">
        <w:rPr>
          <w:rFonts w:ascii="Arial" w:hAnsi="Arial" w:cs="Arial"/>
          <w:noProof/>
        </w:rPr>
        <w:t>. ELFIN Trial Investigators. Enteral lactoferrin supplementation for very preterm infants: a randomised placebo-controlled trial. Lancet. 2019;393(10170):423-33.</w:t>
      </w:r>
    </w:p>
    <w:p w14:paraId="7E875F91" w14:textId="3FD290BE" w:rsidR="0068406A" w:rsidRPr="006C09BD" w:rsidRDefault="0068406A" w:rsidP="0068406A">
      <w:pPr>
        <w:pStyle w:val="Bibliography"/>
        <w:rPr>
          <w:rFonts w:ascii="Arial" w:hAnsi="Arial" w:cs="Arial"/>
          <w:noProof/>
        </w:rPr>
      </w:pPr>
      <w:r w:rsidRPr="006C09BD">
        <w:rPr>
          <w:rFonts w:ascii="Arial" w:hAnsi="Arial" w:cs="Arial"/>
          <w:noProof/>
        </w:rPr>
        <w:t>2</w:t>
      </w:r>
      <w:r w:rsidR="006E0BC9" w:rsidRPr="006C09BD">
        <w:rPr>
          <w:rFonts w:ascii="Arial" w:hAnsi="Arial" w:cs="Arial"/>
          <w:noProof/>
        </w:rPr>
        <w:t>6</w:t>
      </w:r>
      <w:r w:rsidRPr="006C09BD">
        <w:rPr>
          <w:rFonts w:ascii="Arial" w:hAnsi="Arial" w:cs="Arial"/>
          <w:noProof/>
        </w:rPr>
        <w:t>. Wittes J. Sample size calculations for randomized controlled trials. Epidemiol Rev. 2002;24(1):39-53.</w:t>
      </w:r>
    </w:p>
    <w:p w14:paraId="34B4FEC0" w14:textId="1A19FFD1" w:rsidR="0068406A" w:rsidRPr="006C09BD" w:rsidRDefault="0068406A" w:rsidP="0068406A">
      <w:pPr>
        <w:pStyle w:val="Bibliography"/>
        <w:rPr>
          <w:rFonts w:ascii="Arial" w:hAnsi="Arial" w:cs="Arial"/>
          <w:noProof/>
        </w:rPr>
      </w:pPr>
      <w:r w:rsidRPr="006C09BD">
        <w:rPr>
          <w:rFonts w:ascii="Arial" w:hAnsi="Arial" w:cs="Arial"/>
          <w:noProof/>
        </w:rPr>
        <w:t>2</w:t>
      </w:r>
      <w:r w:rsidR="006E0BC9" w:rsidRPr="006C09BD">
        <w:rPr>
          <w:rFonts w:ascii="Arial" w:hAnsi="Arial" w:cs="Arial"/>
          <w:noProof/>
        </w:rPr>
        <w:t>7</w:t>
      </w:r>
      <w:r w:rsidRPr="006C09BD">
        <w:rPr>
          <w:rFonts w:ascii="Arial" w:hAnsi="Arial" w:cs="Arial"/>
          <w:noProof/>
        </w:rPr>
        <w:t>. Bernardo J, Nowacki A, Martin R, Fanaroff JM, Hibbs AM. Multiples and parents of multiples prefer same-arm randomization of siblings in neonatal trials. J Perinatol. 2015;35(3):208-13.</w:t>
      </w:r>
    </w:p>
    <w:p w14:paraId="36CBDE50" w14:textId="0985FA33" w:rsidR="0068406A" w:rsidRPr="006C09BD" w:rsidRDefault="0068406A" w:rsidP="0068406A">
      <w:pPr>
        <w:pStyle w:val="Bibliography"/>
        <w:rPr>
          <w:rFonts w:ascii="Arial" w:hAnsi="Arial" w:cs="Arial"/>
          <w:noProof/>
        </w:rPr>
      </w:pPr>
      <w:r w:rsidRPr="006C09BD">
        <w:rPr>
          <w:rFonts w:ascii="Arial" w:hAnsi="Arial" w:cs="Arial"/>
          <w:noProof/>
        </w:rPr>
        <w:t>2</w:t>
      </w:r>
      <w:r w:rsidR="006E0BC9" w:rsidRPr="006C09BD">
        <w:rPr>
          <w:rFonts w:ascii="Arial" w:hAnsi="Arial" w:cs="Arial"/>
          <w:noProof/>
        </w:rPr>
        <w:t>8</w:t>
      </w:r>
      <w:r w:rsidRPr="006C09BD">
        <w:rPr>
          <w:rFonts w:ascii="Arial" w:hAnsi="Arial" w:cs="Arial"/>
          <w:noProof/>
        </w:rPr>
        <w:t xml:space="preserve">. </w:t>
      </w:r>
      <w:r w:rsidR="00AF7A58" w:rsidRPr="00AF7A58">
        <w:rPr>
          <w:rFonts w:ascii="Arial" w:hAnsi="Arial" w:cs="Arial"/>
          <w:noProof/>
        </w:rPr>
        <w:t>Deja E, Roper L, Tume LN, Dorling J, Gale C, Arch B, et al. Can they stomach it? Parent and practitioner acceptability of a trial comparing gastric residual volume measurement versus no gastric residual volume in UK NNU and PICUs: a feasibility study. Pilot Feasibility Stud. 2021;7(1):49.</w:t>
      </w:r>
    </w:p>
    <w:p w14:paraId="080612EB" w14:textId="143FED4A" w:rsidR="0068406A" w:rsidRPr="006C09BD" w:rsidRDefault="0068406A" w:rsidP="0068406A">
      <w:pPr>
        <w:pStyle w:val="Bibliography"/>
        <w:rPr>
          <w:rFonts w:ascii="Arial" w:hAnsi="Arial" w:cs="Arial"/>
          <w:noProof/>
        </w:rPr>
      </w:pPr>
      <w:r w:rsidRPr="006C09BD">
        <w:rPr>
          <w:rFonts w:ascii="Arial" w:hAnsi="Arial" w:cs="Arial"/>
          <w:noProof/>
        </w:rPr>
        <w:t>2</w:t>
      </w:r>
      <w:r w:rsidR="006E0BC9" w:rsidRPr="006C09BD">
        <w:rPr>
          <w:rFonts w:ascii="Arial" w:hAnsi="Arial" w:cs="Arial"/>
          <w:noProof/>
        </w:rPr>
        <w:t>9</w:t>
      </w:r>
      <w:r w:rsidRPr="006C09BD">
        <w:rPr>
          <w:rFonts w:ascii="Arial" w:hAnsi="Arial" w:cs="Arial"/>
          <w:noProof/>
        </w:rPr>
        <w:t>. Malterud K, Siersma VD, Guassora AD. Sample size in qualitative interview studies: guided by information power. Qual Health Res. 2016.</w:t>
      </w:r>
    </w:p>
    <w:p w14:paraId="6C106BDA" w14:textId="6771C03F" w:rsidR="0068406A" w:rsidRPr="006C09BD" w:rsidRDefault="006E0BC9" w:rsidP="0068406A">
      <w:pPr>
        <w:pStyle w:val="Bibliography"/>
        <w:rPr>
          <w:rFonts w:ascii="Arial" w:hAnsi="Arial" w:cs="Arial"/>
          <w:noProof/>
        </w:rPr>
      </w:pPr>
      <w:r w:rsidRPr="006C09BD">
        <w:rPr>
          <w:rFonts w:ascii="Arial" w:hAnsi="Arial" w:cs="Arial"/>
          <w:noProof/>
        </w:rPr>
        <w:t>30</w:t>
      </w:r>
      <w:r w:rsidR="0068406A" w:rsidRPr="006C09BD">
        <w:rPr>
          <w:rFonts w:ascii="Arial" w:hAnsi="Arial" w:cs="Arial"/>
          <w:noProof/>
        </w:rPr>
        <w:t>. May C, Finch T, Mair F, Ballini L, Dowrick C, Eccles M, et al. Understanding the implementation of complex interventions in health care: the normalization process model. BMC Health Serv Res. 2007.</w:t>
      </w:r>
    </w:p>
    <w:p w14:paraId="7C5B88C0" w14:textId="1A53C2F5" w:rsidR="009C5F37" w:rsidRPr="006C09BD" w:rsidRDefault="009C5F37" w:rsidP="009C5F37">
      <w:pPr>
        <w:pStyle w:val="Bibliography"/>
        <w:rPr>
          <w:rFonts w:ascii="Arial" w:hAnsi="Arial" w:cs="Arial"/>
          <w:noProof/>
        </w:rPr>
      </w:pPr>
      <w:r w:rsidRPr="006C09BD">
        <w:rPr>
          <w:rFonts w:ascii="Arial" w:hAnsi="Arial" w:cs="Arial"/>
          <w:noProof/>
        </w:rPr>
        <w:lastRenderedPageBreak/>
        <w:t>3</w:t>
      </w:r>
      <w:r w:rsidR="006E0BC9" w:rsidRPr="006C09BD">
        <w:rPr>
          <w:rFonts w:ascii="Arial" w:hAnsi="Arial" w:cs="Arial"/>
          <w:noProof/>
        </w:rPr>
        <w:t>1</w:t>
      </w:r>
      <w:r w:rsidRPr="006C09BD">
        <w:rPr>
          <w:rFonts w:ascii="Arial" w:hAnsi="Arial" w:cs="Arial"/>
          <w:noProof/>
        </w:rPr>
        <w:t>. NHS England. National Schedule of NHS costs – Year 2019-20 – NHS trust and NHS foundation trusts. NHS England; 2021.5. Curtis L, Burns A. Unit Costs of Health and Social Care 2020. In: Personal Social Services Research Unit, editor. University of Kent, Canterbury; 2020.</w:t>
      </w:r>
    </w:p>
    <w:p w14:paraId="5E9A3631" w14:textId="132AC495" w:rsidR="009C5F37" w:rsidRPr="006C09BD" w:rsidRDefault="009C5F37" w:rsidP="009C5F37">
      <w:pPr>
        <w:pStyle w:val="Bibliography"/>
        <w:rPr>
          <w:rFonts w:ascii="Arial" w:hAnsi="Arial" w:cs="Arial"/>
          <w:noProof/>
        </w:rPr>
      </w:pPr>
      <w:r w:rsidRPr="006C09BD">
        <w:rPr>
          <w:rFonts w:ascii="Arial" w:hAnsi="Arial" w:cs="Arial"/>
          <w:noProof/>
        </w:rPr>
        <w:t>3</w:t>
      </w:r>
      <w:r w:rsidR="006E0BC9" w:rsidRPr="006C09BD">
        <w:rPr>
          <w:rFonts w:ascii="Arial" w:hAnsi="Arial" w:cs="Arial"/>
          <w:noProof/>
        </w:rPr>
        <w:t>2</w:t>
      </w:r>
      <w:r w:rsidRPr="006C09BD">
        <w:rPr>
          <w:rFonts w:ascii="Arial" w:hAnsi="Arial" w:cs="Arial"/>
          <w:noProof/>
        </w:rPr>
        <w:t>. NHS England. NHS Electronic Drug Tariff. NHS England; 2021.</w:t>
      </w:r>
    </w:p>
    <w:p w14:paraId="5D1DED29" w14:textId="048302BE" w:rsidR="009C5F37" w:rsidRPr="006C09BD" w:rsidRDefault="009C5F37" w:rsidP="009C5F37">
      <w:pPr>
        <w:pStyle w:val="Bibliography"/>
        <w:rPr>
          <w:rFonts w:ascii="Arial" w:hAnsi="Arial" w:cs="Arial"/>
          <w:noProof/>
        </w:rPr>
      </w:pPr>
      <w:r w:rsidRPr="006C09BD">
        <w:rPr>
          <w:rFonts w:ascii="Arial" w:hAnsi="Arial" w:cs="Arial"/>
          <w:noProof/>
        </w:rPr>
        <w:t>3</w:t>
      </w:r>
      <w:r w:rsidR="006E0BC9" w:rsidRPr="006C09BD">
        <w:rPr>
          <w:rFonts w:ascii="Arial" w:hAnsi="Arial" w:cs="Arial"/>
          <w:noProof/>
        </w:rPr>
        <w:t>3</w:t>
      </w:r>
      <w:r w:rsidRPr="006C09BD">
        <w:rPr>
          <w:rFonts w:ascii="Arial" w:hAnsi="Arial" w:cs="Arial"/>
          <w:noProof/>
        </w:rPr>
        <w:t>. NICE. Guide to the Methods of Technology Appraisal 2013. London: NICE; 2013. (NICE Process and Methods Guides)</w:t>
      </w:r>
    </w:p>
    <w:p w14:paraId="6790BD6A" w14:textId="5971B176" w:rsidR="009C5F37" w:rsidRPr="006C09BD" w:rsidRDefault="009C5F37" w:rsidP="009C5F37">
      <w:pPr>
        <w:pStyle w:val="Bibliography"/>
        <w:rPr>
          <w:rFonts w:ascii="Arial" w:hAnsi="Arial" w:cs="Arial"/>
          <w:noProof/>
        </w:rPr>
      </w:pPr>
      <w:r w:rsidRPr="006C09BD">
        <w:rPr>
          <w:rFonts w:ascii="Arial" w:hAnsi="Arial" w:cs="Arial"/>
          <w:noProof/>
        </w:rPr>
        <w:t>3</w:t>
      </w:r>
      <w:r w:rsidR="006E0BC9" w:rsidRPr="006C09BD">
        <w:rPr>
          <w:rFonts w:ascii="Arial" w:hAnsi="Arial" w:cs="Arial"/>
          <w:noProof/>
        </w:rPr>
        <w:t>4</w:t>
      </w:r>
      <w:r w:rsidRPr="006C09BD">
        <w:rPr>
          <w:rFonts w:ascii="Arial" w:hAnsi="Arial" w:cs="Arial"/>
          <w:noProof/>
        </w:rPr>
        <w:t>. European Medicines Agency. Report on the Expert Meeting on Neonatal and Paediatric Sepsis. EMA; 2010. (EMA/477725/2010)</w:t>
      </w:r>
    </w:p>
    <w:p w14:paraId="36BF80EC" w14:textId="11E91106" w:rsidR="009C5F37" w:rsidRPr="006C09BD" w:rsidRDefault="009C5F37" w:rsidP="009C5F37">
      <w:pPr>
        <w:pStyle w:val="Bibliography"/>
        <w:rPr>
          <w:rFonts w:ascii="Arial" w:hAnsi="Arial" w:cs="Arial"/>
          <w:noProof/>
        </w:rPr>
      </w:pPr>
      <w:r w:rsidRPr="006C09BD">
        <w:rPr>
          <w:rFonts w:ascii="Arial" w:hAnsi="Arial" w:cs="Arial"/>
          <w:noProof/>
        </w:rPr>
        <w:t>3</w:t>
      </w:r>
      <w:r w:rsidR="006E0BC9" w:rsidRPr="006C09BD">
        <w:rPr>
          <w:rFonts w:ascii="Arial" w:hAnsi="Arial" w:cs="Arial"/>
          <w:noProof/>
        </w:rPr>
        <w:t>5</w:t>
      </w:r>
      <w:r w:rsidRPr="006C09BD">
        <w:rPr>
          <w:rFonts w:ascii="Arial" w:hAnsi="Arial" w:cs="Arial"/>
          <w:noProof/>
        </w:rPr>
        <w:t>. Vergnano S, Menson E, Kennea N, Embleton N, Russell AB, Watts T, et al. Neonatal infections in England: the NeonIN surveillance network. Arch Dis Child Fetal Neonatal Ed. 2011;96(1):F9-14.</w:t>
      </w:r>
    </w:p>
    <w:p w14:paraId="404EB04A" w14:textId="33471E7A" w:rsidR="006E0BC9" w:rsidRPr="006C09BD" w:rsidRDefault="009C5F37" w:rsidP="006E0BC9">
      <w:pPr>
        <w:pStyle w:val="Bibliography"/>
        <w:rPr>
          <w:rFonts w:ascii="Arial" w:hAnsi="Arial" w:cs="Arial"/>
          <w:noProof/>
        </w:rPr>
      </w:pPr>
      <w:r w:rsidRPr="006C09BD">
        <w:rPr>
          <w:rFonts w:ascii="Arial" w:hAnsi="Arial" w:cs="Arial"/>
          <w:noProof/>
        </w:rPr>
        <w:t>3</w:t>
      </w:r>
      <w:r w:rsidR="006E0BC9" w:rsidRPr="006C09BD">
        <w:rPr>
          <w:rFonts w:ascii="Arial" w:hAnsi="Arial" w:cs="Arial"/>
          <w:noProof/>
        </w:rPr>
        <w:t>6</w:t>
      </w:r>
      <w:r w:rsidRPr="006C09BD">
        <w:rPr>
          <w:rFonts w:ascii="Arial" w:hAnsi="Arial" w:cs="Arial"/>
          <w:noProof/>
        </w:rPr>
        <w:t>. Modi N, Dore CJ, Saraswatula A, Richards M, Bamford KB, Coello R, et al. A case definition for national and international neonatal bloodstream infection surveillance. Arch Dis Child Fetal Neonatal Ed. 2009;94(1):F8-12.</w:t>
      </w:r>
    </w:p>
    <w:p w14:paraId="25CDDC87" w14:textId="39512B3E" w:rsidR="006E0BC9" w:rsidRPr="006C09BD" w:rsidRDefault="006E0BC9" w:rsidP="006E0BC9">
      <w:pPr>
        <w:pStyle w:val="Bibliography"/>
        <w:rPr>
          <w:rFonts w:ascii="Arial" w:hAnsi="Arial" w:cs="Arial"/>
          <w:noProof/>
        </w:rPr>
      </w:pPr>
      <w:r w:rsidRPr="006C09BD">
        <w:rPr>
          <w:rFonts w:ascii="Arial" w:hAnsi="Arial" w:cs="Arial"/>
          <w:noProof/>
        </w:rPr>
        <w:t>37. Walsh MC, Kliegman RM. Necrotizing enterocolitis: treatment based on staging criteria. Pediatr Clin North Am. 1986;33(1):179-201.</w:t>
      </w:r>
    </w:p>
    <w:p w14:paraId="1F380097" w14:textId="6DB22C2D" w:rsidR="00D93981" w:rsidRPr="006C09BD" w:rsidRDefault="00D93981" w:rsidP="00D93981">
      <w:pPr>
        <w:pStyle w:val="Bibliography"/>
        <w:rPr>
          <w:rFonts w:ascii="Arial" w:hAnsi="Arial" w:cs="Arial"/>
          <w:noProof/>
        </w:rPr>
      </w:pPr>
    </w:p>
    <w:p w14:paraId="4A2093E1" w14:textId="13FDA3D1" w:rsidR="006A3135" w:rsidRPr="006C09BD" w:rsidRDefault="002A7CFD" w:rsidP="004633E8">
      <w:pPr>
        <w:pStyle w:val="Bibliography"/>
        <w:rPr>
          <w:rStyle w:val="None"/>
          <w:rFonts w:ascii="Arial" w:hAnsi="Arial" w:cs="Arial"/>
          <w:noProof/>
        </w:rPr>
      </w:pPr>
      <w:r w:rsidRPr="006C09BD">
        <w:rPr>
          <w:rStyle w:val="None"/>
          <w:rFonts w:ascii="Arial" w:eastAsia="Arial" w:hAnsi="Arial" w:cs="Arial"/>
          <w:color w:val="006600"/>
          <w:sz w:val="20"/>
          <w:szCs w:val="20"/>
          <w:u w:color="004C7F"/>
        </w:rPr>
        <w:fldChar w:fldCharType="end"/>
      </w:r>
    </w:p>
    <w:sectPr w:rsidR="006A3135" w:rsidRPr="006C09BD">
      <w:footerReference w:type="default" r:id="rId17"/>
      <w:pgSz w:w="11900" w:h="16840"/>
      <w:pgMar w:top="1440" w:right="1134" w:bottom="144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2BFD" w14:textId="77777777" w:rsidR="009E32DA" w:rsidRDefault="009E32DA">
      <w:r>
        <w:separator/>
      </w:r>
    </w:p>
  </w:endnote>
  <w:endnote w:type="continuationSeparator" w:id="0">
    <w:p w14:paraId="7DF26361" w14:textId="77777777" w:rsidR="009E32DA" w:rsidRDefault="009E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961" w14:textId="0C5E2A22" w:rsidR="00C7044F" w:rsidRDefault="00C7044F">
    <w:pPr>
      <w:pStyle w:val="HeaderFooterA"/>
      <w:jc w:val="center"/>
      <w:rPr>
        <w:rFonts w:ascii="Arial" w:hAnsi="Arial"/>
        <w:sz w:val="18"/>
        <w:szCs w:val="18"/>
      </w:rPr>
    </w:pPr>
    <w:r>
      <w:rPr>
        <w:rFonts w:ascii="Arial" w:hAnsi="Arial"/>
        <w:sz w:val="18"/>
        <w:szCs w:val="18"/>
      </w:rPr>
      <w:t>neoGASTRIC Protocol paper V</w:t>
    </w:r>
    <w:r w:rsidR="001148C2">
      <w:rPr>
        <w:rFonts w:ascii="Arial" w:hAnsi="Arial"/>
        <w:sz w:val="18"/>
        <w:szCs w:val="18"/>
      </w:rPr>
      <w:t>1.0</w:t>
    </w:r>
    <w:r>
      <w:rPr>
        <w:rFonts w:ascii="Arial" w:hAnsi="Arial"/>
        <w:sz w:val="18"/>
        <w:szCs w:val="18"/>
      </w:rPr>
      <w:t xml:space="preserve"> </w:t>
    </w:r>
    <w:r w:rsidR="000C4473">
      <w:rPr>
        <w:rFonts w:ascii="Arial" w:hAnsi="Arial"/>
        <w:sz w:val="18"/>
        <w:szCs w:val="18"/>
      </w:rPr>
      <w:t>17</w:t>
    </w:r>
    <w:r w:rsidR="000E2D13">
      <w:rPr>
        <w:rFonts w:ascii="Arial" w:hAnsi="Arial"/>
        <w:sz w:val="18"/>
        <w:szCs w:val="18"/>
      </w:rPr>
      <w:t>October</w:t>
    </w:r>
    <w:r>
      <w:rPr>
        <w:rFonts w:ascii="Arial" w:hAnsi="Arial"/>
        <w:sz w:val="18"/>
        <w:szCs w:val="18"/>
      </w:rPr>
      <w:t xml:space="preserve"> 2025 </w:t>
    </w:r>
  </w:p>
  <w:p w14:paraId="5F2358FA" w14:textId="046505BA" w:rsidR="00C7044F" w:rsidRDefault="00C7044F">
    <w:pPr>
      <w:pStyle w:val="HeaderFooterA"/>
      <w:jc w:val="center"/>
    </w:pPr>
    <w:r>
      <w:rPr>
        <w:rFonts w:ascii="Arial" w:hAnsi="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272BFE">
      <w:rPr>
        <w:rFonts w:ascii="Arial" w:eastAsia="Arial" w:hAnsi="Arial" w:cs="Arial"/>
        <w:noProof/>
        <w:sz w:val="18"/>
        <w:szCs w:val="18"/>
      </w:rPr>
      <w:t>29</w:t>
    </w:r>
    <w:r>
      <w:rPr>
        <w:rFonts w:ascii="Arial" w:eastAsia="Arial" w:hAnsi="Arial" w:cs="Arial"/>
        <w:sz w:val="18"/>
        <w:szCs w:val="18"/>
      </w:rPr>
      <w:fldChar w:fldCharType="end"/>
    </w:r>
    <w:r>
      <w:rPr>
        <w:rFonts w:ascii="Arial" w:hAnsi="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sidR="00272BFE">
      <w:rPr>
        <w:rFonts w:ascii="Arial" w:eastAsia="Arial" w:hAnsi="Arial" w:cs="Arial"/>
        <w:noProof/>
        <w:sz w:val="18"/>
        <w:szCs w:val="18"/>
      </w:rPr>
      <w:t>29</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61C9" w14:textId="77777777" w:rsidR="009E32DA" w:rsidRDefault="009E32DA">
      <w:r>
        <w:separator/>
      </w:r>
    </w:p>
  </w:footnote>
  <w:footnote w:type="continuationSeparator" w:id="0">
    <w:p w14:paraId="15945A43" w14:textId="77777777" w:rsidR="009E32DA" w:rsidRDefault="009E3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4A"/>
    <w:multiLevelType w:val="multilevel"/>
    <w:tmpl w:val="ACD4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E1BD2"/>
    <w:multiLevelType w:val="multilevel"/>
    <w:tmpl w:val="F73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C656E"/>
    <w:multiLevelType w:val="hybridMultilevel"/>
    <w:tmpl w:val="03AAEF86"/>
    <w:lvl w:ilvl="0" w:tplc="41CED78C">
      <w:start w:val="1"/>
      <w:numFmt w:val="decimal"/>
      <w:lvlText w:val="%1."/>
      <w:lvlJc w:val="left"/>
      <w:pPr>
        <w:ind w:left="0" w:firstLine="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B7EFD"/>
    <w:multiLevelType w:val="multilevel"/>
    <w:tmpl w:val="0EECDE5A"/>
    <w:lvl w:ilvl="0">
      <w:start w:val="1"/>
      <w:numFmt w:val="decimal"/>
      <w:pStyle w:val="Heading1"/>
      <w:lvlText w:val="%1"/>
      <w:lvlJc w:val="left"/>
      <w:pPr>
        <w:ind w:left="432" w:hanging="432"/>
      </w:pPr>
    </w:lvl>
    <w:lvl w:ilvl="1">
      <w:start w:val="1"/>
      <w:numFmt w:val="decimal"/>
      <w:pStyle w:val="Heading2"/>
      <w:lvlText w:val="%1.%2"/>
      <w:lvlJc w:val="left"/>
      <w:pPr>
        <w:ind w:left="440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E92503"/>
    <w:multiLevelType w:val="multilevel"/>
    <w:tmpl w:val="5DD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C2D87"/>
    <w:multiLevelType w:val="hybridMultilevel"/>
    <w:tmpl w:val="965CD054"/>
    <w:lvl w:ilvl="0" w:tplc="6090C824">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6" w15:restartNumberingAfterBreak="0">
    <w:nsid w:val="1FB22920"/>
    <w:multiLevelType w:val="multilevel"/>
    <w:tmpl w:val="BAD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84548"/>
    <w:multiLevelType w:val="hybridMultilevel"/>
    <w:tmpl w:val="16C86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71DB8"/>
    <w:multiLevelType w:val="hybridMultilevel"/>
    <w:tmpl w:val="6E36847E"/>
    <w:lvl w:ilvl="0" w:tplc="E3B2A65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C464CC"/>
    <w:multiLevelType w:val="hybridMultilevel"/>
    <w:tmpl w:val="4412EC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2B6DFC"/>
    <w:multiLevelType w:val="hybridMultilevel"/>
    <w:tmpl w:val="3D1E0D16"/>
    <w:lvl w:ilvl="0" w:tplc="32520508">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97855"/>
    <w:multiLevelType w:val="hybridMultilevel"/>
    <w:tmpl w:val="85A22CE6"/>
    <w:lvl w:ilvl="0" w:tplc="F118D74E">
      <w:start w:val="1"/>
      <w:numFmt w:val="bullet"/>
      <w:pStyle w:val="Tablebulletpoint"/>
      <w:lvlText w:val=""/>
      <w:lvlJc w:val="left"/>
      <w:pPr>
        <w:ind w:left="720" w:hanging="360"/>
      </w:pPr>
      <w:rPr>
        <w:rFonts w:ascii="Symbol" w:hAnsi="Symbol" w:hint="default"/>
      </w:rPr>
    </w:lvl>
    <w:lvl w:ilvl="1" w:tplc="AE8E1140">
      <w:start w:val="1"/>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F45E0"/>
    <w:multiLevelType w:val="multilevel"/>
    <w:tmpl w:val="C3B48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53D96"/>
    <w:multiLevelType w:val="hybridMultilevel"/>
    <w:tmpl w:val="C4B6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92D0D"/>
    <w:multiLevelType w:val="hybridMultilevel"/>
    <w:tmpl w:val="03BC9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A451E0"/>
    <w:multiLevelType w:val="hybridMultilevel"/>
    <w:tmpl w:val="9B907958"/>
    <w:styleLink w:val="ImportedStyle1"/>
    <w:lvl w:ilvl="0" w:tplc="C980F064">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 w:ilvl="1" w:tplc="F32C927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 w:ilvl="2" w:tplc="EA64B5A6">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 w:ilvl="3" w:tplc="0F00F7C0">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 w:ilvl="4" w:tplc="0FEAC4CE">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 w:ilvl="5" w:tplc="AAD0855A">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 w:ilvl="6" w:tplc="787A47B8">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 w:ilvl="7" w:tplc="D820DD58">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 w:ilvl="8" w:tplc="210C4330">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abstractNum>
  <w:abstractNum w:abstractNumId="16" w15:restartNumberingAfterBreak="0">
    <w:nsid w:val="4FC44E0E"/>
    <w:multiLevelType w:val="hybridMultilevel"/>
    <w:tmpl w:val="AB7405BE"/>
    <w:lvl w:ilvl="0" w:tplc="41CED78C">
      <w:start w:val="1"/>
      <w:numFmt w:val="decimal"/>
      <w:lvlText w:val="%1."/>
      <w:lvlJc w:val="left"/>
      <w:pPr>
        <w:ind w:left="0" w:firstLine="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D42A53"/>
    <w:multiLevelType w:val="hybridMultilevel"/>
    <w:tmpl w:val="908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777F1"/>
    <w:multiLevelType w:val="hybridMultilevel"/>
    <w:tmpl w:val="FBBC1B02"/>
    <w:lvl w:ilvl="0" w:tplc="30DE24B0">
      <w:start w:val="3"/>
      <w:numFmt w:val="bullet"/>
      <w:lvlText w:val="•"/>
      <w:lvlJc w:val="left"/>
      <w:pPr>
        <w:ind w:left="720" w:hanging="72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5768FE"/>
    <w:multiLevelType w:val="hybridMultilevel"/>
    <w:tmpl w:val="33907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630F58"/>
    <w:multiLevelType w:val="hybridMultilevel"/>
    <w:tmpl w:val="BFB8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56732"/>
    <w:multiLevelType w:val="hybridMultilevel"/>
    <w:tmpl w:val="777E8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60353"/>
    <w:multiLevelType w:val="hybridMultilevel"/>
    <w:tmpl w:val="2D8A8258"/>
    <w:lvl w:ilvl="0" w:tplc="332EE4D4">
      <w:start w:val="3"/>
      <w:numFmt w:val="bullet"/>
      <w:lvlText w:val="•"/>
      <w:lvlJc w:val="left"/>
      <w:pPr>
        <w:ind w:left="720" w:hanging="72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282924"/>
    <w:multiLevelType w:val="hybridMultilevel"/>
    <w:tmpl w:val="16C86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B96813"/>
    <w:multiLevelType w:val="hybridMultilevel"/>
    <w:tmpl w:val="9B907958"/>
    <w:numStyleLink w:val="ImportedStyle1"/>
  </w:abstractNum>
  <w:abstractNum w:abstractNumId="25" w15:restartNumberingAfterBreak="0">
    <w:nsid w:val="7B455C29"/>
    <w:multiLevelType w:val="hybridMultilevel"/>
    <w:tmpl w:val="D7DA4E06"/>
    <w:lvl w:ilvl="0" w:tplc="332EE4D4">
      <w:start w:val="3"/>
      <w:numFmt w:val="bullet"/>
      <w:lvlText w:val="•"/>
      <w:lvlJc w:val="left"/>
      <w:pPr>
        <w:ind w:left="720" w:hanging="72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1"/>
  </w:num>
  <w:num w:numId="4">
    <w:abstractNumId w:val="3"/>
  </w:num>
  <w:num w:numId="5">
    <w:abstractNumId w:val="10"/>
  </w:num>
  <w:num w:numId="6">
    <w:abstractNumId w:val="5"/>
  </w:num>
  <w:num w:numId="7">
    <w:abstractNumId w:val="17"/>
  </w:num>
  <w:num w:numId="8">
    <w:abstractNumId w:val="11"/>
  </w:num>
  <w:num w:numId="9">
    <w:abstractNumId w:val="23"/>
  </w:num>
  <w:num w:numId="10">
    <w:abstractNumId w:val="16"/>
  </w:num>
  <w:num w:numId="11">
    <w:abstractNumId w:val="2"/>
  </w:num>
  <w:num w:numId="12">
    <w:abstractNumId w:val="8"/>
  </w:num>
  <w:num w:numId="13">
    <w:abstractNumId w:val="20"/>
  </w:num>
  <w:num w:numId="14">
    <w:abstractNumId w:val="22"/>
  </w:num>
  <w:num w:numId="15">
    <w:abstractNumId w:val="25"/>
  </w:num>
  <w:num w:numId="16">
    <w:abstractNumId w:val="18"/>
  </w:num>
  <w:num w:numId="17">
    <w:abstractNumId w:val="14"/>
  </w:num>
  <w:num w:numId="18">
    <w:abstractNumId w:val="12"/>
  </w:num>
  <w:num w:numId="19">
    <w:abstractNumId w:val="13"/>
  </w:num>
  <w:num w:numId="20">
    <w:abstractNumId w:val="11"/>
  </w:num>
  <w:num w:numId="21">
    <w:abstractNumId w:val="19"/>
  </w:num>
  <w:num w:numId="22">
    <w:abstractNumId w:val="9"/>
  </w:num>
  <w:num w:numId="23">
    <w:abstractNumId w:val="0"/>
  </w:num>
  <w:num w:numId="24">
    <w:abstractNumId w:val="6"/>
  </w:num>
  <w:num w:numId="25">
    <w:abstractNumId w:val="4"/>
  </w:num>
  <w:num w:numId="26">
    <w:abstractNumId w:val="1"/>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de-DE" w:vendorID="64" w:dllVersion="0" w:nlCheck="1" w:checkStyle="0"/>
  <w:activeWritingStyle w:appName="MSWord" w:lang="pt-PT" w:vendorID="64" w:dllVersion="0" w:nlCheck="1" w:checkStyle="0"/>
  <w:activeWritingStyle w:appName="MSWord" w:lang="fr-FR"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2B"/>
    <w:rsid w:val="00004C00"/>
    <w:rsid w:val="00005CC9"/>
    <w:rsid w:val="00020EF4"/>
    <w:rsid w:val="000229E6"/>
    <w:rsid w:val="0003215F"/>
    <w:rsid w:val="00032573"/>
    <w:rsid w:val="0003561D"/>
    <w:rsid w:val="0004066B"/>
    <w:rsid w:val="0004410A"/>
    <w:rsid w:val="0005001D"/>
    <w:rsid w:val="00052C41"/>
    <w:rsid w:val="00060663"/>
    <w:rsid w:val="000648F9"/>
    <w:rsid w:val="00066C4E"/>
    <w:rsid w:val="00070C00"/>
    <w:rsid w:val="00071F1D"/>
    <w:rsid w:val="0008630A"/>
    <w:rsid w:val="00091B07"/>
    <w:rsid w:val="00092DA7"/>
    <w:rsid w:val="000A1B89"/>
    <w:rsid w:val="000A2F7A"/>
    <w:rsid w:val="000A3223"/>
    <w:rsid w:val="000A7AB0"/>
    <w:rsid w:val="000B0AD5"/>
    <w:rsid w:val="000B1E62"/>
    <w:rsid w:val="000B7264"/>
    <w:rsid w:val="000C23EF"/>
    <w:rsid w:val="000C2DBA"/>
    <w:rsid w:val="000C3F24"/>
    <w:rsid w:val="000C4473"/>
    <w:rsid w:val="000C7F57"/>
    <w:rsid w:val="000D1B51"/>
    <w:rsid w:val="000D6384"/>
    <w:rsid w:val="000D72EF"/>
    <w:rsid w:val="000E2D13"/>
    <w:rsid w:val="000E535B"/>
    <w:rsid w:val="000E7ED6"/>
    <w:rsid w:val="000F0331"/>
    <w:rsid w:val="000F291E"/>
    <w:rsid w:val="000F2BED"/>
    <w:rsid w:val="000F657C"/>
    <w:rsid w:val="000F7EAA"/>
    <w:rsid w:val="001043B1"/>
    <w:rsid w:val="001050D2"/>
    <w:rsid w:val="00112897"/>
    <w:rsid w:val="001148C2"/>
    <w:rsid w:val="001215A2"/>
    <w:rsid w:val="00121FE0"/>
    <w:rsid w:val="00125A6A"/>
    <w:rsid w:val="001332B1"/>
    <w:rsid w:val="001358B1"/>
    <w:rsid w:val="00140B91"/>
    <w:rsid w:val="00140D64"/>
    <w:rsid w:val="00150272"/>
    <w:rsid w:val="00153B33"/>
    <w:rsid w:val="001548BE"/>
    <w:rsid w:val="0015516F"/>
    <w:rsid w:val="00156193"/>
    <w:rsid w:val="001638B0"/>
    <w:rsid w:val="00164DC3"/>
    <w:rsid w:val="00172C67"/>
    <w:rsid w:val="001736CD"/>
    <w:rsid w:val="00181B0F"/>
    <w:rsid w:val="00186C1C"/>
    <w:rsid w:val="001919CC"/>
    <w:rsid w:val="001939B9"/>
    <w:rsid w:val="001962F7"/>
    <w:rsid w:val="001A5987"/>
    <w:rsid w:val="001A6675"/>
    <w:rsid w:val="001A7774"/>
    <w:rsid w:val="001B250A"/>
    <w:rsid w:val="001B2D7B"/>
    <w:rsid w:val="001B5087"/>
    <w:rsid w:val="001C39B9"/>
    <w:rsid w:val="001E507E"/>
    <w:rsid w:val="001F0976"/>
    <w:rsid w:val="001F4287"/>
    <w:rsid w:val="001F73AA"/>
    <w:rsid w:val="001F7EAB"/>
    <w:rsid w:val="00212F9E"/>
    <w:rsid w:val="00217BA3"/>
    <w:rsid w:val="002201AB"/>
    <w:rsid w:val="00226690"/>
    <w:rsid w:val="002311D6"/>
    <w:rsid w:val="00231954"/>
    <w:rsid w:val="00232018"/>
    <w:rsid w:val="002339E7"/>
    <w:rsid w:val="002342BF"/>
    <w:rsid w:val="0023663D"/>
    <w:rsid w:val="002403B3"/>
    <w:rsid w:val="002462AA"/>
    <w:rsid w:val="00247E5B"/>
    <w:rsid w:val="002549AB"/>
    <w:rsid w:val="002576B3"/>
    <w:rsid w:val="00261A36"/>
    <w:rsid w:val="002627AF"/>
    <w:rsid w:val="002638C6"/>
    <w:rsid w:val="0026751F"/>
    <w:rsid w:val="002713BE"/>
    <w:rsid w:val="00272BFE"/>
    <w:rsid w:val="002776A7"/>
    <w:rsid w:val="00281124"/>
    <w:rsid w:val="00282025"/>
    <w:rsid w:val="00284631"/>
    <w:rsid w:val="00284D59"/>
    <w:rsid w:val="00285DE6"/>
    <w:rsid w:val="00294275"/>
    <w:rsid w:val="002955CD"/>
    <w:rsid w:val="002A35BF"/>
    <w:rsid w:val="002A6933"/>
    <w:rsid w:val="002A7CFD"/>
    <w:rsid w:val="002B3374"/>
    <w:rsid w:val="002B783C"/>
    <w:rsid w:val="002C0C34"/>
    <w:rsid w:val="002C1B83"/>
    <w:rsid w:val="002C5221"/>
    <w:rsid w:val="002D012B"/>
    <w:rsid w:val="002D0D76"/>
    <w:rsid w:val="002D11BA"/>
    <w:rsid w:val="002D4A9E"/>
    <w:rsid w:val="002D7382"/>
    <w:rsid w:val="002E0018"/>
    <w:rsid w:val="002E0845"/>
    <w:rsid w:val="002E12F7"/>
    <w:rsid w:val="002E1875"/>
    <w:rsid w:val="002E7D95"/>
    <w:rsid w:val="002F3CC5"/>
    <w:rsid w:val="002F60E9"/>
    <w:rsid w:val="002F6108"/>
    <w:rsid w:val="00305703"/>
    <w:rsid w:val="0030769A"/>
    <w:rsid w:val="003079CF"/>
    <w:rsid w:val="003100E0"/>
    <w:rsid w:val="003146B8"/>
    <w:rsid w:val="00314BE4"/>
    <w:rsid w:val="00314C99"/>
    <w:rsid w:val="00316239"/>
    <w:rsid w:val="003216DA"/>
    <w:rsid w:val="00321C79"/>
    <w:rsid w:val="003255A3"/>
    <w:rsid w:val="00326409"/>
    <w:rsid w:val="00327E55"/>
    <w:rsid w:val="00337D0A"/>
    <w:rsid w:val="00345256"/>
    <w:rsid w:val="00351880"/>
    <w:rsid w:val="003552BB"/>
    <w:rsid w:val="0035546F"/>
    <w:rsid w:val="003644A7"/>
    <w:rsid w:val="0036462D"/>
    <w:rsid w:val="00367F3A"/>
    <w:rsid w:val="003707FA"/>
    <w:rsid w:val="0037412A"/>
    <w:rsid w:val="00375392"/>
    <w:rsid w:val="00377A64"/>
    <w:rsid w:val="00384682"/>
    <w:rsid w:val="00387D38"/>
    <w:rsid w:val="00392B40"/>
    <w:rsid w:val="00395E01"/>
    <w:rsid w:val="003A0DC0"/>
    <w:rsid w:val="003B039B"/>
    <w:rsid w:val="003B079A"/>
    <w:rsid w:val="003C11FD"/>
    <w:rsid w:val="003C1309"/>
    <w:rsid w:val="003D66D0"/>
    <w:rsid w:val="003E0B9E"/>
    <w:rsid w:val="003E259F"/>
    <w:rsid w:val="003E31AE"/>
    <w:rsid w:val="003E61DA"/>
    <w:rsid w:val="003E6374"/>
    <w:rsid w:val="003F7658"/>
    <w:rsid w:val="003F7786"/>
    <w:rsid w:val="00405377"/>
    <w:rsid w:val="004158EE"/>
    <w:rsid w:val="00425E14"/>
    <w:rsid w:val="00431C29"/>
    <w:rsid w:val="00431CB9"/>
    <w:rsid w:val="00435A40"/>
    <w:rsid w:val="004361BB"/>
    <w:rsid w:val="00440061"/>
    <w:rsid w:val="00445D26"/>
    <w:rsid w:val="004469BD"/>
    <w:rsid w:val="00447931"/>
    <w:rsid w:val="004570FD"/>
    <w:rsid w:val="004633E8"/>
    <w:rsid w:val="00467B32"/>
    <w:rsid w:val="004744F8"/>
    <w:rsid w:val="00476CAA"/>
    <w:rsid w:val="004825D3"/>
    <w:rsid w:val="00490BF9"/>
    <w:rsid w:val="0049129D"/>
    <w:rsid w:val="00491313"/>
    <w:rsid w:val="00492EA9"/>
    <w:rsid w:val="00493D57"/>
    <w:rsid w:val="00496C97"/>
    <w:rsid w:val="004A0C81"/>
    <w:rsid w:val="004A0CD3"/>
    <w:rsid w:val="004A1AD5"/>
    <w:rsid w:val="004A1DF0"/>
    <w:rsid w:val="004C0F24"/>
    <w:rsid w:val="004C658D"/>
    <w:rsid w:val="004C77F3"/>
    <w:rsid w:val="004E5A03"/>
    <w:rsid w:val="004E5CEC"/>
    <w:rsid w:val="004E75ED"/>
    <w:rsid w:val="004F0582"/>
    <w:rsid w:val="0050292B"/>
    <w:rsid w:val="00502A31"/>
    <w:rsid w:val="00504B2F"/>
    <w:rsid w:val="00520CF4"/>
    <w:rsid w:val="00522044"/>
    <w:rsid w:val="005251EC"/>
    <w:rsid w:val="005254FD"/>
    <w:rsid w:val="00530604"/>
    <w:rsid w:val="005328A6"/>
    <w:rsid w:val="00534434"/>
    <w:rsid w:val="005371A3"/>
    <w:rsid w:val="00540821"/>
    <w:rsid w:val="00546054"/>
    <w:rsid w:val="0054763F"/>
    <w:rsid w:val="00551CF0"/>
    <w:rsid w:val="00551FEA"/>
    <w:rsid w:val="00553CBC"/>
    <w:rsid w:val="0056400F"/>
    <w:rsid w:val="00564A38"/>
    <w:rsid w:val="00564AB6"/>
    <w:rsid w:val="00570DF9"/>
    <w:rsid w:val="00570EF4"/>
    <w:rsid w:val="00577C3C"/>
    <w:rsid w:val="00585D19"/>
    <w:rsid w:val="00592A6E"/>
    <w:rsid w:val="005A3E88"/>
    <w:rsid w:val="005A7D3C"/>
    <w:rsid w:val="005B0A9C"/>
    <w:rsid w:val="005B53A5"/>
    <w:rsid w:val="005B54C9"/>
    <w:rsid w:val="005C409E"/>
    <w:rsid w:val="005D26BC"/>
    <w:rsid w:val="005D417A"/>
    <w:rsid w:val="005E282C"/>
    <w:rsid w:val="005E3255"/>
    <w:rsid w:val="005F6F20"/>
    <w:rsid w:val="005F7DD3"/>
    <w:rsid w:val="0060017F"/>
    <w:rsid w:val="006013AA"/>
    <w:rsid w:val="00601A65"/>
    <w:rsid w:val="00604E78"/>
    <w:rsid w:val="00610263"/>
    <w:rsid w:val="00614DFB"/>
    <w:rsid w:val="00615749"/>
    <w:rsid w:val="00620890"/>
    <w:rsid w:val="006218BD"/>
    <w:rsid w:val="006233A8"/>
    <w:rsid w:val="00624AF8"/>
    <w:rsid w:val="006424FB"/>
    <w:rsid w:val="006463B1"/>
    <w:rsid w:val="00662F3D"/>
    <w:rsid w:val="006632F0"/>
    <w:rsid w:val="006703FF"/>
    <w:rsid w:val="006733D5"/>
    <w:rsid w:val="006771F6"/>
    <w:rsid w:val="00680823"/>
    <w:rsid w:val="00683AB0"/>
    <w:rsid w:val="0068406A"/>
    <w:rsid w:val="00692054"/>
    <w:rsid w:val="00693987"/>
    <w:rsid w:val="006A3135"/>
    <w:rsid w:val="006A6A33"/>
    <w:rsid w:val="006A7925"/>
    <w:rsid w:val="006B0DAC"/>
    <w:rsid w:val="006B211B"/>
    <w:rsid w:val="006B2121"/>
    <w:rsid w:val="006B3AB4"/>
    <w:rsid w:val="006B3DFE"/>
    <w:rsid w:val="006B5EAF"/>
    <w:rsid w:val="006C09BD"/>
    <w:rsid w:val="006C186E"/>
    <w:rsid w:val="006C4F0C"/>
    <w:rsid w:val="006D5E8E"/>
    <w:rsid w:val="006E0BC9"/>
    <w:rsid w:val="006F05C6"/>
    <w:rsid w:val="006F1672"/>
    <w:rsid w:val="006F6A48"/>
    <w:rsid w:val="006F7FA6"/>
    <w:rsid w:val="007132D8"/>
    <w:rsid w:val="00715DFC"/>
    <w:rsid w:val="007168FC"/>
    <w:rsid w:val="00721E3E"/>
    <w:rsid w:val="007242F4"/>
    <w:rsid w:val="007256DD"/>
    <w:rsid w:val="00730A5C"/>
    <w:rsid w:val="00736AAE"/>
    <w:rsid w:val="00745800"/>
    <w:rsid w:val="0074770C"/>
    <w:rsid w:val="0075294E"/>
    <w:rsid w:val="00755819"/>
    <w:rsid w:val="00756EF7"/>
    <w:rsid w:val="007614D7"/>
    <w:rsid w:val="007617D0"/>
    <w:rsid w:val="0076501E"/>
    <w:rsid w:val="007679CE"/>
    <w:rsid w:val="00773C38"/>
    <w:rsid w:val="00775824"/>
    <w:rsid w:val="00777E3A"/>
    <w:rsid w:val="00780E6F"/>
    <w:rsid w:val="00781352"/>
    <w:rsid w:val="007822A1"/>
    <w:rsid w:val="0078461D"/>
    <w:rsid w:val="00786991"/>
    <w:rsid w:val="00787F7A"/>
    <w:rsid w:val="00793305"/>
    <w:rsid w:val="007A07AB"/>
    <w:rsid w:val="007A1376"/>
    <w:rsid w:val="007A46D6"/>
    <w:rsid w:val="007D3636"/>
    <w:rsid w:val="007D5B2A"/>
    <w:rsid w:val="007E4581"/>
    <w:rsid w:val="007E562E"/>
    <w:rsid w:val="007E7303"/>
    <w:rsid w:val="007E7463"/>
    <w:rsid w:val="007F0EC0"/>
    <w:rsid w:val="00800679"/>
    <w:rsid w:val="00801CF9"/>
    <w:rsid w:val="00801D2F"/>
    <w:rsid w:val="008155D5"/>
    <w:rsid w:val="00816E42"/>
    <w:rsid w:val="00821F0F"/>
    <w:rsid w:val="00823404"/>
    <w:rsid w:val="00831E84"/>
    <w:rsid w:val="0083220A"/>
    <w:rsid w:val="00856DBA"/>
    <w:rsid w:val="00857DD4"/>
    <w:rsid w:val="00857FA5"/>
    <w:rsid w:val="00862388"/>
    <w:rsid w:val="008649CA"/>
    <w:rsid w:val="00865591"/>
    <w:rsid w:val="00865C1B"/>
    <w:rsid w:val="008661DE"/>
    <w:rsid w:val="00871E32"/>
    <w:rsid w:val="00872831"/>
    <w:rsid w:val="008809AC"/>
    <w:rsid w:val="00893008"/>
    <w:rsid w:val="00895DB4"/>
    <w:rsid w:val="008A25DB"/>
    <w:rsid w:val="008A45AF"/>
    <w:rsid w:val="008A5BEE"/>
    <w:rsid w:val="008B2285"/>
    <w:rsid w:val="008B323F"/>
    <w:rsid w:val="008B36EC"/>
    <w:rsid w:val="008B4730"/>
    <w:rsid w:val="008C0F14"/>
    <w:rsid w:val="008C2A4F"/>
    <w:rsid w:val="008C3A34"/>
    <w:rsid w:val="008C45F6"/>
    <w:rsid w:val="008C5612"/>
    <w:rsid w:val="008C6E97"/>
    <w:rsid w:val="008D02AA"/>
    <w:rsid w:val="008E0551"/>
    <w:rsid w:val="008E2CED"/>
    <w:rsid w:val="008E67D3"/>
    <w:rsid w:val="008E6F28"/>
    <w:rsid w:val="008E781E"/>
    <w:rsid w:val="008E7C4E"/>
    <w:rsid w:val="008F2FB2"/>
    <w:rsid w:val="008F340F"/>
    <w:rsid w:val="008F67ED"/>
    <w:rsid w:val="009048E6"/>
    <w:rsid w:val="0090616A"/>
    <w:rsid w:val="0091120B"/>
    <w:rsid w:val="00912651"/>
    <w:rsid w:val="009128B7"/>
    <w:rsid w:val="00912A2E"/>
    <w:rsid w:val="009136F5"/>
    <w:rsid w:val="00914F2C"/>
    <w:rsid w:val="00920F71"/>
    <w:rsid w:val="0093469D"/>
    <w:rsid w:val="00937A6A"/>
    <w:rsid w:val="00940EB5"/>
    <w:rsid w:val="00941749"/>
    <w:rsid w:val="00944C61"/>
    <w:rsid w:val="00944E34"/>
    <w:rsid w:val="00947CCB"/>
    <w:rsid w:val="009517C5"/>
    <w:rsid w:val="00965A8F"/>
    <w:rsid w:val="0097452C"/>
    <w:rsid w:val="00984C6C"/>
    <w:rsid w:val="00984F52"/>
    <w:rsid w:val="009911AC"/>
    <w:rsid w:val="0099313B"/>
    <w:rsid w:val="00994943"/>
    <w:rsid w:val="00995C80"/>
    <w:rsid w:val="009A3DB9"/>
    <w:rsid w:val="009A7F60"/>
    <w:rsid w:val="009B19C1"/>
    <w:rsid w:val="009C2946"/>
    <w:rsid w:val="009C35C4"/>
    <w:rsid w:val="009C5451"/>
    <w:rsid w:val="009C5F37"/>
    <w:rsid w:val="009D1848"/>
    <w:rsid w:val="009D1E46"/>
    <w:rsid w:val="009D2AD1"/>
    <w:rsid w:val="009D33FC"/>
    <w:rsid w:val="009E002C"/>
    <w:rsid w:val="009E2193"/>
    <w:rsid w:val="009E32DA"/>
    <w:rsid w:val="009E60BE"/>
    <w:rsid w:val="009F5E0C"/>
    <w:rsid w:val="009F652E"/>
    <w:rsid w:val="00A02B7A"/>
    <w:rsid w:val="00A02D01"/>
    <w:rsid w:val="00A057E4"/>
    <w:rsid w:val="00A37F2B"/>
    <w:rsid w:val="00A406F4"/>
    <w:rsid w:val="00A428B7"/>
    <w:rsid w:val="00A44A2C"/>
    <w:rsid w:val="00A460A1"/>
    <w:rsid w:val="00A47712"/>
    <w:rsid w:val="00A53667"/>
    <w:rsid w:val="00A53D66"/>
    <w:rsid w:val="00A57724"/>
    <w:rsid w:val="00A577FF"/>
    <w:rsid w:val="00A603DD"/>
    <w:rsid w:val="00A72E6D"/>
    <w:rsid w:val="00A76D97"/>
    <w:rsid w:val="00A77C31"/>
    <w:rsid w:val="00A8245F"/>
    <w:rsid w:val="00A84E31"/>
    <w:rsid w:val="00A86BB0"/>
    <w:rsid w:val="00A9420E"/>
    <w:rsid w:val="00A96DFA"/>
    <w:rsid w:val="00AA5F06"/>
    <w:rsid w:val="00AC6D86"/>
    <w:rsid w:val="00AD284D"/>
    <w:rsid w:val="00AD76C6"/>
    <w:rsid w:val="00AE2304"/>
    <w:rsid w:val="00AE3ACB"/>
    <w:rsid w:val="00AE42FC"/>
    <w:rsid w:val="00AE47DC"/>
    <w:rsid w:val="00AF0C1A"/>
    <w:rsid w:val="00AF2A55"/>
    <w:rsid w:val="00AF3404"/>
    <w:rsid w:val="00AF4309"/>
    <w:rsid w:val="00AF5F7A"/>
    <w:rsid w:val="00AF5FEB"/>
    <w:rsid w:val="00AF7A58"/>
    <w:rsid w:val="00B00395"/>
    <w:rsid w:val="00B005CC"/>
    <w:rsid w:val="00B00B71"/>
    <w:rsid w:val="00B033AB"/>
    <w:rsid w:val="00B04869"/>
    <w:rsid w:val="00B10953"/>
    <w:rsid w:val="00B10A76"/>
    <w:rsid w:val="00B2108E"/>
    <w:rsid w:val="00B23AA2"/>
    <w:rsid w:val="00B509D4"/>
    <w:rsid w:val="00B53D37"/>
    <w:rsid w:val="00B54614"/>
    <w:rsid w:val="00B5478B"/>
    <w:rsid w:val="00B61045"/>
    <w:rsid w:val="00B71464"/>
    <w:rsid w:val="00B83ECB"/>
    <w:rsid w:val="00B8400A"/>
    <w:rsid w:val="00B941CF"/>
    <w:rsid w:val="00B963F3"/>
    <w:rsid w:val="00BA0C74"/>
    <w:rsid w:val="00BA7DC8"/>
    <w:rsid w:val="00BB3379"/>
    <w:rsid w:val="00BB51C1"/>
    <w:rsid w:val="00BB54DC"/>
    <w:rsid w:val="00BB5534"/>
    <w:rsid w:val="00BB5D1E"/>
    <w:rsid w:val="00BC08A5"/>
    <w:rsid w:val="00BC368F"/>
    <w:rsid w:val="00BC597A"/>
    <w:rsid w:val="00BC5BBC"/>
    <w:rsid w:val="00BD7408"/>
    <w:rsid w:val="00BF4010"/>
    <w:rsid w:val="00BF6D05"/>
    <w:rsid w:val="00C05267"/>
    <w:rsid w:val="00C064BD"/>
    <w:rsid w:val="00C111D6"/>
    <w:rsid w:val="00C13CC3"/>
    <w:rsid w:val="00C142B5"/>
    <w:rsid w:val="00C16E5B"/>
    <w:rsid w:val="00C17C2A"/>
    <w:rsid w:val="00C204F6"/>
    <w:rsid w:val="00C23277"/>
    <w:rsid w:val="00C25F33"/>
    <w:rsid w:val="00C26512"/>
    <w:rsid w:val="00C3363F"/>
    <w:rsid w:val="00C34B52"/>
    <w:rsid w:val="00C379DB"/>
    <w:rsid w:val="00C40237"/>
    <w:rsid w:val="00C44A79"/>
    <w:rsid w:val="00C45206"/>
    <w:rsid w:val="00C47787"/>
    <w:rsid w:val="00C50154"/>
    <w:rsid w:val="00C52475"/>
    <w:rsid w:val="00C552C8"/>
    <w:rsid w:val="00C652C9"/>
    <w:rsid w:val="00C7044F"/>
    <w:rsid w:val="00C779C3"/>
    <w:rsid w:val="00C800DF"/>
    <w:rsid w:val="00C81EF8"/>
    <w:rsid w:val="00C82D4F"/>
    <w:rsid w:val="00C94F1B"/>
    <w:rsid w:val="00C95380"/>
    <w:rsid w:val="00CA0A25"/>
    <w:rsid w:val="00CA374E"/>
    <w:rsid w:val="00CA5C3D"/>
    <w:rsid w:val="00CA6094"/>
    <w:rsid w:val="00CB042F"/>
    <w:rsid w:val="00CB1F62"/>
    <w:rsid w:val="00CC0C33"/>
    <w:rsid w:val="00CC2207"/>
    <w:rsid w:val="00CC4DB3"/>
    <w:rsid w:val="00CD0259"/>
    <w:rsid w:val="00CD08F5"/>
    <w:rsid w:val="00CD7287"/>
    <w:rsid w:val="00CE32E3"/>
    <w:rsid w:val="00CF0CF4"/>
    <w:rsid w:val="00CF7DB6"/>
    <w:rsid w:val="00D0467F"/>
    <w:rsid w:val="00D13DCC"/>
    <w:rsid w:val="00D164F2"/>
    <w:rsid w:val="00D238C8"/>
    <w:rsid w:val="00D23FC9"/>
    <w:rsid w:val="00D35E58"/>
    <w:rsid w:val="00D41C9D"/>
    <w:rsid w:val="00D46D11"/>
    <w:rsid w:val="00D510EA"/>
    <w:rsid w:val="00D5357B"/>
    <w:rsid w:val="00D55621"/>
    <w:rsid w:val="00D62E63"/>
    <w:rsid w:val="00D65450"/>
    <w:rsid w:val="00D6611A"/>
    <w:rsid w:val="00D7329E"/>
    <w:rsid w:val="00D82B35"/>
    <w:rsid w:val="00D8402C"/>
    <w:rsid w:val="00D90DE4"/>
    <w:rsid w:val="00D93981"/>
    <w:rsid w:val="00DA2762"/>
    <w:rsid w:val="00DA3101"/>
    <w:rsid w:val="00DA4232"/>
    <w:rsid w:val="00DA75A0"/>
    <w:rsid w:val="00DB0211"/>
    <w:rsid w:val="00DC2200"/>
    <w:rsid w:val="00DC4A3F"/>
    <w:rsid w:val="00DD3706"/>
    <w:rsid w:val="00DD51D3"/>
    <w:rsid w:val="00DD7117"/>
    <w:rsid w:val="00DE0794"/>
    <w:rsid w:val="00DE3242"/>
    <w:rsid w:val="00DF2563"/>
    <w:rsid w:val="00E02507"/>
    <w:rsid w:val="00E050D3"/>
    <w:rsid w:val="00E056EC"/>
    <w:rsid w:val="00E134B3"/>
    <w:rsid w:val="00E20372"/>
    <w:rsid w:val="00E24DC7"/>
    <w:rsid w:val="00E265FC"/>
    <w:rsid w:val="00E34448"/>
    <w:rsid w:val="00E424C7"/>
    <w:rsid w:val="00E43887"/>
    <w:rsid w:val="00E50A1A"/>
    <w:rsid w:val="00E53218"/>
    <w:rsid w:val="00E5551E"/>
    <w:rsid w:val="00E641B2"/>
    <w:rsid w:val="00E65880"/>
    <w:rsid w:val="00E7249D"/>
    <w:rsid w:val="00E757CD"/>
    <w:rsid w:val="00E75D18"/>
    <w:rsid w:val="00E80650"/>
    <w:rsid w:val="00E823F5"/>
    <w:rsid w:val="00E83DEC"/>
    <w:rsid w:val="00E87A3B"/>
    <w:rsid w:val="00E91E04"/>
    <w:rsid w:val="00E92EFA"/>
    <w:rsid w:val="00E93B56"/>
    <w:rsid w:val="00E94B32"/>
    <w:rsid w:val="00E94BF7"/>
    <w:rsid w:val="00EA1B3B"/>
    <w:rsid w:val="00EA45FA"/>
    <w:rsid w:val="00EB2681"/>
    <w:rsid w:val="00EB4FE8"/>
    <w:rsid w:val="00EC03DC"/>
    <w:rsid w:val="00EC580F"/>
    <w:rsid w:val="00ED4F9D"/>
    <w:rsid w:val="00EF6920"/>
    <w:rsid w:val="00F03535"/>
    <w:rsid w:val="00F073DF"/>
    <w:rsid w:val="00F3038A"/>
    <w:rsid w:val="00F30629"/>
    <w:rsid w:val="00F3385B"/>
    <w:rsid w:val="00F44FE1"/>
    <w:rsid w:val="00F461BB"/>
    <w:rsid w:val="00F547DF"/>
    <w:rsid w:val="00F55D0B"/>
    <w:rsid w:val="00F63E55"/>
    <w:rsid w:val="00F76D52"/>
    <w:rsid w:val="00F8457B"/>
    <w:rsid w:val="00F84A8A"/>
    <w:rsid w:val="00F9098F"/>
    <w:rsid w:val="00F92419"/>
    <w:rsid w:val="00F94E83"/>
    <w:rsid w:val="00FA6B8D"/>
    <w:rsid w:val="00FA7A68"/>
    <w:rsid w:val="00FB1581"/>
    <w:rsid w:val="00FB5D0A"/>
    <w:rsid w:val="00FC2A85"/>
    <w:rsid w:val="00FC7D20"/>
    <w:rsid w:val="00FC7E34"/>
    <w:rsid w:val="00FD1BEB"/>
    <w:rsid w:val="00FD2EC6"/>
    <w:rsid w:val="00FD52A4"/>
    <w:rsid w:val="00FE00CD"/>
    <w:rsid w:val="00FE1312"/>
    <w:rsid w:val="00FE3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2D5A"/>
  <w15:docId w15:val="{354C892F-7CB3-449B-ABC0-BCA749AB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120B"/>
    <w:rPr>
      <w:sz w:val="24"/>
      <w:szCs w:val="24"/>
      <w:lang w:eastAsia="en-US"/>
    </w:rPr>
  </w:style>
  <w:style w:type="paragraph" w:styleId="Heading1">
    <w:name w:val="heading 1"/>
    <w:basedOn w:val="Normal"/>
    <w:next w:val="Normal"/>
    <w:link w:val="Heading1Char"/>
    <w:qFormat/>
    <w:rsid w:val="004361BB"/>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80" w:after="240" w:line="300" w:lineRule="atLeast"/>
      <w:jc w:val="both"/>
      <w:outlineLvl w:val="0"/>
    </w:pPr>
    <w:rPr>
      <w:rFonts w:ascii="Arial" w:eastAsia="Times New Roman" w:hAnsi="Arial" w:cs="Arial"/>
      <w:b/>
      <w:color w:val="5E6DB1"/>
      <w:sz w:val="32"/>
      <w:szCs w:val="32"/>
      <w:bdr w:val="none" w:sz="0" w:space="0" w:color="auto"/>
    </w:rPr>
  </w:style>
  <w:style w:type="paragraph" w:styleId="Heading2">
    <w:name w:val="heading 2"/>
    <w:basedOn w:val="Normal"/>
    <w:next w:val="Normal"/>
    <w:link w:val="Heading2Char"/>
    <w:uiPriority w:val="9"/>
    <w:qFormat/>
    <w:rsid w:val="004361BB"/>
    <w:pPr>
      <w:keepNext/>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00" w:after="120" w:line="300" w:lineRule="atLeast"/>
      <w:ind w:left="680" w:hanging="680"/>
      <w:jc w:val="both"/>
      <w:outlineLvl w:val="1"/>
    </w:pPr>
    <w:rPr>
      <w:rFonts w:ascii="Arial Bold" w:eastAsia="Times New Roman" w:hAnsi="Arial Bold" w:cs="Arial"/>
      <w:b/>
      <w:bCs/>
      <w:color w:val="5E6DB1"/>
      <w:sz w:val="28"/>
      <w:szCs w:val="28"/>
      <w:bdr w:val="none" w:sz="0" w:space="0" w:color="auto"/>
      <w:lang w:eastAsia="en-GB"/>
    </w:rPr>
  </w:style>
  <w:style w:type="paragraph" w:styleId="Heading3">
    <w:name w:val="heading 3"/>
    <w:basedOn w:val="Heading2"/>
    <w:next w:val="Normal"/>
    <w:link w:val="Heading3Char"/>
    <w:qFormat/>
    <w:rsid w:val="004361BB"/>
    <w:pPr>
      <w:widowControl w:val="0"/>
      <w:numPr>
        <w:ilvl w:val="2"/>
      </w:numPr>
      <w:spacing w:before="120"/>
      <w:outlineLvl w:val="2"/>
    </w:pPr>
    <w:rPr>
      <w:color w:val="auto"/>
      <w:sz w:val="22"/>
      <w:szCs w:val="22"/>
    </w:rPr>
  </w:style>
  <w:style w:type="paragraph" w:styleId="Heading4">
    <w:name w:val="heading 4"/>
    <w:basedOn w:val="Normal"/>
    <w:next w:val="Normal"/>
    <w:link w:val="Heading4Char"/>
    <w:uiPriority w:val="9"/>
    <w:unhideWhenUsed/>
    <w:qFormat/>
    <w:rsid w:val="004361BB"/>
    <w:pPr>
      <w:keepNext/>
      <w:keepLines/>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60" w:line="300" w:lineRule="atLeast"/>
      <w:jc w:val="both"/>
      <w:outlineLvl w:val="3"/>
    </w:pPr>
    <w:rPr>
      <w:rFonts w:ascii="Arial" w:eastAsia="MS Mincho" w:hAnsi="Arial" w:cs="Arial"/>
      <w:i/>
      <w:iCs/>
      <w:sz w:val="20"/>
      <w:szCs w:val="20"/>
      <w:bdr w:val="none" w:sz="0" w:space="0" w:color="auto"/>
    </w:rPr>
  </w:style>
  <w:style w:type="paragraph" w:styleId="Heading5">
    <w:name w:val="heading 5"/>
    <w:basedOn w:val="Normal"/>
    <w:next w:val="Normal"/>
    <w:link w:val="Heading5Char"/>
    <w:qFormat/>
    <w:rsid w:val="004361BB"/>
    <w:pPr>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00" w:lineRule="atLeast"/>
      <w:jc w:val="both"/>
      <w:outlineLvl w:val="4"/>
    </w:pPr>
    <w:rPr>
      <w:rFonts w:ascii="Arial" w:eastAsia="Times New Roman" w:hAnsi="Arial" w:cs="Arial"/>
      <w:b/>
      <w:bCs/>
      <w:i/>
      <w:iCs/>
      <w:sz w:val="26"/>
      <w:szCs w:val="26"/>
      <w:bdr w:val="none" w:sz="0" w:space="0" w:color="auto"/>
    </w:rPr>
  </w:style>
  <w:style w:type="paragraph" w:styleId="Heading6">
    <w:name w:val="heading 6"/>
    <w:basedOn w:val="Normal"/>
    <w:next w:val="Normal"/>
    <w:link w:val="Heading6Char"/>
    <w:qFormat/>
    <w:rsid w:val="004361BB"/>
    <w:pPr>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00" w:lineRule="atLeast"/>
      <w:jc w:val="both"/>
      <w:outlineLvl w:val="5"/>
    </w:pPr>
    <w:rPr>
      <w:rFonts w:eastAsia="Times New Roman"/>
      <w:b/>
      <w:bCs/>
      <w:sz w:val="20"/>
      <w:szCs w:val="22"/>
      <w:bdr w:val="none" w:sz="0" w:space="0" w:color="auto"/>
    </w:rPr>
  </w:style>
  <w:style w:type="paragraph" w:styleId="Heading7">
    <w:name w:val="heading 7"/>
    <w:basedOn w:val="Normal"/>
    <w:next w:val="Normal"/>
    <w:link w:val="Heading7Char"/>
    <w:uiPriority w:val="9"/>
    <w:unhideWhenUsed/>
    <w:qFormat/>
    <w:rsid w:val="004361BB"/>
    <w:pPr>
      <w:keepNext/>
      <w:keepLines/>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line="300" w:lineRule="atLeast"/>
      <w:jc w:val="both"/>
      <w:outlineLvl w:val="6"/>
    </w:pPr>
    <w:rPr>
      <w:rFonts w:asciiTheme="majorHAnsi" w:eastAsiaTheme="majorEastAsia" w:hAnsiTheme="majorHAnsi" w:cstheme="majorBidi"/>
      <w:i/>
      <w:iCs/>
      <w:color w:val="00507F" w:themeColor="accent1" w:themeShade="7F"/>
      <w:sz w:val="20"/>
      <w:szCs w:val="22"/>
      <w:bdr w:val="none" w:sz="0" w:space="0" w:color="auto"/>
    </w:rPr>
  </w:style>
  <w:style w:type="paragraph" w:styleId="Heading8">
    <w:name w:val="heading 8"/>
    <w:basedOn w:val="Normal"/>
    <w:next w:val="Normal"/>
    <w:link w:val="Heading8Char"/>
    <w:uiPriority w:val="9"/>
    <w:semiHidden/>
    <w:unhideWhenUsed/>
    <w:qFormat/>
    <w:rsid w:val="004361BB"/>
    <w:pPr>
      <w:keepNext/>
      <w:keepLines/>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line="300" w:lineRule="atLeast"/>
      <w:jc w:val="both"/>
      <w:outlineLvl w:val="7"/>
    </w:pPr>
    <w:rPr>
      <w:rFonts w:asciiTheme="majorHAnsi" w:eastAsiaTheme="majorEastAsia" w:hAnsiTheme="majorHAnsi" w:cstheme="majorBidi"/>
      <w:color w:val="272727" w:themeColor="text1" w:themeTint="D8"/>
      <w:sz w:val="21"/>
      <w:szCs w:val="21"/>
      <w:bdr w:val="none" w:sz="0" w:space="0" w:color="auto"/>
    </w:rPr>
  </w:style>
  <w:style w:type="paragraph" w:styleId="Heading9">
    <w:name w:val="heading 9"/>
    <w:basedOn w:val="Normal"/>
    <w:next w:val="Normal"/>
    <w:link w:val="Heading9Char"/>
    <w:uiPriority w:val="9"/>
    <w:semiHidden/>
    <w:unhideWhenUsed/>
    <w:qFormat/>
    <w:rsid w:val="004361BB"/>
    <w:pPr>
      <w:keepNext/>
      <w:keepLines/>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line="300" w:lineRule="atLeast"/>
      <w:jc w:val="both"/>
      <w:outlineLvl w:val="8"/>
    </w:pPr>
    <w:rPr>
      <w:rFonts w:asciiTheme="majorHAnsi" w:eastAsiaTheme="majorEastAsia" w:hAnsiTheme="majorHAnsi" w:cstheme="majorBidi"/>
      <w:i/>
      <w:iCs/>
      <w:color w:val="272727" w:themeColor="text1" w:themeTint="D8"/>
      <w:sz w:val="21"/>
      <w:szCs w:val="21"/>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BodyA">
    <w:name w:val="Body A"/>
    <w:rPr>
      <w:rFonts w:ascii="Arial" w:hAnsi="Arial" w:cs="Arial Unicode MS"/>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6600"/>
      <w:u w:val="single" w:color="004C7F"/>
      <w:lang w:val="en-US"/>
    </w:rPr>
  </w:style>
  <w:style w:type="numbering" w:customStyle="1" w:styleId="ImportedStyle1">
    <w:name w:val="Imported Style 1"/>
    <w:pPr>
      <w:numPr>
        <w:numId w:val="1"/>
      </w:numPr>
    </w:pPr>
  </w:style>
  <w:style w:type="character" w:customStyle="1" w:styleId="Hyperlink1">
    <w:name w:val="Hyperlink.1"/>
    <w:basedOn w:val="Link"/>
    <w:rPr>
      <w:outline w:val="0"/>
      <w:color w:val="000000"/>
      <w:u w:val="single" w:color="000000"/>
    </w:rPr>
  </w:style>
  <w:style w:type="paragraph" w:customStyle="1" w:styleId="FreeForm">
    <w:name w:val="Free Form"/>
    <w:link w:val="FreeFormChar"/>
    <w:rPr>
      <w:rFonts w:cs="Arial Unicode MS"/>
      <w:color w:val="000000"/>
      <w:sz w:val="22"/>
      <w:szCs w:val="22"/>
      <w:u w:color="000000"/>
      <w:lang w:val="en-US"/>
    </w:rPr>
  </w:style>
  <w:style w:type="character" w:customStyle="1" w:styleId="NoneA">
    <w:name w:val="None A"/>
  </w:style>
  <w:style w:type="character" w:customStyle="1" w:styleId="None">
    <w:name w:val="None"/>
  </w:style>
  <w:style w:type="character" w:customStyle="1" w:styleId="Hyperlink2">
    <w:name w:val="Hyperlink.2"/>
    <w:basedOn w:val="None"/>
    <w:rPr>
      <w:outline w:val="0"/>
      <w:color w:val="006600"/>
      <w:u w:val="single" w:color="006600"/>
      <w:lang w:val="en-US"/>
    </w:rPr>
  </w:style>
  <w:style w:type="character" w:customStyle="1" w:styleId="Hyperlink3">
    <w:name w:val="Hyperlink.3"/>
    <w:basedOn w:val="Link"/>
    <w:rPr>
      <w:outline w:val="0"/>
      <w:color w:val="0000FF"/>
      <w:u w:val="single" w:color="004C7F"/>
      <w:lang w:val="en-US"/>
    </w:rPr>
  </w:style>
  <w:style w:type="character" w:customStyle="1" w:styleId="Hyperlink4">
    <w:name w:val="Hyperlink.4"/>
    <w:basedOn w:val="Link"/>
    <w:rPr>
      <w:outline w:val="0"/>
      <w:color w:val="0000FF"/>
      <w:u w:val="single" w:color="004C7F"/>
      <w:lang w:val="en-US"/>
    </w:rPr>
  </w:style>
  <w:style w:type="character" w:customStyle="1" w:styleId="Hyperlink5">
    <w:name w:val="Hyperlink.5"/>
    <w:basedOn w:val="None"/>
    <w:rPr>
      <w:rFonts w:ascii="Arial" w:eastAsia="Arial" w:hAnsi="Arial" w:cs="Arial"/>
      <w:outline w:val="0"/>
      <w:color w:val="006600"/>
      <w:sz w:val="20"/>
      <w:szCs w:val="20"/>
      <w:u w:val="single" w:color="006600"/>
    </w:rPr>
  </w:style>
  <w:style w:type="paragraph" w:styleId="Title">
    <w:name w:val="Title"/>
    <w:basedOn w:val="Subtitle"/>
    <w:next w:val="Normal"/>
    <w:link w:val="TitleChar"/>
    <w:uiPriority w:val="10"/>
    <w:qFormat/>
    <w:rsid w:val="00862388"/>
    <w:pPr>
      <w:numPr>
        <w:ilvl w:val="0"/>
      </w:numPr>
      <w:pBdr>
        <w:top w:val="none" w:sz="0" w:space="0" w:color="auto"/>
        <w:left w:val="none" w:sz="0" w:space="0" w:color="auto"/>
        <w:bottom w:val="none" w:sz="0" w:space="0" w:color="auto"/>
        <w:right w:val="none" w:sz="0" w:space="0" w:color="auto"/>
        <w:between w:val="none" w:sz="0" w:space="0" w:color="auto"/>
        <w:bar w:val="none" w:sz="0" w:color="auto"/>
      </w:pBdr>
      <w:spacing w:after="360" w:line="300" w:lineRule="atLeast"/>
      <w:jc w:val="center"/>
    </w:pPr>
    <w:rPr>
      <w:rFonts w:ascii="Arial" w:eastAsia="Times New Roman" w:hAnsi="Arial" w:cs="Arial"/>
      <w:b/>
      <w:color w:val="auto"/>
      <w:spacing w:val="0"/>
      <w:sz w:val="32"/>
      <w:szCs w:val="32"/>
      <w:bdr w:val="none" w:sz="0" w:space="0" w:color="auto"/>
    </w:rPr>
  </w:style>
  <w:style w:type="character" w:customStyle="1" w:styleId="TitleChar">
    <w:name w:val="Title Char"/>
    <w:basedOn w:val="DefaultParagraphFont"/>
    <w:link w:val="Title"/>
    <w:uiPriority w:val="10"/>
    <w:rsid w:val="00862388"/>
    <w:rPr>
      <w:rFonts w:ascii="Arial" w:eastAsia="Times New Roman" w:hAnsi="Arial" w:cs="Arial"/>
      <w:b/>
      <w:sz w:val="32"/>
      <w:szCs w:val="32"/>
      <w:bdr w:val="none" w:sz="0" w:space="0" w:color="auto"/>
      <w:lang w:eastAsia="en-US"/>
    </w:rPr>
  </w:style>
  <w:style w:type="paragraph" w:styleId="Subtitle">
    <w:name w:val="Subtitle"/>
    <w:basedOn w:val="Normal"/>
    <w:next w:val="Normal"/>
    <w:link w:val="SubtitleChar"/>
    <w:uiPriority w:val="11"/>
    <w:qFormat/>
    <w:rsid w:val="008623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62388"/>
    <w:rPr>
      <w:rFonts w:asciiTheme="minorHAnsi" w:eastAsiaTheme="minorEastAsia" w:hAnsiTheme="minorHAnsi" w:cstheme="minorBidi"/>
      <w:color w:val="5A5A5A" w:themeColor="text1" w:themeTint="A5"/>
      <w:spacing w:val="15"/>
      <w:sz w:val="22"/>
      <w:szCs w:val="22"/>
      <w:lang w:val="en-US" w:eastAsia="en-US"/>
    </w:rPr>
  </w:style>
  <w:style w:type="character" w:styleId="CommentReference">
    <w:name w:val="annotation reference"/>
    <w:basedOn w:val="DefaultParagraphFont"/>
    <w:uiPriority w:val="99"/>
    <w:semiHidden/>
    <w:unhideWhenUsed/>
    <w:rsid w:val="00862388"/>
    <w:rPr>
      <w:sz w:val="16"/>
      <w:szCs w:val="16"/>
    </w:rPr>
  </w:style>
  <w:style w:type="paragraph" w:styleId="CommentText">
    <w:name w:val="annotation text"/>
    <w:basedOn w:val="Normal"/>
    <w:link w:val="CommentTextChar"/>
    <w:uiPriority w:val="99"/>
    <w:unhideWhenUsed/>
    <w:rsid w:val="00862388"/>
    <w:rPr>
      <w:sz w:val="20"/>
      <w:szCs w:val="20"/>
    </w:rPr>
  </w:style>
  <w:style w:type="character" w:customStyle="1" w:styleId="CommentTextChar">
    <w:name w:val="Comment Text Char"/>
    <w:basedOn w:val="DefaultParagraphFont"/>
    <w:link w:val="CommentText"/>
    <w:uiPriority w:val="99"/>
    <w:rsid w:val="00862388"/>
    <w:rPr>
      <w:lang w:val="en-US" w:eastAsia="en-US"/>
    </w:rPr>
  </w:style>
  <w:style w:type="paragraph" w:styleId="CommentSubject">
    <w:name w:val="annotation subject"/>
    <w:basedOn w:val="CommentText"/>
    <w:next w:val="CommentText"/>
    <w:link w:val="CommentSubjectChar"/>
    <w:uiPriority w:val="99"/>
    <w:semiHidden/>
    <w:unhideWhenUsed/>
    <w:rsid w:val="00862388"/>
    <w:rPr>
      <w:b/>
      <w:bCs/>
    </w:rPr>
  </w:style>
  <w:style w:type="character" w:customStyle="1" w:styleId="CommentSubjectChar">
    <w:name w:val="Comment Subject Char"/>
    <w:basedOn w:val="CommentTextChar"/>
    <w:link w:val="CommentSubject"/>
    <w:uiPriority w:val="99"/>
    <w:semiHidden/>
    <w:rsid w:val="00862388"/>
    <w:rPr>
      <w:b/>
      <w:bCs/>
      <w:lang w:val="en-US" w:eastAsia="en-US"/>
    </w:rPr>
  </w:style>
  <w:style w:type="paragraph" w:styleId="BalloonText">
    <w:name w:val="Balloon Text"/>
    <w:basedOn w:val="Normal"/>
    <w:link w:val="BalloonTextChar"/>
    <w:uiPriority w:val="99"/>
    <w:semiHidden/>
    <w:unhideWhenUsed/>
    <w:rsid w:val="00862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388"/>
    <w:rPr>
      <w:rFonts w:ascii="Segoe UI" w:hAnsi="Segoe UI" w:cs="Segoe UI"/>
      <w:sz w:val="18"/>
      <w:szCs w:val="18"/>
      <w:lang w:val="en-US" w:eastAsia="en-US"/>
    </w:rPr>
  </w:style>
  <w:style w:type="character" w:customStyle="1" w:styleId="superscript">
    <w:name w:val="superscript"/>
    <w:basedOn w:val="DefaultParagraphFont"/>
    <w:uiPriority w:val="1"/>
    <w:qFormat/>
    <w:rsid w:val="004361BB"/>
    <w:rPr>
      <w:sz w:val="24"/>
      <w:vertAlign w:val="superscript"/>
      <w:lang w:eastAsia="en-US"/>
    </w:rPr>
  </w:style>
  <w:style w:type="character" w:customStyle="1" w:styleId="Heading1Char">
    <w:name w:val="Heading 1 Char"/>
    <w:basedOn w:val="DefaultParagraphFont"/>
    <w:link w:val="Heading1"/>
    <w:rsid w:val="004361BB"/>
    <w:rPr>
      <w:rFonts w:ascii="Arial" w:eastAsia="Times New Roman" w:hAnsi="Arial" w:cs="Arial"/>
      <w:b/>
      <w:color w:val="5E6DB1"/>
      <w:sz w:val="32"/>
      <w:szCs w:val="32"/>
      <w:bdr w:val="none" w:sz="0" w:space="0" w:color="auto"/>
      <w:lang w:eastAsia="en-US"/>
    </w:rPr>
  </w:style>
  <w:style w:type="character" w:customStyle="1" w:styleId="Heading2Char">
    <w:name w:val="Heading 2 Char"/>
    <w:basedOn w:val="DefaultParagraphFont"/>
    <w:link w:val="Heading2"/>
    <w:uiPriority w:val="9"/>
    <w:rsid w:val="004361BB"/>
    <w:rPr>
      <w:rFonts w:ascii="Arial Bold" w:eastAsia="Times New Roman" w:hAnsi="Arial Bold" w:cs="Arial"/>
      <w:b/>
      <w:bCs/>
      <w:color w:val="5E6DB1"/>
      <w:sz w:val="28"/>
      <w:szCs w:val="28"/>
      <w:bdr w:val="none" w:sz="0" w:space="0" w:color="auto"/>
      <w:shd w:val="clear" w:color="auto" w:fill="FFFFFF"/>
    </w:rPr>
  </w:style>
  <w:style w:type="character" w:customStyle="1" w:styleId="Heading3Char">
    <w:name w:val="Heading 3 Char"/>
    <w:basedOn w:val="DefaultParagraphFont"/>
    <w:link w:val="Heading3"/>
    <w:rsid w:val="004361BB"/>
    <w:rPr>
      <w:rFonts w:ascii="Arial Bold" w:eastAsia="Times New Roman" w:hAnsi="Arial Bold" w:cs="Arial"/>
      <w:b/>
      <w:bCs/>
      <w:sz w:val="22"/>
      <w:szCs w:val="22"/>
      <w:bdr w:val="none" w:sz="0" w:space="0" w:color="auto"/>
      <w:shd w:val="clear" w:color="auto" w:fill="FFFFFF"/>
    </w:rPr>
  </w:style>
  <w:style w:type="character" w:customStyle="1" w:styleId="Heading4Char">
    <w:name w:val="Heading 4 Char"/>
    <w:basedOn w:val="DefaultParagraphFont"/>
    <w:link w:val="Heading4"/>
    <w:uiPriority w:val="9"/>
    <w:rsid w:val="004361BB"/>
    <w:rPr>
      <w:rFonts w:ascii="Arial" w:eastAsia="MS Mincho" w:hAnsi="Arial" w:cs="Arial"/>
      <w:i/>
      <w:iCs/>
      <w:bdr w:val="none" w:sz="0" w:space="0" w:color="auto"/>
      <w:lang w:eastAsia="en-US"/>
    </w:rPr>
  </w:style>
  <w:style w:type="character" w:customStyle="1" w:styleId="Heading5Char">
    <w:name w:val="Heading 5 Char"/>
    <w:basedOn w:val="DefaultParagraphFont"/>
    <w:link w:val="Heading5"/>
    <w:rsid w:val="004361BB"/>
    <w:rPr>
      <w:rFonts w:ascii="Arial" w:eastAsia="Times New Roman" w:hAnsi="Arial" w:cs="Arial"/>
      <w:b/>
      <w:bCs/>
      <w:i/>
      <w:iCs/>
      <w:sz w:val="26"/>
      <w:szCs w:val="26"/>
      <w:bdr w:val="none" w:sz="0" w:space="0" w:color="auto"/>
      <w:lang w:eastAsia="en-US"/>
    </w:rPr>
  </w:style>
  <w:style w:type="character" w:customStyle="1" w:styleId="Heading6Char">
    <w:name w:val="Heading 6 Char"/>
    <w:basedOn w:val="DefaultParagraphFont"/>
    <w:link w:val="Heading6"/>
    <w:rsid w:val="004361BB"/>
    <w:rPr>
      <w:rFonts w:eastAsia="Times New Roman"/>
      <w:b/>
      <w:bCs/>
      <w:szCs w:val="22"/>
      <w:bdr w:val="none" w:sz="0" w:space="0" w:color="auto"/>
      <w:lang w:eastAsia="en-US"/>
    </w:rPr>
  </w:style>
  <w:style w:type="character" w:customStyle="1" w:styleId="Heading7Char">
    <w:name w:val="Heading 7 Char"/>
    <w:basedOn w:val="DefaultParagraphFont"/>
    <w:link w:val="Heading7"/>
    <w:uiPriority w:val="9"/>
    <w:rsid w:val="004361BB"/>
    <w:rPr>
      <w:rFonts w:asciiTheme="majorHAnsi" w:eastAsiaTheme="majorEastAsia" w:hAnsiTheme="majorHAnsi" w:cstheme="majorBidi"/>
      <w:i/>
      <w:iCs/>
      <w:color w:val="00507F" w:themeColor="accent1" w:themeShade="7F"/>
      <w:szCs w:val="22"/>
      <w:bdr w:val="none" w:sz="0" w:space="0" w:color="auto"/>
      <w:lang w:eastAsia="en-US"/>
    </w:rPr>
  </w:style>
  <w:style w:type="character" w:customStyle="1" w:styleId="Heading8Char">
    <w:name w:val="Heading 8 Char"/>
    <w:basedOn w:val="DefaultParagraphFont"/>
    <w:link w:val="Heading8"/>
    <w:uiPriority w:val="9"/>
    <w:semiHidden/>
    <w:rsid w:val="004361BB"/>
    <w:rPr>
      <w:rFonts w:asciiTheme="majorHAnsi" w:eastAsiaTheme="majorEastAsia" w:hAnsiTheme="majorHAnsi" w:cstheme="majorBidi"/>
      <w:color w:val="272727" w:themeColor="text1" w:themeTint="D8"/>
      <w:sz w:val="21"/>
      <w:szCs w:val="21"/>
      <w:bdr w:val="none" w:sz="0" w:space="0" w:color="auto"/>
      <w:lang w:eastAsia="en-US"/>
    </w:rPr>
  </w:style>
  <w:style w:type="character" w:customStyle="1" w:styleId="Heading9Char">
    <w:name w:val="Heading 9 Char"/>
    <w:basedOn w:val="DefaultParagraphFont"/>
    <w:link w:val="Heading9"/>
    <w:uiPriority w:val="9"/>
    <w:semiHidden/>
    <w:rsid w:val="004361BB"/>
    <w:rPr>
      <w:rFonts w:asciiTheme="majorHAnsi" w:eastAsiaTheme="majorEastAsia" w:hAnsiTheme="majorHAnsi" w:cstheme="majorBidi"/>
      <w:i/>
      <w:iCs/>
      <w:color w:val="272727" w:themeColor="text1" w:themeTint="D8"/>
      <w:sz w:val="21"/>
      <w:szCs w:val="21"/>
      <w:bdr w:val="none" w:sz="0" w:space="0" w:color="auto"/>
      <w:lang w:eastAsia="en-US"/>
    </w:rPr>
  </w:style>
  <w:style w:type="paragraph" w:styleId="ListParagraph">
    <w:name w:val="List Paragraph"/>
    <w:basedOn w:val="Normal"/>
    <w:link w:val="ListParagraphChar"/>
    <w:uiPriority w:val="34"/>
    <w:qFormat/>
    <w:rsid w:val="004361BB"/>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360" w:line="300" w:lineRule="atLeast"/>
      <w:contextualSpacing/>
      <w:jc w:val="both"/>
    </w:pPr>
    <w:rPr>
      <w:rFonts w:ascii="Arial" w:eastAsiaTheme="minorEastAsia" w:hAnsi="Arial" w:cstheme="minorBidi"/>
      <w:sz w:val="20"/>
      <w:szCs w:val="22"/>
      <w:bdr w:val="none" w:sz="0" w:space="0" w:color="auto"/>
    </w:rPr>
  </w:style>
  <w:style w:type="character" w:customStyle="1" w:styleId="ListParagraphChar">
    <w:name w:val="List Paragraph Char"/>
    <w:basedOn w:val="DefaultParagraphFont"/>
    <w:link w:val="ListParagraph"/>
    <w:uiPriority w:val="34"/>
    <w:rsid w:val="004361BB"/>
    <w:rPr>
      <w:rFonts w:ascii="Arial" w:eastAsiaTheme="minorEastAsia" w:hAnsi="Arial" w:cstheme="minorBidi"/>
      <w:szCs w:val="22"/>
      <w:bdr w:val="none" w:sz="0" w:space="0" w:color="auto"/>
      <w:lang w:val="en-US" w:eastAsia="en-US"/>
    </w:rPr>
  </w:style>
  <w:style w:type="paragraph" w:customStyle="1" w:styleId="NORMLAnospacing">
    <w:name w:val="NORM LA no spacing"/>
    <w:basedOn w:val="Normal"/>
    <w:link w:val="NORMLAnospacingChar"/>
    <w:qFormat/>
    <w:rsid w:val="009048E6"/>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pPr>
    <w:rPr>
      <w:rFonts w:ascii="Arial" w:eastAsia="Times New Roman" w:hAnsi="Arial" w:cs="Arial"/>
      <w:sz w:val="20"/>
      <w:szCs w:val="22"/>
      <w:bdr w:val="none" w:sz="0" w:space="0" w:color="auto"/>
    </w:rPr>
  </w:style>
  <w:style w:type="character" w:customStyle="1" w:styleId="NORMLAnospacingChar">
    <w:name w:val="NORM LA no spacing Char"/>
    <w:basedOn w:val="DefaultParagraphFont"/>
    <w:link w:val="NORMLAnospacing"/>
    <w:rsid w:val="009048E6"/>
    <w:rPr>
      <w:rFonts w:ascii="Arial" w:eastAsia="Times New Roman" w:hAnsi="Arial" w:cs="Arial"/>
      <w:szCs w:val="22"/>
      <w:bdr w:val="none" w:sz="0" w:space="0" w:color="auto"/>
      <w:lang w:eastAsia="en-US"/>
    </w:rPr>
  </w:style>
  <w:style w:type="paragraph" w:customStyle="1" w:styleId="Indenttable">
    <w:name w:val="Indent table"/>
    <w:basedOn w:val="NORMLAnospacing"/>
    <w:link w:val="IndenttableChar"/>
    <w:qFormat/>
    <w:rsid w:val="009048E6"/>
    <w:pPr>
      <w:ind w:left="692" w:hanging="284"/>
    </w:pPr>
  </w:style>
  <w:style w:type="character" w:customStyle="1" w:styleId="IndenttableChar">
    <w:name w:val="Indent table Char"/>
    <w:basedOn w:val="NORMLAnospacingChar"/>
    <w:link w:val="Indenttable"/>
    <w:rsid w:val="009048E6"/>
    <w:rPr>
      <w:rFonts w:ascii="Arial" w:eastAsia="Times New Roman" w:hAnsi="Arial" w:cs="Arial"/>
      <w:szCs w:val="22"/>
      <w:bdr w:val="none" w:sz="0" w:space="0" w:color="auto"/>
      <w:lang w:eastAsia="en-US"/>
    </w:rPr>
  </w:style>
  <w:style w:type="character" w:styleId="Strong">
    <w:name w:val="Strong"/>
    <w:basedOn w:val="DefaultParagraphFont"/>
    <w:uiPriority w:val="22"/>
    <w:qFormat/>
    <w:rsid w:val="00E43887"/>
    <w:rPr>
      <w:b/>
      <w:bCs/>
    </w:rPr>
  </w:style>
  <w:style w:type="paragraph" w:customStyle="1" w:styleId="Tablebulletpoint">
    <w:name w:val="Table bullet point"/>
    <w:basedOn w:val="ListParagraph"/>
    <w:link w:val="TablebulletpointChar"/>
    <w:qFormat/>
    <w:rsid w:val="00E43887"/>
    <w:pPr>
      <w:numPr>
        <w:numId w:val="8"/>
      </w:numPr>
      <w:spacing w:after="0"/>
      <w:jc w:val="left"/>
    </w:pPr>
    <w:rPr>
      <w:color w:val="000000" w:themeColor="text1"/>
      <w:szCs w:val="21"/>
    </w:rPr>
  </w:style>
  <w:style w:type="paragraph" w:customStyle="1" w:styleId="Footnote">
    <w:name w:val="Footnote"/>
    <w:basedOn w:val="NoSpacing"/>
    <w:link w:val="FootnoteChar"/>
    <w:qFormat/>
    <w:rsid w:val="00E43887"/>
    <w:pPr>
      <w:pBdr>
        <w:top w:val="none" w:sz="0" w:space="0" w:color="auto"/>
        <w:left w:val="none" w:sz="0" w:space="0" w:color="auto"/>
        <w:bottom w:val="none" w:sz="0" w:space="0" w:color="auto"/>
        <w:right w:val="none" w:sz="0" w:space="0" w:color="auto"/>
        <w:between w:val="none" w:sz="0" w:space="0" w:color="auto"/>
        <w:bar w:val="none" w:sz="0" w:color="auto"/>
      </w:pBdr>
      <w:spacing w:after="40" w:line="276" w:lineRule="auto"/>
      <w:jc w:val="both"/>
    </w:pPr>
    <w:rPr>
      <w:rFonts w:ascii="Arial" w:eastAsia="Times New Roman" w:hAnsi="Arial" w:cs="Arial"/>
      <w:sz w:val="16"/>
      <w:szCs w:val="16"/>
      <w:bdr w:val="none" w:sz="0" w:space="0" w:color="auto"/>
      <w:lang w:val="en-GB"/>
    </w:rPr>
  </w:style>
  <w:style w:type="character" w:customStyle="1" w:styleId="TablebulletpointChar">
    <w:name w:val="Table bullet point Char"/>
    <w:basedOn w:val="ListParagraphChar"/>
    <w:link w:val="Tablebulletpoint"/>
    <w:rsid w:val="00E43887"/>
    <w:rPr>
      <w:rFonts w:ascii="Arial" w:eastAsiaTheme="minorEastAsia" w:hAnsi="Arial" w:cstheme="minorBidi"/>
      <w:color w:val="000000" w:themeColor="text1"/>
      <w:szCs w:val="21"/>
      <w:bdr w:val="none" w:sz="0" w:space="0" w:color="auto"/>
      <w:lang w:val="en-US" w:eastAsia="en-US"/>
    </w:rPr>
  </w:style>
  <w:style w:type="character" w:customStyle="1" w:styleId="FootnoteChar">
    <w:name w:val="Footnote Char"/>
    <w:basedOn w:val="DefaultParagraphFont"/>
    <w:link w:val="Footnote"/>
    <w:rsid w:val="00E43887"/>
    <w:rPr>
      <w:rFonts w:ascii="Arial" w:eastAsia="Times New Roman" w:hAnsi="Arial" w:cs="Arial"/>
      <w:sz w:val="16"/>
      <w:szCs w:val="16"/>
      <w:bdr w:val="none" w:sz="0" w:space="0" w:color="auto"/>
      <w:lang w:eastAsia="en-US"/>
    </w:rPr>
  </w:style>
  <w:style w:type="paragraph" w:styleId="NoSpacing">
    <w:name w:val="No Spacing"/>
    <w:link w:val="NoSpacingChar"/>
    <w:uiPriority w:val="1"/>
    <w:qFormat/>
    <w:rsid w:val="00E43887"/>
    <w:rPr>
      <w:sz w:val="24"/>
      <w:szCs w:val="24"/>
      <w:lang w:val="en-US" w:eastAsia="en-US"/>
    </w:rPr>
  </w:style>
  <w:style w:type="table" w:styleId="TableGrid">
    <w:name w:val="Table Grid"/>
    <w:basedOn w:val="TableNormal"/>
    <w:uiPriority w:val="39"/>
    <w:rsid w:val="00E4388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43887"/>
    <w:rPr>
      <w:sz w:val="24"/>
      <w:szCs w:val="24"/>
      <w:lang w:val="en-US" w:eastAsia="en-US"/>
    </w:rPr>
  </w:style>
  <w:style w:type="paragraph" w:styleId="Header">
    <w:name w:val="header"/>
    <w:basedOn w:val="Normal"/>
    <w:link w:val="HeaderChar"/>
    <w:uiPriority w:val="99"/>
    <w:unhideWhenUsed/>
    <w:rsid w:val="004A1DF0"/>
    <w:pPr>
      <w:tabs>
        <w:tab w:val="center" w:pos="4513"/>
        <w:tab w:val="right" w:pos="9026"/>
      </w:tabs>
    </w:pPr>
  </w:style>
  <w:style w:type="character" w:customStyle="1" w:styleId="HeaderChar">
    <w:name w:val="Header Char"/>
    <w:basedOn w:val="DefaultParagraphFont"/>
    <w:link w:val="Header"/>
    <w:uiPriority w:val="99"/>
    <w:rsid w:val="004A1DF0"/>
    <w:rPr>
      <w:sz w:val="24"/>
      <w:szCs w:val="24"/>
      <w:lang w:val="en-US" w:eastAsia="en-US"/>
    </w:rPr>
  </w:style>
  <w:style w:type="paragraph" w:styleId="Footer">
    <w:name w:val="footer"/>
    <w:basedOn w:val="Normal"/>
    <w:link w:val="FooterChar"/>
    <w:uiPriority w:val="99"/>
    <w:unhideWhenUsed/>
    <w:rsid w:val="004A1DF0"/>
    <w:pPr>
      <w:tabs>
        <w:tab w:val="center" w:pos="4513"/>
        <w:tab w:val="right" w:pos="9026"/>
      </w:tabs>
    </w:pPr>
  </w:style>
  <w:style w:type="character" w:customStyle="1" w:styleId="FooterChar">
    <w:name w:val="Footer Char"/>
    <w:basedOn w:val="DefaultParagraphFont"/>
    <w:link w:val="Footer"/>
    <w:uiPriority w:val="99"/>
    <w:rsid w:val="004A1DF0"/>
    <w:rPr>
      <w:sz w:val="24"/>
      <w:szCs w:val="24"/>
      <w:lang w:val="en-US" w:eastAsia="en-US"/>
    </w:rPr>
  </w:style>
  <w:style w:type="paragraph" w:styleId="Revision">
    <w:name w:val="Revision"/>
    <w:hidden/>
    <w:uiPriority w:val="99"/>
    <w:semiHidden/>
    <w:rsid w:val="005F6F2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PlainTable5">
    <w:name w:val="Plain Table 5"/>
    <w:basedOn w:val="TableNormal"/>
    <w:uiPriority w:val="45"/>
    <w:rsid w:val="006A31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unhideWhenUsed/>
    <w:rsid w:val="002A7CFD"/>
  </w:style>
  <w:style w:type="character" w:customStyle="1" w:styleId="FreeFormChar">
    <w:name w:val="Free Form Char"/>
    <w:basedOn w:val="DefaultParagraphFont"/>
    <w:link w:val="FreeForm"/>
    <w:rsid w:val="00620890"/>
    <w:rPr>
      <w:rFonts w:cs="Arial Unicode MS"/>
      <w:color w:val="000000"/>
      <w:sz w:val="22"/>
      <w:szCs w:val="22"/>
      <w:u w:color="000000"/>
      <w:lang w:val="en-US"/>
    </w:rPr>
  </w:style>
  <w:style w:type="paragraph" w:styleId="NormalWeb">
    <w:name w:val="Normal (Web)"/>
    <w:basedOn w:val="Normal"/>
    <w:uiPriority w:val="99"/>
    <w:unhideWhenUsed/>
    <w:rsid w:val="002D0D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1">
    <w:name w:val="Unresolved Mention1"/>
    <w:basedOn w:val="DefaultParagraphFont"/>
    <w:uiPriority w:val="99"/>
    <w:semiHidden/>
    <w:unhideWhenUsed/>
    <w:rsid w:val="00615749"/>
    <w:rPr>
      <w:color w:val="605E5C"/>
      <w:shd w:val="clear" w:color="auto" w:fill="E1DFDD"/>
    </w:rPr>
  </w:style>
  <w:style w:type="character" w:customStyle="1" w:styleId="UnresolvedMention2">
    <w:name w:val="Unresolved Mention2"/>
    <w:basedOn w:val="DefaultParagraphFont"/>
    <w:uiPriority w:val="99"/>
    <w:semiHidden/>
    <w:unhideWhenUsed/>
    <w:rsid w:val="00B10A76"/>
    <w:rPr>
      <w:color w:val="605E5C"/>
      <w:shd w:val="clear" w:color="auto" w:fill="E1DFDD"/>
    </w:rPr>
  </w:style>
  <w:style w:type="paragraph" w:customStyle="1" w:styleId="Tablesideheading">
    <w:name w:val="Table side heading"/>
    <w:basedOn w:val="Normal"/>
    <w:link w:val="TablesideheadingChar"/>
    <w:qFormat/>
    <w:rsid w:val="00B10A76"/>
    <w:pPr>
      <w:framePr w:hSpace="180" w:wrap="around" w:hAnchor="page" w:x="812" w:y="401"/>
      <w:pBdr>
        <w:top w:val="none" w:sz="0" w:space="0" w:color="auto"/>
        <w:left w:val="none" w:sz="0" w:space="0" w:color="auto"/>
        <w:bottom w:val="none" w:sz="0" w:space="0" w:color="auto"/>
        <w:right w:val="none" w:sz="0" w:space="0" w:color="auto"/>
        <w:between w:val="none" w:sz="0" w:space="0" w:color="auto"/>
        <w:bar w:val="none" w:sz="0" w:color="auto"/>
      </w:pBdr>
      <w:spacing w:before="60" w:after="60" w:line="300" w:lineRule="atLeast"/>
      <w:jc w:val="both"/>
    </w:pPr>
    <w:rPr>
      <w:rFonts w:ascii="Arial" w:eastAsia="Times New Roman" w:hAnsi="Arial" w:cs="Arial"/>
      <w:b/>
      <w:sz w:val="20"/>
      <w:szCs w:val="22"/>
      <w:bdr w:val="none" w:sz="0" w:space="0" w:color="auto"/>
    </w:rPr>
  </w:style>
  <w:style w:type="character" w:customStyle="1" w:styleId="TablesideheadingChar">
    <w:name w:val="Table side heading Char"/>
    <w:basedOn w:val="DefaultParagraphFont"/>
    <w:link w:val="Tablesideheading"/>
    <w:rsid w:val="00B10A76"/>
    <w:rPr>
      <w:rFonts w:ascii="Arial" w:eastAsia="Times New Roman" w:hAnsi="Arial" w:cs="Arial"/>
      <w:b/>
      <w:szCs w:val="22"/>
      <w:bdr w:val="none" w:sz="0" w:space="0" w:color="auto"/>
      <w:lang w:eastAsia="en-US"/>
    </w:rPr>
  </w:style>
  <w:style w:type="character" w:styleId="FollowedHyperlink">
    <w:name w:val="FollowedHyperlink"/>
    <w:basedOn w:val="DefaultParagraphFont"/>
    <w:uiPriority w:val="99"/>
    <w:semiHidden/>
    <w:unhideWhenUsed/>
    <w:rsid w:val="00624AF8"/>
    <w:rPr>
      <w:color w:val="FF00FF" w:themeColor="followedHyperlink"/>
      <w:u w:val="single"/>
    </w:rPr>
  </w:style>
  <w:style w:type="character" w:styleId="Emphasis">
    <w:name w:val="Emphasis"/>
    <w:basedOn w:val="DefaultParagraphFont"/>
    <w:uiPriority w:val="20"/>
    <w:qFormat/>
    <w:rsid w:val="00CA5C3D"/>
    <w:rPr>
      <w:i/>
      <w:iCs/>
    </w:rPr>
  </w:style>
  <w:style w:type="character" w:styleId="FootnoteReference">
    <w:name w:val="footnote reference"/>
    <w:semiHidden/>
    <w:rsid w:val="00534434"/>
    <w:rPr>
      <w:vertAlign w:val="superscript"/>
    </w:rPr>
  </w:style>
  <w:style w:type="paragraph" w:styleId="FootnoteText">
    <w:name w:val="footnote text"/>
    <w:basedOn w:val="Normal"/>
    <w:link w:val="FootnoteTextChar"/>
    <w:semiHidden/>
    <w:rsid w:val="00816E42"/>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ascii="Arial" w:eastAsia="Times New Roman" w:hAnsi="Arial"/>
      <w:sz w:val="20"/>
      <w:szCs w:val="20"/>
      <w:bdr w:val="none" w:sz="0" w:space="0" w:color="auto"/>
    </w:rPr>
  </w:style>
  <w:style w:type="character" w:customStyle="1" w:styleId="FootnoteTextChar">
    <w:name w:val="Footnote Text Char"/>
    <w:basedOn w:val="DefaultParagraphFont"/>
    <w:link w:val="FootnoteText"/>
    <w:semiHidden/>
    <w:rsid w:val="00816E42"/>
    <w:rPr>
      <w:rFonts w:ascii="Arial" w:eastAsia="Times New Roman" w:hAnsi="Arial"/>
      <w:bdr w:val="none" w:sz="0" w:space="0" w:color="auto"/>
      <w:lang w:eastAsia="en-US"/>
    </w:rPr>
  </w:style>
  <w:style w:type="paragraph" w:customStyle="1" w:styleId="Default">
    <w:name w:val="Default"/>
    <w:rsid w:val="007813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773C38"/>
    <w:rPr>
      <w:color w:val="605E5C"/>
      <w:shd w:val="clear" w:color="auto" w:fill="E1DFDD"/>
    </w:rPr>
  </w:style>
  <w:style w:type="paragraph" w:customStyle="1" w:styleId="paragraph">
    <w:name w:val="paragraph"/>
    <w:basedOn w:val="Normal"/>
    <w:rsid w:val="007617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7617D0"/>
  </w:style>
  <w:style w:type="character" w:customStyle="1" w:styleId="eop">
    <w:name w:val="eop"/>
    <w:basedOn w:val="DefaultParagraphFont"/>
    <w:rsid w:val="007617D0"/>
  </w:style>
  <w:style w:type="character" w:styleId="UnresolvedMention">
    <w:name w:val="Unresolved Mention"/>
    <w:basedOn w:val="DefaultParagraphFont"/>
    <w:uiPriority w:val="99"/>
    <w:semiHidden/>
    <w:unhideWhenUsed/>
    <w:rsid w:val="0012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2112">
      <w:bodyDiv w:val="1"/>
      <w:marLeft w:val="0"/>
      <w:marRight w:val="0"/>
      <w:marTop w:val="0"/>
      <w:marBottom w:val="0"/>
      <w:divBdr>
        <w:top w:val="none" w:sz="0" w:space="0" w:color="auto"/>
        <w:left w:val="none" w:sz="0" w:space="0" w:color="auto"/>
        <w:bottom w:val="none" w:sz="0" w:space="0" w:color="auto"/>
        <w:right w:val="none" w:sz="0" w:space="0" w:color="auto"/>
      </w:divBdr>
    </w:div>
    <w:div w:id="61998161">
      <w:bodyDiv w:val="1"/>
      <w:marLeft w:val="0"/>
      <w:marRight w:val="0"/>
      <w:marTop w:val="0"/>
      <w:marBottom w:val="0"/>
      <w:divBdr>
        <w:top w:val="none" w:sz="0" w:space="0" w:color="auto"/>
        <w:left w:val="none" w:sz="0" w:space="0" w:color="auto"/>
        <w:bottom w:val="none" w:sz="0" w:space="0" w:color="auto"/>
        <w:right w:val="none" w:sz="0" w:space="0" w:color="auto"/>
      </w:divBdr>
    </w:div>
    <w:div w:id="65274594">
      <w:bodyDiv w:val="1"/>
      <w:marLeft w:val="0"/>
      <w:marRight w:val="0"/>
      <w:marTop w:val="0"/>
      <w:marBottom w:val="0"/>
      <w:divBdr>
        <w:top w:val="none" w:sz="0" w:space="0" w:color="auto"/>
        <w:left w:val="none" w:sz="0" w:space="0" w:color="auto"/>
        <w:bottom w:val="none" w:sz="0" w:space="0" w:color="auto"/>
        <w:right w:val="none" w:sz="0" w:space="0" w:color="auto"/>
      </w:divBdr>
    </w:div>
    <w:div w:id="87846609">
      <w:bodyDiv w:val="1"/>
      <w:marLeft w:val="0"/>
      <w:marRight w:val="0"/>
      <w:marTop w:val="0"/>
      <w:marBottom w:val="0"/>
      <w:divBdr>
        <w:top w:val="none" w:sz="0" w:space="0" w:color="auto"/>
        <w:left w:val="none" w:sz="0" w:space="0" w:color="auto"/>
        <w:bottom w:val="none" w:sz="0" w:space="0" w:color="auto"/>
        <w:right w:val="none" w:sz="0" w:space="0" w:color="auto"/>
      </w:divBdr>
    </w:div>
    <w:div w:id="108362005">
      <w:bodyDiv w:val="1"/>
      <w:marLeft w:val="0"/>
      <w:marRight w:val="0"/>
      <w:marTop w:val="0"/>
      <w:marBottom w:val="0"/>
      <w:divBdr>
        <w:top w:val="none" w:sz="0" w:space="0" w:color="auto"/>
        <w:left w:val="none" w:sz="0" w:space="0" w:color="auto"/>
        <w:bottom w:val="none" w:sz="0" w:space="0" w:color="auto"/>
        <w:right w:val="none" w:sz="0" w:space="0" w:color="auto"/>
      </w:divBdr>
    </w:div>
    <w:div w:id="109249882">
      <w:bodyDiv w:val="1"/>
      <w:marLeft w:val="0"/>
      <w:marRight w:val="0"/>
      <w:marTop w:val="0"/>
      <w:marBottom w:val="0"/>
      <w:divBdr>
        <w:top w:val="none" w:sz="0" w:space="0" w:color="auto"/>
        <w:left w:val="none" w:sz="0" w:space="0" w:color="auto"/>
        <w:bottom w:val="none" w:sz="0" w:space="0" w:color="auto"/>
        <w:right w:val="none" w:sz="0" w:space="0" w:color="auto"/>
      </w:divBdr>
    </w:div>
    <w:div w:id="138502564">
      <w:bodyDiv w:val="1"/>
      <w:marLeft w:val="0"/>
      <w:marRight w:val="0"/>
      <w:marTop w:val="0"/>
      <w:marBottom w:val="0"/>
      <w:divBdr>
        <w:top w:val="none" w:sz="0" w:space="0" w:color="auto"/>
        <w:left w:val="none" w:sz="0" w:space="0" w:color="auto"/>
        <w:bottom w:val="none" w:sz="0" w:space="0" w:color="auto"/>
        <w:right w:val="none" w:sz="0" w:space="0" w:color="auto"/>
      </w:divBdr>
    </w:div>
    <w:div w:id="159126488">
      <w:bodyDiv w:val="1"/>
      <w:marLeft w:val="0"/>
      <w:marRight w:val="0"/>
      <w:marTop w:val="0"/>
      <w:marBottom w:val="0"/>
      <w:divBdr>
        <w:top w:val="none" w:sz="0" w:space="0" w:color="auto"/>
        <w:left w:val="none" w:sz="0" w:space="0" w:color="auto"/>
        <w:bottom w:val="none" w:sz="0" w:space="0" w:color="auto"/>
        <w:right w:val="none" w:sz="0" w:space="0" w:color="auto"/>
      </w:divBdr>
    </w:div>
    <w:div w:id="184754251">
      <w:bodyDiv w:val="1"/>
      <w:marLeft w:val="0"/>
      <w:marRight w:val="0"/>
      <w:marTop w:val="0"/>
      <w:marBottom w:val="0"/>
      <w:divBdr>
        <w:top w:val="none" w:sz="0" w:space="0" w:color="auto"/>
        <w:left w:val="none" w:sz="0" w:space="0" w:color="auto"/>
        <w:bottom w:val="none" w:sz="0" w:space="0" w:color="auto"/>
        <w:right w:val="none" w:sz="0" w:space="0" w:color="auto"/>
      </w:divBdr>
    </w:div>
    <w:div w:id="189490310">
      <w:bodyDiv w:val="1"/>
      <w:marLeft w:val="0"/>
      <w:marRight w:val="0"/>
      <w:marTop w:val="0"/>
      <w:marBottom w:val="0"/>
      <w:divBdr>
        <w:top w:val="none" w:sz="0" w:space="0" w:color="auto"/>
        <w:left w:val="none" w:sz="0" w:space="0" w:color="auto"/>
        <w:bottom w:val="none" w:sz="0" w:space="0" w:color="auto"/>
        <w:right w:val="none" w:sz="0" w:space="0" w:color="auto"/>
      </w:divBdr>
    </w:div>
    <w:div w:id="202793220">
      <w:bodyDiv w:val="1"/>
      <w:marLeft w:val="0"/>
      <w:marRight w:val="0"/>
      <w:marTop w:val="0"/>
      <w:marBottom w:val="0"/>
      <w:divBdr>
        <w:top w:val="none" w:sz="0" w:space="0" w:color="auto"/>
        <w:left w:val="none" w:sz="0" w:space="0" w:color="auto"/>
        <w:bottom w:val="none" w:sz="0" w:space="0" w:color="auto"/>
        <w:right w:val="none" w:sz="0" w:space="0" w:color="auto"/>
      </w:divBdr>
    </w:div>
    <w:div w:id="264312659">
      <w:bodyDiv w:val="1"/>
      <w:marLeft w:val="0"/>
      <w:marRight w:val="0"/>
      <w:marTop w:val="0"/>
      <w:marBottom w:val="0"/>
      <w:divBdr>
        <w:top w:val="none" w:sz="0" w:space="0" w:color="auto"/>
        <w:left w:val="none" w:sz="0" w:space="0" w:color="auto"/>
        <w:bottom w:val="none" w:sz="0" w:space="0" w:color="auto"/>
        <w:right w:val="none" w:sz="0" w:space="0" w:color="auto"/>
      </w:divBdr>
    </w:div>
    <w:div w:id="268585649">
      <w:bodyDiv w:val="1"/>
      <w:marLeft w:val="0"/>
      <w:marRight w:val="0"/>
      <w:marTop w:val="0"/>
      <w:marBottom w:val="0"/>
      <w:divBdr>
        <w:top w:val="none" w:sz="0" w:space="0" w:color="auto"/>
        <w:left w:val="none" w:sz="0" w:space="0" w:color="auto"/>
        <w:bottom w:val="none" w:sz="0" w:space="0" w:color="auto"/>
        <w:right w:val="none" w:sz="0" w:space="0" w:color="auto"/>
      </w:divBdr>
    </w:div>
    <w:div w:id="280385357">
      <w:bodyDiv w:val="1"/>
      <w:marLeft w:val="0"/>
      <w:marRight w:val="0"/>
      <w:marTop w:val="0"/>
      <w:marBottom w:val="0"/>
      <w:divBdr>
        <w:top w:val="none" w:sz="0" w:space="0" w:color="auto"/>
        <w:left w:val="none" w:sz="0" w:space="0" w:color="auto"/>
        <w:bottom w:val="none" w:sz="0" w:space="0" w:color="auto"/>
        <w:right w:val="none" w:sz="0" w:space="0" w:color="auto"/>
      </w:divBdr>
    </w:div>
    <w:div w:id="280918313">
      <w:bodyDiv w:val="1"/>
      <w:marLeft w:val="0"/>
      <w:marRight w:val="0"/>
      <w:marTop w:val="0"/>
      <w:marBottom w:val="0"/>
      <w:divBdr>
        <w:top w:val="none" w:sz="0" w:space="0" w:color="auto"/>
        <w:left w:val="none" w:sz="0" w:space="0" w:color="auto"/>
        <w:bottom w:val="none" w:sz="0" w:space="0" w:color="auto"/>
        <w:right w:val="none" w:sz="0" w:space="0" w:color="auto"/>
      </w:divBdr>
    </w:div>
    <w:div w:id="450056727">
      <w:bodyDiv w:val="1"/>
      <w:marLeft w:val="0"/>
      <w:marRight w:val="0"/>
      <w:marTop w:val="0"/>
      <w:marBottom w:val="0"/>
      <w:divBdr>
        <w:top w:val="none" w:sz="0" w:space="0" w:color="auto"/>
        <w:left w:val="none" w:sz="0" w:space="0" w:color="auto"/>
        <w:bottom w:val="none" w:sz="0" w:space="0" w:color="auto"/>
        <w:right w:val="none" w:sz="0" w:space="0" w:color="auto"/>
      </w:divBdr>
    </w:div>
    <w:div w:id="463039442">
      <w:bodyDiv w:val="1"/>
      <w:marLeft w:val="0"/>
      <w:marRight w:val="0"/>
      <w:marTop w:val="0"/>
      <w:marBottom w:val="0"/>
      <w:divBdr>
        <w:top w:val="none" w:sz="0" w:space="0" w:color="auto"/>
        <w:left w:val="none" w:sz="0" w:space="0" w:color="auto"/>
        <w:bottom w:val="none" w:sz="0" w:space="0" w:color="auto"/>
        <w:right w:val="none" w:sz="0" w:space="0" w:color="auto"/>
      </w:divBdr>
    </w:div>
    <w:div w:id="485518527">
      <w:bodyDiv w:val="1"/>
      <w:marLeft w:val="0"/>
      <w:marRight w:val="0"/>
      <w:marTop w:val="0"/>
      <w:marBottom w:val="0"/>
      <w:divBdr>
        <w:top w:val="none" w:sz="0" w:space="0" w:color="auto"/>
        <w:left w:val="none" w:sz="0" w:space="0" w:color="auto"/>
        <w:bottom w:val="none" w:sz="0" w:space="0" w:color="auto"/>
        <w:right w:val="none" w:sz="0" w:space="0" w:color="auto"/>
      </w:divBdr>
    </w:div>
    <w:div w:id="498691671">
      <w:bodyDiv w:val="1"/>
      <w:marLeft w:val="0"/>
      <w:marRight w:val="0"/>
      <w:marTop w:val="0"/>
      <w:marBottom w:val="0"/>
      <w:divBdr>
        <w:top w:val="none" w:sz="0" w:space="0" w:color="auto"/>
        <w:left w:val="none" w:sz="0" w:space="0" w:color="auto"/>
        <w:bottom w:val="none" w:sz="0" w:space="0" w:color="auto"/>
        <w:right w:val="none" w:sz="0" w:space="0" w:color="auto"/>
      </w:divBdr>
    </w:div>
    <w:div w:id="503203099">
      <w:bodyDiv w:val="1"/>
      <w:marLeft w:val="0"/>
      <w:marRight w:val="0"/>
      <w:marTop w:val="0"/>
      <w:marBottom w:val="0"/>
      <w:divBdr>
        <w:top w:val="none" w:sz="0" w:space="0" w:color="auto"/>
        <w:left w:val="none" w:sz="0" w:space="0" w:color="auto"/>
        <w:bottom w:val="none" w:sz="0" w:space="0" w:color="auto"/>
        <w:right w:val="none" w:sz="0" w:space="0" w:color="auto"/>
      </w:divBdr>
    </w:div>
    <w:div w:id="523789296">
      <w:bodyDiv w:val="1"/>
      <w:marLeft w:val="0"/>
      <w:marRight w:val="0"/>
      <w:marTop w:val="0"/>
      <w:marBottom w:val="0"/>
      <w:divBdr>
        <w:top w:val="none" w:sz="0" w:space="0" w:color="auto"/>
        <w:left w:val="none" w:sz="0" w:space="0" w:color="auto"/>
        <w:bottom w:val="none" w:sz="0" w:space="0" w:color="auto"/>
        <w:right w:val="none" w:sz="0" w:space="0" w:color="auto"/>
      </w:divBdr>
    </w:div>
    <w:div w:id="580681578">
      <w:bodyDiv w:val="1"/>
      <w:marLeft w:val="0"/>
      <w:marRight w:val="0"/>
      <w:marTop w:val="0"/>
      <w:marBottom w:val="0"/>
      <w:divBdr>
        <w:top w:val="none" w:sz="0" w:space="0" w:color="auto"/>
        <w:left w:val="none" w:sz="0" w:space="0" w:color="auto"/>
        <w:bottom w:val="none" w:sz="0" w:space="0" w:color="auto"/>
        <w:right w:val="none" w:sz="0" w:space="0" w:color="auto"/>
      </w:divBdr>
    </w:div>
    <w:div w:id="681981109">
      <w:bodyDiv w:val="1"/>
      <w:marLeft w:val="0"/>
      <w:marRight w:val="0"/>
      <w:marTop w:val="0"/>
      <w:marBottom w:val="0"/>
      <w:divBdr>
        <w:top w:val="none" w:sz="0" w:space="0" w:color="auto"/>
        <w:left w:val="none" w:sz="0" w:space="0" w:color="auto"/>
        <w:bottom w:val="none" w:sz="0" w:space="0" w:color="auto"/>
        <w:right w:val="none" w:sz="0" w:space="0" w:color="auto"/>
      </w:divBdr>
    </w:div>
    <w:div w:id="696976453">
      <w:bodyDiv w:val="1"/>
      <w:marLeft w:val="0"/>
      <w:marRight w:val="0"/>
      <w:marTop w:val="0"/>
      <w:marBottom w:val="0"/>
      <w:divBdr>
        <w:top w:val="none" w:sz="0" w:space="0" w:color="auto"/>
        <w:left w:val="none" w:sz="0" w:space="0" w:color="auto"/>
        <w:bottom w:val="none" w:sz="0" w:space="0" w:color="auto"/>
        <w:right w:val="none" w:sz="0" w:space="0" w:color="auto"/>
      </w:divBdr>
    </w:div>
    <w:div w:id="740449022">
      <w:bodyDiv w:val="1"/>
      <w:marLeft w:val="0"/>
      <w:marRight w:val="0"/>
      <w:marTop w:val="0"/>
      <w:marBottom w:val="0"/>
      <w:divBdr>
        <w:top w:val="none" w:sz="0" w:space="0" w:color="auto"/>
        <w:left w:val="none" w:sz="0" w:space="0" w:color="auto"/>
        <w:bottom w:val="none" w:sz="0" w:space="0" w:color="auto"/>
        <w:right w:val="none" w:sz="0" w:space="0" w:color="auto"/>
      </w:divBdr>
    </w:div>
    <w:div w:id="795636331">
      <w:bodyDiv w:val="1"/>
      <w:marLeft w:val="0"/>
      <w:marRight w:val="0"/>
      <w:marTop w:val="0"/>
      <w:marBottom w:val="0"/>
      <w:divBdr>
        <w:top w:val="none" w:sz="0" w:space="0" w:color="auto"/>
        <w:left w:val="none" w:sz="0" w:space="0" w:color="auto"/>
        <w:bottom w:val="none" w:sz="0" w:space="0" w:color="auto"/>
        <w:right w:val="none" w:sz="0" w:space="0" w:color="auto"/>
      </w:divBdr>
    </w:div>
    <w:div w:id="808086463">
      <w:bodyDiv w:val="1"/>
      <w:marLeft w:val="0"/>
      <w:marRight w:val="0"/>
      <w:marTop w:val="0"/>
      <w:marBottom w:val="0"/>
      <w:divBdr>
        <w:top w:val="none" w:sz="0" w:space="0" w:color="auto"/>
        <w:left w:val="none" w:sz="0" w:space="0" w:color="auto"/>
        <w:bottom w:val="none" w:sz="0" w:space="0" w:color="auto"/>
        <w:right w:val="none" w:sz="0" w:space="0" w:color="auto"/>
      </w:divBdr>
    </w:div>
    <w:div w:id="814951313">
      <w:bodyDiv w:val="1"/>
      <w:marLeft w:val="0"/>
      <w:marRight w:val="0"/>
      <w:marTop w:val="0"/>
      <w:marBottom w:val="0"/>
      <w:divBdr>
        <w:top w:val="none" w:sz="0" w:space="0" w:color="auto"/>
        <w:left w:val="none" w:sz="0" w:space="0" w:color="auto"/>
        <w:bottom w:val="none" w:sz="0" w:space="0" w:color="auto"/>
        <w:right w:val="none" w:sz="0" w:space="0" w:color="auto"/>
      </w:divBdr>
    </w:div>
    <w:div w:id="856892132">
      <w:bodyDiv w:val="1"/>
      <w:marLeft w:val="0"/>
      <w:marRight w:val="0"/>
      <w:marTop w:val="0"/>
      <w:marBottom w:val="0"/>
      <w:divBdr>
        <w:top w:val="none" w:sz="0" w:space="0" w:color="auto"/>
        <w:left w:val="none" w:sz="0" w:space="0" w:color="auto"/>
        <w:bottom w:val="none" w:sz="0" w:space="0" w:color="auto"/>
        <w:right w:val="none" w:sz="0" w:space="0" w:color="auto"/>
      </w:divBdr>
    </w:div>
    <w:div w:id="860583297">
      <w:bodyDiv w:val="1"/>
      <w:marLeft w:val="0"/>
      <w:marRight w:val="0"/>
      <w:marTop w:val="0"/>
      <w:marBottom w:val="0"/>
      <w:divBdr>
        <w:top w:val="none" w:sz="0" w:space="0" w:color="auto"/>
        <w:left w:val="none" w:sz="0" w:space="0" w:color="auto"/>
        <w:bottom w:val="none" w:sz="0" w:space="0" w:color="auto"/>
        <w:right w:val="none" w:sz="0" w:space="0" w:color="auto"/>
      </w:divBdr>
    </w:div>
    <w:div w:id="932668653">
      <w:bodyDiv w:val="1"/>
      <w:marLeft w:val="0"/>
      <w:marRight w:val="0"/>
      <w:marTop w:val="0"/>
      <w:marBottom w:val="0"/>
      <w:divBdr>
        <w:top w:val="none" w:sz="0" w:space="0" w:color="auto"/>
        <w:left w:val="none" w:sz="0" w:space="0" w:color="auto"/>
        <w:bottom w:val="none" w:sz="0" w:space="0" w:color="auto"/>
        <w:right w:val="none" w:sz="0" w:space="0" w:color="auto"/>
      </w:divBdr>
    </w:div>
    <w:div w:id="960381663">
      <w:bodyDiv w:val="1"/>
      <w:marLeft w:val="0"/>
      <w:marRight w:val="0"/>
      <w:marTop w:val="0"/>
      <w:marBottom w:val="0"/>
      <w:divBdr>
        <w:top w:val="none" w:sz="0" w:space="0" w:color="auto"/>
        <w:left w:val="none" w:sz="0" w:space="0" w:color="auto"/>
        <w:bottom w:val="none" w:sz="0" w:space="0" w:color="auto"/>
        <w:right w:val="none" w:sz="0" w:space="0" w:color="auto"/>
      </w:divBdr>
    </w:div>
    <w:div w:id="974721985">
      <w:bodyDiv w:val="1"/>
      <w:marLeft w:val="0"/>
      <w:marRight w:val="0"/>
      <w:marTop w:val="0"/>
      <w:marBottom w:val="0"/>
      <w:divBdr>
        <w:top w:val="none" w:sz="0" w:space="0" w:color="auto"/>
        <w:left w:val="none" w:sz="0" w:space="0" w:color="auto"/>
        <w:bottom w:val="none" w:sz="0" w:space="0" w:color="auto"/>
        <w:right w:val="none" w:sz="0" w:space="0" w:color="auto"/>
      </w:divBdr>
    </w:div>
    <w:div w:id="977763671">
      <w:bodyDiv w:val="1"/>
      <w:marLeft w:val="0"/>
      <w:marRight w:val="0"/>
      <w:marTop w:val="0"/>
      <w:marBottom w:val="0"/>
      <w:divBdr>
        <w:top w:val="none" w:sz="0" w:space="0" w:color="auto"/>
        <w:left w:val="none" w:sz="0" w:space="0" w:color="auto"/>
        <w:bottom w:val="none" w:sz="0" w:space="0" w:color="auto"/>
        <w:right w:val="none" w:sz="0" w:space="0" w:color="auto"/>
      </w:divBdr>
    </w:div>
    <w:div w:id="1020550245">
      <w:bodyDiv w:val="1"/>
      <w:marLeft w:val="0"/>
      <w:marRight w:val="0"/>
      <w:marTop w:val="0"/>
      <w:marBottom w:val="0"/>
      <w:divBdr>
        <w:top w:val="none" w:sz="0" w:space="0" w:color="auto"/>
        <w:left w:val="none" w:sz="0" w:space="0" w:color="auto"/>
        <w:bottom w:val="none" w:sz="0" w:space="0" w:color="auto"/>
        <w:right w:val="none" w:sz="0" w:space="0" w:color="auto"/>
      </w:divBdr>
    </w:div>
    <w:div w:id="1073356980">
      <w:bodyDiv w:val="1"/>
      <w:marLeft w:val="0"/>
      <w:marRight w:val="0"/>
      <w:marTop w:val="0"/>
      <w:marBottom w:val="0"/>
      <w:divBdr>
        <w:top w:val="none" w:sz="0" w:space="0" w:color="auto"/>
        <w:left w:val="none" w:sz="0" w:space="0" w:color="auto"/>
        <w:bottom w:val="none" w:sz="0" w:space="0" w:color="auto"/>
        <w:right w:val="none" w:sz="0" w:space="0" w:color="auto"/>
      </w:divBdr>
    </w:div>
    <w:div w:id="1099373913">
      <w:bodyDiv w:val="1"/>
      <w:marLeft w:val="0"/>
      <w:marRight w:val="0"/>
      <w:marTop w:val="0"/>
      <w:marBottom w:val="0"/>
      <w:divBdr>
        <w:top w:val="none" w:sz="0" w:space="0" w:color="auto"/>
        <w:left w:val="none" w:sz="0" w:space="0" w:color="auto"/>
        <w:bottom w:val="none" w:sz="0" w:space="0" w:color="auto"/>
        <w:right w:val="none" w:sz="0" w:space="0" w:color="auto"/>
      </w:divBdr>
    </w:div>
    <w:div w:id="1107194015">
      <w:bodyDiv w:val="1"/>
      <w:marLeft w:val="0"/>
      <w:marRight w:val="0"/>
      <w:marTop w:val="0"/>
      <w:marBottom w:val="0"/>
      <w:divBdr>
        <w:top w:val="none" w:sz="0" w:space="0" w:color="auto"/>
        <w:left w:val="none" w:sz="0" w:space="0" w:color="auto"/>
        <w:bottom w:val="none" w:sz="0" w:space="0" w:color="auto"/>
        <w:right w:val="none" w:sz="0" w:space="0" w:color="auto"/>
      </w:divBdr>
    </w:div>
    <w:div w:id="1114593309">
      <w:bodyDiv w:val="1"/>
      <w:marLeft w:val="0"/>
      <w:marRight w:val="0"/>
      <w:marTop w:val="0"/>
      <w:marBottom w:val="0"/>
      <w:divBdr>
        <w:top w:val="none" w:sz="0" w:space="0" w:color="auto"/>
        <w:left w:val="none" w:sz="0" w:space="0" w:color="auto"/>
        <w:bottom w:val="none" w:sz="0" w:space="0" w:color="auto"/>
        <w:right w:val="none" w:sz="0" w:space="0" w:color="auto"/>
      </w:divBdr>
    </w:div>
    <w:div w:id="1126047724">
      <w:bodyDiv w:val="1"/>
      <w:marLeft w:val="0"/>
      <w:marRight w:val="0"/>
      <w:marTop w:val="0"/>
      <w:marBottom w:val="0"/>
      <w:divBdr>
        <w:top w:val="none" w:sz="0" w:space="0" w:color="auto"/>
        <w:left w:val="none" w:sz="0" w:space="0" w:color="auto"/>
        <w:bottom w:val="none" w:sz="0" w:space="0" w:color="auto"/>
        <w:right w:val="none" w:sz="0" w:space="0" w:color="auto"/>
      </w:divBdr>
    </w:div>
    <w:div w:id="1135365814">
      <w:bodyDiv w:val="1"/>
      <w:marLeft w:val="0"/>
      <w:marRight w:val="0"/>
      <w:marTop w:val="0"/>
      <w:marBottom w:val="0"/>
      <w:divBdr>
        <w:top w:val="none" w:sz="0" w:space="0" w:color="auto"/>
        <w:left w:val="none" w:sz="0" w:space="0" w:color="auto"/>
        <w:bottom w:val="none" w:sz="0" w:space="0" w:color="auto"/>
        <w:right w:val="none" w:sz="0" w:space="0" w:color="auto"/>
      </w:divBdr>
    </w:div>
    <w:div w:id="1153714512">
      <w:bodyDiv w:val="1"/>
      <w:marLeft w:val="0"/>
      <w:marRight w:val="0"/>
      <w:marTop w:val="0"/>
      <w:marBottom w:val="0"/>
      <w:divBdr>
        <w:top w:val="none" w:sz="0" w:space="0" w:color="auto"/>
        <w:left w:val="none" w:sz="0" w:space="0" w:color="auto"/>
        <w:bottom w:val="none" w:sz="0" w:space="0" w:color="auto"/>
        <w:right w:val="none" w:sz="0" w:space="0" w:color="auto"/>
      </w:divBdr>
    </w:div>
    <w:div w:id="1187333195">
      <w:bodyDiv w:val="1"/>
      <w:marLeft w:val="0"/>
      <w:marRight w:val="0"/>
      <w:marTop w:val="0"/>
      <w:marBottom w:val="0"/>
      <w:divBdr>
        <w:top w:val="none" w:sz="0" w:space="0" w:color="auto"/>
        <w:left w:val="none" w:sz="0" w:space="0" w:color="auto"/>
        <w:bottom w:val="none" w:sz="0" w:space="0" w:color="auto"/>
        <w:right w:val="none" w:sz="0" w:space="0" w:color="auto"/>
      </w:divBdr>
      <w:divsChild>
        <w:div w:id="186994234">
          <w:marLeft w:val="0"/>
          <w:marRight w:val="0"/>
          <w:marTop w:val="0"/>
          <w:marBottom w:val="0"/>
          <w:divBdr>
            <w:top w:val="none" w:sz="0" w:space="0" w:color="auto"/>
            <w:left w:val="none" w:sz="0" w:space="0" w:color="auto"/>
            <w:bottom w:val="none" w:sz="0" w:space="0" w:color="auto"/>
            <w:right w:val="none" w:sz="0" w:space="0" w:color="auto"/>
          </w:divBdr>
        </w:div>
        <w:div w:id="1186595323">
          <w:marLeft w:val="0"/>
          <w:marRight w:val="0"/>
          <w:marTop w:val="0"/>
          <w:marBottom w:val="0"/>
          <w:divBdr>
            <w:top w:val="none" w:sz="0" w:space="0" w:color="auto"/>
            <w:left w:val="none" w:sz="0" w:space="0" w:color="auto"/>
            <w:bottom w:val="none" w:sz="0" w:space="0" w:color="auto"/>
            <w:right w:val="none" w:sz="0" w:space="0" w:color="auto"/>
          </w:divBdr>
        </w:div>
        <w:div w:id="903568761">
          <w:marLeft w:val="0"/>
          <w:marRight w:val="0"/>
          <w:marTop w:val="0"/>
          <w:marBottom w:val="0"/>
          <w:divBdr>
            <w:top w:val="none" w:sz="0" w:space="0" w:color="auto"/>
            <w:left w:val="none" w:sz="0" w:space="0" w:color="auto"/>
            <w:bottom w:val="none" w:sz="0" w:space="0" w:color="auto"/>
            <w:right w:val="none" w:sz="0" w:space="0" w:color="auto"/>
          </w:divBdr>
        </w:div>
        <w:div w:id="2112119463">
          <w:marLeft w:val="0"/>
          <w:marRight w:val="0"/>
          <w:marTop w:val="0"/>
          <w:marBottom w:val="0"/>
          <w:divBdr>
            <w:top w:val="none" w:sz="0" w:space="0" w:color="auto"/>
            <w:left w:val="none" w:sz="0" w:space="0" w:color="auto"/>
            <w:bottom w:val="none" w:sz="0" w:space="0" w:color="auto"/>
            <w:right w:val="none" w:sz="0" w:space="0" w:color="auto"/>
          </w:divBdr>
        </w:div>
      </w:divsChild>
    </w:div>
    <w:div w:id="1195070704">
      <w:bodyDiv w:val="1"/>
      <w:marLeft w:val="0"/>
      <w:marRight w:val="0"/>
      <w:marTop w:val="0"/>
      <w:marBottom w:val="0"/>
      <w:divBdr>
        <w:top w:val="none" w:sz="0" w:space="0" w:color="auto"/>
        <w:left w:val="none" w:sz="0" w:space="0" w:color="auto"/>
        <w:bottom w:val="none" w:sz="0" w:space="0" w:color="auto"/>
        <w:right w:val="none" w:sz="0" w:space="0" w:color="auto"/>
      </w:divBdr>
    </w:div>
    <w:div w:id="1195650685">
      <w:bodyDiv w:val="1"/>
      <w:marLeft w:val="0"/>
      <w:marRight w:val="0"/>
      <w:marTop w:val="0"/>
      <w:marBottom w:val="0"/>
      <w:divBdr>
        <w:top w:val="none" w:sz="0" w:space="0" w:color="auto"/>
        <w:left w:val="none" w:sz="0" w:space="0" w:color="auto"/>
        <w:bottom w:val="none" w:sz="0" w:space="0" w:color="auto"/>
        <w:right w:val="none" w:sz="0" w:space="0" w:color="auto"/>
      </w:divBdr>
    </w:div>
    <w:div w:id="1211186700">
      <w:bodyDiv w:val="1"/>
      <w:marLeft w:val="0"/>
      <w:marRight w:val="0"/>
      <w:marTop w:val="0"/>
      <w:marBottom w:val="0"/>
      <w:divBdr>
        <w:top w:val="none" w:sz="0" w:space="0" w:color="auto"/>
        <w:left w:val="none" w:sz="0" w:space="0" w:color="auto"/>
        <w:bottom w:val="none" w:sz="0" w:space="0" w:color="auto"/>
        <w:right w:val="none" w:sz="0" w:space="0" w:color="auto"/>
      </w:divBdr>
    </w:div>
    <w:div w:id="1248618058">
      <w:bodyDiv w:val="1"/>
      <w:marLeft w:val="0"/>
      <w:marRight w:val="0"/>
      <w:marTop w:val="0"/>
      <w:marBottom w:val="0"/>
      <w:divBdr>
        <w:top w:val="none" w:sz="0" w:space="0" w:color="auto"/>
        <w:left w:val="none" w:sz="0" w:space="0" w:color="auto"/>
        <w:bottom w:val="none" w:sz="0" w:space="0" w:color="auto"/>
        <w:right w:val="none" w:sz="0" w:space="0" w:color="auto"/>
      </w:divBdr>
    </w:div>
    <w:div w:id="1273440376">
      <w:bodyDiv w:val="1"/>
      <w:marLeft w:val="0"/>
      <w:marRight w:val="0"/>
      <w:marTop w:val="0"/>
      <w:marBottom w:val="0"/>
      <w:divBdr>
        <w:top w:val="none" w:sz="0" w:space="0" w:color="auto"/>
        <w:left w:val="none" w:sz="0" w:space="0" w:color="auto"/>
        <w:bottom w:val="none" w:sz="0" w:space="0" w:color="auto"/>
        <w:right w:val="none" w:sz="0" w:space="0" w:color="auto"/>
      </w:divBdr>
    </w:div>
    <w:div w:id="1284116317">
      <w:bodyDiv w:val="1"/>
      <w:marLeft w:val="0"/>
      <w:marRight w:val="0"/>
      <w:marTop w:val="0"/>
      <w:marBottom w:val="0"/>
      <w:divBdr>
        <w:top w:val="none" w:sz="0" w:space="0" w:color="auto"/>
        <w:left w:val="none" w:sz="0" w:space="0" w:color="auto"/>
        <w:bottom w:val="none" w:sz="0" w:space="0" w:color="auto"/>
        <w:right w:val="none" w:sz="0" w:space="0" w:color="auto"/>
      </w:divBdr>
    </w:div>
    <w:div w:id="1284846380">
      <w:bodyDiv w:val="1"/>
      <w:marLeft w:val="0"/>
      <w:marRight w:val="0"/>
      <w:marTop w:val="0"/>
      <w:marBottom w:val="0"/>
      <w:divBdr>
        <w:top w:val="none" w:sz="0" w:space="0" w:color="auto"/>
        <w:left w:val="none" w:sz="0" w:space="0" w:color="auto"/>
        <w:bottom w:val="none" w:sz="0" w:space="0" w:color="auto"/>
        <w:right w:val="none" w:sz="0" w:space="0" w:color="auto"/>
      </w:divBdr>
    </w:div>
    <w:div w:id="1309358760">
      <w:bodyDiv w:val="1"/>
      <w:marLeft w:val="0"/>
      <w:marRight w:val="0"/>
      <w:marTop w:val="0"/>
      <w:marBottom w:val="0"/>
      <w:divBdr>
        <w:top w:val="none" w:sz="0" w:space="0" w:color="auto"/>
        <w:left w:val="none" w:sz="0" w:space="0" w:color="auto"/>
        <w:bottom w:val="none" w:sz="0" w:space="0" w:color="auto"/>
        <w:right w:val="none" w:sz="0" w:space="0" w:color="auto"/>
      </w:divBdr>
    </w:div>
    <w:div w:id="1345522058">
      <w:bodyDiv w:val="1"/>
      <w:marLeft w:val="0"/>
      <w:marRight w:val="0"/>
      <w:marTop w:val="0"/>
      <w:marBottom w:val="0"/>
      <w:divBdr>
        <w:top w:val="none" w:sz="0" w:space="0" w:color="auto"/>
        <w:left w:val="none" w:sz="0" w:space="0" w:color="auto"/>
        <w:bottom w:val="none" w:sz="0" w:space="0" w:color="auto"/>
        <w:right w:val="none" w:sz="0" w:space="0" w:color="auto"/>
      </w:divBdr>
    </w:div>
    <w:div w:id="1401053059">
      <w:bodyDiv w:val="1"/>
      <w:marLeft w:val="0"/>
      <w:marRight w:val="0"/>
      <w:marTop w:val="0"/>
      <w:marBottom w:val="0"/>
      <w:divBdr>
        <w:top w:val="none" w:sz="0" w:space="0" w:color="auto"/>
        <w:left w:val="none" w:sz="0" w:space="0" w:color="auto"/>
        <w:bottom w:val="none" w:sz="0" w:space="0" w:color="auto"/>
        <w:right w:val="none" w:sz="0" w:space="0" w:color="auto"/>
      </w:divBdr>
    </w:div>
    <w:div w:id="1405183719">
      <w:bodyDiv w:val="1"/>
      <w:marLeft w:val="0"/>
      <w:marRight w:val="0"/>
      <w:marTop w:val="0"/>
      <w:marBottom w:val="0"/>
      <w:divBdr>
        <w:top w:val="none" w:sz="0" w:space="0" w:color="auto"/>
        <w:left w:val="none" w:sz="0" w:space="0" w:color="auto"/>
        <w:bottom w:val="none" w:sz="0" w:space="0" w:color="auto"/>
        <w:right w:val="none" w:sz="0" w:space="0" w:color="auto"/>
      </w:divBdr>
    </w:div>
    <w:div w:id="1406798753">
      <w:bodyDiv w:val="1"/>
      <w:marLeft w:val="0"/>
      <w:marRight w:val="0"/>
      <w:marTop w:val="0"/>
      <w:marBottom w:val="0"/>
      <w:divBdr>
        <w:top w:val="none" w:sz="0" w:space="0" w:color="auto"/>
        <w:left w:val="none" w:sz="0" w:space="0" w:color="auto"/>
        <w:bottom w:val="none" w:sz="0" w:space="0" w:color="auto"/>
        <w:right w:val="none" w:sz="0" w:space="0" w:color="auto"/>
      </w:divBdr>
    </w:div>
    <w:div w:id="1410544110">
      <w:bodyDiv w:val="1"/>
      <w:marLeft w:val="0"/>
      <w:marRight w:val="0"/>
      <w:marTop w:val="0"/>
      <w:marBottom w:val="0"/>
      <w:divBdr>
        <w:top w:val="none" w:sz="0" w:space="0" w:color="auto"/>
        <w:left w:val="none" w:sz="0" w:space="0" w:color="auto"/>
        <w:bottom w:val="none" w:sz="0" w:space="0" w:color="auto"/>
        <w:right w:val="none" w:sz="0" w:space="0" w:color="auto"/>
      </w:divBdr>
    </w:div>
    <w:div w:id="1421560962">
      <w:bodyDiv w:val="1"/>
      <w:marLeft w:val="0"/>
      <w:marRight w:val="0"/>
      <w:marTop w:val="0"/>
      <w:marBottom w:val="0"/>
      <w:divBdr>
        <w:top w:val="none" w:sz="0" w:space="0" w:color="auto"/>
        <w:left w:val="none" w:sz="0" w:space="0" w:color="auto"/>
        <w:bottom w:val="none" w:sz="0" w:space="0" w:color="auto"/>
        <w:right w:val="none" w:sz="0" w:space="0" w:color="auto"/>
      </w:divBdr>
    </w:div>
    <w:div w:id="1444961955">
      <w:bodyDiv w:val="1"/>
      <w:marLeft w:val="0"/>
      <w:marRight w:val="0"/>
      <w:marTop w:val="0"/>
      <w:marBottom w:val="0"/>
      <w:divBdr>
        <w:top w:val="none" w:sz="0" w:space="0" w:color="auto"/>
        <w:left w:val="none" w:sz="0" w:space="0" w:color="auto"/>
        <w:bottom w:val="none" w:sz="0" w:space="0" w:color="auto"/>
        <w:right w:val="none" w:sz="0" w:space="0" w:color="auto"/>
      </w:divBdr>
    </w:div>
    <w:div w:id="1479420350">
      <w:bodyDiv w:val="1"/>
      <w:marLeft w:val="0"/>
      <w:marRight w:val="0"/>
      <w:marTop w:val="0"/>
      <w:marBottom w:val="0"/>
      <w:divBdr>
        <w:top w:val="none" w:sz="0" w:space="0" w:color="auto"/>
        <w:left w:val="none" w:sz="0" w:space="0" w:color="auto"/>
        <w:bottom w:val="none" w:sz="0" w:space="0" w:color="auto"/>
        <w:right w:val="none" w:sz="0" w:space="0" w:color="auto"/>
      </w:divBdr>
    </w:div>
    <w:div w:id="1508979179">
      <w:bodyDiv w:val="1"/>
      <w:marLeft w:val="0"/>
      <w:marRight w:val="0"/>
      <w:marTop w:val="0"/>
      <w:marBottom w:val="0"/>
      <w:divBdr>
        <w:top w:val="none" w:sz="0" w:space="0" w:color="auto"/>
        <w:left w:val="none" w:sz="0" w:space="0" w:color="auto"/>
        <w:bottom w:val="none" w:sz="0" w:space="0" w:color="auto"/>
        <w:right w:val="none" w:sz="0" w:space="0" w:color="auto"/>
      </w:divBdr>
    </w:div>
    <w:div w:id="1539271230">
      <w:bodyDiv w:val="1"/>
      <w:marLeft w:val="0"/>
      <w:marRight w:val="0"/>
      <w:marTop w:val="0"/>
      <w:marBottom w:val="0"/>
      <w:divBdr>
        <w:top w:val="none" w:sz="0" w:space="0" w:color="auto"/>
        <w:left w:val="none" w:sz="0" w:space="0" w:color="auto"/>
        <w:bottom w:val="none" w:sz="0" w:space="0" w:color="auto"/>
        <w:right w:val="none" w:sz="0" w:space="0" w:color="auto"/>
      </w:divBdr>
    </w:div>
    <w:div w:id="1574924064">
      <w:bodyDiv w:val="1"/>
      <w:marLeft w:val="0"/>
      <w:marRight w:val="0"/>
      <w:marTop w:val="0"/>
      <w:marBottom w:val="0"/>
      <w:divBdr>
        <w:top w:val="none" w:sz="0" w:space="0" w:color="auto"/>
        <w:left w:val="none" w:sz="0" w:space="0" w:color="auto"/>
        <w:bottom w:val="none" w:sz="0" w:space="0" w:color="auto"/>
        <w:right w:val="none" w:sz="0" w:space="0" w:color="auto"/>
      </w:divBdr>
    </w:div>
    <w:div w:id="1576931499">
      <w:bodyDiv w:val="1"/>
      <w:marLeft w:val="0"/>
      <w:marRight w:val="0"/>
      <w:marTop w:val="0"/>
      <w:marBottom w:val="0"/>
      <w:divBdr>
        <w:top w:val="none" w:sz="0" w:space="0" w:color="auto"/>
        <w:left w:val="none" w:sz="0" w:space="0" w:color="auto"/>
        <w:bottom w:val="none" w:sz="0" w:space="0" w:color="auto"/>
        <w:right w:val="none" w:sz="0" w:space="0" w:color="auto"/>
      </w:divBdr>
    </w:div>
    <w:div w:id="1585265234">
      <w:bodyDiv w:val="1"/>
      <w:marLeft w:val="0"/>
      <w:marRight w:val="0"/>
      <w:marTop w:val="0"/>
      <w:marBottom w:val="0"/>
      <w:divBdr>
        <w:top w:val="none" w:sz="0" w:space="0" w:color="auto"/>
        <w:left w:val="none" w:sz="0" w:space="0" w:color="auto"/>
        <w:bottom w:val="none" w:sz="0" w:space="0" w:color="auto"/>
        <w:right w:val="none" w:sz="0" w:space="0" w:color="auto"/>
      </w:divBdr>
    </w:div>
    <w:div w:id="1609122174">
      <w:bodyDiv w:val="1"/>
      <w:marLeft w:val="0"/>
      <w:marRight w:val="0"/>
      <w:marTop w:val="0"/>
      <w:marBottom w:val="0"/>
      <w:divBdr>
        <w:top w:val="none" w:sz="0" w:space="0" w:color="auto"/>
        <w:left w:val="none" w:sz="0" w:space="0" w:color="auto"/>
        <w:bottom w:val="none" w:sz="0" w:space="0" w:color="auto"/>
        <w:right w:val="none" w:sz="0" w:space="0" w:color="auto"/>
      </w:divBdr>
    </w:div>
    <w:div w:id="1640574143">
      <w:bodyDiv w:val="1"/>
      <w:marLeft w:val="0"/>
      <w:marRight w:val="0"/>
      <w:marTop w:val="0"/>
      <w:marBottom w:val="0"/>
      <w:divBdr>
        <w:top w:val="none" w:sz="0" w:space="0" w:color="auto"/>
        <w:left w:val="none" w:sz="0" w:space="0" w:color="auto"/>
        <w:bottom w:val="none" w:sz="0" w:space="0" w:color="auto"/>
        <w:right w:val="none" w:sz="0" w:space="0" w:color="auto"/>
      </w:divBdr>
    </w:div>
    <w:div w:id="1642228806">
      <w:bodyDiv w:val="1"/>
      <w:marLeft w:val="0"/>
      <w:marRight w:val="0"/>
      <w:marTop w:val="0"/>
      <w:marBottom w:val="0"/>
      <w:divBdr>
        <w:top w:val="none" w:sz="0" w:space="0" w:color="auto"/>
        <w:left w:val="none" w:sz="0" w:space="0" w:color="auto"/>
        <w:bottom w:val="none" w:sz="0" w:space="0" w:color="auto"/>
        <w:right w:val="none" w:sz="0" w:space="0" w:color="auto"/>
      </w:divBdr>
    </w:div>
    <w:div w:id="1646156683">
      <w:bodyDiv w:val="1"/>
      <w:marLeft w:val="0"/>
      <w:marRight w:val="0"/>
      <w:marTop w:val="0"/>
      <w:marBottom w:val="0"/>
      <w:divBdr>
        <w:top w:val="none" w:sz="0" w:space="0" w:color="auto"/>
        <w:left w:val="none" w:sz="0" w:space="0" w:color="auto"/>
        <w:bottom w:val="none" w:sz="0" w:space="0" w:color="auto"/>
        <w:right w:val="none" w:sz="0" w:space="0" w:color="auto"/>
      </w:divBdr>
    </w:div>
    <w:div w:id="1710376931">
      <w:bodyDiv w:val="1"/>
      <w:marLeft w:val="0"/>
      <w:marRight w:val="0"/>
      <w:marTop w:val="0"/>
      <w:marBottom w:val="0"/>
      <w:divBdr>
        <w:top w:val="none" w:sz="0" w:space="0" w:color="auto"/>
        <w:left w:val="none" w:sz="0" w:space="0" w:color="auto"/>
        <w:bottom w:val="none" w:sz="0" w:space="0" w:color="auto"/>
        <w:right w:val="none" w:sz="0" w:space="0" w:color="auto"/>
      </w:divBdr>
    </w:div>
    <w:div w:id="1834252103">
      <w:bodyDiv w:val="1"/>
      <w:marLeft w:val="0"/>
      <w:marRight w:val="0"/>
      <w:marTop w:val="0"/>
      <w:marBottom w:val="0"/>
      <w:divBdr>
        <w:top w:val="none" w:sz="0" w:space="0" w:color="auto"/>
        <w:left w:val="none" w:sz="0" w:space="0" w:color="auto"/>
        <w:bottom w:val="none" w:sz="0" w:space="0" w:color="auto"/>
        <w:right w:val="none" w:sz="0" w:space="0" w:color="auto"/>
      </w:divBdr>
    </w:div>
    <w:div w:id="1868979701">
      <w:bodyDiv w:val="1"/>
      <w:marLeft w:val="0"/>
      <w:marRight w:val="0"/>
      <w:marTop w:val="0"/>
      <w:marBottom w:val="0"/>
      <w:divBdr>
        <w:top w:val="none" w:sz="0" w:space="0" w:color="auto"/>
        <w:left w:val="none" w:sz="0" w:space="0" w:color="auto"/>
        <w:bottom w:val="none" w:sz="0" w:space="0" w:color="auto"/>
        <w:right w:val="none" w:sz="0" w:space="0" w:color="auto"/>
      </w:divBdr>
    </w:div>
    <w:div w:id="1875657288">
      <w:bodyDiv w:val="1"/>
      <w:marLeft w:val="0"/>
      <w:marRight w:val="0"/>
      <w:marTop w:val="0"/>
      <w:marBottom w:val="0"/>
      <w:divBdr>
        <w:top w:val="none" w:sz="0" w:space="0" w:color="auto"/>
        <w:left w:val="none" w:sz="0" w:space="0" w:color="auto"/>
        <w:bottom w:val="none" w:sz="0" w:space="0" w:color="auto"/>
        <w:right w:val="none" w:sz="0" w:space="0" w:color="auto"/>
      </w:divBdr>
    </w:div>
    <w:div w:id="1889880437">
      <w:bodyDiv w:val="1"/>
      <w:marLeft w:val="0"/>
      <w:marRight w:val="0"/>
      <w:marTop w:val="0"/>
      <w:marBottom w:val="0"/>
      <w:divBdr>
        <w:top w:val="none" w:sz="0" w:space="0" w:color="auto"/>
        <w:left w:val="none" w:sz="0" w:space="0" w:color="auto"/>
        <w:bottom w:val="none" w:sz="0" w:space="0" w:color="auto"/>
        <w:right w:val="none" w:sz="0" w:space="0" w:color="auto"/>
      </w:divBdr>
    </w:div>
    <w:div w:id="1895969257">
      <w:bodyDiv w:val="1"/>
      <w:marLeft w:val="0"/>
      <w:marRight w:val="0"/>
      <w:marTop w:val="0"/>
      <w:marBottom w:val="0"/>
      <w:divBdr>
        <w:top w:val="none" w:sz="0" w:space="0" w:color="auto"/>
        <w:left w:val="none" w:sz="0" w:space="0" w:color="auto"/>
        <w:bottom w:val="none" w:sz="0" w:space="0" w:color="auto"/>
        <w:right w:val="none" w:sz="0" w:space="0" w:color="auto"/>
      </w:divBdr>
    </w:div>
    <w:div w:id="1923489326">
      <w:bodyDiv w:val="1"/>
      <w:marLeft w:val="0"/>
      <w:marRight w:val="0"/>
      <w:marTop w:val="0"/>
      <w:marBottom w:val="0"/>
      <w:divBdr>
        <w:top w:val="none" w:sz="0" w:space="0" w:color="auto"/>
        <w:left w:val="none" w:sz="0" w:space="0" w:color="auto"/>
        <w:bottom w:val="none" w:sz="0" w:space="0" w:color="auto"/>
        <w:right w:val="none" w:sz="0" w:space="0" w:color="auto"/>
      </w:divBdr>
    </w:div>
    <w:div w:id="1985810224">
      <w:bodyDiv w:val="1"/>
      <w:marLeft w:val="0"/>
      <w:marRight w:val="0"/>
      <w:marTop w:val="0"/>
      <w:marBottom w:val="0"/>
      <w:divBdr>
        <w:top w:val="none" w:sz="0" w:space="0" w:color="auto"/>
        <w:left w:val="none" w:sz="0" w:space="0" w:color="auto"/>
        <w:bottom w:val="none" w:sz="0" w:space="0" w:color="auto"/>
        <w:right w:val="none" w:sz="0" w:space="0" w:color="auto"/>
      </w:divBdr>
    </w:div>
    <w:div w:id="1990330488">
      <w:bodyDiv w:val="1"/>
      <w:marLeft w:val="0"/>
      <w:marRight w:val="0"/>
      <w:marTop w:val="0"/>
      <w:marBottom w:val="0"/>
      <w:divBdr>
        <w:top w:val="none" w:sz="0" w:space="0" w:color="auto"/>
        <w:left w:val="none" w:sz="0" w:space="0" w:color="auto"/>
        <w:bottom w:val="none" w:sz="0" w:space="0" w:color="auto"/>
        <w:right w:val="none" w:sz="0" w:space="0" w:color="auto"/>
      </w:divBdr>
    </w:div>
    <w:div w:id="1995865245">
      <w:bodyDiv w:val="1"/>
      <w:marLeft w:val="0"/>
      <w:marRight w:val="0"/>
      <w:marTop w:val="0"/>
      <w:marBottom w:val="0"/>
      <w:divBdr>
        <w:top w:val="none" w:sz="0" w:space="0" w:color="auto"/>
        <w:left w:val="none" w:sz="0" w:space="0" w:color="auto"/>
        <w:bottom w:val="none" w:sz="0" w:space="0" w:color="auto"/>
        <w:right w:val="none" w:sz="0" w:space="0" w:color="auto"/>
      </w:divBdr>
    </w:div>
    <w:div w:id="2007977948">
      <w:bodyDiv w:val="1"/>
      <w:marLeft w:val="0"/>
      <w:marRight w:val="0"/>
      <w:marTop w:val="0"/>
      <w:marBottom w:val="0"/>
      <w:divBdr>
        <w:top w:val="none" w:sz="0" w:space="0" w:color="auto"/>
        <w:left w:val="none" w:sz="0" w:space="0" w:color="auto"/>
        <w:bottom w:val="none" w:sz="0" w:space="0" w:color="auto"/>
        <w:right w:val="none" w:sz="0" w:space="0" w:color="auto"/>
      </w:divBdr>
    </w:div>
    <w:div w:id="2021152954">
      <w:bodyDiv w:val="1"/>
      <w:marLeft w:val="0"/>
      <w:marRight w:val="0"/>
      <w:marTop w:val="0"/>
      <w:marBottom w:val="0"/>
      <w:divBdr>
        <w:top w:val="none" w:sz="0" w:space="0" w:color="auto"/>
        <w:left w:val="none" w:sz="0" w:space="0" w:color="auto"/>
        <w:bottom w:val="none" w:sz="0" w:space="0" w:color="auto"/>
        <w:right w:val="none" w:sz="0" w:space="0" w:color="auto"/>
      </w:divBdr>
    </w:div>
    <w:div w:id="2051759379">
      <w:bodyDiv w:val="1"/>
      <w:marLeft w:val="0"/>
      <w:marRight w:val="0"/>
      <w:marTop w:val="0"/>
      <w:marBottom w:val="0"/>
      <w:divBdr>
        <w:top w:val="none" w:sz="0" w:space="0" w:color="auto"/>
        <w:left w:val="none" w:sz="0" w:space="0" w:color="auto"/>
        <w:bottom w:val="none" w:sz="0" w:space="0" w:color="auto"/>
        <w:right w:val="none" w:sz="0" w:space="0" w:color="auto"/>
      </w:divBdr>
    </w:div>
    <w:div w:id="2056005599">
      <w:bodyDiv w:val="1"/>
      <w:marLeft w:val="0"/>
      <w:marRight w:val="0"/>
      <w:marTop w:val="0"/>
      <w:marBottom w:val="0"/>
      <w:divBdr>
        <w:top w:val="none" w:sz="0" w:space="0" w:color="auto"/>
        <w:left w:val="none" w:sz="0" w:space="0" w:color="auto"/>
        <w:bottom w:val="none" w:sz="0" w:space="0" w:color="auto"/>
        <w:right w:val="none" w:sz="0" w:space="0" w:color="auto"/>
      </w:divBdr>
    </w:div>
    <w:div w:id="2064981580">
      <w:bodyDiv w:val="1"/>
      <w:marLeft w:val="0"/>
      <w:marRight w:val="0"/>
      <w:marTop w:val="0"/>
      <w:marBottom w:val="0"/>
      <w:divBdr>
        <w:top w:val="none" w:sz="0" w:space="0" w:color="auto"/>
        <w:left w:val="none" w:sz="0" w:space="0" w:color="auto"/>
        <w:bottom w:val="none" w:sz="0" w:space="0" w:color="auto"/>
        <w:right w:val="none" w:sz="0" w:space="0" w:color="auto"/>
      </w:divBdr>
    </w:div>
    <w:div w:id="2095589329">
      <w:bodyDiv w:val="1"/>
      <w:marLeft w:val="0"/>
      <w:marRight w:val="0"/>
      <w:marTop w:val="0"/>
      <w:marBottom w:val="0"/>
      <w:divBdr>
        <w:top w:val="none" w:sz="0" w:space="0" w:color="auto"/>
        <w:left w:val="none" w:sz="0" w:space="0" w:color="auto"/>
        <w:bottom w:val="none" w:sz="0" w:space="0" w:color="auto"/>
        <w:right w:val="none" w:sz="0" w:space="0" w:color="auto"/>
      </w:divBdr>
    </w:div>
    <w:div w:id="2108886864">
      <w:bodyDiv w:val="1"/>
      <w:marLeft w:val="0"/>
      <w:marRight w:val="0"/>
      <w:marTop w:val="0"/>
      <w:marBottom w:val="0"/>
      <w:divBdr>
        <w:top w:val="none" w:sz="0" w:space="0" w:color="auto"/>
        <w:left w:val="none" w:sz="0" w:space="0" w:color="auto"/>
        <w:bottom w:val="none" w:sz="0" w:space="0" w:color="auto"/>
        <w:right w:val="none" w:sz="0" w:space="0" w:color="auto"/>
      </w:divBdr>
    </w:div>
    <w:div w:id="2116098938">
      <w:bodyDiv w:val="1"/>
      <w:marLeft w:val="0"/>
      <w:marRight w:val="0"/>
      <w:marTop w:val="0"/>
      <w:marBottom w:val="0"/>
      <w:divBdr>
        <w:top w:val="none" w:sz="0" w:space="0" w:color="auto"/>
        <w:left w:val="none" w:sz="0" w:space="0" w:color="auto"/>
        <w:bottom w:val="none" w:sz="0" w:space="0" w:color="auto"/>
        <w:right w:val="none" w:sz="0" w:space="0" w:color="auto"/>
      </w:divBdr>
    </w:div>
    <w:div w:id="2116486131">
      <w:bodyDiv w:val="1"/>
      <w:marLeft w:val="0"/>
      <w:marRight w:val="0"/>
      <w:marTop w:val="0"/>
      <w:marBottom w:val="0"/>
      <w:divBdr>
        <w:top w:val="none" w:sz="0" w:space="0" w:color="auto"/>
        <w:left w:val="none" w:sz="0" w:space="0" w:color="auto"/>
        <w:bottom w:val="none" w:sz="0" w:space="0" w:color="auto"/>
        <w:right w:val="none" w:sz="0" w:space="0" w:color="auto"/>
      </w:divBdr>
    </w:div>
    <w:div w:id="214534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ctn.com/ISRCTN16710849" TargetMode="External"/><Relationship Id="rId13" Type="http://schemas.openxmlformats.org/officeDocument/2006/relationships/hyperlink" Target="mailto:christopher.gale@imperial.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eu.ox.ac.uk/neogastri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peu.ox.ac.uk/neogastr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y.Rodriquez@monash.edu" TargetMode="External"/><Relationship Id="rId5" Type="http://schemas.openxmlformats.org/officeDocument/2006/relationships/webSettings" Target="webSettings.xml"/><Relationship Id="rId15" Type="http://schemas.openxmlformats.org/officeDocument/2006/relationships/hyperlink" Target="https://doi.org/10.1186/ISRCTN16710849" TargetMode="External"/><Relationship Id="rId10" Type="http://schemas.openxmlformats.org/officeDocument/2006/relationships/hyperlink" Target="mailto:becky.ward@imperial.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rctn.com/ISRCTN16710849" TargetMode="External"/><Relationship Id="rId14" Type="http://schemas.openxmlformats.org/officeDocument/2006/relationships/hyperlink" Target="mailto:calum.roberts@monash.ed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Pat21</b:Tag>
    <b:SourceType>JournalArticle</b:SourceType>
    <b:Guid>{3EF5A87E-71AD-4E8A-B393-91B10DC81A81}</b:Guid>
    <b:Author>
      <b:Author>
        <b:NameList>
          <b:Person>
            <b:Last>Pathrose SP</b:Last>
            <b:First>Spence</b:First>
            <b:Middle>K, Taylor C, Psalia K, Schmied V, Dahlen H, et al.</b:Middle>
          </b:Person>
        </b:NameList>
      </b:Author>
    </b:Author>
    <b:Title>A Cross-sectional Survey of Enteral Feeding Tube Placement and Gastric Residual Aspiration Practices: Need for an Evidence-Based Clinical Practice Guideline.</b:Title>
    <b:Year>2021</b:Year>
    <b:Publisher>Advanced Neotanatl Care</b:Publisher>
    <b:RefOrder>1</b:RefOrder>
  </b:Source>
  <b:Source>
    <b:Tag>Dor20</b:Tag>
    <b:SourceType>JournalArticle</b:SourceType>
    <b:Guid>{59AB1058-8128-4296-BED2-B81F75A40AA0}</b:Guid>
    <b:Author>
      <b:Author>
        <b:NameList>
          <b:Person>
            <b:Last>Dorling J</b:Last>
            <b:First>Tume</b:First>
            <b:Middle>L, Arch B, Woolfall K, Latten L, Roper L, et al.</b:Middle>
          </b:Person>
        </b:NameList>
      </b:Author>
    </b:Author>
    <b:Title>Gastric residual volume measurement in British neonatal intensive care units: a survey of practice.</b:Title>
    <b:Year>2020</b:Year>
    <b:Publisher>BMJ Paediatric Open</b:Publisher>
    <b:Issue>4(1):e000601</b:Issue>
    <b:RefOrder>2</b:RefOrder>
  </b:Source>
  <b:Source>
    <b:Tag>Gre12</b:Tag>
    <b:SourceType>JournalArticle</b:SourceType>
    <b:Guid>{3F09CA9F-4544-4803-B2F5-D71424C49122}</b:Guid>
    <b:Author>
      <b:Author>
        <b:NameList>
          <b:Person>
            <b:Last>Gregory KE</b:Last>
            <b:First>Connolly</b:First>
            <b:Middle>TC.</b:Middle>
          </b:Person>
        </b:NameList>
      </b:Author>
    </b:Author>
    <b:Title>Enteral feeding practices in the NICU: results from a 2009 Neonatal Enteral Feeding Survey. </b:Title>
    <b:Year>2012</b:Year>
    <b:Publisher>Advanced Neonatal Care</b:Publisher>
    <b:Volume>12(1):46-55</b:Volume>
    <b:RefOrder>3</b:RefOrder>
  </b:Source>
  <b:Source>
    <b:Tag>NPS</b:Tag>
    <b:SourceType>Report</b:SourceType>
    <b:Guid>{38FA8AC4-912A-429C-9F1D-009E89624160}</b:Guid>
    <b:Title> Reducing the harm caused by misplaced nasogastric feeding tubes in adults, children and infants.</b:Title>
    <b:Publisher> In: Authority NPS, editor. </b:Publisher>
    <b:Author>
      <b:Author>
        <b:NameList>
          <b:Person>
            <b:Last>NPSA</b:Last>
          </b:Person>
        </b:NameList>
      </b:Author>
    </b:Author>
    <b:RefOrder>4</b:RefOrder>
  </b:Source>
  <b:Source>
    <b:Tag>Cob04</b:Tag>
    <b:SourceType>JournalArticle</b:SourceType>
    <b:Guid>{A26D3858-1000-44B9-90E0-6EC87C453CD1}</b:Guid>
    <b:Title>Gastric residuals and their relationship to necrotizing enterocolitis in very low birth weight infants.</b:Title>
    <b:Year>2004</b:Year>
    <b:Publisher>Pediatrics</b:Publisher>
    <b:Author>
      <b:Author>
        <b:NameList>
          <b:Person>
            <b:Last>Cobb BA</b:Last>
            <b:First>Carlo</b:First>
            <b:Middle>WA, Ambalavanan N.</b:Middle>
          </b:Person>
        </b:NameList>
      </b:Author>
    </b:Author>
    <b:Volume>113(1 Pt 1):50-3</b:Volume>
    <b:RefOrder>5</b:RefOrder>
  </b:Source>
  <b:Source>
    <b:Tag>Ber09</b:Tag>
    <b:SourceType>JournalArticle</b:SourceType>
    <b:Guid>{DB92C923-707F-471D-B5F3-4B602560679B}</b:Guid>
    <b:Author>
      <b:Author>
        <b:NameList>
          <b:Person>
            <b:Last>Bertino E</b:Last>
            <b:First>Giuliani</b:First>
            <b:Middle>F, Prandi G, Coscia A, Martano C, Fabris C.</b:Middle>
          </b:Person>
        </b:NameList>
      </b:Author>
    </b:Author>
    <b:Title> Necrotizing enterocolitis: risk factor analysis and role of gastric residuals in very low birth weight infants</b:Title>
    <b:Year>2009</b:Year>
    <b:Publisher>J Pediatr Gastroenterol Nutr. </b:Publisher>
    <b:Volume>48(4):437-42</b:Volume>
    <b:RefOrder>6</b:RefOrder>
  </b:Source>
  <b:Source>
    <b:Tag>Tum20</b:Tag>
    <b:SourceType>JournalArticle</b:SourceType>
    <b:Guid>{02963041-4D0C-49EA-B72E-3E1BAB9FEDDB}</b:Guid>
    <b:Author>
      <b:Author>
        <b:NameList>
          <b:Person>
            <b:Last>Tume LN</b:Last>
            <b:First>Woolfall</b:First>
            <b:Middle>K, Arch B, Roper L, Deja E, Jones AP, et al.</b:Middle>
          </b:Person>
        </b:NameList>
      </b:Author>
    </b:Author>
    <b:Title>Routine gastric residual volume measurement to guide enteral feeding in mechanically ventilated infants and children: the GASTRIC feasibility study</b:Title>
    <b:Year>2020</b:Year>
    <b:Publisher>Health Technol Assess. </b:Publisher>
    <b:Volume>24(23):1-120.</b:Volume>
    <b:RefOrder>7</b:RefOrder>
  </b:Source>
  <b:Source>
    <b:Tag>Abi19</b:Tag>
    <b:SourceType>JournalArticle</b:SourceType>
    <b:Guid>{01C5A1BF-A2F6-4025-93F8-AB51AAD0E90F}</b:Guid>
    <b:Author>
      <b:Author>
        <b:NameList>
          <b:Person>
            <b:Last>Abiramalatha T</b:Last>
            <b:First>Thanigainathan</b:First>
            <b:Middle>S, Ninan B.</b:Middle>
          </b:Person>
        </b:NameList>
      </b:Author>
    </b:Author>
    <b:Title>Routine monitoring of gastric residual for prevention of necrotising enterocolitis in preterm infants</b:Title>
    <b:Year> 2019</b:Year>
    <b:Publisher>Cochrane Database Syst Rev. </b:Publisher>
    <b:Volume>7:CD012937.</b:Volume>
    <b:RefOrder>8</b:RefOrder>
  </b:Source>
  <b:Source>
    <b:Tag>Kum21</b:Tag>
    <b:SourceType>JournalArticle</b:SourceType>
    <b:Guid>{F94643DE-219A-43BB-BA3E-66F6D728225A}</b:Guid>
    <b:Author>
      <b:Author>
        <b:NameList>
          <b:Person>
            <b:Last>Kumar J</b:Last>
            <b:First>Meena</b:First>
            <b:Middle>J, Mittal P, Shankar J, Kumar P, Shenoi A.</b:Middle>
          </b:Person>
        </b:NameList>
      </b:Author>
    </b:Author>
    <b:Title> Routine prefeed gastric aspiration in preterm infants: a systematic review and meta-analysis. </b:Title>
    <b:Year> 2021</b:Year>
    <b:Publisher>Eur J Pediatr</b:Publisher>
    <b:Volume>180(8):2367-77</b:Volume>
    <b:RefOrder>9</b:RefOrder>
  </b:Source>
  <b:Source>
    <b:Tag>van18</b:Tag>
    <b:SourceType>JournalArticle</b:SourceType>
    <b:Guid>{3215C851-BE35-4BB9-9C7A-7E1A0CCE6BE5}</b:Guid>
    <b:Author>
      <b:Author>
        <b:NameList>
          <b:Person>
            <b:Last>van Puffelen E</b:Last>
            <b:First>Vanhorebeek</b:First>
            <b:Middle>I, Joosten KFM, Wouters PJ, Van den Berghe G, Verbruggen SCAT.</b:Middle>
          </b:Person>
        </b:NameList>
      </b:Author>
    </b:Author>
    <b:Title>Early versus late parenteral nutrition in critically ill, term neonates: a preplanned secondary subgroup analysis of the PEPaNIC multicentre, randomised controlled trial</b:Title>
    <b:Year>2018</b:Year>
    <b:Publisher>Lancet Cild Adolesc. </b:Publisher>
    <b:Volume>2(7):505-15</b:Volume>
    <b:RefOrder>10</b:RefOrder>
  </b:Source>
  <b:Source>
    <b:Tag>Kin21</b:Tag>
    <b:SourceType>JournalArticle</b:SourceType>
    <b:Guid>{C7CFE90B-53A6-48DB-8F5C-E76F0019C634}</b:Guid>
    <b:Author>
      <b:Author>
        <b:NameList>
          <b:Person>
            <b:Last>King BC</b:Last>
            <b:First>Richardson</b:First>
            <b:Middle>T, Patel RM, Lee HC, Bamat NA, Patrick SW, et al.</b:Middle>
          </b:Person>
        </b:NameList>
      </b:Author>
    </b:Author>
    <b:Title>Cost of clinician driven tests and treatments in very low birth weight and/or very preterm infants.</b:Title>
    <b:Year>2021</b:Year>
    <b:Publisher> J Perinatol. </b:Publisher>
    <b:Volume>41(2):295-304</b:Volume>
    <b:RefOrder>11</b:RefOrder>
  </b:Source>
  <b:Source>
    <b:Tag>Par19</b:Tag>
    <b:SourceType>JournalArticle</b:SourceType>
    <b:Guid>{E923C651-C984-4E9D-9702-6048344B9744}</b:Guid>
    <b:Author>
      <b:Author>
        <b:NameList>
          <b:Person>
            <b:Last>Parker LA</b:Last>
            <b:First>Weaver</b:First>
            <b:Middle>M, Murgas Torrazza RJ, Shuster J, Li N, Krueger C, et al.</b:Middle>
          </b:Person>
        </b:NameList>
      </b:Author>
    </b:Author>
    <b:Title> Effect of Gastric Residual Evaluation on Enteral Intake in Extremely Preterm Infants: A Randomized Clinical Trial. </b:Title>
    <b:Year>2019</b:Year>
    <b:Publisher>JAMA Pediatr. </b:Publisher>
    <b:Volume>173(6):534-43. </b:Volume>
    <b:RefOrder>12</b:RefOrder>
  </b:Source>
  <b:Source>
    <b:Tag>Tho18</b:Tag>
    <b:SourceType>JournalArticle</b:SourceType>
    <b:Guid>{6724DD8D-68D4-4A96-BD09-E60B2325423F}</b:Guid>
    <b:Author>
      <b:Author>
        <b:NameList>
          <b:Person>
            <b:Last>Thomas S</b:Last>
            <b:First>Nesargi</b:First>
            <b:Middle>S, Roshan P, Raju R, Mathew S, P S, et al.</b:Middle>
          </b:Person>
        </b:NameList>
      </b:Author>
    </b:Author>
    <b:Title>Gastric Residual Volumes Versus Abdominal Girth Measurement in Assessment of Feed Tolerance in Preterm Neonates: A Randomized Controlled Trial.</b:Title>
    <b:Year>2018</b:Year>
    <b:Publisher>Adv Neonatal Care.</b:Publisher>
    <b:Volume>18(4):E13-E19.</b:Volume>
    <b:RefOrder>13</b:RefOrder>
  </b:Source>
  <b:Source>
    <b:Tag>Par20</b:Tag>
    <b:SourceType>JournalArticle</b:SourceType>
    <b:Guid>{BD350BC1-D924-4CAE-96FC-8E3035B9375A}</b:Guid>
    <b:Author>
      <b:Author>
        <b:NameList>
          <b:Person>
            <b:Last>Parker LA</b:Last>
            <b:First>Weaver</b:First>
            <b:Middle>M, Murgas Torrazza RJ, Shuster J, Li N, Krueger C, et al.</b:Middle>
          </b:Person>
        </b:NameList>
      </b:Author>
    </b:Author>
    <b:Title>Effect of Aspiration and Evaluation of Gastric Residuals on Intestinal Inflammation, Bleeding, and Gastrointestinal Peptide Level.</b:Title>
    <b:Year>2020</b:Year>
    <b:Publisher>J Pediatr.</b:Publisher>
    <b:Volume>217:165-71 e2.</b:Volume>
    <b:RefOrder>14</b:RefOrder>
  </b:Source>
  <b:Source>
    <b:Tag>22S18</b:Tag>
    <b:SourceType>JournalArticle</b:SourceType>
    <b:Guid>{33EC8740-3EC4-4A0E-8B4D-95876F6827ED}</b:Guid>
    <b:Author>
      <b:Author>
        <b:NameList>
          <b:Person>
            <b:Last>Singh B</b:Last>
            <b:First>Rochow</b:First>
            <b:Middle>N, Chessell L, Wilson J, Cunningham K, Fusch C, et al.</b:Middle>
          </b:Person>
        </b:NameList>
      </b:Author>
    </b:Author>
    <b:Title>Gastric Residual Volume in Feeding Advancement in Preterm Infants (GRIP Study): A Randomized Trial.</b:Title>
    <b:Year>2018</b:Year>
    <b:Publisher>J Pediatr.</b:Publisher>
    <b:Volume>200:79-83 e1.</b:Volume>
    <b:RefOrder>17</b:RefOrder>
  </b:Source>
  <b:Source>
    <b:Tag>Hea17</b:Tag>
    <b:SourceType>Report</b:SourceType>
    <b:Guid>{8D654DD3-6B82-40D3-9B07-72B2B5202DF4}</b:Guid>
    <b:Title>Applying a proportionate approach to the process of seeking consent. </b:Title>
    <b:Year>2017</b:Year>
    <b:Publisher>In: Authority HR, editor.</b:Publisher>
    <b:Author>
      <b:Author>
        <b:NameList>
          <b:Person>
            <b:Last>Authority</b:Last>
            <b:First>Health</b:First>
            <b:Middle>Research</b:Middle>
          </b:Person>
        </b:NameList>
      </b:Author>
    </b:Author>
    <b:RefOrder>21</b:RefOrder>
  </b:Source>
  <b:Source>
    <b:Tag>Wal86</b:Tag>
    <b:SourceType>JournalArticle</b:SourceType>
    <b:Guid>{CBF8EDD8-F12C-4D0D-ABCB-91B2B7D77642}</b:Guid>
    <b:Title>Necrotizing enterocolitis: treatment based on staging criteria. </b:Title>
    <b:Year>1986</b:Year>
    <b:Publisher>Pediatric clinics of North America. </b:Publisher>
    <b:Author>
      <b:Author>
        <b:NameList>
          <b:Person>
            <b:Last>Walsh MC</b:Last>
            <b:First>Kliegman</b:First>
            <b:Middle>RM.</b:Middle>
          </b:Person>
        </b:NameList>
      </b:Author>
    </b:Author>
    <b:Volume>33(1):179-201</b:Volume>
    <b:RefOrder>23</b:RefOrder>
  </b:Source>
  <b:Source>
    <b:Tag>Eur10</b:Tag>
    <b:SourceType>Report</b:SourceType>
    <b:Guid>{63D5B8B2-79B8-4878-BAE7-3ABD0DDFC547}</b:Guid>
    <b:Title> Report on the Expert Meeting on Neonatal and Paediatric Sepsis. </b:Title>
    <b:Year>2010</b:Year>
    <b:Publisher>EMA/477725/2010</b:Publisher>
    <b:Author>
      <b:Author>
        <b:NameList>
          <b:Person>
            <b:Last>Agency</b:Last>
            <b:First>European</b:First>
            <b:Middle>Medical</b:Middle>
          </b:Person>
        </b:NameList>
      </b:Author>
    </b:Author>
    <b:RefOrder>24</b:RefOrder>
  </b:Source>
  <b:Source>
    <b:Tag>Ver11</b:Tag>
    <b:SourceType>JournalArticle</b:SourceType>
    <b:Guid>{D91C4B21-3FB3-4858-B207-2D9E049FBA8E}</b:Guid>
    <b:Title>Neonatal infections in England: the NeonIN surveillance network. </b:Title>
    <b:Year>2011</b:Year>
    <b:Publisher>Arch Dis Child Fetal Neonatal Ed.</b:Publisher>
    <b:Author>
      <b:Author>
        <b:NameList>
          <b:Person>
            <b:Last>Vergnano S</b:Last>
            <b:First>Menson</b:First>
            <b:Middle>E, Kennea N, Embleton N, Russell AB, Watts T, et al.</b:Middle>
          </b:Person>
        </b:NameList>
      </b:Author>
    </b:Author>
    <b:Volume>96(1):F9-F14. </b:Volume>
    <b:RefOrder>25</b:RefOrder>
  </b:Source>
  <b:Source>
    <b:Tag>Mod09</b:Tag>
    <b:SourceType>JournalArticle</b:SourceType>
    <b:Guid>{11A0F639-C6E4-4C47-94D0-456E2010D292}</b:Guid>
    <b:Author>
      <b:Author>
        <b:NameList>
          <b:Person>
            <b:Last>Modi N</b:Last>
            <b:First>Dore</b:First>
            <b:Middle>CJ, Saraswatula A, Richards M, Bamford KB, Coello R, et al.</b:Middle>
          </b:Person>
        </b:NameList>
      </b:Author>
    </b:Author>
    <b:Title>A case definition for national and international neonatal bloodstream infection surveillance.  </b:Title>
    <b:Year>2009</b:Year>
    <b:Publisher>Arch Dis Child Fetal Neonatal Ed. </b:Publisher>
    <b:Volume>94(1):F8-12.</b:Volume>
    <b:RefOrder>26</b:RefOrder>
  </b:Source>
  <b:Source>
    <b:Tag>Int05</b:Tag>
    <b:SourceType>JournalArticle</b:SourceType>
    <b:Guid>{CAEF6048-7838-4C1B-B210-B5155BC24441}</b:Guid>
    <b:Author>
      <b:Author>
        <b:NameList>
          <b:Person>
            <b:Last>P.</b:Last>
            <b:First>International</b:First>
            <b:Middle>Committee for the Classification of Retinopathy of</b:Middle>
          </b:Person>
        </b:NameList>
      </b:Author>
    </b:Author>
    <b:Title>The International Classification of Retinopathy of Prematurity revisited. </b:Title>
    <b:Year> 2005</b:Year>
    <b:Publisher>Arch Ophthalmol.</b:Publisher>
    <b:Volume>123(7):991-9</b:Volume>
    <b:RefOrder>27</b:RefOrder>
  </b:Source>
  <b:Source>
    <b:Tag>LuA78</b:Tag>
    <b:SourceType>JournalArticle</b:SourceType>
    <b:Guid>{872CB5F8-682F-4FD8-98EA-5B65CB159140}</b:Guid>
    <b:Author>
      <b:Author>
        <b:NameList>
          <b:Person>
            <b:Last>Lu-Ann Papile JB</b:Last>
            <b:First>Rochelle</b:First>
            <b:Middle>Burstein,Herbert Koffler.</b:Middle>
          </b:Person>
        </b:NameList>
      </b:Author>
    </b:Author>
    <b:Title> Incidence and evolution of subependymal and intraventricular hemorrhage: A study of infants with birth weights less than 1,500 gm.  </b:Title>
    <b:Year>1978</b:Year>
    <b:Publisher>The Journal of Pediatrics. </b:Publisher>
    <b:Volume>92(4):529-34</b:Volume>
    <b:RefOrder>28</b:RefOrder>
  </b:Source>
  <b:Source>
    <b:Tag>Dor19</b:Tag>
    <b:SourceType>JournalArticle</b:SourceType>
    <b:Guid>{17BC688C-80B2-4618-BD4A-C63A8D4DC87D}</b:Guid>
    <b:Author>
      <b:Author>
        <b:NameList>
          <b:Person>
            <b:Last>Dorling J</b:Last>
            <b:First>Abbott</b:First>
            <b:Middle>J, Berrington J, Bosiak B, Bowler U, Boyle E, et al.</b:Middle>
          </b:Person>
        </b:NameList>
      </b:Author>
    </b:Author>
    <b:Title>Controlled Trial of Two Incremental Milk-Feeding Rates in Preterm Infants</b:Title>
    <b:Year>2019</b:Year>
    <b:Publisher>N Engl J Med. </b:Publisher>
    <b:Volume>381(15):1434-43</b:Volume>
    <b:RefOrder>38</b:RefOrder>
  </b:Source>
  <b:Source>
    <b:Tag>Elf19</b:Tag>
    <b:SourceType>JournalArticle</b:SourceType>
    <b:Guid>{84C53E5C-6930-4F79-BA73-A2C7027D19E4}</b:Guid>
    <b:Author>
      <b:Author>
        <b:NameList>
          <b:Person>
            <b:Last>group</b:Last>
            <b:First>Elfin</b:First>
            <b:Middle>trial investigators</b:Middle>
          </b:Person>
        </b:NameList>
      </b:Author>
    </b:Author>
    <b:Title> Enteral lactoferrin supplementation for very preterm infants: a randomised placebo-controlled trial</b:Title>
    <b:Year>2019</b:Year>
    <b:Publisher> Lancet</b:Publisher>
    <b:Volume>393(10170):423-33</b:Volume>
    <b:RefOrder>29</b:RefOrder>
  </b:Source>
  <b:Source>
    <b:Tag>Wit02</b:Tag>
    <b:SourceType>JournalArticle</b:SourceType>
    <b:Guid>{7EF83299-A2C1-4862-B534-DC0508244D47}</b:Guid>
    <b:Author>
      <b:Author>
        <b:NameList>
          <b:Person>
            <b:Last>J.</b:Last>
            <b:First>Wittes</b:First>
          </b:Person>
        </b:NameList>
      </b:Author>
    </b:Author>
    <b:Title>Sample size calculations for randomized controlled trials. </b:Title>
    <b:Year>2002</b:Year>
    <b:Publisher>Epidemiol Rev. </b:Publisher>
    <b:Volume>24(1):39-53</b:Volume>
    <b:RefOrder>30</b:RefOrder>
  </b:Source>
  <b:Source>
    <b:Tag>Ber15</b:Tag>
    <b:SourceType>JournalArticle</b:SourceType>
    <b:Guid>{A4E51820-0A48-4F6A-B8CD-C8B10B6B9899}</b:Guid>
    <b:Author>
      <b:Author>
        <b:NameList>
          <b:Person>
            <b:Last>Bernardo J</b:Last>
            <b:First>Nowacki</b:First>
            <b:Middle>A, Martin R, Fanaroff JM, Hibbs AM.</b:Middle>
          </b:Person>
        </b:NameList>
      </b:Author>
    </b:Author>
    <b:Title>Multiples and parents of multiples prefer same arm randomization of siblings in neonatal trials. </b:Title>
    <b:Year>2015</b:Year>
    <b:Publisher>J Perinatol. </b:Publisher>
    <b:Volume>35(3):208-13</b:Volume>
    <b:RefOrder>31</b:RefOrder>
  </b:Source>
  <b:Source>
    <b:Tag>NHS21</b:Tag>
    <b:SourceType>Report</b:SourceType>
    <b:Guid>{23B0D8BD-FBD8-48B6-A8D4-55E61B38A5B0}</b:Guid>
    <b:Title>National Schedule of NHS costs - Year 2019-20 - NHS trust and NHS foundation trusts</b:Title>
    <b:Year>2021</b:Year>
    <b:Publisher>NHS England</b:Publisher>
    <b:Author>
      <b:Author>
        <b:NameList>
          <b:Person>
            <b:Last>England</b:Last>
            <b:First>NHS</b:First>
          </b:Person>
        </b:NameList>
      </b:Author>
    </b:Author>
    <b:RefOrder>34</b:RefOrder>
  </b:Source>
  <b:Source>
    <b:Tag>Cur20</b:Tag>
    <b:SourceType>JournalArticle</b:SourceType>
    <b:Guid>{CF0424CA-97DF-459E-B372-582BFB82E05D}</b:Guid>
    <b:Title>Unit Costs of Health and Social Care 2020.</b:Title>
    <b:Year>2020</b:Year>
    <b:Publisher> In: Unit PSSR, editor. University of Kent, Canterbury</b:Publisher>
    <b:Author>
      <b:Author>
        <b:NameList>
          <b:Person>
            <b:Last>Curtis L</b:Last>
            <b:First>Burns</b:First>
            <b:Middle>A.</b:Middle>
          </b:Person>
        </b:NameList>
      </b:Author>
    </b:Author>
    <b:RefOrder>35</b:RefOrder>
  </b:Source>
  <b:Source>
    <b:Tag>NHS211</b:Tag>
    <b:SourceType>Report</b:SourceType>
    <b:Guid>{6161B6F6-A9FA-491C-A15E-E736D5F5EC9B}</b:Guid>
    <b:Title>NHS Electronic Drug Tariff</b:Title>
    <b:Year>2021</b:Year>
    <b:Publisher>NHS England</b:Publisher>
    <b:Author>
      <b:Author>
        <b:NameList>
          <b:Person>
            <b:Last>England</b:Last>
            <b:First>NHS</b:First>
          </b:Person>
        </b:NameList>
      </b:Author>
    </b:Author>
    <b:RefOrder>36</b:RefOrder>
  </b:Source>
  <b:Source>
    <b:Tag>Nat13</b:Tag>
    <b:SourceType>Report</b:SourceType>
    <b:Guid>{94994E32-B456-4E10-BE75-9F2412120118}</b:Guid>
    <b:Author>
      <b:Author>
        <b:NameList>
          <b:Person>
            <b:Last>(NICE)</b:Last>
            <b:First>National</b:First>
            <b:Middle>Institute for Health and Care Excellence</b:Middle>
          </b:Person>
        </b:NameList>
      </b:Author>
    </b:Author>
    <b:Title>Guide to the Methods of Technology Appraisal 2013. NICE Process and Methods Guides.</b:Title>
    <b:Year>2013</b:Year>
    <b:Publisher>NICE</b:Publisher>
    <b:City>London</b:City>
    <b:RefOrder>37</b:RefOrder>
  </b:Source>
  <b:Source>
    <b:Tag>Dej211</b:Tag>
    <b:SourceType>JournalArticle</b:SourceType>
    <b:Guid>{A8C3888C-262B-4A36-9607-69D6F8A50C8F}</b:Guid>
    <b:Author>
      <b:Author>
        <b:NameList>
          <b:Person>
            <b:Last>Deja E</b:Last>
            <b:First>Roper</b:First>
            <b:Middle>L, Tume LN, Dorling J, Gale C, Arch B, Latten L, Pathan N, Eccleson H, Hickey H, Preston J, Beissel A, Andrzejewska I, Valla FV, Woolfall K.</b:Middle>
          </b:Person>
        </b:NameList>
      </b:Author>
    </b:Author>
    <b:Title>Can they stomach it? Parent and practitioner acceptability of a trial comparing gastric residual volume measurement versus no gastric residual volume in UK NNU and PICUs: a feasibility study. </b:Title>
    <b:Year>2021</b:Year>
    <b:Publisher>Pilot Feasibility Stud. </b:Publisher>
    <b:RefOrder>22</b:RefOrder>
  </b:Source>
  <b:Source>
    <b:Tag>Mal16</b:Tag>
    <b:SourceType>JournalArticle</b:SourceType>
    <b:Guid>{D4B73092-49B3-4C28-9AD0-333C689992CF}</b:Guid>
    <b:Author>
      <b:Author>
        <b:NameList>
          <b:Person>
            <b:Last>Malterud K</b:Last>
            <b:First>Siersma</b:First>
            <b:Middle>VD, Guassora AD.</b:Middle>
          </b:Person>
        </b:NameList>
      </b:Author>
    </b:Author>
    <b:Title>Sample size in qualitative interview studies: guided by information power. </b:Title>
    <b:Year>2016</b:Year>
    <b:Publisher>Qual Health Res. </b:Publisher>
    <b:RefOrder>32</b:RefOrder>
  </b:Source>
  <b:Source>
    <b:Tag>May07</b:Tag>
    <b:SourceType>JournalArticle</b:SourceType>
    <b:Guid>{96AAA9FE-8504-4C4C-9E68-202372372A26}</b:Guid>
    <b:Author>
      <b:Author>
        <b:NameList>
          <b:Person>
            <b:Last>May C</b:Last>
            <b:First>Finch</b:First>
            <b:Middle>T, Mair F, Ballini L, Dowrick C, Eccles M, et al.</b:Middle>
          </b:Person>
        </b:NameList>
      </b:Author>
    </b:Author>
    <b:Title>Understanding the implementation of complex interventions in health care: the normalization process model. </b:Title>
    <b:Year>2007</b:Year>
    <b:Publisher>BMC Health Serv Res. </b:Publisher>
    <b:RefOrder>33</b:RefOrder>
  </b:Source>
  <b:Source>
    <b:Tag>Gal21</b:Tag>
    <b:SourceType>JournalArticle</b:SourceType>
    <b:Guid>{CC588EB7-814A-4566-BCF7-89F6C45BF718}</b:Guid>
    <b:Author>
      <b:Author>
        <b:NameList>
          <b:Person>
            <b:Last>Gale C</b:Last>
            <b:First>Dorling</b:First>
            <b:Middle>J, Arch B, Woolfall K, Deja E, Roper L, Jones AP, Latten L, Eccleson H, Hickey H, Pathan N.</b:Middle>
          </b:Person>
        </b:NameList>
      </b:Author>
    </b:Author>
    <b:Title>Optimal outcome measures for a trial of not routinely measuring gastric residual volume in neonatal care: a mixed methods consensus process. </b:Title>
    <b:Year>2021</b:Year>
    <b:Publisher>Archives of Disease in Childhood-Fetal and Neonatal Edition.</b:Publisher>
    <b:Issue>1;106(3):292-7.</b:Issue>
    <b:RefOrder>18</b:RefOrder>
  </b:Source>
  <b:Source>
    <b:Tag>McL20</b:Tag>
    <b:SourceType>JournalArticle</b:SourceType>
    <b:Guid>{E7B0E517-8C00-4671-BD0A-F9F374D4D609}</b:Guid>
    <b:Author>
      <b:Author>
        <b:NameList>
          <b:Person>
            <b:Last>McLeish J</b:Last>
            <b:First>Alderdice</b:First>
            <b:Middle>F, Robberts H, et al.</b:Middle>
          </b:Person>
        </b:NameList>
      </b:Author>
    </b:Author>
    <b:Title>Challenges of a simplified opt-out consent process in a neonatal randomised controlled trial: qualitative study of parents' and health professionals' views and experiences.</b:Title>
    <b:Year>2020</b:Year>
    <b:Publisher>Arch Dis Child Fetal Neonatal Ed.</b:Publisher>
    <b:RefOrder>20</b:RefOrder>
  </b:Source>
  <b:Source>
    <b:Tag>Wil23</b:Tag>
    <b:SourceType>JournalArticle</b:SourceType>
    <b:Guid>{E9BA130E-E22B-4543-9AF7-8C94D532A369}</b:Guid>
    <b:Author>
      <b:Author>
        <b:NameList>
          <b:Person>
            <b:Last>Williams S</b:Last>
            <b:First>Bostain</b:First>
            <b:Middle>R, Couch N, Kamdar T, Oh W, Thompson L, Pepe J, Yi F, Dereddy N.</b:Middle>
          </b:Person>
        </b:NameList>
      </b:Author>
    </b:Author>
    <b:Title>Routine versus no assessment of gastric residual volumes in preterm infants receiving enteral feeding via intermittent feeding tubes: a randomized controlled trial.</b:Title>
    <b:Year>2023</b:Year>
    <b:Publisher>J Matern Fetal Neonatal Med.</b:Publisher>
    <b:RefOrder>15</b:RefOrder>
  </b:Source>
  <b:Source>
    <b:Tag>Bra24</b:Tag>
    <b:SourceType>JournalArticle</b:SourceType>
    <b:Guid>{252EBD49-B559-4C35-AC32-527CE6D997A8}</b:Guid>
    <b:Author>
      <b:Author>
        <b:NameList>
          <b:Person>
            <b:Last>Branagan A</b:Last>
            <b:First>Murphy</b:First>
            <b:Middle>C, O'Sullivan A, Bodnarova I, Feyereislova S, Berka I, Miletin J, Stranak Z.</b:Middle>
          </b:Person>
        </b:NameList>
      </b:Author>
    </b:Author>
    <b:Title>Influence of gastric residual assessment in preterm neonates on time to achieve enteral feeding (the GRASS trial): multi-centre, assessor-blinded randomised clinical trial.</b:Title>
    <b:Year>2024</b:Year>
    <b:Publisher>Eur J Pediatr.</b:Publisher>
    <b:RefOrder>16</b:RefOrder>
  </b:Source>
  <b:Source>
    <b:Tag>Gal19</b:Tag>
    <b:SourceType>JournalArticle</b:SourceType>
    <b:Guid>{DBA925D8-D904-4E05-9550-73AB58DB578A}</b:Guid>
    <b:Author>
      <b:Author>
        <b:NameList>
          <b:Person>
            <b:Last>Gale C</b:Last>
            <b:First>Modi</b:First>
            <b:Middle>N, Jawad S, Culshaw L, Dorling J, Bowler U, Forster A, King A, McLeish J, Linsell L, Turner MA, Robberts H, Stanbury K, van Staa T, Juszczak E.</b:Middle>
          </b:Person>
        </b:NameList>
      </b:Author>
    </b:Author>
    <b:Title>The WHEAT pilot trial—Withholding enteral feeds around packed red cell transfusion to prevent necrotising enterocolitis in preterm neonates: a multicentre, electronic patient record randomised controlled point-of-care pilot trial.</b:Title>
    <b:Year>2019</b:Year>
    <b:Publisher>BMJ Open.</b:Publisher>
    <b:RefOrder>19</b:RefOrder>
  </b:Source>
</b:Sources>
</file>

<file path=customXml/itemProps1.xml><?xml version="1.0" encoding="utf-8"?>
<ds:datastoreItem xmlns:ds="http://schemas.openxmlformats.org/officeDocument/2006/customXml" ds:itemID="{CF33E0C2-5231-4F33-8AB3-8600A40B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11989</Words>
  <Characters>68340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Nuthall</dc:creator>
  <cp:lastModifiedBy>Elizabeth Nuthall</cp:lastModifiedBy>
  <cp:revision>6</cp:revision>
  <cp:lastPrinted>2025-10-15T15:51:00Z</cp:lastPrinted>
  <dcterms:created xsi:type="dcterms:W3CDTF">2025-10-17T14:53:00Z</dcterms:created>
  <dcterms:modified xsi:type="dcterms:W3CDTF">2025-10-17T15:52:00Z</dcterms:modified>
</cp:coreProperties>
</file>