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D1081" w14:textId="51FCFC14" w:rsidR="001A3201" w:rsidRDefault="00451668">
      <w:pPr>
        <w:rPr>
          <w:rFonts w:ascii="Arial" w:hAnsi="Arial" w:cs="Arial"/>
          <w:b/>
          <w:bCs/>
          <w:sz w:val="24"/>
          <w:szCs w:val="24"/>
        </w:rPr>
      </w:pPr>
      <w:r w:rsidRPr="00833DB3">
        <w:rPr>
          <w:rFonts w:ascii="Arial" w:hAnsi="Arial" w:cs="Arial"/>
          <w:b/>
          <w:bCs/>
          <w:sz w:val="24"/>
          <w:szCs w:val="24"/>
        </w:rPr>
        <w:t>Notes from a Small Island: The Continuing Evolution of the Local Bus Industry</w:t>
      </w:r>
      <w:r w:rsidRPr="00833DB3">
        <w:rPr>
          <w:rFonts w:ascii="Arial" w:hAnsi="Arial" w:cs="Arial"/>
          <w:sz w:val="24"/>
          <w:szCs w:val="24"/>
        </w:rPr>
        <w:t xml:space="preserve"> </w:t>
      </w:r>
      <w:r w:rsidRPr="00833DB3">
        <w:rPr>
          <w:rFonts w:ascii="Arial" w:hAnsi="Arial" w:cs="Arial"/>
          <w:b/>
          <w:bCs/>
          <w:sz w:val="24"/>
          <w:szCs w:val="24"/>
        </w:rPr>
        <w:t>in the British Isles</w:t>
      </w:r>
    </w:p>
    <w:p w14:paraId="3CEBAED0" w14:textId="77777777" w:rsidR="00A6163B" w:rsidRPr="00A133E3" w:rsidRDefault="00A6163B" w:rsidP="00A6163B">
      <w:pPr>
        <w:spacing w:after="0" w:line="276" w:lineRule="auto"/>
        <w:rPr>
          <w:rFonts w:ascii="Arial" w:hAnsi="Arial" w:cs="Arial"/>
          <w:b/>
          <w:bCs/>
          <w:sz w:val="18"/>
          <w:szCs w:val="18"/>
        </w:rPr>
      </w:pPr>
      <w:r w:rsidRPr="00A133E3">
        <w:rPr>
          <w:rFonts w:ascii="Arial" w:hAnsi="Arial" w:cs="Arial"/>
          <w:b/>
          <w:bCs/>
          <w:sz w:val="18"/>
          <w:szCs w:val="18"/>
        </w:rPr>
        <w:t>Classification codes</w:t>
      </w:r>
    </w:p>
    <w:p w14:paraId="389E3243" w14:textId="0A5128FA" w:rsidR="00A6163B" w:rsidRDefault="00A6163B" w:rsidP="00A6163B">
      <w:pPr>
        <w:spacing w:after="0" w:line="276" w:lineRule="auto"/>
        <w:rPr>
          <w:rFonts w:ascii="Arial" w:hAnsi="Arial" w:cs="Arial"/>
          <w:sz w:val="18"/>
          <w:szCs w:val="18"/>
        </w:rPr>
      </w:pPr>
      <w:r w:rsidRPr="00A133E3">
        <w:rPr>
          <w:rFonts w:ascii="Arial" w:hAnsi="Arial" w:cs="Arial"/>
          <w:sz w:val="18"/>
          <w:szCs w:val="18"/>
        </w:rPr>
        <w:t>L51 Economics of regulation</w:t>
      </w:r>
      <w:r>
        <w:rPr>
          <w:rFonts w:ascii="Arial" w:hAnsi="Arial" w:cs="Arial"/>
          <w:sz w:val="18"/>
          <w:szCs w:val="18"/>
        </w:rPr>
        <w:t>;</w:t>
      </w:r>
      <w:r w:rsidRPr="00A133E3">
        <w:rPr>
          <w:rFonts w:ascii="Arial" w:hAnsi="Arial" w:cs="Arial"/>
          <w:sz w:val="18"/>
          <w:szCs w:val="18"/>
        </w:rPr>
        <w:t xml:space="preserve"> L92 Railroads and other surface transportation</w:t>
      </w:r>
      <w:r>
        <w:rPr>
          <w:rFonts w:ascii="Arial" w:hAnsi="Arial" w:cs="Arial"/>
          <w:sz w:val="18"/>
          <w:szCs w:val="18"/>
        </w:rPr>
        <w:t>; R48 Government pricing and policy.</w:t>
      </w:r>
    </w:p>
    <w:p w14:paraId="49DF4A04" w14:textId="77777777" w:rsidR="00A6163B" w:rsidRPr="00A133E3" w:rsidRDefault="00A6163B" w:rsidP="00A6163B">
      <w:pPr>
        <w:spacing w:after="0" w:line="276" w:lineRule="auto"/>
        <w:rPr>
          <w:rFonts w:ascii="Arial" w:hAnsi="Arial" w:cs="Arial"/>
          <w:sz w:val="18"/>
          <w:szCs w:val="18"/>
        </w:rPr>
      </w:pPr>
    </w:p>
    <w:p w14:paraId="3958B5BC" w14:textId="346D86AE" w:rsidR="00A133E3" w:rsidRPr="00A133E3" w:rsidRDefault="00A133E3" w:rsidP="00A133E3">
      <w:pPr>
        <w:spacing w:after="0" w:line="276" w:lineRule="auto"/>
        <w:rPr>
          <w:rFonts w:ascii="Arial" w:hAnsi="Arial" w:cs="Arial"/>
          <w:b/>
          <w:bCs/>
          <w:sz w:val="18"/>
          <w:szCs w:val="18"/>
        </w:rPr>
      </w:pPr>
      <w:r w:rsidRPr="00A133E3">
        <w:rPr>
          <w:rFonts w:ascii="Arial" w:hAnsi="Arial" w:cs="Arial"/>
          <w:b/>
          <w:bCs/>
          <w:sz w:val="18"/>
          <w:szCs w:val="18"/>
        </w:rPr>
        <w:t>Keywords</w:t>
      </w:r>
    </w:p>
    <w:p w14:paraId="1B40BE86" w14:textId="3ECECA7E" w:rsidR="00A133E3" w:rsidRPr="00A133E3" w:rsidRDefault="00A133E3" w:rsidP="00A133E3">
      <w:pPr>
        <w:spacing w:after="0" w:line="276" w:lineRule="auto"/>
        <w:rPr>
          <w:rFonts w:ascii="Arial" w:hAnsi="Arial" w:cs="Arial"/>
          <w:sz w:val="18"/>
          <w:szCs w:val="18"/>
        </w:rPr>
      </w:pPr>
      <w:r w:rsidRPr="00A133E3">
        <w:rPr>
          <w:rFonts w:ascii="Arial" w:hAnsi="Arial" w:cs="Arial"/>
          <w:sz w:val="18"/>
          <w:szCs w:val="18"/>
        </w:rPr>
        <w:t>Bus</w:t>
      </w:r>
      <w:r w:rsidR="00B1441B">
        <w:rPr>
          <w:rFonts w:ascii="Arial" w:hAnsi="Arial" w:cs="Arial"/>
          <w:sz w:val="18"/>
          <w:szCs w:val="18"/>
        </w:rPr>
        <w:t xml:space="preserve">; Competition; </w:t>
      </w:r>
      <w:r w:rsidR="00A6163B">
        <w:rPr>
          <w:rFonts w:ascii="Arial" w:hAnsi="Arial" w:cs="Arial"/>
          <w:sz w:val="18"/>
          <w:szCs w:val="18"/>
        </w:rPr>
        <w:t xml:space="preserve">Enhanced Partnerships; Franchising; Ownership; Public Value; </w:t>
      </w:r>
      <w:r w:rsidR="00A6163B" w:rsidRPr="00A133E3">
        <w:rPr>
          <w:rFonts w:ascii="Arial" w:hAnsi="Arial" w:cs="Arial"/>
          <w:sz w:val="18"/>
          <w:szCs w:val="18"/>
        </w:rPr>
        <w:t>Regulation</w:t>
      </w:r>
      <w:r w:rsidR="00B1441B">
        <w:rPr>
          <w:rFonts w:ascii="Arial" w:hAnsi="Arial" w:cs="Arial"/>
          <w:sz w:val="18"/>
          <w:szCs w:val="18"/>
        </w:rPr>
        <w:t>.</w:t>
      </w:r>
    </w:p>
    <w:p w14:paraId="1DD9CA43" w14:textId="77777777" w:rsidR="00A133E3" w:rsidRPr="00A133E3" w:rsidRDefault="00A133E3" w:rsidP="00A133E3">
      <w:pPr>
        <w:spacing w:after="0" w:line="276" w:lineRule="auto"/>
        <w:rPr>
          <w:rFonts w:ascii="Arial" w:hAnsi="Arial" w:cs="Arial"/>
          <w:sz w:val="18"/>
          <w:szCs w:val="18"/>
        </w:rPr>
      </w:pPr>
    </w:p>
    <w:p w14:paraId="68B2D254" w14:textId="77777777" w:rsidR="00A133E3" w:rsidRPr="00B20C98" w:rsidRDefault="00A133E3" w:rsidP="00A133E3">
      <w:pPr>
        <w:spacing w:after="0" w:line="276" w:lineRule="auto"/>
        <w:rPr>
          <w:rFonts w:ascii="Arial" w:hAnsi="Arial" w:cs="Arial"/>
          <w:sz w:val="18"/>
          <w:szCs w:val="18"/>
        </w:rPr>
      </w:pPr>
    </w:p>
    <w:p w14:paraId="5AFAF524" w14:textId="0A1170AD" w:rsidR="00493982" w:rsidRPr="00B1441B" w:rsidRDefault="00493982">
      <w:pPr>
        <w:rPr>
          <w:rFonts w:ascii="Arial" w:hAnsi="Arial" w:cs="Arial"/>
        </w:rPr>
      </w:pPr>
      <w:r w:rsidRPr="00B1441B">
        <w:rPr>
          <w:rFonts w:ascii="Arial" w:hAnsi="Arial" w:cs="Arial"/>
          <w:i/>
          <w:iCs/>
        </w:rPr>
        <w:t xml:space="preserve">… it occurred to me, not for the first time, what a remarkably small world Britain is. That is its glory you see - - that it manages at once to be intimate and small scale, and at the same time packed to bursting with incident and interest.  </w:t>
      </w:r>
      <w:r w:rsidRPr="00B1441B">
        <w:rPr>
          <w:rFonts w:ascii="Arial" w:hAnsi="Arial" w:cs="Arial"/>
        </w:rPr>
        <w:t>Bill Bryson, Notes from a Small Island</w:t>
      </w:r>
      <w:r w:rsidR="00FE2C8C" w:rsidRPr="00B1441B">
        <w:rPr>
          <w:rFonts w:ascii="Arial" w:hAnsi="Arial" w:cs="Arial"/>
        </w:rPr>
        <w:t>, 1995</w:t>
      </w:r>
      <w:r w:rsidRPr="00B1441B">
        <w:rPr>
          <w:rFonts w:ascii="Arial" w:hAnsi="Arial" w:cs="Arial"/>
        </w:rPr>
        <w:t>.</w:t>
      </w:r>
    </w:p>
    <w:p w14:paraId="2687FC45" w14:textId="7E194333" w:rsidR="00833DB3" w:rsidRPr="00A133E3" w:rsidRDefault="00833DB3">
      <w:pPr>
        <w:rPr>
          <w:rFonts w:ascii="Arial" w:hAnsi="Arial" w:cs="Arial"/>
          <w:b/>
          <w:bCs/>
        </w:rPr>
      </w:pPr>
      <w:r w:rsidRPr="00A133E3">
        <w:rPr>
          <w:rFonts w:ascii="Arial" w:hAnsi="Arial" w:cs="Arial"/>
          <w:b/>
          <w:bCs/>
        </w:rPr>
        <w:t>Abstract</w:t>
      </w:r>
    </w:p>
    <w:p w14:paraId="30A9F7B0" w14:textId="730FD5FB" w:rsidR="00451668" w:rsidRPr="00833DB3" w:rsidRDefault="00451668">
      <w:pPr>
        <w:rPr>
          <w:rFonts w:ascii="Arial" w:hAnsi="Arial" w:cs="Arial"/>
        </w:rPr>
      </w:pPr>
      <w:r w:rsidRPr="00833DB3">
        <w:rPr>
          <w:rFonts w:ascii="Arial" w:hAnsi="Arial" w:cs="Arial"/>
        </w:rPr>
        <w:t xml:space="preserve">This paper reviews recent developments in the local bus industry in the United Kingdom and </w:t>
      </w:r>
      <w:r w:rsidR="007967DB" w:rsidRPr="00833DB3">
        <w:rPr>
          <w:rFonts w:ascii="Arial" w:hAnsi="Arial" w:cs="Arial"/>
        </w:rPr>
        <w:t xml:space="preserve">three </w:t>
      </w:r>
      <w:r w:rsidRPr="00833DB3">
        <w:rPr>
          <w:rFonts w:ascii="Arial" w:hAnsi="Arial" w:cs="Arial"/>
        </w:rPr>
        <w:t>crown dependencies</w:t>
      </w:r>
      <w:r w:rsidR="007967DB" w:rsidRPr="00833DB3">
        <w:rPr>
          <w:rFonts w:ascii="Arial" w:hAnsi="Arial" w:cs="Arial"/>
        </w:rPr>
        <w:t xml:space="preserve"> (Guernsey, Isle of Man</w:t>
      </w:r>
      <w:r w:rsidR="00B70D82">
        <w:rPr>
          <w:rFonts w:ascii="Arial" w:hAnsi="Arial" w:cs="Arial"/>
        </w:rPr>
        <w:t xml:space="preserve"> and</w:t>
      </w:r>
      <w:r w:rsidR="007967DB" w:rsidRPr="00833DB3">
        <w:rPr>
          <w:rFonts w:ascii="Arial" w:hAnsi="Arial" w:cs="Arial"/>
        </w:rPr>
        <w:t xml:space="preserve"> Jersey)</w:t>
      </w:r>
      <w:r w:rsidRPr="00833DB3">
        <w:rPr>
          <w:rFonts w:ascii="Arial" w:hAnsi="Arial" w:cs="Arial"/>
        </w:rPr>
        <w:t>. The industry is well-known for the deregulation implemented in the mid-1980s</w:t>
      </w:r>
      <w:r w:rsidR="00DF4526">
        <w:rPr>
          <w:rFonts w:ascii="Arial" w:hAnsi="Arial" w:cs="Arial"/>
        </w:rPr>
        <w:t>,</w:t>
      </w:r>
      <w:r w:rsidRPr="00833DB3">
        <w:rPr>
          <w:rFonts w:ascii="Arial" w:hAnsi="Arial" w:cs="Arial"/>
        </w:rPr>
        <w:t xml:space="preserve"> but this only affected Great Britain outside London. In London, an alternative regime of comprehensive tendering was developed, whilst in Northern Ireland the industry remained under public ownership and control. Recent trends in these different jurisdictions will be reviewed with particular reference to Bus Back Better, the national bus strategy for England, published in 2021. This has led to some extensions of the concept of franchising, most notably in Greater Manchester, and </w:t>
      </w:r>
      <w:r w:rsidR="00734B5D">
        <w:rPr>
          <w:rFonts w:ascii="Arial" w:hAnsi="Arial" w:cs="Arial"/>
        </w:rPr>
        <w:t>to</w:t>
      </w:r>
      <w:r w:rsidRPr="00833DB3">
        <w:rPr>
          <w:rFonts w:ascii="Arial" w:hAnsi="Arial" w:cs="Arial"/>
        </w:rPr>
        <w:t xml:space="preserve"> the development </w:t>
      </w:r>
      <w:r w:rsidR="000A0987" w:rsidRPr="00833DB3">
        <w:rPr>
          <w:rFonts w:ascii="Arial" w:hAnsi="Arial" w:cs="Arial"/>
        </w:rPr>
        <w:t xml:space="preserve">of enhanced partnerships. In addition to </w:t>
      </w:r>
      <w:r w:rsidR="00940649" w:rsidRPr="00833DB3">
        <w:rPr>
          <w:rFonts w:ascii="Arial" w:hAnsi="Arial" w:cs="Arial"/>
        </w:rPr>
        <w:t>this general</w:t>
      </w:r>
      <w:r w:rsidR="000A0987" w:rsidRPr="00833DB3">
        <w:rPr>
          <w:rFonts w:ascii="Arial" w:hAnsi="Arial" w:cs="Arial"/>
        </w:rPr>
        <w:t xml:space="preserve"> high-level review, tw</w:t>
      </w:r>
      <w:r w:rsidR="00CF20AA" w:rsidRPr="00833DB3">
        <w:rPr>
          <w:rFonts w:ascii="Arial" w:hAnsi="Arial" w:cs="Arial"/>
        </w:rPr>
        <w:t>o</w:t>
      </w:r>
      <w:r w:rsidR="000A0987" w:rsidRPr="00833DB3">
        <w:rPr>
          <w:rFonts w:ascii="Arial" w:hAnsi="Arial" w:cs="Arial"/>
        </w:rPr>
        <w:t xml:space="preserve"> case studies are discussed</w:t>
      </w:r>
      <w:r w:rsidR="00D444D1">
        <w:rPr>
          <w:rFonts w:ascii="Arial" w:hAnsi="Arial" w:cs="Arial"/>
        </w:rPr>
        <w:t>, based on recent student projects at the University of Southampton</w:t>
      </w:r>
      <w:r w:rsidR="000A0987" w:rsidRPr="00833DB3">
        <w:rPr>
          <w:rFonts w:ascii="Arial" w:hAnsi="Arial" w:cs="Arial"/>
        </w:rPr>
        <w:t xml:space="preserve">. The first compares the bus market and industry in Guernsey and Jersey (both competitively tendered), the Isle of Man (publicly owned and controlled) and the Isle of Wight (deregulated). The second examines the bus market and industry in the neighbouring urban regions of Bournemouth and Southampton, where in both cases the successor to the former municipally owned incumbent has recently exited the market. </w:t>
      </w:r>
      <w:r w:rsidR="003A2211">
        <w:rPr>
          <w:rFonts w:ascii="Arial" w:hAnsi="Arial" w:cs="Arial"/>
        </w:rPr>
        <w:t>Broad a</w:t>
      </w:r>
      <w:r w:rsidR="00940649" w:rsidRPr="00833DB3">
        <w:rPr>
          <w:rFonts w:ascii="Arial" w:hAnsi="Arial" w:cs="Arial"/>
        </w:rPr>
        <w:t>ssessments are made of the efficacy of the different organisation</w:t>
      </w:r>
      <w:r w:rsidR="00B1441B">
        <w:rPr>
          <w:rFonts w:ascii="Arial" w:hAnsi="Arial" w:cs="Arial"/>
        </w:rPr>
        <w:t>al</w:t>
      </w:r>
      <w:r w:rsidR="00940649" w:rsidRPr="00833DB3">
        <w:rPr>
          <w:rFonts w:ascii="Arial" w:hAnsi="Arial" w:cs="Arial"/>
        </w:rPr>
        <w:t xml:space="preserve"> structures considered. </w:t>
      </w:r>
      <w:r w:rsidR="000A0987" w:rsidRPr="00833DB3">
        <w:rPr>
          <w:rFonts w:ascii="Arial" w:hAnsi="Arial" w:cs="Arial"/>
        </w:rPr>
        <w:t xml:space="preserve">Conclusions are drawn with respect to likely future developments in the regulatory cycle, the relevance of theories of public value and whether </w:t>
      </w:r>
      <w:r w:rsidR="00940649" w:rsidRPr="00833DB3">
        <w:rPr>
          <w:rFonts w:ascii="Arial" w:hAnsi="Arial" w:cs="Arial"/>
        </w:rPr>
        <w:t xml:space="preserve">the </w:t>
      </w:r>
      <w:r w:rsidR="000A0987" w:rsidRPr="00833DB3">
        <w:rPr>
          <w:rFonts w:ascii="Arial" w:hAnsi="Arial" w:cs="Arial"/>
        </w:rPr>
        <w:t>co-production of services could form a fourth way for the bus industry.</w:t>
      </w:r>
    </w:p>
    <w:p w14:paraId="0AF19AF6" w14:textId="5BB9CE82" w:rsidR="00451668" w:rsidRPr="00A133E3" w:rsidRDefault="00833DB3" w:rsidP="00833DB3">
      <w:pPr>
        <w:pStyle w:val="ListParagraph"/>
        <w:numPr>
          <w:ilvl w:val="0"/>
          <w:numId w:val="1"/>
        </w:numPr>
        <w:ind w:left="567" w:hanging="567"/>
        <w:rPr>
          <w:rFonts w:ascii="Arial" w:hAnsi="Arial" w:cs="Arial"/>
          <w:b/>
          <w:bCs/>
        </w:rPr>
      </w:pPr>
      <w:r w:rsidRPr="00A133E3">
        <w:rPr>
          <w:rFonts w:ascii="Arial" w:hAnsi="Arial" w:cs="Arial"/>
          <w:b/>
          <w:bCs/>
        </w:rPr>
        <w:t>Introduction</w:t>
      </w:r>
    </w:p>
    <w:p w14:paraId="50517944" w14:textId="4955CB36" w:rsidR="003901F7" w:rsidRDefault="0042743B" w:rsidP="003901F7">
      <w:pPr>
        <w:rPr>
          <w:rFonts w:ascii="Arial" w:hAnsi="Arial" w:cs="Arial"/>
        </w:rPr>
      </w:pPr>
      <w:r>
        <w:rPr>
          <w:rFonts w:ascii="Arial" w:hAnsi="Arial" w:cs="Arial"/>
        </w:rPr>
        <w:t xml:space="preserve">Our starting point is </w:t>
      </w:r>
      <w:r w:rsidR="003A2211">
        <w:rPr>
          <w:rFonts w:ascii="Arial" w:hAnsi="Arial" w:cs="Arial"/>
        </w:rPr>
        <w:t>Preston (2023)</w:t>
      </w:r>
      <w:r>
        <w:rPr>
          <w:rFonts w:ascii="Arial" w:hAnsi="Arial" w:cs="Arial"/>
        </w:rPr>
        <w:t xml:space="preserve"> who noted that</w:t>
      </w:r>
      <w:r w:rsidR="003A2211">
        <w:rPr>
          <w:rFonts w:ascii="Arial" w:hAnsi="Arial" w:cs="Arial"/>
        </w:rPr>
        <w:t xml:space="preserve"> t</w:t>
      </w:r>
      <w:r w:rsidR="003901F7" w:rsidRPr="003901F7">
        <w:rPr>
          <w:rFonts w:ascii="Arial" w:hAnsi="Arial" w:cs="Arial"/>
        </w:rPr>
        <w:t>he origins of the International Conference on Competition and Ownership in Land Passenger Transport can be traced back to the deregulation of local buses in Great Britain outside London as a result of the 1985 Transport Act (</w:t>
      </w:r>
      <w:r w:rsidR="003A2211">
        <w:rPr>
          <w:rFonts w:ascii="Arial" w:hAnsi="Arial" w:cs="Arial"/>
        </w:rPr>
        <w:t xml:space="preserve">see also </w:t>
      </w:r>
      <w:r w:rsidR="003901F7" w:rsidRPr="003901F7">
        <w:rPr>
          <w:rFonts w:ascii="Arial" w:hAnsi="Arial" w:cs="Arial"/>
        </w:rPr>
        <w:t>Preston, 2005).</w:t>
      </w:r>
      <w:r w:rsidR="003901F7">
        <w:rPr>
          <w:rFonts w:ascii="Arial" w:hAnsi="Arial" w:cs="Arial"/>
        </w:rPr>
        <w:t xml:space="preserve"> Local buses in Great Britain have remained of interest to this Conference series, although this paper extends the scope to the British Isles</w:t>
      </w:r>
      <w:r w:rsidR="00ED7790">
        <w:rPr>
          <w:rFonts w:ascii="Arial" w:hAnsi="Arial" w:cs="Arial"/>
        </w:rPr>
        <w:t>.</w:t>
      </w:r>
    </w:p>
    <w:p w14:paraId="006E6B68" w14:textId="2DDD76BD" w:rsidR="00ED7790" w:rsidRPr="00ED7790" w:rsidRDefault="0042743B" w:rsidP="00ED7790">
      <w:pPr>
        <w:rPr>
          <w:rFonts w:ascii="Arial" w:hAnsi="Arial" w:cs="Arial"/>
        </w:rPr>
      </w:pPr>
      <w:r>
        <w:rPr>
          <w:rFonts w:ascii="Arial" w:hAnsi="Arial" w:cs="Arial"/>
        </w:rPr>
        <w:t>The deregulation of buses is associated with the</w:t>
      </w:r>
      <w:r w:rsidR="00ED7790" w:rsidRPr="00ED7790">
        <w:rPr>
          <w:rFonts w:ascii="Arial" w:hAnsi="Arial" w:cs="Arial"/>
        </w:rPr>
        <w:t>1985 Transport Act</w:t>
      </w:r>
      <w:r w:rsidR="00B1441B">
        <w:rPr>
          <w:rFonts w:ascii="Arial" w:hAnsi="Arial" w:cs="Arial"/>
        </w:rPr>
        <w:t>, which</w:t>
      </w:r>
      <w:r w:rsidR="00ED7790" w:rsidRPr="00ED7790">
        <w:rPr>
          <w:rFonts w:ascii="Arial" w:hAnsi="Arial" w:cs="Arial"/>
        </w:rPr>
        <w:t xml:space="preserve"> was </w:t>
      </w:r>
      <w:r>
        <w:rPr>
          <w:rFonts w:ascii="Arial" w:hAnsi="Arial" w:cs="Arial"/>
        </w:rPr>
        <w:t xml:space="preserve">actually  </w:t>
      </w:r>
      <w:r w:rsidR="00ED7790" w:rsidRPr="00ED7790">
        <w:rPr>
          <w:rFonts w:ascii="Arial" w:hAnsi="Arial" w:cs="Arial"/>
        </w:rPr>
        <w:t xml:space="preserve">a package of reforms. In addition to the quantity deregulation of local buses outside London (fares having been deregulated by the 1980 Act), it also introduced competitive tendering of socially necessary services, the commercialisation and privatisation of nationally and municipally owned bus fleets and the tightening of regulations concerning safety (enforced by the Traffic Commissioners) and competitive behaviour (enforced by the </w:t>
      </w:r>
      <w:r w:rsidR="00AB7F01">
        <w:rPr>
          <w:rFonts w:ascii="Arial" w:hAnsi="Arial" w:cs="Arial"/>
        </w:rPr>
        <w:t xml:space="preserve">then </w:t>
      </w:r>
      <w:r w:rsidR="00ED7790" w:rsidRPr="00ED7790">
        <w:rPr>
          <w:rFonts w:ascii="Arial" w:hAnsi="Arial" w:cs="Arial"/>
        </w:rPr>
        <w:t>Office of Fair Trading</w:t>
      </w:r>
      <w:r w:rsidR="00AB7F01">
        <w:rPr>
          <w:rFonts w:ascii="Arial" w:hAnsi="Arial" w:cs="Arial"/>
        </w:rPr>
        <w:t xml:space="preserve">, </w:t>
      </w:r>
      <w:r w:rsidR="00D444D1">
        <w:rPr>
          <w:rFonts w:ascii="Arial" w:hAnsi="Arial" w:cs="Arial"/>
        </w:rPr>
        <w:t>since 2014 part of</w:t>
      </w:r>
      <w:r w:rsidR="00AB7F01">
        <w:rPr>
          <w:rFonts w:ascii="Arial" w:hAnsi="Arial" w:cs="Arial"/>
        </w:rPr>
        <w:t xml:space="preserve"> the Competition and Markets Authority</w:t>
      </w:r>
      <w:r w:rsidR="00ED7790" w:rsidRPr="00ED7790">
        <w:rPr>
          <w:rFonts w:ascii="Arial" w:hAnsi="Arial" w:cs="Arial"/>
        </w:rPr>
        <w:t xml:space="preserve">). The rationale behind the reforms was articulated by Beesley and Glaister (1985). It was believed that the reforms </w:t>
      </w:r>
      <w:r w:rsidR="00ED7790" w:rsidRPr="00ED7790">
        <w:rPr>
          <w:rFonts w:ascii="Arial" w:hAnsi="Arial" w:cs="Arial"/>
        </w:rPr>
        <w:lastRenderedPageBreak/>
        <w:t xml:space="preserve">would reverse the long-run decline of the local bus industry by introducing competition, reducing costs and achieving a better mix of services and fares, whilst not having any undesirable spin-offs. Some counterarguments were provided by Gwilliam et al. (1985). The long-term impacts of this package of reforms were assessed by Preston and </w:t>
      </w:r>
      <w:bookmarkStart w:id="0" w:name="_Hlk169619043"/>
      <w:r w:rsidR="00ED7790" w:rsidRPr="00ED7790">
        <w:rPr>
          <w:rFonts w:ascii="Arial" w:hAnsi="Arial" w:cs="Arial"/>
        </w:rPr>
        <w:t>Almutairi</w:t>
      </w:r>
      <w:bookmarkEnd w:id="0"/>
      <w:r w:rsidR="00ED7790" w:rsidRPr="00ED7790">
        <w:rPr>
          <w:rFonts w:ascii="Arial" w:hAnsi="Arial" w:cs="Arial"/>
        </w:rPr>
        <w:t xml:space="preserve"> (2013, 2014) who argued that the main effects had worked their way through the system by around 2000, a period of some 15 years and the reforms had not, in the main, reversed the long-run decline of local buses in Great Britain outside London, although there ha</w:t>
      </w:r>
      <w:r w:rsidR="003A2211">
        <w:rPr>
          <w:rFonts w:ascii="Arial" w:hAnsi="Arial" w:cs="Arial"/>
        </w:rPr>
        <w:t>d</w:t>
      </w:r>
      <w:r w:rsidR="00ED7790" w:rsidRPr="00ED7790">
        <w:rPr>
          <w:rFonts w:ascii="Arial" w:hAnsi="Arial" w:cs="Arial"/>
        </w:rPr>
        <w:t xml:space="preserve"> been some success in London with a regulatory regime of comprehensive tendering. </w:t>
      </w:r>
    </w:p>
    <w:p w14:paraId="23FF3CB2" w14:textId="390C94AA" w:rsidR="0031377A" w:rsidRDefault="00ED7790" w:rsidP="00ED7790">
      <w:pPr>
        <w:rPr>
          <w:rFonts w:ascii="Arial" w:hAnsi="Arial" w:cs="Arial"/>
        </w:rPr>
      </w:pPr>
      <w:r w:rsidRPr="00ED7790">
        <w:rPr>
          <w:rFonts w:ascii="Arial" w:hAnsi="Arial" w:cs="Arial"/>
        </w:rPr>
        <w:t>Given concerns that bus deregulation has not</w:t>
      </w:r>
      <w:r w:rsidR="0042743B">
        <w:rPr>
          <w:rFonts w:ascii="Arial" w:hAnsi="Arial" w:cs="Arial"/>
        </w:rPr>
        <w:t xml:space="preserve"> </w:t>
      </w:r>
      <w:r w:rsidR="003A2211">
        <w:rPr>
          <w:rFonts w:ascii="Arial" w:hAnsi="Arial" w:cs="Arial"/>
        </w:rPr>
        <w:t>r</w:t>
      </w:r>
      <w:r w:rsidR="0042743B">
        <w:rPr>
          <w:rFonts w:ascii="Arial" w:hAnsi="Arial" w:cs="Arial"/>
        </w:rPr>
        <w:t>e</w:t>
      </w:r>
      <w:r w:rsidR="003A2211">
        <w:rPr>
          <w:rFonts w:ascii="Arial" w:hAnsi="Arial" w:cs="Arial"/>
        </w:rPr>
        <w:t xml:space="preserve">versed </w:t>
      </w:r>
      <w:r w:rsidR="0042743B">
        <w:rPr>
          <w:rFonts w:ascii="Arial" w:hAnsi="Arial" w:cs="Arial"/>
        </w:rPr>
        <w:t xml:space="preserve">the </w:t>
      </w:r>
      <w:r w:rsidR="003A2211">
        <w:rPr>
          <w:rFonts w:ascii="Arial" w:hAnsi="Arial" w:cs="Arial"/>
        </w:rPr>
        <w:t>bus industry</w:t>
      </w:r>
      <w:r w:rsidR="0042743B">
        <w:rPr>
          <w:rFonts w:ascii="Arial" w:hAnsi="Arial" w:cs="Arial"/>
        </w:rPr>
        <w:t>’s long-run</w:t>
      </w:r>
      <w:r w:rsidR="003A2211">
        <w:rPr>
          <w:rFonts w:ascii="Arial" w:hAnsi="Arial" w:cs="Arial"/>
        </w:rPr>
        <w:t xml:space="preserve"> decline</w:t>
      </w:r>
      <w:r w:rsidRPr="00ED7790">
        <w:rPr>
          <w:rFonts w:ascii="Arial" w:hAnsi="Arial" w:cs="Arial"/>
        </w:rPr>
        <w:t xml:space="preserve">, there </w:t>
      </w:r>
      <w:r w:rsidR="003A2211">
        <w:rPr>
          <w:rFonts w:ascii="Arial" w:hAnsi="Arial" w:cs="Arial"/>
        </w:rPr>
        <w:t>was</w:t>
      </w:r>
      <w:r w:rsidRPr="00ED7790">
        <w:rPr>
          <w:rFonts w:ascii="Arial" w:hAnsi="Arial" w:cs="Arial"/>
        </w:rPr>
        <w:t xml:space="preserve"> a raft of subsequent legislation and policy documents</w:t>
      </w:r>
      <w:r w:rsidR="003A2211">
        <w:rPr>
          <w:rFonts w:ascii="Arial" w:hAnsi="Arial" w:cs="Arial"/>
        </w:rPr>
        <w:t>.</w:t>
      </w:r>
      <w:r w:rsidRPr="00ED7790">
        <w:rPr>
          <w:rFonts w:ascii="Arial" w:hAnsi="Arial" w:cs="Arial"/>
        </w:rPr>
        <w:t xml:space="preserve"> New Labour developed an Integrated Transport White Paper (that </w:t>
      </w:r>
      <w:r w:rsidR="0031377A">
        <w:rPr>
          <w:rFonts w:ascii="Arial" w:hAnsi="Arial" w:cs="Arial"/>
        </w:rPr>
        <w:t>culminated in</w:t>
      </w:r>
      <w:r w:rsidRPr="00ED7790">
        <w:rPr>
          <w:rFonts w:ascii="Arial" w:hAnsi="Arial" w:cs="Arial"/>
        </w:rPr>
        <w:t xml:space="preserve"> the 2000 Transport Act</w:t>
      </w:r>
      <w:proofErr w:type="gramStart"/>
      <w:r w:rsidRPr="00ED7790">
        <w:rPr>
          <w:rFonts w:ascii="Arial" w:hAnsi="Arial" w:cs="Arial"/>
        </w:rPr>
        <w:t>)</w:t>
      </w:r>
      <w:proofErr w:type="gramEnd"/>
      <w:r w:rsidRPr="00ED7790">
        <w:rPr>
          <w:rFonts w:ascii="Arial" w:hAnsi="Arial" w:cs="Arial"/>
        </w:rPr>
        <w:t xml:space="preserve"> and this was accompanied by a series of daughter documents, including one on bus entitled From Workhorse to Thoroughbred (DETR, 1999). </w:t>
      </w:r>
      <w:r w:rsidR="00D444D1">
        <w:rPr>
          <w:rFonts w:ascii="Arial" w:hAnsi="Arial" w:cs="Arial"/>
        </w:rPr>
        <w:t>However, t</w:t>
      </w:r>
      <w:r w:rsidRPr="00ED7790">
        <w:rPr>
          <w:rFonts w:ascii="Arial" w:hAnsi="Arial" w:cs="Arial"/>
        </w:rPr>
        <w:t>his was modest in both ambition and outcome</w:t>
      </w:r>
      <w:r w:rsidR="00B70D82">
        <w:rPr>
          <w:rFonts w:ascii="Arial" w:hAnsi="Arial" w:cs="Arial"/>
        </w:rPr>
        <w:t xml:space="preserve"> (Preston, 2003)</w:t>
      </w:r>
      <w:r w:rsidRPr="00ED7790">
        <w:rPr>
          <w:rFonts w:ascii="Arial" w:hAnsi="Arial" w:cs="Arial"/>
        </w:rPr>
        <w:t>. The 2000 Transport Act made provision for Statutory Quality Partnerships (SQPs) and for Quality Contracts (QCs), with the latter being based on the comprehensive competitive tendering model in existence in London</w:t>
      </w:r>
      <w:r w:rsidR="00734B5D">
        <w:rPr>
          <w:rFonts w:ascii="Arial" w:hAnsi="Arial" w:cs="Arial"/>
        </w:rPr>
        <w:t>.</w:t>
      </w:r>
      <w:r w:rsidRPr="00ED7790">
        <w:rPr>
          <w:rFonts w:ascii="Arial" w:hAnsi="Arial" w:cs="Arial"/>
        </w:rPr>
        <w:t xml:space="preserve"> </w:t>
      </w:r>
      <w:r w:rsidR="00734B5D">
        <w:rPr>
          <w:rFonts w:ascii="Arial" w:hAnsi="Arial" w:cs="Arial"/>
        </w:rPr>
        <w:t>I</w:t>
      </w:r>
      <w:r w:rsidRPr="00ED7790">
        <w:rPr>
          <w:rFonts w:ascii="Arial" w:hAnsi="Arial" w:cs="Arial"/>
        </w:rPr>
        <w:t>n the event</w:t>
      </w:r>
      <w:r w:rsidR="00734B5D">
        <w:rPr>
          <w:rFonts w:ascii="Arial" w:hAnsi="Arial" w:cs="Arial"/>
        </w:rPr>
        <w:t>,</w:t>
      </w:r>
      <w:r w:rsidRPr="00ED7790">
        <w:rPr>
          <w:rFonts w:ascii="Arial" w:hAnsi="Arial" w:cs="Arial"/>
        </w:rPr>
        <w:t xml:space="preserve"> no QCs were established, whilst there were only two SQPs. </w:t>
      </w:r>
      <w:r w:rsidR="00734B5D">
        <w:rPr>
          <w:rFonts w:ascii="Arial" w:hAnsi="Arial" w:cs="Arial"/>
        </w:rPr>
        <w:t xml:space="preserve">Instead, </w:t>
      </w:r>
      <w:r w:rsidRPr="00ED7790">
        <w:rPr>
          <w:rFonts w:ascii="Arial" w:hAnsi="Arial" w:cs="Arial"/>
        </w:rPr>
        <w:t xml:space="preserve">Voluntary Quality Partnerships </w:t>
      </w:r>
      <w:r w:rsidR="00D444D1">
        <w:rPr>
          <w:rFonts w:ascii="Arial" w:hAnsi="Arial" w:cs="Arial"/>
        </w:rPr>
        <w:t xml:space="preserve">(VQPs) </w:t>
      </w:r>
      <w:r w:rsidRPr="00ED7790">
        <w:rPr>
          <w:rFonts w:ascii="Arial" w:hAnsi="Arial" w:cs="Arial"/>
        </w:rPr>
        <w:t>between bus operators and authorities emerged in the 1990s and were seen as a form of light touch regulation (Carr, 1997). By the beginning of the next decade, Preston et al. (2005) were reporting on 30</w:t>
      </w:r>
      <w:r w:rsidR="00D444D1">
        <w:rPr>
          <w:rFonts w:ascii="Arial" w:hAnsi="Arial" w:cs="Arial"/>
        </w:rPr>
        <w:t xml:space="preserve"> VQPs</w:t>
      </w:r>
      <w:r w:rsidRPr="00ED7790">
        <w:rPr>
          <w:rFonts w:ascii="Arial" w:hAnsi="Arial" w:cs="Arial"/>
        </w:rPr>
        <w:t>.</w:t>
      </w:r>
    </w:p>
    <w:p w14:paraId="3006167C" w14:textId="77777777" w:rsidR="0031377A" w:rsidRDefault="00ED7790" w:rsidP="00ED7790">
      <w:pPr>
        <w:rPr>
          <w:rFonts w:ascii="Arial" w:hAnsi="Arial" w:cs="Arial"/>
        </w:rPr>
      </w:pPr>
      <w:r w:rsidRPr="00ED7790">
        <w:rPr>
          <w:rFonts w:ascii="Arial" w:hAnsi="Arial" w:cs="Arial"/>
        </w:rPr>
        <w:t>The 2008 Local Transport Act  introduced some measure</w:t>
      </w:r>
      <w:r w:rsidR="00B1441B">
        <w:rPr>
          <w:rFonts w:ascii="Arial" w:hAnsi="Arial" w:cs="Arial"/>
        </w:rPr>
        <w:t>s</w:t>
      </w:r>
      <w:r w:rsidRPr="00ED7790">
        <w:rPr>
          <w:rFonts w:ascii="Arial" w:hAnsi="Arial" w:cs="Arial"/>
        </w:rPr>
        <w:t xml:space="preserve"> to overcome the barriers to the establishment of SQPs and QCs, including the development of Integrated Transport Authorities (ITAs). This had some limited success, with Rye and Wretstrand (2014) reporting six more SQPs and Villa i Aguilar et al. (2022) reporting around 14 in total in England and Scotland. However, the only QC scheme that was progressed (in Tyne and Wear) ultimately failed to gain approval (McTigue et al., 2020). </w:t>
      </w:r>
    </w:p>
    <w:p w14:paraId="271B3140" w14:textId="32B0047E" w:rsidR="00ED7790" w:rsidRPr="00ED7790" w:rsidRDefault="00ED7790" w:rsidP="00ED7790">
      <w:pPr>
        <w:rPr>
          <w:rFonts w:ascii="Arial" w:hAnsi="Arial" w:cs="Arial"/>
        </w:rPr>
      </w:pPr>
      <w:r w:rsidRPr="00ED7790">
        <w:rPr>
          <w:rFonts w:ascii="Arial" w:hAnsi="Arial" w:cs="Arial"/>
        </w:rPr>
        <w:t xml:space="preserve">With the onset of the Coalition Government </w:t>
      </w:r>
      <w:r w:rsidR="0031377A">
        <w:rPr>
          <w:rFonts w:ascii="Arial" w:hAnsi="Arial" w:cs="Arial"/>
        </w:rPr>
        <w:t>in 2010</w:t>
      </w:r>
      <w:r w:rsidR="003A2211">
        <w:rPr>
          <w:rFonts w:ascii="Arial" w:hAnsi="Arial" w:cs="Arial"/>
        </w:rPr>
        <w:t>,</w:t>
      </w:r>
      <w:r w:rsidR="0031377A">
        <w:rPr>
          <w:rFonts w:ascii="Arial" w:hAnsi="Arial" w:cs="Arial"/>
        </w:rPr>
        <w:t xml:space="preserve"> </w:t>
      </w:r>
      <w:r w:rsidRPr="00ED7790">
        <w:rPr>
          <w:rFonts w:ascii="Arial" w:hAnsi="Arial" w:cs="Arial"/>
        </w:rPr>
        <w:t xml:space="preserve">the focus was on competition for discretionary funds with the 2012 Green Light for Better Buses policy document launching the Better Bus Area and Greener Bus Funds (Preston et al., 2014). </w:t>
      </w:r>
      <w:r w:rsidR="00734B5D">
        <w:rPr>
          <w:rFonts w:ascii="Arial" w:hAnsi="Arial" w:cs="Arial"/>
        </w:rPr>
        <w:t>T</w:t>
      </w:r>
      <w:r w:rsidRPr="00ED7790">
        <w:rPr>
          <w:rFonts w:ascii="Arial" w:hAnsi="Arial" w:cs="Arial"/>
        </w:rPr>
        <w:t xml:space="preserve">he </w:t>
      </w:r>
      <w:r w:rsidR="00734B5D">
        <w:rPr>
          <w:rFonts w:ascii="Arial" w:hAnsi="Arial" w:cs="Arial"/>
        </w:rPr>
        <w:t xml:space="preserve">subsequent </w:t>
      </w:r>
      <w:r w:rsidRPr="00ED7790">
        <w:rPr>
          <w:rFonts w:ascii="Arial" w:hAnsi="Arial" w:cs="Arial"/>
        </w:rPr>
        <w:t xml:space="preserve">Conservative administration implemented the 2017 Bus Services Act, the third attempt to enact Quality Partnerships. SQPs became Advanced Quality Partnerships and QCs became franchising, whilst there were provisions for Enhanced Partnerships </w:t>
      </w:r>
      <w:r w:rsidR="00315635">
        <w:rPr>
          <w:rFonts w:ascii="Arial" w:hAnsi="Arial" w:cs="Arial"/>
        </w:rPr>
        <w:t xml:space="preserve">(EPs) </w:t>
      </w:r>
      <w:r w:rsidRPr="00ED7790">
        <w:rPr>
          <w:rFonts w:ascii="Arial" w:hAnsi="Arial" w:cs="Arial"/>
        </w:rPr>
        <w:t>that permitted shared ticketing and coordinated services as had been successfully developed in Oxford but had been previously prohibited on pro-competition grounds (White, 2017). The Department for Transport (DfT) reported that 20% of bus operators in England were involved in at least one partnership scheme in 2017/18 , although Preston and Darivakis (2019) were only able to identify 15 quality partnerships in England, of which 11 were voluntary (73%). If this is representative, then only around 5% of bus operators were involved in statutory schemes.</w:t>
      </w:r>
    </w:p>
    <w:p w14:paraId="343DC01A" w14:textId="3C2455E2" w:rsidR="001019D5" w:rsidRPr="001019D5" w:rsidRDefault="00ED7790" w:rsidP="001019D5">
      <w:pPr>
        <w:rPr>
          <w:rFonts w:ascii="Arial" w:hAnsi="Arial" w:cs="Arial"/>
        </w:rPr>
      </w:pPr>
      <w:r w:rsidRPr="00ED7790">
        <w:rPr>
          <w:rFonts w:ascii="Arial" w:hAnsi="Arial" w:cs="Arial"/>
        </w:rPr>
        <w:t xml:space="preserve">Bus policy reform gained </w:t>
      </w:r>
      <w:r w:rsidR="002D2652">
        <w:rPr>
          <w:rFonts w:ascii="Arial" w:hAnsi="Arial" w:cs="Arial"/>
        </w:rPr>
        <w:t xml:space="preserve">further </w:t>
      </w:r>
      <w:r w:rsidRPr="00ED7790">
        <w:rPr>
          <w:rFonts w:ascii="Arial" w:hAnsi="Arial" w:cs="Arial"/>
        </w:rPr>
        <w:t>impetus with Boris Johnson</w:t>
      </w:r>
      <w:r w:rsidR="00AB7F01">
        <w:rPr>
          <w:rFonts w:ascii="Arial" w:hAnsi="Arial" w:cs="Arial"/>
        </w:rPr>
        <w:t xml:space="preserve"> </w:t>
      </w:r>
      <w:r w:rsidR="002D2652">
        <w:rPr>
          <w:rFonts w:ascii="Arial" w:hAnsi="Arial" w:cs="Arial"/>
        </w:rPr>
        <w:t xml:space="preserve">as Prime Minister </w:t>
      </w:r>
      <w:r w:rsidR="00AB7F01">
        <w:rPr>
          <w:rFonts w:ascii="Arial" w:hAnsi="Arial" w:cs="Arial"/>
        </w:rPr>
        <w:t>(2019-2022)</w:t>
      </w:r>
      <w:r w:rsidRPr="00ED7790">
        <w:rPr>
          <w:rFonts w:ascii="Arial" w:hAnsi="Arial" w:cs="Arial"/>
        </w:rPr>
        <w:t>. As Mayor of London (2008 to 2016), he used bus services as a key policy instrument</w:t>
      </w:r>
      <w:r>
        <w:rPr>
          <w:rFonts w:ascii="Arial" w:hAnsi="Arial" w:cs="Arial"/>
        </w:rPr>
        <w:t xml:space="preserve">. </w:t>
      </w:r>
      <w:r w:rsidR="0042743B">
        <w:rPr>
          <w:rFonts w:ascii="Arial" w:hAnsi="Arial" w:cs="Arial"/>
        </w:rPr>
        <w:t>T</w:t>
      </w:r>
      <w:r w:rsidRPr="00ED7790">
        <w:rPr>
          <w:rFonts w:ascii="Arial" w:hAnsi="Arial" w:cs="Arial"/>
        </w:rPr>
        <w:t>he subsequent bus strategy</w:t>
      </w:r>
      <w:r w:rsidR="00DE0CCD">
        <w:rPr>
          <w:rFonts w:ascii="Arial" w:hAnsi="Arial" w:cs="Arial"/>
        </w:rPr>
        <w:t>, launched in March 2021,</w:t>
      </w:r>
      <w:r w:rsidRPr="00ED7790">
        <w:rPr>
          <w:rFonts w:ascii="Arial" w:hAnsi="Arial" w:cs="Arial"/>
        </w:rPr>
        <w:t xml:space="preserve"> had the then Prime Minister’s imprint, with the strap line Bus Back Better alluding to both the post-Covid 19 recovery and the levelling-up agenda</w:t>
      </w:r>
      <w:r w:rsidR="00DE0CCD">
        <w:rPr>
          <w:rFonts w:ascii="Arial" w:hAnsi="Arial" w:cs="Arial"/>
        </w:rPr>
        <w:t xml:space="preserve"> (DfT, 2021)</w:t>
      </w:r>
      <w:r w:rsidRPr="00ED7790">
        <w:rPr>
          <w:rFonts w:ascii="Arial" w:hAnsi="Arial" w:cs="Arial"/>
        </w:rPr>
        <w:t>. The key provision was that by July 2021, all Local Transport Authorities (LTAs) should establish</w:t>
      </w:r>
      <w:r w:rsidR="00315635">
        <w:rPr>
          <w:rFonts w:ascii="Arial" w:hAnsi="Arial" w:cs="Arial"/>
        </w:rPr>
        <w:t xml:space="preserve"> EPs</w:t>
      </w:r>
      <w:r w:rsidRPr="00ED7790">
        <w:rPr>
          <w:rFonts w:ascii="Arial" w:hAnsi="Arial" w:cs="Arial"/>
        </w:rPr>
        <w:t>, except Combined Mayoral Authorities (CMAs</w:t>
      </w:r>
      <w:r>
        <w:rPr>
          <w:rFonts w:ascii="Arial" w:hAnsi="Arial" w:cs="Arial"/>
        </w:rPr>
        <w:t xml:space="preserve">) </w:t>
      </w:r>
      <w:r w:rsidRPr="00ED7790">
        <w:rPr>
          <w:rFonts w:ascii="Arial" w:hAnsi="Arial" w:cs="Arial"/>
        </w:rPr>
        <w:t xml:space="preserve">that are planning franchising. </w:t>
      </w:r>
      <w:r w:rsidR="001019D5" w:rsidRPr="001019D5">
        <w:rPr>
          <w:rFonts w:ascii="Arial" w:hAnsi="Arial" w:cs="Arial"/>
        </w:rPr>
        <w:t>EPs provide local authorities with the potential to specify requirements with regards to a wide range of service options, including timetabling requirements, bus frequencies, ticketing and marketing arrangements, appearance of vehicles and public transport information provision.</w:t>
      </w:r>
    </w:p>
    <w:p w14:paraId="60817BF4" w14:textId="60D78481" w:rsidR="00315635" w:rsidRDefault="00734B5D" w:rsidP="00ED7790">
      <w:pPr>
        <w:rPr>
          <w:rFonts w:ascii="Arial" w:hAnsi="Arial" w:cs="Arial"/>
        </w:rPr>
      </w:pPr>
      <w:r>
        <w:rPr>
          <w:rFonts w:ascii="Arial" w:hAnsi="Arial" w:cs="Arial"/>
        </w:rPr>
        <w:t>O</w:t>
      </w:r>
      <w:r w:rsidR="00315635">
        <w:rPr>
          <w:rFonts w:ascii="Arial" w:hAnsi="Arial" w:cs="Arial"/>
        </w:rPr>
        <w:t>ut of 79 LTAs in England, 76 chose EPs, with 71 becoming statutory by December 2023</w:t>
      </w:r>
      <w:r w:rsidR="00B1441B">
        <w:rPr>
          <w:rFonts w:ascii="Arial" w:hAnsi="Arial" w:cs="Arial"/>
        </w:rPr>
        <w:t xml:space="preserve"> (DfT, 2024)</w:t>
      </w:r>
      <w:r w:rsidR="00315635">
        <w:rPr>
          <w:rFonts w:ascii="Arial" w:hAnsi="Arial" w:cs="Arial"/>
        </w:rPr>
        <w:t>. Three CMAs (Greater Manchester, Liverpool and Cambridge &amp; Peterborough) opted for franchising.</w:t>
      </w:r>
      <w:r w:rsidR="001019D5">
        <w:rPr>
          <w:rFonts w:ascii="Arial" w:hAnsi="Arial" w:cs="Arial"/>
        </w:rPr>
        <w:t xml:space="preserve"> Greater Manchester has been the front runner in bus franchising, with Phase 1 of the Bee Network launched in September 2023, focused on Bolton and Wigan, and Phase 2 launched in March 2024, covering Bury, north Manchester, Oldham, Rochdale and Salford. </w:t>
      </w:r>
      <w:r w:rsidR="001019D5" w:rsidRPr="001019D5">
        <w:rPr>
          <w:rFonts w:ascii="Arial" w:hAnsi="Arial" w:cs="Arial"/>
        </w:rPr>
        <w:t xml:space="preserve">The remaining parts of Greater Manchester </w:t>
      </w:r>
      <w:r w:rsidR="00D94EC9">
        <w:rPr>
          <w:rFonts w:ascii="Arial" w:hAnsi="Arial" w:cs="Arial"/>
        </w:rPr>
        <w:t xml:space="preserve">were franchised in </w:t>
      </w:r>
      <w:r w:rsidR="001019D5" w:rsidRPr="001019D5">
        <w:rPr>
          <w:rFonts w:ascii="Arial" w:hAnsi="Arial" w:cs="Arial"/>
        </w:rPr>
        <w:t xml:space="preserve">January 2025, </w:t>
      </w:r>
      <w:r w:rsidR="00D94EC9">
        <w:rPr>
          <w:rFonts w:ascii="Arial" w:hAnsi="Arial" w:cs="Arial"/>
        </w:rPr>
        <w:t xml:space="preserve">making a total of </w:t>
      </w:r>
      <w:r w:rsidR="00D94EC9" w:rsidRPr="00D94EC9">
        <w:rPr>
          <w:rFonts w:ascii="Arial" w:hAnsi="Arial" w:cs="Arial"/>
        </w:rPr>
        <w:t>1,600 buses and 577 routes under the franchised Bee Network</w:t>
      </w:r>
      <w:r w:rsidR="00D94EC9">
        <w:rPr>
          <w:rFonts w:ascii="Arial" w:hAnsi="Arial" w:cs="Arial"/>
        </w:rPr>
        <w:t>.</w:t>
      </w:r>
      <w:r>
        <w:rPr>
          <w:rStyle w:val="FootnoteReference"/>
          <w:rFonts w:ascii="Arial" w:hAnsi="Arial" w:cs="Arial"/>
        </w:rPr>
        <w:footnoteReference w:id="1"/>
      </w:r>
      <w:r w:rsidR="00D94EC9">
        <w:rPr>
          <w:rFonts w:ascii="Arial" w:hAnsi="Arial" w:cs="Arial"/>
        </w:rPr>
        <w:t xml:space="preserve"> There are </w:t>
      </w:r>
      <w:r w:rsidR="001019D5" w:rsidRPr="001019D5">
        <w:rPr>
          <w:rFonts w:ascii="Arial" w:hAnsi="Arial" w:cs="Arial"/>
        </w:rPr>
        <w:t>plans to bring local train services into the network by 2030.</w:t>
      </w:r>
      <w:r w:rsidR="001019D5">
        <w:rPr>
          <w:rFonts w:ascii="Arial" w:hAnsi="Arial" w:cs="Arial"/>
        </w:rPr>
        <w:t xml:space="preserve"> </w:t>
      </w:r>
      <w:r w:rsidR="002D2652">
        <w:rPr>
          <w:rFonts w:ascii="Arial" w:hAnsi="Arial" w:cs="Arial"/>
        </w:rPr>
        <w:t>Although it is too early to make an assessment, Palmer and Sansom (2025) report that there has been a healthy number of bids for each franchise, including one significant new entrant, but Small- and Medium-sized Enterprises ha</w:t>
      </w:r>
      <w:r w:rsidR="00B5570A">
        <w:rPr>
          <w:rFonts w:ascii="Arial" w:hAnsi="Arial" w:cs="Arial"/>
        </w:rPr>
        <w:t>ve</w:t>
      </w:r>
      <w:r w:rsidR="002D2652">
        <w:rPr>
          <w:rFonts w:ascii="Arial" w:hAnsi="Arial" w:cs="Arial"/>
        </w:rPr>
        <w:t xml:space="preserve"> </w:t>
      </w:r>
      <w:r w:rsidR="0042743B">
        <w:rPr>
          <w:rFonts w:ascii="Arial" w:hAnsi="Arial" w:cs="Arial"/>
        </w:rPr>
        <w:t xml:space="preserve">not </w:t>
      </w:r>
      <w:r w:rsidR="002D2652">
        <w:rPr>
          <w:rFonts w:ascii="Arial" w:hAnsi="Arial" w:cs="Arial"/>
        </w:rPr>
        <w:t xml:space="preserve">been successful. There were also some indications of increasing demand and improved service reliability. </w:t>
      </w:r>
      <w:r w:rsidR="001019D5">
        <w:rPr>
          <w:rFonts w:ascii="Arial" w:hAnsi="Arial" w:cs="Arial"/>
        </w:rPr>
        <w:t>In March 2024, CMAs in South and West Yorkshire decided to adopt bus franchising.</w:t>
      </w:r>
      <w:r w:rsidR="00067F3E">
        <w:rPr>
          <w:rStyle w:val="FootnoteReference"/>
          <w:rFonts w:ascii="Arial" w:hAnsi="Arial" w:cs="Arial"/>
        </w:rPr>
        <w:footnoteReference w:id="2"/>
      </w:r>
    </w:p>
    <w:p w14:paraId="3352185C" w14:textId="61FBE698" w:rsidR="00ED7790" w:rsidRDefault="00B1441B" w:rsidP="00ED7790">
      <w:pPr>
        <w:rPr>
          <w:rFonts w:ascii="Arial" w:hAnsi="Arial" w:cs="Arial"/>
        </w:rPr>
      </w:pPr>
      <w:r>
        <w:rPr>
          <w:rFonts w:ascii="Arial" w:hAnsi="Arial" w:cs="Arial"/>
        </w:rPr>
        <w:t>I</w:t>
      </w:r>
      <w:r w:rsidR="00ED7790" w:rsidRPr="00ED7790">
        <w:rPr>
          <w:rFonts w:ascii="Arial" w:hAnsi="Arial" w:cs="Arial"/>
        </w:rPr>
        <w:t xml:space="preserve">t was </w:t>
      </w:r>
      <w:r>
        <w:rPr>
          <w:rFonts w:ascii="Arial" w:hAnsi="Arial" w:cs="Arial"/>
        </w:rPr>
        <w:t xml:space="preserve">required </w:t>
      </w:r>
      <w:r w:rsidR="00ED7790" w:rsidRPr="00ED7790">
        <w:rPr>
          <w:rFonts w:ascii="Arial" w:hAnsi="Arial" w:cs="Arial"/>
        </w:rPr>
        <w:t>that all LTAs should publish Bus Service Improvement Plans (BSIPs)</w:t>
      </w:r>
      <w:r>
        <w:rPr>
          <w:rFonts w:ascii="Arial" w:hAnsi="Arial" w:cs="Arial"/>
        </w:rPr>
        <w:t xml:space="preserve"> by October 2021</w:t>
      </w:r>
      <w:r w:rsidR="00ED7790" w:rsidRPr="00ED7790">
        <w:rPr>
          <w:rFonts w:ascii="Arial" w:hAnsi="Arial" w:cs="Arial"/>
        </w:rPr>
        <w:t xml:space="preserve">. The reforms </w:t>
      </w:r>
      <w:r>
        <w:rPr>
          <w:rFonts w:ascii="Arial" w:hAnsi="Arial" w:cs="Arial"/>
        </w:rPr>
        <w:t xml:space="preserve">included provisions </w:t>
      </w:r>
      <w:r w:rsidR="0031377A">
        <w:rPr>
          <w:rFonts w:ascii="Arial" w:hAnsi="Arial" w:cs="Arial"/>
        </w:rPr>
        <w:t xml:space="preserve">for </w:t>
      </w:r>
      <w:r w:rsidR="00ED7790" w:rsidRPr="00ED7790">
        <w:rPr>
          <w:rFonts w:ascii="Arial" w:hAnsi="Arial" w:cs="Arial"/>
        </w:rPr>
        <w:t>common routing and numbering, low flat fares and daily caps</w:t>
      </w:r>
      <w:r>
        <w:rPr>
          <w:rFonts w:ascii="Arial" w:hAnsi="Arial" w:cs="Arial"/>
        </w:rPr>
        <w:t xml:space="preserve"> (including a low fares experiment in Cornwall)</w:t>
      </w:r>
      <w:r w:rsidR="00ED7790" w:rsidRPr="00ED7790">
        <w:rPr>
          <w:rFonts w:ascii="Arial" w:hAnsi="Arial" w:cs="Arial"/>
        </w:rPr>
        <w:t>, the promotion of bus priority and on demand service</w:t>
      </w:r>
      <w:r>
        <w:rPr>
          <w:rFonts w:ascii="Arial" w:hAnsi="Arial" w:cs="Arial"/>
        </w:rPr>
        <w:t>s,</w:t>
      </w:r>
      <w:r w:rsidR="00ED7790" w:rsidRPr="00ED7790">
        <w:rPr>
          <w:rFonts w:ascii="Arial" w:hAnsi="Arial" w:cs="Arial"/>
        </w:rPr>
        <w:t xml:space="preserve"> and investment in </w:t>
      </w:r>
      <w:r>
        <w:rPr>
          <w:rFonts w:ascii="Arial" w:hAnsi="Arial" w:cs="Arial"/>
        </w:rPr>
        <w:t xml:space="preserve">up to </w:t>
      </w:r>
      <w:r w:rsidR="00ED7790" w:rsidRPr="00ED7790">
        <w:rPr>
          <w:rFonts w:ascii="Arial" w:hAnsi="Arial" w:cs="Arial"/>
        </w:rPr>
        <w:t>4,000 zero emission vehicles. Initial investment of £</w:t>
      </w:r>
      <w:r w:rsidR="0057479D">
        <w:rPr>
          <w:rFonts w:ascii="Arial" w:hAnsi="Arial" w:cs="Arial"/>
        </w:rPr>
        <w:t>2</w:t>
      </w:r>
      <w:r w:rsidR="00ED7790" w:rsidRPr="00ED7790">
        <w:rPr>
          <w:rFonts w:ascii="Arial" w:hAnsi="Arial" w:cs="Arial"/>
        </w:rPr>
        <w:t xml:space="preserve">70 million </w:t>
      </w:r>
      <w:r w:rsidR="0057479D">
        <w:rPr>
          <w:rFonts w:ascii="Arial" w:hAnsi="Arial" w:cs="Arial"/>
        </w:rPr>
        <w:t xml:space="preserve">in 2020/21 </w:t>
      </w:r>
      <w:r w:rsidR="00ED7790" w:rsidRPr="00ED7790">
        <w:rPr>
          <w:rFonts w:ascii="Arial" w:hAnsi="Arial" w:cs="Arial"/>
        </w:rPr>
        <w:t>in the All-Electric Bus Town or City and the Zero Emission Bus Regional Area (ZEBRA) scheme</w:t>
      </w:r>
      <w:r w:rsidR="00AB7F01">
        <w:rPr>
          <w:rFonts w:ascii="Arial" w:hAnsi="Arial" w:cs="Arial"/>
        </w:rPr>
        <w:t xml:space="preserve"> resulted </w:t>
      </w:r>
      <w:r w:rsidR="00ED7790" w:rsidRPr="00ED7790">
        <w:rPr>
          <w:rFonts w:ascii="Arial" w:hAnsi="Arial" w:cs="Arial"/>
        </w:rPr>
        <w:t xml:space="preserve">in </w:t>
      </w:r>
      <w:r w:rsidR="0057479D">
        <w:rPr>
          <w:rFonts w:ascii="Arial" w:hAnsi="Arial" w:cs="Arial"/>
        </w:rPr>
        <w:t xml:space="preserve">funding of </w:t>
      </w:r>
      <w:r w:rsidR="00ED7790" w:rsidRPr="00ED7790">
        <w:rPr>
          <w:rFonts w:ascii="Arial" w:hAnsi="Arial" w:cs="Arial"/>
        </w:rPr>
        <w:t xml:space="preserve">1,278 zero emission buses in 17 LTAs. In April 2022, the DfT announced that 31 </w:t>
      </w:r>
      <w:r w:rsidR="00D444D1">
        <w:rPr>
          <w:rFonts w:ascii="Arial" w:hAnsi="Arial" w:cs="Arial"/>
        </w:rPr>
        <w:t xml:space="preserve">BSIP bids </w:t>
      </w:r>
      <w:r w:rsidR="00ED7790" w:rsidRPr="00ED7790">
        <w:rPr>
          <w:rFonts w:ascii="Arial" w:hAnsi="Arial" w:cs="Arial"/>
        </w:rPr>
        <w:t>(</w:t>
      </w:r>
      <w:r w:rsidR="00D444D1">
        <w:rPr>
          <w:rFonts w:ascii="Arial" w:hAnsi="Arial" w:cs="Arial"/>
        </w:rPr>
        <w:t xml:space="preserve">covering 34 </w:t>
      </w:r>
      <w:r w:rsidR="00ED7790" w:rsidRPr="00ED7790">
        <w:rPr>
          <w:rFonts w:ascii="Arial" w:hAnsi="Arial" w:cs="Arial"/>
        </w:rPr>
        <w:t>out of a tot</w:t>
      </w:r>
      <w:r w:rsidR="00D444D1">
        <w:rPr>
          <w:rFonts w:ascii="Arial" w:hAnsi="Arial" w:cs="Arial"/>
        </w:rPr>
        <w:t>a</w:t>
      </w:r>
      <w:r w:rsidR="00ED7790" w:rsidRPr="00ED7790">
        <w:rPr>
          <w:rFonts w:ascii="Arial" w:hAnsi="Arial" w:cs="Arial"/>
        </w:rPr>
        <w:t>l of 79</w:t>
      </w:r>
      <w:r w:rsidR="00D444D1">
        <w:rPr>
          <w:rFonts w:ascii="Arial" w:hAnsi="Arial" w:cs="Arial"/>
        </w:rPr>
        <w:t xml:space="preserve"> LTAs</w:t>
      </w:r>
      <w:r w:rsidR="00ED7790" w:rsidRPr="00ED7790">
        <w:rPr>
          <w:rFonts w:ascii="Arial" w:hAnsi="Arial" w:cs="Arial"/>
        </w:rPr>
        <w:t>) were successful</w:t>
      </w:r>
      <w:r w:rsidR="00493982">
        <w:rPr>
          <w:rFonts w:ascii="Arial" w:hAnsi="Arial" w:cs="Arial"/>
        </w:rPr>
        <w:t xml:space="preserve">. </w:t>
      </w:r>
      <w:r w:rsidR="00ED7790" w:rsidRPr="00ED7790">
        <w:rPr>
          <w:rFonts w:ascii="Arial" w:hAnsi="Arial" w:cs="Arial"/>
        </w:rPr>
        <w:t xml:space="preserve">Including earlier awards, just under two-thirds of England’s population </w:t>
      </w:r>
      <w:r w:rsidR="00D444D1">
        <w:rPr>
          <w:rFonts w:ascii="Arial" w:hAnsi="Arial" w:cs="Arial"/>
        </w:rPr>
        <w:t>would</w:t>
      </w:r>
      <w:r w:rsidR="00ED7790" w:rsidRPr="00ED7790">
        <w:rPr>
          <w:rFonts w:ascii="Arial" w:hAnsi="Arial" w:cs="Arial"/>
        </w:rPr>
        <w:t xml:space="preserve"> benefit from the commitment to invest £3 billion to transform bus services announced in 2020. This </w:t>
      </w:r>
      <w:r w:rsidR="00493982">
        <w:rPr>
          <w:rFonts w:ascii="Arial" w:hAnsi="Arial" w:cs="Arial"/>
        </w:rPr>
        <w:t xml:space="preserve">begged </w:t>
      </w:r>
      <w:r w:rsidR="00ED7790" w:rsidRPr="00ED7790">
        <w:rPr>
          <w:rFonts w:ascii="Arial" w:hAnsi="Arial" w:cs="Arial"/>
        </w:rPr>
        <w:t>the question of what will happen to buses serving the other third of the population.</w:t>
      </w:r>
    </w:p>
    <w:p w14:paraId="43594628" w14:textId="529EBB1E" w:rsidR="00D444D1" w:rsidRPr="003901F7" w:rsidRDefault="00D444D1" w:rsidP="00ED7790">
      <w:pPr>
        <w:rPr>
          <w:rFonts w:ascii="Arial" w:hAnsi="Arial" w:cs="Arial"/>
        </w:rPr>
      </w:pPr>
      <w:r>
        <w:rPr>
          <w:rFonts w:ascii="Arial" w:hAnsi="Arial" w:cs="Arial"/>
        </w:rPr>
        <w:t>Th</w:t>
      </w:r>
      <w:r w:rsidR="00493982">
        <w:rPr>
          <w:rFonts w:ascii="Arial" w:hAnsi="Arial" w:cs="Arial"/>
        </w:rPr>
        <w:t>at</w:t>
      </w:r>
      <w:r>
        <w:rPr>
          <w:rFonts w:ascii="Arial" w:hAnsi="Arial" w:cs="Arial"/>
        </w:rPr>
        <w:t xml:space="preserve"> particular question was answered in the form of what eventually became know</w:t>
      </w:r>
      <w:r w:rsidR="00B1441B">
        <w:rPr>
          <w:rFonts w:ascii="Arial" w:hAnsi="Arial" w:cs="Arial"/>
        </w:rPr>
        <w:t>n</w:t>
      </w:r>
      <w:r>
        <w:rPr>
          <w:rFonts w:ascii="Arial" w:hAnsi="Arial" w:cs="Arial"/>
        </w:rPr>
        <w:t xml:space="preserve"> as BSIP Phase 2</w:t>
      </w:r>
      <w:r w:rsidR="00493982">
        <w:rPr>
          <w:rFonts w:ascii="Arial" w:hAnsi="Arial" w:cs="Arial"/>
        </w:rPr>
        <w:t xml:space="preserve"> and Phase 3 (DfT, 2024).  The original BSIP involved funding of around £1.04 billion. Phase 2, announced in May 2023, involved 64 LTAs and some £160 million. Phase 3, announced in October 2023, involved 38 LTAs in the North and Midlands and a further £150 million. As a result, all LTAs received some form of BSIP funding.</w:t>
      </w:r>
      <w:r w:rsidR="00493982">
        <w:rPr>
          <w:rStyle w:val="FootnoteReference"/>
          <w:rFonts w:ascii="Arial" w:hAnsi="Arial" w:cs="Arial"/>
        </w:rPr>
        <w:footnoteReference w:id="3"/>
      </w:r>
    </w:p>
    <w:p w14:paraId="29D77525" w14:textId="49C3E0C0" w:rsidR="00833DB3" w:rsidRPr="00A133E3" w:rsidRDefault="00833DB3" w:rsidP="00833DB3">
      <w:pPr>
        <w:ind w:left="567" w:hanging="567"/>
        <w:rPr>
          <w:rFonts w:ascii="Arial" w:hAnsi="Arial" w:cs="Arial"/>
          <w:b/>
          <w:bCs/>
        </w:rPr>
      </w:pPr>
      <w:r w:rsidRPr="00A133E3">
        <w:rPr>
          <w:rFonts w:ascii="Arial" w:hAnsi="Arial" w:cs="Arial"/>
          <w:b/>
          <w:bCs/>
        </w:rPr>
        <w:t>2.</w:t>
      </w:r>
      <w:r w:rsidRPr="00A133E3">
        <w:rPr>
          <w:rFonts w:ascii="Arial" w:hAnsi="Arial" w:cs="Arial"/>
          <w:b/>
          <w:bCs/>
        </w:rPr>
        <w:tab/>
        <w:t>National Review</w:t>
      </w:r>
    </w:p>
    <w:p w14:paraId="3BBB0B3D" w14:textId="5E2A7D72" w:rsidR="00734B5D" w:rsidRDefault="00DE0CCD" w:rsidP="00DE0CCD">
      <w:pPr>
        <w:spacing w:line="276" w:lineRule="auto"/>
        <w:rPr>
          <w:rFonts w:ascii="Arial" w:hAnsi="Arial" w:cs="Arial"/>
        </w:rPr>
      </w:pPr>
      <w:r w:rsidRPr="00C310FD">
        <w:rPr>
          <w:rFonts w:ascii="Arial" w:hAnsi="Arial" w:cs="Arial"/>
        </w:rPr>
        <w:t xml:space="preserve">The </w:t>
      </w:r>
      <w:r>
        <w:rPr>
          <w:rFonts w:ascii="Arial" w:hAnsi="Arial" w:cs="Arial"/>
        </w:rPr>
        <w:t xml:space="preserve">key </w:t>
      </w:r>
      <w:r w:rsidRPr="00C310FD">
        <w:rPr>
          <w:rFonts w:ascii="Arial" w:hAnsi="Arial" w:cs="Arial"/>
        </w:rPr>
        <w:t xml:space="preserve">trends in </w:t>
      </w:r>
      <w:r>
        <w:rPr>
          <w:rFonts w:ascii="Arial" w:hAnsi="Arial" w:cs="Arial"/>
        </w:rPr>
        <w:t xml:space="preserve">the </w:t>
      </w:r>
      <w:r w:rsidRPr="00C310FD">
        <w:rPr>
          <w:rFonts w:ascii="Arial" w:hAnsi="Arial" w:cs="Arial"/>
        </w:rPr>
        <w:t>British bus industry are well documented (see, for example, Preston, 2018</w:t>
      </w:r>
      <w:r w:rsidR="002B33CC">
        <w:rPr>
          <w:rFonts w:ascii="Arial" w:hAnsi="Arial" w:cs="Arial"/>
        </w:rPr>
        <w:t>, 2023</w:t>
      </w:r>
      <w:r w:rsidRPr="00C310FD">
        <w:rPr>
          <w:rFonts w:ascii="Arial" w:hAnsi="Arial" w:cs="Arial"/>
        </w:rPr>
        <w:t>). Some estimates of broad indicators are given in Table 1.</w:t>
      </w:r>
    </w:p>
    <w:p w14:paraId="1F1B64FE" w14:textId="77777777" w:rsidR="00734B5D" w:rsidRDefault="00734B5D">
      <w:pPr>
        <w:rPr>
          <w:rFonts w:ascii="Arial" w:hAnsi="Arial" w:cs="Arial"/>
        </w:rPr>
      </w:pPr>
      <w:r>
        <w:rPr>
          <w:rFonts w:ascii="Arial" w:hAnsi="Arial" w:cs="Arial"/>
        </w:rPr>
        <w:br w:type="page"/>
      </w:r>
    </w:p>
    <w:p w14:paraId="64AADDD9" w14:textId="77777777" w:rsidR="00DE0CCD" w:rsidRPr="001C0E4B" w:rsidRDefault="00DE0CCD" w:rsidP="00DE0CCD">
      <w:pPr>
        <w:rPr>
          <w:rFonts w:ascii="Arial" w:hAnsi="Arial" w:cs="Arial"/>
          <w:b/>
          <w:bCs/>
          <w:sz w:val="20"/>
          <w:szCs w:val="20"/>
        </w:rPr>
      </w:pPr>
      <w:r w:rsidRPr="001C0E4B">
        <w:rPr>
          <w:rFonts w:ascii="Arial" w:hAnsi="Arial" w:cs="Arial"/>
          <w:b/>
          <w:bCs/>
          <w:sz w:val="20"/>
          <w:szCs w:val="20"/>
        </w:rPr>
        <w:t>Table 1: Trends in the British Bus Industry 1985/6 to 2019/20 (to 2008/9 in brackets)</w:t>
      </w:r>
      <w:r>
        <w:rPr>
          <w:rFonts w:ascii="Arial" w:hAnsi="Arial" w:cs="Arial"/>
          <w:b/>
          <w:bCs/>
          <w:sz w:val="20"/>
          <w:szCs w:val="20"/>
        </w:rPr>
        <w:t xml:space="preserve"> (% change)</w:t>
      </w:r>
    </w:p>
    <w:tbl>
      <w:tblPr>
        <w:tblStyle w:val="TableGrid"/>
        <w:tblW w:w="0" w:type="auto"/>
        <w:tblLook w:val="04A0" w:firstRow="1" w:lastRow="0" w:firstColumn="1" w:lastColumn="0" w:noHBand="0" w:noVBand="1"/>
      </w:tblPr>
      <w:tblGrid>
        <w:gridCol w:w="1413"/>
        <w:gridCol w:w="1559"/>
        <w:gridCol w:w="1559"/>
        <w:gridCol w:w="1430"/>
        <w:gridCol w:w="1500"/>
        <w:gridCol w:w="1555"/>
      </w:tblGrid>
      <w:tr w:rsidR="00DE0CCD" w:rsidRPr="00C310FD" w14:paraId="652C00AF" w14:textId="77777777" w:rsidTr="00663EE1">
        <w:tc>
          <w:tcPr>
            <w:tcW w:w="1413" w:type="dxa"/>
          </w:tcPr>
          <w:p w14:paraId="0A0DAF9E" w14:textId="77777777" w:rsidR="00DE0CCD" w:rsidRPr="00C310FD" w:rsidRDefault="00DE0CCD" w:rsidP="00663EE1">
            <w:pPr>
              <w:rPr>
                <w:rFonts w:ascii="Arial" w:hAnsi="Arial" w:cs="Arial"/>
              </w:rPr>
            </w:pPr>
          </w:p>
        </w:tc>
        <w:tc>
          <w:tcPr>
            <w:tcW w:w="1559" w:type="dxa"/>
          </w:tcPr>
          <w:p w14:paraId="4A16F573" w14:textId="77777777" w:rsidR="00DE0CCD" w:rsidRPr="00C310FD" w:rsidRDefault="00DE0CCD" w:rsidP="00663EE1">
            <w:pPr>
              <w:rPr>
                <w:rFonts w:ascii="Arial" w:hAnsi="Arial" w:cs="Arial"/>
              </w:rPr>
            </w:pPr>
            <w:r w:rsidRPr="00C310FD">
              <w:rPr>
                <w:rFonts w:ascii="Arial" w:hAnsi="Arial" w:cs="Arial"/>
              </w:rPr>
              <w:t>Passenger</w:t>
            </w:r>
          </w:p>
          <w:p w14:paraId="6DD30754" w14:textId="77777777" w:rsidR="00DE0CCD" w:rsidRPr="00C310FD" w:rsidRDefault="00DE0CCD" w:rsidP="00663EE1">
            <w:pPr>
              <w:rPr>
                <w:rFonts w:ascii="Arial" w:hAnsi="Arial" w:cs="Arial"/>
              </w:rPr>
            </w:pPr>
            <w:r w:rsidRPr="00C310FD">
              <w:rPr>
                <w:rFonts w:ascii="Arial" w:hAnsi="Arial" w:cs="Arial"/>
              </w:rPr>
              <w:t>Journeys</w:t>
            </w:r>
          </w:p>
        </w:tc>
        <w:tc>
          <w:tcPr>
            <w:tcW w:w="1559" w:type="dxa"/>
          </w:tcPr>
          <w:p w14:paraId="53CD1774" w14:textId="77777777" w:rsidR="00DE0CCD" w:rsidRPr="00C310FD" w:rsidRDefault="00DE0CCD" w:rsidP="00663EE1">
            <w:pPr>
              <w:rPr>
                <w:rFonts w:ascii="Arial" w:hAnsi="Arial" w:cs="Arial"/>
              </w:rPr>
            </w:pPr>
            <w:r w:rsidRPr="00C310FD">
              <w:rPr>
                <w:rFonts w:ascii="Arial" w:hAnsi="Arial" w:cs="Arial"/>
              </w:rPr>
              <w:t>Real Receipts per Passenger</w:t>
            </w:r>
          </w:p>
        </w:tc>
        <w:tc>
          <w:tcPr>
            <w:tcW w:w="1430" w:type="dxa"/>
          </w:tcPr>
          <w:p w14:paraId="7E099361" w14:textId="77777777" w:rsidR="00DE0CCD" w:rsidRPr="00C310FD" w:rsidRDefault="00DE0CCD" w:rsidP="00663EE1">
            <w:pPr>
              <w:rPr>
                <w:rFonts w:ascii="Arial" w:hAnsi="Arial" w:cs="Arial"/>
              </w:rPr>
            </w:pPr>
            <w:r w:rsidRPr="00C310FD">
              <w:rPr>
                <w:rFonts w:ascii="Arial" w:hAnsi="Arial" w:cs="Arial"/>
              </w:rPr>
              <w:t>Vehicle Kms</w:t>
            </w:r>
          </w:p>
        </w:tc>
        <w:tc>
          <w:tcPr>
            <w:tcW w:w="1500" w:type="dxa"/>
          </w:tcPr>
          <w:p w14:paraId="5067F310" w14:textId="77777777" w:rsidR="00DE0CCD" w:rsidRPr="00C310FD" w:rsidRDefault="00DE0CCD" w:rsidP="00663EE1">
            <w:pPr>
              <w:rPr>
                <w:rFonts w:ascii="Arial" w:hAnsi="Arial" w:cs="Arial"/>
              </w:rPr>
            </w:pPr>
            <w:r w:rsidRPr="00C310FD">
              <w:rPr>
                <w:rFonts w:ascii="Arial" w:hAnsi="Arial" w:cs="Arial"/>
              </w:rPr>
              <w:t>Real Costs per Vehicle Km</w:t>
            </w:r>
          </w:p>
        </w:tc>
        <w:tc>
          <w:tcPr>
            <w:tcW w:w="1555" w:type="dxa"/>
          </w:tcPr>
          <w:p w14:paraId="3EE48C59" w14:textId="77777777" w:rsidR="00DE0CCD" w:rsidRPr="00C310FD" w:rsidRDefault="00DE0CCD" w:rsidP="00663EE1">
            <w:pPr>
              <w:rPr>
                <w:rFonts w:ascii="Arial" w:hAnsi="Arial" w:cs="Arial"/>
              </w:rPr>
            </w:pPr>
            <w:r w:rsidRPr="00C310FD">
              <w:rPr>
                <w:rFonts w:ascii="Arial" w:hAnsi="Arial" w:cs="Arial"/>
              </w:rPr>
              <w:t>Real Subsidy **</w:t>
            </w:r>
          </w:p>
          <w:p w14:paraId="60E8FC82" w14:textId="7E37221E" w:rsidR="00DE0CCD" w:rsidRPr="00C310FD" w:rsidRDefault="00DE0CCD" w:rsidP="00663EE1">
            <w:pPr>
              <w:rPr>
                <w:rFonts w:ascii="Arial" w:hAnsi="Arial" w:cs="Arial"/>
              </w:rPr>
            </w:pPr>
          </w:p>
        </w:tc>
      </w:tr>
      <w:tr w:rsidR="00DE0CCD" w:rsidRPr="00C310FD" w14:paraId="7FFB6299" w14:textId="77777777" w:rsidTr="00663EE1">
        <w:tc>
          <w:tcPr>
            <w:tcW w:w="1413" w:type="dxa"/>
          </w:tcPr>
          <w:p w14:paraId="64232445" w14:textId="77777777" w:rsidR="00DE0CCD" w:rsidRPr="00C310FD" w:rsidRDefault="00DE0CCD" w:rsidP="00663EE1">
            <w:pPr>
              <w:rPr>
                <w:rFonts w:ascii="Arial" w:hAnsi="Arial" w:cs="Arial"/>
              </w:rPr>
            </w:pPr>
            <w:r w:rsidRPr="00C310FD">
              <w:rPr>
                <w:rFonts w:ascii="Arial" w:hAnsi="Arial" w:cs="Arial"/>
              </w:rPr>
              <w:t>London</w:t>
            </w:r>
          </w:p>
          <w:p w14:paraId="33335E15" w14:textId="77777777" w:rsidR="00DE0CCD" w:rsidRPr="00C310FD" w:rsidRDefault="00DE0CCD" w:rsidP="00663EE1">
            <w:pPr>
              <w:rPr>
                <w:rFonts w:ascii="Arial" w:hAnsi="Arial" w:cs="Arial"/>
              </w:rPr>
            </w:pPr>
          </w:p>
        </w:tc>
        <w:tc>
          <w:tcPr>
            <w:tcW w:w="1559" w:type="dxa"/>
          </w:tcPr>
          <w:p w14:paraId="54AD1E80" w14:textId="77777777" w:rsidR="00DE0CCD" w:rsidRPr="00C310FD" w:rsidRDefault="00DE0CCD" w:rsidP="00663EE1">
            <w:pPr>
              <w:rPr>
                <w:rFonts w:ascii="Arial" w:hAnsi="Arial" w:cs="Arial"/>
              </w:rPr>
            </w:pPr>
            <w:r w:rsidRPr="00C310FD">
              <w:rPr>
                <w:rFonts w:ascii="Arial" w:hAnsi="Arial" w:cs="Arial"/>
              </w:rPr>
              <w:t>+76% (+87%)</w:t>
            </w:r>
          </w:p>
        </w:tc>
        <w:tc>
          <w:tcPr>
            <w:tcW w:w="1559" w:type="dxa"/>
          </w:tcPr>
          <w:p w14:paraId="1077EA4C" w14:textId="77777777" w:rsidR="00DE0CCD" w:rsidRPr="00C310FD" w:rsidRDefault="00DE0CCD" w:rsidP="00663EE1">
            <w:pPr>
              <w:rPr>
                <w:rFonts w:ascii="Arial" w:hAnsi="Arial" w:cs="Arial"/>
              </w:rPr>
            </w:pPr>
            <w:r w:rsidRPr="00C310FD">
              <w:rPr>
                <w:rFonts w:ascii="Arial" w:hAnsi="Arial" w:cs="Arial"/>
              </w:rPr>
              <w:t>+32% (+15%)</w:t>
            </w:r>
          </w:p>
        </w:tc>
        <w:tc>
          <w:tcPr>
            <w:tcW w:w="1430" w:type="dxa"/>
          </w:tcPr>
          <w:p w14:paraId="63641842" w14:textId="77777777" w:rsidR="00DE0CCD" w:rsidRPr="00C310FD" w:rsidRDefault="00DE0CCD" w:rsidP="00663EE1">
            <w:pPr>
              <w:rPr>
                <w:rFonts w:ascii="Arial" w:hAnsi="Arial" w:cs="Arial"/>
              </w:rPr>
            </w:pPr>
            <w:r w:rsidRPr="00C310FD">
              <w:rPr>
                <w:rFonts w:ascii="Arial" w:hAnsi="Arial" w:cs="Arial"/>
              </w:rPr>
              <w:t>+79% (+78%)</w:t>
            </w:r>
          </w:p>
        </w:tc>
        <w:tc>
          <w:tcPr>
            <w:tcW w:w="1500" w:type="dxa"/>
          </w:tcPr>
          <w:p w14:paraId="12039417" w14:textId="77777777" w:rsidR="00DE0CCD" w:rsidRDefault="00DE0CCD" w:rsidP="00663EE1">
            <w:pPr>
              <w:rPr>
                <w:rFonts w:ascii="Arial" w:hAnsi="Arial" w:cs="Arial"/>
              </w:rPr>
            </w:pPr>
            <w:r>
              <w:rPr>
                <w:rFonts w:ascii="Arial" w:hAnsi="Arial" w:cs="Arial"/>
              </w:rPr>
              <w:t>NA</w:t>
            </w:r>
            <w:r w:rsidRPr="00C310FD">
              <w:rPr>
                <w:rFonts w:ascii="Arial" w:hAnsi="Arial" w:cs="Arial"/>
              </w:rPr>
              <w:t xml:space="preserve"> </w:t>
            </w:r>
          </w:p>
          <w:p w14:paraId="2E54F05A" w14:textId="77777777" w:rsidR="00DE0CCD" w:rsidRPr="00C310FD" w:rsidRDefault="00DE0CCD" w:rsidP="00663EE1">
            <w:pPr>
              <w:rPr>
                <w:rFonts w:ascii="Arial" w:hAnsi="Arial" w:cs="Arial"/>
              </w:rPr>
            </w:pPr>
            <w:r w:rsidRPr="00C310FD">
              <w:rPr>
                <w:rFonts w:ascii="Arial" w:hAnsi="Arial" w:cs="Arial"/>
              </w:rPr>
              <w:t>(-28%)</w:t>
            </w:r>
          </w:p>
        </w:tc>
        <w:tc>
          <w:tcPr>
            <w:tcW w:w="1555" w:type="dxa"/>
          </w:tcPr>
          <w:p w14:paraId="0B9576CE" w14:textId="6F3BD01F" w:rsidR="00DE0CCD" w:rsidRPr="00C310FD" w:rsidRDefault="00DE0CCD" w:rsidP="00663EE1">
            <w:pPr>
              <w:rPr>
                <w:rFonts w:ascii="Arial" w:hAnsi="Arial" w:cs="Arial"/>
              </w:rPr>
            </w:pPr>
            <w:r w:rsidRPr="00C310FD">
              <w:rPr>
                <w:rFonts w:ascii="Arial" w:hAnsi="Arial" w:cs="Arial"/>
              </w:rPr>
              <w:t>+</w:t>
            </w:r>
            <w:r w:rsidR="00596803">
              <w:rPr>
                <w:rFonts w:ascii="Arial" w:hAnsi="Arial" w:cs="Arial"/>
              </w:rPr>
              <w:t>10</w:t>
            </w:r>
            <w:r w:rsidRPr="00C310FD">
              <w:rPr>
                <w:rFonts w:ascii="Arial" w:hAnsi="Arial" w:cs="Arial"/>
              </w:rPr>
              <w:t>% (+84%)</w:t>
            </w:r>
          </w:p>
        </w:tc>
      </w:tr>
      <w:tr w:rsidR="00DE0CCD" w:rsidRPr="00C310FD" w14:paraId="0FC0B37A" w14:textId="77777777" w:rsidTr="00663EE1">
        <w:tc>
          <w:tcPr>
            <w:tcW w:w="1413" w:type="dxa"/>
          </w:tcPr>
          <w:p w14:paraId="6A027666" w14:textId="77777777" w:rsidR="00DE0CCD" w:rsidRPr="00C310FD" w:rsidRDefault="00DE0CCD" w:rsidP="00663EE1">
            <w:pPr>
              <w:rPr>
                <w:rFonts w:ascii="Arial" w:hAnsi="Arial" w:cs="Arial"/>
              </w:rPr>
            </w:pPr>
            <w:r w:rsidRPr="00C310FD">
              <w:rPr>
                <w:rFonts w:ascii="Arial" w:hAnsi="Arial" w:cs="Arial"/>
              </w:rPr>
              <w:t>Great Britain outside London</w:t>
            </w:r>
          </w:p>
        </w:tc>
        <w:tc>
          <w:tcPr>
            <w:tcW w:w="1559" w:type="dxa"/>
          </w:tcPr>
          <w:p w14:paraId="7B8519C4" w14:textId="77777777" w:rsidR="00DE0CCD" w:rsidRDefault="00DE0CCD" w:rsidP="00663EE1">
            <w:pPr>
              <w:rPr>
                <w:rFonts w:ascii="Arial" w:hAnsi="Arial" w:cs="Arial"/>
              </w:rPr>
            </w:pPr>
            <w:r w:rsidRPr="00C310FD">
              <w:rPr>
                <w:rFonts w:ascii="Arial" w:hAnsi="Arial" w:cs="Arial"/>
              </w:rPr>
              <w:t xml:space="preserve">-44% </w:t>
            </w:r>
          </w:p>
          <w:p w14:paraId="3C3A77ED" w14:textId="77777777" w:rsidR="00DE0CCD" w:rsidRPr="00C310FD" w:rsidRDefault="00DE0CCD" w:rsidP="00663EE1">
            <w:pPr>
              <w:rPr>
                <w:rFonts w:ascii="Arial" w:hAnsi="Arial" w:cs="Arial"/>
              </w:rPr>
            </w:pPr>
            <w:r w:rsidRPr="00C310FD">
              <w:rPr>
                <w:rFonts w:ascii="Arial" w:hAnsi="Arial" w:cs="Arial"/>
              </w:rPr>
              <w:t>(-31%)</w:t>
            </w:r>
          </w:p>
        </w:tc>
        <w:tc>
          <w:tcPr>
            <w:tcW w:w="1559" w:type="dxa"/>
          </w:tcPr>
          <w:p w14:paraId="2A17A587" w14:textId="77777777" w:rsidR="00DE0CCD" w:rsidRPr="00C310FD" w:rsidRDefault="00DE0CCD" w:rsidP="00663EE1">
            <w:pPr>
              <w:rPr>
                <w:rFonts w:ascii="Arial" w:hAnsi="Arial" w:cs="Arial"/>
              </w:rPr>
            </w:pPr>
            <w:r w:rsidRPr="00C310FD">
              <w:rPr>
                <w:rFonts w:ascii="Arial" w:hAnsi="Arial" w:cs="Arial"/>
              </w:rPr>
              <w:t>+65% (+55%)</w:t>
            </w:r>
          </w:p>
        </w:tc>
        <w:tc>
          <w:tcPr>
            <w:tcW w:w="1430" w:type="dxa"/>
          </w:tcPr>
          <w:p w14:paraId="6835EB21" w14:textId="77777777" w:rsidR="00DE0CCD" w:rsidRPr="00C310FD" w:rsidRDefault="00DE0CCD" w:rsidP="00663EE1">
            <w:pPr>
              <w:rPr>
                <w:rFonts w:ascii="Arial" w:hAnsi="Arial" w:cs="Arial"/>
              </w:rPr>
            </w:pPr>
            <w:r w:rsidRPr="00C310FD">
              <w:rPr>
                <w:rFonts w:ascii="Arial" w:hAnsi="Arial" w:cs="Arial"/>
              </w:rPr>
              <w:t xml:space="preserve"> -3% (+20%)</w:t>
            </w:r>
          </w:p>
        </w:tc>
        <w:tc>
          <w:tcPr>
            <w:tcW w:w="1500" w:type="dxa"/>
          </w:tcPr>
          <w:p w14:paraId="778A4EF1" w14:textId="77777777" w:rsidR="00DE0CCD" w:rsidRDefault="00DE0CCD" w:rsidP="00663EE1">
            <w:pPr>
              <w:rPr>
                <w:rFonts w:ascii="Arial" w:hAnsi="Arial" w:cs="Arial"/>
              </w:rPr>
            </w:pPr>
            <w:r w:rsidRPr="00C310FD">
              <w:rPr>
                <w:rFonts w:ascii="Arial" w:hAnsi="Arial" w:cs="Arial"/>
              </w:rPr>
              <w:t xml:space="preserve">+4% </w:t>
            </w:r>
          </w:p>
          <w:p w14:paraId="10035A5B" w14:textId="77777777" w:rsidR="00DE0CCD" w:rsidRPr="00C310FD" w:rsidRDefault="00DE0CCD" w:rsidP="00663EE1">
            <w:pPr>
              <w:rPr>
                <w:rFonts w:ascii="Arial" w:hAnsi="Arial" w:cs="Arial"/>
              </w:rPr>
            </w:pPr>
            <w:r w:rsidRPr="00C310FD">
              <w:rPr>
                <w:rFonts w:ascii="Arial" w:hAnsi="Arial" w:cs="Arial"/>
              </w:rPr>
              <w:t>(-20%)</w:t>
            </w:r>
          </w:p>
        </w:tc>
        <w:tc>
          <w:tcPr>
            <w:tcW w:w="1555" w:type="dxa"/>
          </w:tcPr>
          <w:p w14:paraId="6BAE10A0" w14:textId="3419D2A9" w:rsidR="00DE0CCD" w:rsidRPr="00C310FD" w:rsidRDefault="00DE0CCD" w:rsidP="00663EE1">
            <w:pPr>
              <w:rPr>
                <w:rFonts w:ascii="Arial" w:hAnsi="Arial" w:cs="Arial"/>
              </w:rPr>
            </w:pPr>
            <w:r w:rsidRPr="00C310FD">
              <w:rPr>
                <w:rFonts w:ascii="Arial" w:hAnsi="Arial" w:cs="Arial"/>
              </w:rPr>
              <w:t>-1</w:t>
            </w:r>
            <w:r w:rsidR="00596803">
              <w:rPr>
                <w:rFonts w:ascii="Arial" w:hAnsi="Arial" w:cs="Arial"/>
              </w:rPr>
              <w:t>9</w:t>
            </w:r>
            <w:r w:rsidRPr="00C310FD">
              <w:rPr>
                <w:rFonts w:ascii="Arial" w:hAnsi="Arial" w:cs="Arial"/>
              </w:rPr>
              <w:t>% *** (+5%)</w:t>
            </w:r>
          </w:p>
        </w:tc>
      </w:tr>
    </w:tbl>
    <w:p w14:paraId="3AEE5FCF" w14:textId="3B544ED8" w:rsidR="00D94EC9" w:rsidRDefault="00DE0CCD" w:rsidP="00DE0CCD">
      <w:pPr>
        <w:spacing w:after="0" w:line="240" w:lineRule="auto"/>
        <w:rPr>
          <w:rFonts w:ascii="Arial" w:hAnsi="Arial" w:cs="Arial"/>
        </w:rPr>
      </w:pPr>
      <w:r w:rsidRPr="00C310FD">
        <w:rPr>
          <w:rFonts w:ascii="Arial" w:hAnsi="Arial" w:cs="Arial"/>
        </w:rPr>
        <w:t>Based on Transport Statistics Great Britain</w:t>
      </w:r>
      <w:r w:rsidR="00D94EC9">
        <w:rPr>
          <w:rFonts w:ascii="Arial" w:hAnsi="Arial" w:cs="Arial"/>
        </w:rPr>
        <w:t xml:space="preserve">. </w:t>
      </w:r>
      <w:r w:rsidR="00B5570A">
        <w:rPr>
          <w:rFonts w:ascii="Arial" w:hAnsi="Arial" w:cs="Arial"/>
        </w:rPr>
        <w:t>See also Preston (2023).</w:t>
      </w:r>
    </w:p>
    <w:p w14:paraId="7DF6C50E" w14:textId="77777777" w:rsidR="00D94EC9" w:rsidRPr="00C310FD" w:rsidRDefault="00DE0CCD" w:rsidP="00D94EC9">
      <w:pPr>
        <w:spacing w:after="0" w:line="240" w:lineRule="auto"/>
        <w:rPr>
          <w:rFonts w:ascii="Arial" w:hAnsi="Arial" w:cs="Arial"/>
        </w:rPr>
      </w:pPr>
      <w:r w:rsidRPr="00C310FD">
        <w:rPr>
          <w:rFonts w:ascii="Arial" w:hAnsi="Arial" w:cs="Arial"/>
        </w:rPr>
        <w:t>* Fare Index from 2009</w:t>
      </w:r>
      <w:r w:rsidR="00D94EC9">
        <w:rPr>
          <w:rFonts w:ascii="Arial" w:hAnsi="Arial" w:cs="Arial"/>
        </w:rPr>
        <w:t>;</w:t>
      </w:r>
      <w:r w:rsidRPr="00C310FD">
        <w:rPr>
          <w:rFonts w:ascii="Arial" w:hAnsi="Arial" w:cs="Arial"/>
        </w:rPr>
        <w:t>** Excluding Fuel Duty Rebate (FDR)/Bus Service Operator Grant</w:t>
      </w:r>
      <w:r>
        <w:rPr>
          <w:rFonts w:ascii="Arial" w:hAnsi="Arial" w:cs="Arial"/>
        </w:rPr>
        <w:t xml:space="preserve"> (BSOG)</w:t>
      </w:r>
      <w:r w:rsidR="00D94EC9">
        <w:rPr>
          <w:rFonts w:ascii="Arial" w:hAnsi="Arial" w:cs="Arial"/>
        </w:rPr>
        <w:t xml:space="preserve">; </w:t>
      </w:r>
      <w:r w:rsidRPr="00C310FD">
        <w:rPr>
          <w:rFonts w:ascii="Arial" w:hAnsi="Arial" w:cs="Arial"/>
        </w:rPr>
        <w:t xml:space="preserve">*** Based on trends in England, outside London. </w:t>
      </w:r>
      <w:r w:rsidR="00D94EC9" w:rsidRPr="00C310FD">
        <w:rPr>
          <w:rFonts w:ascii="Arial" w:hAnsi="Arial" w:cs="Arial"/>
        </w:rPr>
        <w:t>Data for Scotland and Wales not readily available.</w:t>
      </w:r>
    </w:p>
    <w:p w14:paraId="087DC0D4" w14:textId="77777777" w:rsidR="00DE0CCD" w:rsidRPr="00C310FD" w:rsidRDefault="00DE0CCD" w:rsidP="00DE0CCD">
      <w:pPr>
        <w:rPr>
          <w:rFonts w:ascii="Arial" w:hAnsi="Arial" w:cs="Arial"/>
        </w:rPr>
      </w:pPr>
      <w:r>
        <w:rPr>
          <w:rFonts w:ascii="Arial" w:hAnsi="Arial" w:cs="Arial"/>
        </w:rPr>
        <w:t>NA</w:t>
      </w:r>
      <w:r w:rsidRPr="00C310FD">
        <w:rPr>
          <w:rFonts w:ascii="Arial" w:hAnsi="Arial" w:cs="Arial"/>
        </w:rPr>
        <w:t xml:space="preserve"> Not Available</w:t>
      </w:r>
    </w:p>
    <w:p w14:paraId="7D04703D" w14:textId="77721A6F" w:rsidR="004E4023" w:rsidRDefault="00067F3E" w:rsidP="00596803">
      <w:pPr>
        <w:rPr>
          <w:rFonts w:ascii="Arial" w:hAnsi="Arial" w:cs="Arial"/>
        </w:rPr>
      </w:pPr>
      <w:r>
        <w:rPr>
          <w:rFonts w:ascii="Arial" w:hAnsi="Arial" w:cs="Arial"/>
        </w:rPr>
        <w:t>T</w:t>
      </w:r>
      <w:r w:rsidR="00DE0CCD" w:rsidRPr="00C310FD">
        <w:rPr>
          <w:rFonts w:ascii="Arial" w:hAnsi="Arial" w:cs="Arial"/>
        </w:rPr>
        <w:t>he differences between London and Great Britain outside London</w:t>
      </w:r>
      <w:r w:rsidR="00B5570A">
        <w:rPr>
          <w:rFonts w:ascii="Arial" w:hAnsi="Arial" w:cs="Arial"/>
        </w:rPr>
        <w:t xml:space="preserve"> are dramatic</w:t>
      </w:r>
      <w:r w:rsidR="00DE0CCD" w:rsidRPr="00C310FD">
        <w:rPr>
          <w:rFonts w:ascii="Arial" w:hAnsi="Arial" w:cs="Arial"/>
        </w:rPr>
        <w:t xml:space="preserve">. </w:t>
      </w:r>
      <w:r w:rsidR="00DE0CCD">
        <w:rPr>
          <w:rFonts w:ascii="Arial" w:hAnsi="Arial" w:cs="Arial"/>
        </w:rPr>
        <w:t>Between 1985/6 and 2019/20, p</w:t>
      </w:r>
      <w:r w:rsidR="00DE0CCD" w:rsidRPr="00C310FD">
        <w:rPr>
          <w:rFonts w:ascii="Arial" w:hAnsi="Arial" w:cs="Arial"/>
        </w:rPr>
        <w:t xml:space="preserve">assenger journeys grew by 76% </w:t>
      </w:r>
      <w:r w:rsidR="00DE0CCD">
        <w:rPr>
          <w:rFonts w:ascii="Arial" w:hAnsi="Arial" w:cs="Arial"/>
        </w:rPr>
        <w:t>i</w:t>
      </w:r>
      <w:r w:rsidR="00DE0CCD" w:rsidRPr="00C310FD">
        <w:rPr>
          <w:rFonts w:ascii="Arial" w:hAnsi="Arial" w:cs="Arial"/>
        </w:rPr>
        <w:t>n London, whilst they declined by 44% elsewhere</w:t>
      </w:r>
      <w:r w:rsidR="00DE0CCD">
        <w:rPr>
          <w:rFonts w:ascii="Arial" w:hAnsi="Arial" w:cs="Arial"/>
        </w:rPr>
        <w:t>,</w:t>
      </w:r>
      <w:r w:rsidR="00DE0CCD" w:rsidRPr="00C310FD">
        <w:rPr>
          <w:rFonts w:ascii="Arial" w:hAnsi="Arial" w:cs="Arial"/>
        </w:rPr>
        <w:t xml:space="preserve"> although both markets have exhibited similar declining trends since around 2012 (</w:t>
      </w:r>
      <w:r w:rsidR="00DE0CCD">
        <w:rPr>
          <w:rFonts w:ascii="Arial" w:hAnsi="Arial" w:cs="Arial"/>
        </w:rPr>
        <w:t>DfT</w:t>
      </w:r>
      <w:r w:rsidR="00DE0CCD" w:rsidRPr="00C310FD">
        <w:rPr>
          <w:rFonts w:ascii="Arial" w:hAnsi="Arial" w:cs="Arial"/>
        </w:rPr>
        <w:t>,</w:t>
      </w:r>
      <w:r w:rsidR="00DE0CCD">
        <w:rPr>
          <w:rFonts w:ascii="Arial" w:hAnsi="Arial" w:cs="Arial"/>
        </w:rPr>
        <w:t xml:space="preserve"> 2021,</w:t>
      </w:r>
      <w:r w:rsidR="00DE0CCD" w:rsidRPr="00C310FD">
        <w:rPr>
          <w:rFonts w:ascii="Arial" w:hAnsi="Arial" w:cs="Arial"/>
        </w:rPr>
        <w:t xml:space="preserve"> 21). London has also seen a sustained increase in bus services and</w:t>
      </w:r>
      <w:r w:rsidR="00596803">
        <w:rPr>
          <w:rFonts w:ascii="Arial" w:hAnsi="Arial" w:cs="Arial"/>
        </w:rPr>
        <w:t xml:space="preserve"> </w:t>
      </w:r>
      <w:r w:rsidR="00DE0CCD" w:rsidRPr="00C310FD">
        <w:rPr>
          <w:rFonts w:ascii="Arial" w:hAnsi="Arial" w:cs="Arial"/>
        </w:rPr>
        <w:t>increases in subsidy (although around the turn of the millennium the system was close t</w:t>
      </w:r>
      <w:r w:rsidR="00DE0CCD">
        <w:rPr>
          <w:rFonts w:ascii="Arial" w:hAnsi="Arial" w:cs="Arial"/>
        </w:rPr>
        <w:t>o</w:t>
      </w:r>
      <w:r w:rsidR="00DE0CCD" w:rsidRPr="00C310FD">
        <w:rPr>
          <w:rFonts w:ascii="Arial" w:hAnsi="Arial" w:cs="Arial"/>
        </w:rPr>
        <w:t xml:space="preserve"> break-even)</w:t>
      </w:r>
      <w:r w:rsidR="00DE0CCD">
        <w:rPr>
          <w:rFonts w:ascii="Arial" w:hAnsi="Arial" w:cs="Arial"/>
        </w:rPr>
        <w:t>.</w:t>
      </w:r>
      <w:r w:rsidR="00DE0CCD" w:rsidRPr="00C310FD">
        <w:rPr>
          <w:rFonts w:ascii="Arial" w:hAnsi="Arial" w:cs="Arial"/>
        </w:rPr>
        <w:t xml:space="preserve"> </w:t>
      </w:r>
      <w:r w:rsidR="00DE0CCD">
        <w:rPr>
          <w:rFonts w:ascii="Arial" w:hAnsi="Arial" w:cs="Arial"/>
        </w:rPr>
        <w:t>It</w:t>
      </w:r>
      <w:r w:rsidR="00DE0CCD" w:rsidRPr="00C310FD">
        <w:rPr>
          <w:rFonts w:ascii="Arial" w:hAnsi="Arial" w:cs="Arial"/>
        </w:rPr>
        <w:t xml:space="preserve"> has </w:t>
      </w:r>
      <w:r w:rsidR="00DE0CCD">
        <w:rPr>
          <w:rFonts w:ascii="Arial" w:hAnsi="Arial" w:cs="Arial"/>
        </w:rPr>
        <w:t xml:space="preserve">also </w:t>
      </w:r>
      <w:r w:rsidR="00DE0CCD" w:rsidRPr="00C310FD">
        <w:rPr>
          <w:rFonts w:ascii="Arial" w:hAnsi="Arial" w:cs="Arial"/>
        </w:rPr>
        <w:t>had lower real fare increases than the rest of Great Britain. Where real costs can be compared</w:t>
      </w:r>
      <w:r w:rsidR="00DE0CCD">
        <w:rPr>
          <w:rFonts w:ascii="Arial" w:hAnsi="Arial" w:cs="Arial"/>
        </w:rPr>
        <w:t>,</w:t>
      </w:r>
      <w:r w:rsidR="00DE0CCD" w:rsidRPr="00C310FD">
        <w:rPr>
          <w:rFonts w:ascii="Arial" w:hAnsi="Arial" w:cs="Arial"/>
        </w:rPr>
        <w:t xml:space="preserve"> the unit costs reductions in London were even greater than those outside London</w:t>
      </w:r>
      <w:r w:rsidR="004E4023">
        <w:rPr>
          <w:rFonts w:ascii="Arial" w:hAnsi="Arial" w:cs="Arial"/>
        </w:rPr>
        <w:t>. O</w:t>
      </w:r>
      <w:r w:rsidR="00DE0CCD" w:rsidRPr="00C310FD">
        <w:rPr>
          <w:rFonts w:ascii="Arial" w:hAnsi="Arial" w:cs="Arial"/>
        </w:rPr>
        <w:t>utside London these costs have subsequently increased</w:t>
      </w:r>
      <w:r w:rsidR="004E4023">
        <w:rPr>
          <w:rFonts w:ascii="Arial" w:hAnsi="Arial" w:cs="Arial"/>
        </w:rPr>
        <w:t xml:space="preserve"> but c</w:t>
      </w:r>
      <w:r w:rsidR="00734B5D">
        <w:rPr>
          <w:rFonts w:ascii="Arial" w:hAnsi="Arial" w:cs="Arial"/>
        </w:rPr>
        <w:t xml:space="preserve">ost data for London are no longer publicly available. </w:t>
      </w:r>
    </w:p>
    <w:p w14:paraId="298421A2" w14:textId="2AFDEEE5" w:rsidR="00DE0CCD" w:rsidRDefault="00DE0CCD" w:rsidP="00596803">
      <w:pPr>
        <w:rPr>
          <w:rFonts w:ascii="Arial" w:hAnsi="Arial" w:cs="Arial"/>
        </w:rPr>
      </w:pPr>
      <w:r w:rsidRPr="00C310FD">
        <w:rPr>
          <w:rFonts w:ascii="Arial" w:hAnsi="Arial" w:cs="Arial"/>
        </w:rPr>
        <w:t xml:space="preserve">It is therefore little surprise that the </w:t>
      </w:r>
      <w:r>
        <w:rPr>
          <w:rFonts w:ascii="Arial" w:hAnsi="Arial" w:cs="Arial"/>
        </w:rPr>
        <w:t>N</w:t>
      </w:r>
      <w:r w:rsidRPr="00C310FD">
        <w:rPr>
          <w:rFonts w:ascii="Arial" w:hAnsi="Arial" w:cs="Arial"/>
        </w:rPr>
        <w:t xml:space="preserve">ational </w:t>
      </w:r>
      <w:r>
        <w:rPr>
          <w:rFonts w:ascii="Arial" w:hAnsi="Arial" w:cs="Arial"/>
        </w:rPr>
        <w:t>B</w:t>
      </w:r>
      <w:r w:rsidRPr="00C310FD">
        <w:rPr>
          <w:rFonts w:ascii="Arial" w:hAnsi="Arial" w:cs="Arial"/>
        </w:rPr>
        <w:t xml:space="preserve">us </w:t>
      </w:r>
      <w:r>
        <w:rPr>
          <w:rFonts w:ascii="Arial" w:hAnsi="Arial" w:cs="Arial"/>
        </w:rPr>
        <w:t>S</w:t>
      </w:r>
      <w:r w:rsidRPr="00C310FD">
        <w:rPr>
          <w:rFonts w:ascii="Arial" w:hAnsi="Arial" w:cs="Arial"/>
        </w:rPr>
        <w:t>trategy attempt</w:t>
      </w:r>
      <w:r w:rsidR="00B5570A">
        <w:rPr>
          <w:rFonts w:ascii="Arial" w:hAnsi="Arial" w:cs="Arial"/>
        </w:rPr>
        <w:t>ed</w:t>
      </w:r>
      <w:r w:rsidRPr="00C310FD">
        <w:rPr>
          <w:rFonts w:ascii="Arial" w:hAnsi="Arial" w:cs="Arial"/>
        </w:rPr>
        <w:t xml:space="preserve"> to replicate </w:t>
      </w:r>
      <w:r>
        <w:rPr>
          <w:rFonts w:ascii="Arial" w:hAnsi="Arial" w:cs="Arial"/>
        </w:rPr>
        <w:t xml:space="preserve">features of </w:t>
      </w:r>
      <w:r w:rsidRPr="00C310FD">
        <w:rPr>
          <w:rFonts w:ascii="Arial" w:hAnsi="Arial" w:cs="Arial"/>
        </w:rPr>
        <w:t>the London model elsewhere in England. However, as White (2010), amongst others, has pointed out, the market in London is different from elsewhere in Great Britain, in terms of demographic and economic change, as well as in terms of the presence of congestion charging</w:t>
      </w:r>
      <w:r>
        <w:rPr>
          <w:rFonts w:ascii="Arial" w:hAnsi="Arial" w:cs="Arial"/>
        </w:rPr>
        <w:t xml:space="preserve"> as well as higher levels of funding</w:t>
      </w:r>
      <w:r w:rsidR="00B5570A">
        <w:rPr>
          <w:rFonts w:ascii="Arial" w:hAnsi="Arial" w:cs="Arial"/>
        </w:rPr>
        <w:t xml:space="preserve"> and, subsequently,</w:t>
      </w:r>
      <w:r w:rsidR="00B5570A" w:rsidRPr="00B5570A">
        <w:t xml:space="preserve"> </w:t>
      </w:r>
      <w:r w:rsidR="00B5570A" w:rsidRPr="00B5570A">
        <w:rPr>
          <w:rFonts w:ascii="Arial" w:hAnsi="Arial" w:cs="Arial"/>
        </w:rPr>
        <w:t>ultra-low emission zones</w:t>
      </w:r>
      <w:r w:rsidRPr="00C310FD">
        <w:rPr>
          <w:rFonts w:ascii="Arial" w:hAnsi="Arial" w:cs="Arial"/>
        </w:rPr>
        <w:t>.</w:t>
      </w:r>
      <w:r>
        <w:rPr>
          <w:rFonts w:ascii="Arial" w:hAnsi="Arial" w:cs="Arial"/>
        </w:rPr>
        <w:t xml:space="preserve"> The institutional capacity for (and maturity of) public transport planning is also greater in London than elsewhere, which is </w:t>
      </w:r>
      <w:r w:rsidR="00123849">
        <w:rPr>
          <w:rFonts w:ascii="Arial" w:hAnsi="Arial" w:cs="Arial"/>
        </w:rPr>
        <w:t xml:space="preserve">partly </w:t>
      </w:r>
      <w:r>
        <w:rPr>
          <w:rFonts w:ascii="Arial" w:hAnsi="Arial" w:cs="Arial"/>
        </w:rPr>
        <w:t xml:space="preserve">why </w:t>
      </w:r>
      <w:r w:rsidR="00315635">
        <w:rPr>
          <w:rFonts w:ascii="Arial" w:hAnsi="Arial" w:cs="Arial"/>
        </w:rPr>
        <w:t xml:space="preserve">EPs </w:t>
      </w:r>
      <w:r>
        <w:rPr>
          <w:rFonts w:ascii="Arial" w:hAnsi="Arial" w:cs="Arial"/>
        </w:rPr>
        <w:t>are favoured over franchising in most areas</w:t>
      </w:r>
      <w:r w:rsidR="002B33CC">
        <w:rPr>
          <w:rFonts w:ascii="Arial" w:hAnsi="Arial" w:cs="Arial"/>
        </w:rPr>
        <w:t xml:space="preserve"> outside of London.</w:t>
      </w:r>
    </w:p>
    <w:p w14:paraId="69F1A0FB" w14:textId="44BA4355" w:rsidR="002B33CC" w:rsidRDefault="002B33CC" w:rsidP="002B33CC">
      <w:pPr>
        <w:rPr>
          <w:rFonts w:ascii="Arial" w:hAnsi="Arial" w:cs="Arial"/>
        </w:rPr>
      </w:pPr>
      <w:r>
        <w:rPr>
          <w:rFonts w:ascii="Arial" w:hAnsi="Arial" w:cs="Arial"/>
        </w:rPr>
        <w:t xml:space="preserve">A key issue in assessing these long-term trends is the counterfactual. What would have happened if the bus industry in Great Britain had remained publicly owned and controlled? As White (1997) has pointed out a possible clue comes from Northern Ireland where the bus industry has remained regulated and publicly owned. </w:t>
      </w:r>
      <w:r w:rsidRPr="002B33CC">
        <w:rPr>
          <w:rFonts w:ascii="Arial" w:hAnsi="Arial" w:cs="Arial"/>
        </w:rPr>
        <w:t xml:space="preserve">In the </w:t>
      </w:r>
      <w:r>
        <w:rPr>
          <w:rFonts w:ascii="Arial" w:hAnsi="Arial" w:cs="Arial"/>
        </w:rPr>
        <w:t>T</w:t>
      </w:r>
      <w:r w:rsidRPr="002B33CC">
        <w:rPr>
          <w:rFonts w:ascii="Arial" w:hAnsi="Arial" w:cs="Arial"/>
        </w:rPr>
        <w:t xml:space="preserve">ransport </w:t>
      </w:r>
      <w:r>
        <w:rPr>
          <w:rFonts w:ascii="Arial" w:hAnsi="Arial" w:cs="Arial"/>
        </w:rPr>
        <w:t>A</w:t>
      </w:r>
      <w:r w:rsidRPr="002B33CC">
        <w:rPr>
          <w:rFonts w:ascii="Arial" w:hAnsi="Arial" w:cs="Arial"/>
        </w:rPr>
        <w:t>ct of 1948</w:t>
      </w:r>
      <w:r w:rsidR="004E4023">
        <w:rPr>
          <w:rFonts w:ascii="Arial" w:hAnsi="Arial" w:cs="Arial"/>
        </w:rPr>
        <w:t>,</w:t>
      </w:r>
      <w:r w:rsidRPr="002B33CC">
        <w:rPr>
          <w:rFonts w:ascii="Arial" w:hAnsi="Arial" w:cs="Arial"/>
        </w:rPr>
        <w:t xml:space="preserve"> the Ulster Transport Authority (UTA) was formed to oversee the running of rail and bus transport in</w:t>
      </w:r>
      <w:r w:rsidR="00A53F15">
        <w:rPr>
          <w:rFonts w:ascii="Arial" w:hAnsi="Arial" w:cs="Arial"/>
        </w:rPr>
        <w:t xml:space="preserve"> </w:t>
      </w:r>
      <w:r w:rsidRPr="002B33CC">
        <w:rPr>
          <w:rFonts w:ascii="Arial" w:hAnsi="Arial" w:cs="Arial"/>
        </w:rPr>
        <w:t xml:space="preserve">Northern Ireland. </w:t>
      </w:r>
      <w:r w:rsidR="00A53F15">
        <w:rPr>
          <w:rFonts w:ascii="Arial" w:hAnsi="Arial" w:cs="Arial"/>
        </w:rPr>
        <w:t xml:space="preserve">This eventually became the </w:t>
      </w:r>
      <w:r w:rsidRPr="002B33CC">
        <w:rPr>
          <w:rFonts w:ascii="Arial" w:hAnsi="Arial" w:cs="Arial"/>
        </w:rPr>
        <w:t xml:space="preserve">Northern Ireland Transport Holding </w:t>
      </w:r>
      <w:r w:rsidR="00A53F15">
        <w:rPr>
          <w:rFonts w:ascii="Arial" w:hAnsi="Arial" w:cs="Arial"/>
        </w:rPr>
        <w:t>G</w:t>
      </w:r>
      <w:r w:rsidRPr="002B33CC">
        <w:rPr>
          <w:rFonts w:ascii="Arial" w:hAnsi="Arial" w:cs="Arial"/>
        </w:rPr>
        <w:t xml:space="preserve">roup in 1967 and </w:t>
      </w:r>
      <w:r w:rsidR="00D94EC9">
        <w:rPr>
          <w:rFonts w:ascii="Arial" w:hAnsi="Arial" w:cs="Arial"/>
        </w:rPr>
        <w:t xml:space="preserve">was </w:t>
      </w:r>
      <w:r w:rsidR="00A53F15">
        <w:rPr>
          <w:rFonts w:ascii="Arial" w:hAnsi="Arial" w:cs="Arial"/>
        </w:rPr>
        <w:t>rebranded as</w:t>
      </w:r>
      <w:r w:rsidR="00CA4B74">
        <w:rPr>
          <w:rFonts w:ascii="Arial" w:hAnsi="Arial" w:cs="Arial"/>
        </w:rPr>
        <w:t xml:space="preserve"> </w:t>
      </w:r>
      <w:r w:rsidRPr="002B33CC">
        <w:rPr>
          <w:rFonts w:ascii="Arial" w:hAnsi="Arial" w:cs="Arial"/>
        </w:rPr>
        <w:t>Translink</w:t>
      </w:r>
      <w:r w:rsidR="00A53F15">
        <w:rPr>
          <w:rFonts w:ascii="Arial" w:hAnsi="Arial" w:cs="Arial"/>
        </w:rPr>
        <w:t xml:space="preserve"> in 1996</w:t>
      </w:r>
      <w:r w:rsidRPr="002B33CC">
        <w:rPr>
          <w:rFonts w:ascii="Arial" w:hAnsi="Arial" w:cs="Arial"/>
        </w:rPr>
        <w:t>,</w:t>
      </w:r>
      <w:r w:rsidR="00A53F15">
        <w:rPr>
          <w:rFonts w:ascii="Arial" w:hAnsi="Arial" w:cs="Arial"/>
        </w:rPr>
        <w:t xml:space="preserve"> with two main bus operations </w:t>
      </w:r>
      <w:r w:rsidR="004E4023">
        <w:rPr>
          <w:rFonts w:ascii="Arial" w:hAnsi="Arial" w:cs="Arial"/>
        </w:rPr>
        <w:t xml:space="preserve">- </w:t>
      </w:r>
      <w:r w:rsidR="00A53F15">
        <w:rPr>
          <w:rFonts w:ascii="Arial" w:hAnsi="Arial" w:cs="Arial"/>
        </w:rPr>
        <w:t>Citybus in Belfast (following the nationalisation of the municipal fleet in 1973) and Ulsterbus in the rest of the country (Mackie, 2018).</w:t>
      </w:r>
    </w:p>
    <w:p w14:paraId="51D76979" w14:textId="02F01805" w:rsidR="004E4023" w:rsidRDefault="00B5570A" w:rsidP="002B33CC">
      <w:pPr>
        <w:rPr>
          <w:rFonts w:ascii="Arial" w:hAnsi="Arial" w:cs="Arial"/>
        </w:rPr>
      </w:pPr>
      <w:r>
        <w:rPr>
          <w:rFonts w:ascii="Arial" w:hAnsi="Arial" w:cs="Arial"/>
        </w:rPr>
        <w:t xml:space="preserve">Consistent data for Northern Ireland are difficult to obtain but </w:t>
      </w:r>
      <w:r w:rsidR="00827331">
        <w:rPr>
          <w:rFonts w:ascii="Arial" w:hAnsi="Arial" w:cs="Arial"/>
        </w:rPr>
        <w:t>White (op cit.) put together some data comparing the different parts of the United Kingdom between 1985/6 and 1994/5, as shown in Table 2.</w:t>
      </w:r>
      <w:r w:rsidR="0042743B">
        <w:rPr>
          <w:rFonts w:ascii="Arial" w:hAnsi="Arial" w:cs="Arial"/>
        </w:rPr>
        <w:t xml:space="preserve"> This was then updated by White and Farrington (1998).</w:t>
      </w:r>
    </w:p>
    <w:p w14:paraId="4FD61C28" w14:textId="77777777" w:rsidR="004E4023" w:rsidRDefault="004E4023">
      <w:pPr>
        <w:rPr>
          <w:rFonts w:ascii="Arial" w:hAnsi="Arial" w:cs="Arial"/>
        </w:rPr>
      </w:pPr>
      <w:r>
        <w:rPr>
          <w:rFonts w:ascii="Arial" w:hAnsi="Arial" w:cs="Arial"/>
        </w:rPr>
        <w:br w:type="page"/>
      </w:r>
    </w:p>
    <w:p w14:paraId="614030E9" w14:textId="67416F2E" w:rsidR="00827331" w:rsidRDefault="00827331" w:rsidP="002B33CC">
      <w:pPr>
        <w:rPr>
          <w:rFonts w:ascii="Arial" w:hAnsi="Arial" w:cs="Arial"/>
          <w:b/>
          <w:bCs/>
        </w:rPr>
      </w:pPr>
      <w:r>
        <w:rPr>
          <w:rFonts w:ascii="Arial" w:hAnsi="Arial" w:cs="Arial"/>
          <w:b/>
          <w:bCs/>
        </w:rPr>
        <w:t>Table 2: Trends in Bus Markets in the United Kingdom 1985/6 to 1994/5 (% change)</w:t>
      </w:r>
      <w:r w:rsidR="00DF0EDC">
        <w:rPr>
          <w:rFonts w:ascii="Arial" w:hAnsi="Arial" w:cs="Arial"/>
          <w:b/>
          <w:bCs/>
        </w:rPr>
        <w:t xml:space="preserve"> (to 1996/7 in brackets</w:t>
      </w:r>
      <w:r w:rsidR="0057479D">
        <w:rPr>
          <w:rFonts w:ascii="Arial" w:hAnsi="Arial" w:cs="Arial"/>
          <w:b/>
          <w:bCs/>
        </w:rPr>
        <w:t>)</w:t>
      </w:r>
    </w:p>
    <w:tbl>
      <w:tblPr>
        <w:tblStyle w:val="TableGrid"/>
        <w:tblW w:w="0" w:type="auto"/>
        <w:tblLook w:val="04A0" w:firstRow="1" w:lastRow="0" w:firstColumn="1" w:lastColumn="0" w:noHBand="0" w:noVBand="1"/>
      </w:tblPr>
      <w:tblGrid>
        <w:gridCol w:w="2254"/>
        <w:gridCol w:w="2254"/>
        <w:gridCol w:w="2254"/>
        <w:gridCol w:w="2254"/>
      </w:tblGrid>
      <w:tr w:rsidR="00827331" w14:paraId="72495883" w14:textId="77777777" w:rsidTr="00827331">
        <w:tc>
          <w:tcPr>
            <w:tcW w:w="2254" w:type="dxa"/>
          </w:tcPr>
          <w:p w14:paraId="55F07313" w14:textId="77777777" w:rsidR="00827331" w:rsidRDefault="00827331" w:rsidP="002B33CC">
            <w:pPr>
              <w:rPr>
                <w:rFonts w:ascii="Arial" w:hAnsi="Arial" w:cs="Arial"/>
              </w:rPr>
            </w:pPr>
          </w:p>
        </w:tc>
        <w:tc>
          <w:tcPr>
            <w:tcW w:w="2254" w:type="dxa"/>
          </w:tcPr>
          <w:p w14:paraId="047B8A14" w14:textId="1A5C9AFE" w:rsidR="00827331" w:rsidRDefault="00827331" w:rsidP="002B33CC">
            <w:pPr>
              <w:rPr>
                <w:rFonts w:ascii="Arial" w:hAnsi="Arial" w:cs="Arial"/>
              </w:rPr>
            </w:pPr>
            <w:r>
              <w:rPr>
                <w:rFonts w:ascii="Arial" w:hAnsi="Arial" w:cs="Arial"/>
              </w:rPr>
              <w:t>Passenger Trips</w:t>
            </w:r>
          </w:p>
        </w:tc>
        <w:tc>
          <w:tcPr>
            <w:tcW w:w="2254" w:type="dxa"/>
          </w:tcPr>
          <w:p w14:paraId="126CE381" w14:textId="0EEDA5D1" w:rsidR="00827331" w:rsidRDefault="00827331" w:rsidP="002B33CC">
            <w:pPr>
              <w:rPr>
                <w:rFonts w:ascii="Arial" w:hAnsi="Arial" w:cs="Arial"/>
              </w:rPr>
            </w:pPr>
            <w:r>
              <w:rPr>
                <w:rFonts w:ascii="Arial" w:hAnsi="Arial" w:cs="Arial"/>
              </w:rPr>
              <w:t>Passenger Trips per Capita</w:t>
            </w:r>
          </w:p>
        </w:tc>
        <w:tc>
          <w:tcPr>
            <w:tcW w:w="2254" w:type="dxa"/>
          </w:tcPr>
          <w:p w14:paraId="76609537" w14:textId="02F35253" w:rsidR="00827331" w:rsidRDefault="00827331" w:rsidP="002B33CC">
            <w:pPr>
              <w:rPr>
                <w:rFonts w:ascii="Arial" w:hAnsi="Arial" w:cs="Arial"/>
              </w:rPr>
            </w:pPr>
            <w:r>
              <w:rPr>
                <w:rFonts w:ascii="Arial" w:hAnsi="Arial" w:cs="Arial"/>
              </w:rPr>
              <w:t>Bus Kilometres</w:t>
            </w:r>
          </w:p>
        </w:tc>
      </w:tr>
      <w:tr w:rsidR="00827331" w14:paraId="1694CC15" w14:textId="77777777" w:rsidTr="00827331">
        <w:tc>
          <w:tcPr>
            <w:tcW w:w="2254" w:type="dxa"/>
          </w:tcPr>
          <w:p w14:paraId="02D58B69" w14:textId="635B32C8" w:rsidR="00827331" w:rsidRDefault="00827331" w:rsidP="002B33CC">
            <w:pPr>
              <w:rPr>
                <w:rFonts w:ascii="Arial" w:hAnsi="Arial" w:cs="Arial"/>
              </w:rPr>
            </w:pPr>
            <w:r>
              <w:rPr>
                <w:rFonts w:ascii="Arial" w:hAnsi="Arial" w:cs="Arial"/>
              </w:rPr>
              <w:t>Great Britain outside of London</w:t>
            </w:r>
          </w:p>
        </w:tc>
        <w:tc>
          <w:tcPr>
            <w:tcW w:w="2254" w:type="dxa"/>
          </w:tcPr>
          <w:p w14:paraId="4845276D" w14:textId="5C3A139A" w:rsidR="00827331" w:rsidRDefault="00DF0EDC" w:rsidP="002B33CC">
            <w:pPr>
              <w:rPr>
                <w:rFonts w:ascii="Arial" w:hAnsi="Arial" w:cs="Arial"/>
              </w:rPr>
            </w:pPr>
            <w:r>
              <w:rPr>
                <w:rFonts w:ascii="Arial" w:hAnsi="Arial" w:cs="Arial"/>
              </w:rPr>
              <w:t xml:space="preserve"> </w:t>
            </w:r>
            <w:r w:rsidR="00827331">
              <w:rPr>
                <w:rFonts w:ascii="Arial" w:hAnsi="Arial" w:cs="Arial"/>
              </w:rPr>
              <w:t>-27.5</w:t>
            </w:r>
          </w:p>
          <w:p w14:paraId="5551EB53" w14:textId="7BBD4DB1" w:rsidR="00DF0EDC" w:rsidRDefault="00DF0EDC" w:rsidP="002B33CC">
            <w:pPr>
              <w:rPr>
                <w:rFonts w:ascii="Arial" w:hAnsi="Arial" w:cs="Arial"/>
              </w:rPr>
            </w:pPr>
            <w:r>
              <w:rPr>
                <w:rFonts w:ascii="Arial" w:hAnsi="Arial" w:cs="Arial"/>
              </w:rPr>
              <w:t>(-30.7)</w:t>
            </w:r>
          </w:p>
        </w:tc>
        <w:tc>
          <w:tcPr>
            <w:tcW w:w="2254" w:type="dxa"/>
          </w:tcPr>
          <w:p w14:paraId="42BDA120" w14:textId="5F1D7B46" w:rsidR="00827331" w:rsidRDefault="00827331" w:rsidP="002B33CC">
            <w:pPr>
              <w:rPr>
                <w:rFonts w:ascii="Arial" w:hAnsi="Arial" w:cs="Arial"/>
              </w:rPr>
            </w:pPr>
            <w:r>
              <w:rPr>
                <w:rFonts w:ascii="Arial" w:hAnsi="Arial" w:cs="Arial"/>
              </w:rPr>
              <w:t>-30.2</w:t>
            </w:r>
          </w:p>
        </w:tc>
        <w:tc>
          <w:tcPr>
            <w:tcW w:w="2254" w:type="dxa"/>
          </w:tcPr>
          <w:p w14:paraId="44702465" w14:textId="6DE125BE" w:rsidR="00827331" w:rsidRDefault="00DF0EDC" w:rsidP="002B33CC">
            <w:pPr>
              <w:rPr>
                <w:rFonts w:ascii="Arial" w:hAnsi="Arial" w:cs="Arial"/>
              </w:rPr>
            </w:pPr>
            <w:r>
              <w:rPr>
                <w:rFonts w:ascii="Arial" w:hAnsi="Arial" w:cs="Arial"/>
              </w:rPr>
              <w:t xml:space="preserve"> </w:t>
            </w:r>
            <w:r w:rsidR="00827331">
              <w:rPr>
                <w:rFonts w:ascii="Arial" w:hAnsi="Arial" w:cs="Arial"/>
              </w:rPr>
              <w:t>+28.6</w:t>
            </w:r>
          </w:p>
          <w:p w14:paraId="7FDB2E86" w14:textId="4C9792A2" w:rsidR="00DF0EDC" w:rsidRDefault="00DF0EDC" w:rsidP="002B33CC">
            <w:pPr>
              <w:rPr>
                <w:rFonts w:ascii="Arial" w:hAnsi="Arial" w:cs="Arial"/>
              </w:rPr>
            </w:pPr>
            <w:r>
              <w:rPr>
                <w:rFonts w:ascii="Arial" w:hAnsi="Arial" w:cs="Arial"/>
              </w:rPr>
              <w:t>(+30.3)</w:t>
            </w:r>
          </w:p>
        </w:tc>
      </w:tr>
      <w:tr w:rsidR="00827331" w14:paraId="5EBAC61A" w14:textId="77777777" w:rsidTr="00827331">
        <w:tc>
          <w:tcPr>
            <w:tcW w:w="2254" w:type="dxa"/>
          </w:tcPr>
          <w:p w14:paraId="65660FC7" w14:textId="1A69BB7D" w:rsidR="00827331" w:rsidRDefault="00827331" w:rsidP="002B33CC">
            <w:pPr>
              <w:rPr>
                <w:rFonts w:ascii="Arial" w:hAnsi="Arial" w:cs="Arial"/>
              </w:rPr>
            </w:pPr>
            <w:r>
              <w:rPr>
                <w:rFonts w:ascii="Arial" w:hAnsi="Arial" w:cs="Arial"/>
              </w:rPr>
              <w:t>London</w:t>
            </w:r>
          </w:p>
        </w:tc>
        <w:tc>
          <w:tcPr>
            <w:tcW w:w="2254" w:type="dxa"/>
          </w:tcPr>
          <w:p w14:paraId="0723ABC1" w14:textId="77777777" w:rsidR="00827331" w:rsidRDefault="00DF0EDC" w:rsidP="002B33CC">
            <w:pPr>
              <w:rPr>
                <w:rFonts w:ascii="Arial" w:hAnsi="Arial" w:cs="Arial"/>
              </w:rPr>
            </w:pPr>
            <w:r>
              <w:rPr>
                <w:rFonts w:ascii="Arial" w:hAnsi="Arial" w:cs="Arial"/>
              </w:rPr>
              <w:t xml:space="preserve"> </w:t>
            </w:r>
            <w:r w:rsidR="00827331">
              <w:rPr>
                <w:rFonts w:ascii="Arial" w:hAnsi="Arial" w:cs="Arial"/>
              </w:rPr>
              <w:t>+1.3</w:t>
            </w:r>
          </w:p>
          <w:p w14:paraId="17783071" w14:textId="1C7D021A" w:rsidR="00DF0EDC" w:rsidRDefault="00DF0EDC" w:rsidP="002B33CC">
            <w:pPr>
              <w:rPr>
                <w:rFonts w:ascii="Arial" w:hAnsi="Arial" w:cs="Arial"/>
              </w:rPr>
            </w:pPr>
            <w:r>
              <w:rPr>
                <w:rFonts w:ascii="Arial" w:hAnsi="Arial" w:cs="Arial"/>
              </w:rPr>
              <w:t>(+7.8)</w:t>
            </w:r>
          </w:p>
        </w:tc>
        <w:tc>
          <w:tcPr>
            <w:tcW w:w="2254" w:type="dxa"/>
          </w:tcPr>
          <w:p w14:paraId="293BC3B3" w14:textId="77777777" w:rsidR="00827331" w:rsidRDefault="00827331" w:rsidP="002B33CC">
            <w:pPr>
              <w:rPr>
                <w:rFonts w:ascii="Arial" w:hAnsi="Arial" w:cs="Arial"/>
              </w:rPr>
            </w:pPr>
            <w:r>
              <w:rPr>
                <w:rFonts w:ascii="Arial" w:hAnsi="Arial" w:cs="Arial"/>
              </w:rPr>
              <w:t>-0.3</w:t>
            </w:r>
          </w:p>
          <w:p w14:paraId="78E72F25" w14:textId="31862D29" w:rsidR="00DF0EDC" w:rsidRDefault="00DF0EDC" w:rsidP="002B33CC">
            <w:pPr>
              <w:rPr>
                <w:rFonts w:ascii="Arial" w:hAnsi="Arial" w:cs="Arial"/>
              </w:rPr>
            </w:pPr>
          </w:p>
        </w:tc>
        <w:tc>
          <w:tcPr>
            <w:tcW w:w="2254" w:type="dxa"/>
          </w:tcPr>
          <w:p w14:paraId="125300C4" w14:textId="5065214A" w:rsidR="00827331" w:rsidRDefault="00DF0EDC" w:rsidP="002B33CC">
            <w:pPr>
              <w:rPr>
                <w:rFonts w:ascii="Arial" w:hAnsi="Arial" w:cs="Arial"/>
              </w:rPr>
            </w:pPr>
            <w:r>
              <w:rPr>
                <w:rFonts w:ascii="Arial" w:hAnsi="Arial" w:cs="Arial"/>
              </w:rPr>
              <w:t xml:space="preserve"> </w:t>
            </w:r>
            <w:r w:rsidR="00827331">
              <w:rPr>
                <w:rFonts w:ascii="Arial" w:hAnsi="Arial" w:cs="Arial"/>
              </w:rPr>
              <w:t>+28.8</w:t>
            </w:r>
          </w:p>
          <w:p w14:paraId="5808A550" w14:textId="5AA4BC55" w:rsidR="00DF0EDC" w:rsidRDefault="00DF0EDC" w:rsidP="002B33CC">
            <w:pPr>
              <w:rPr>
                <w:rFonts w:ascii="Arial" w:hAnsi="Arial" w:cs="Arial"/>
              </w:rPr>
            </w:pPr>
            <w:r>
              <w:rPr>
                <w:rFonts w:ascii="Arial" w:hAnsi="Arial" w:cs="Arial"/>
              </w:rPr>
              <w:t>(+25.3)</w:t>
            </w:r>
          </w:p>
        </w:tc>
      </w:tr>
      <w:tr w:rsidR="00827331" w14:paraId="7780641A" w14:textId="77777777" w:rsidTr="00827331">
        <w:tc>
          <w:tcPr>
            <w:tcW w:w="2254" w:type="dxa"/>
          </w:tcPr>
          <w:p w14:paraId="3E4EBDB2" w14:textId="22E92688" w:rsidR="00827331" w:rsidRDefault="00827331" w:rsidP="002B33CC">
            <w:pPr>
              <w:rPr>
                <w:rFonts w:ascii="Arial" w:hAnsi="Arial" w:cs="Arial"/>
              </w:rPr>
            </w:pPr>
            <w:r>
              <w:rPr>
                <w:rFonts w:ascii="Arial" w:hAnsi="Arial" w:cs="Arial"/>
              </w:rPr>
              <w:t>Northern Ireland</w:t>
            </w:r>
          </w:p>
        </w:tc>
        <w:tc>
          <w:tcPr>
            <w:tcW w:w="2254" w:type="dxa"/>
          </w:tcPr>
          <w:p w14:paraId="3CF8530A" w14:textId="77777777" w:rsidR="00827331" w:rsidRDefault="00827331" w:rsidP="002B33CC">
            <w:pPr>
              <w:rPr>
                <w:rFonts w:ascii="Arial" w:hAnsi="Arial" w:cs="Arial"/>
              </w:rPr>
            </w:pPr>
            <w:r>
              <w:rPr>
                <w:rFonts w:ascii="Arial" w:hAnsi="Arial" w:cs="Arial"/>
              </w:rPr>
              <w:t xml:space="preserve"> -5.4</w:t>
            </w:r>
          </w:p>
          <w:p w14:paraId="6DD01EDE" w14:textId="36C7AB9E" w:rsidR="00DF0EDC" w:rsidRDefault="00DF0EDC" w:rsidP="002B33CC">
            <w:pPr>
              <w:rPr>
                <w:rFonts w:ascii="Arial" w:hAnsi="Arial" w:cs="Arial"/>
              </w:rPr>
            </w:pPr>
            <w:r>
              <w:rPr>
                <w:rFonts w:ascii="Arial" w:hAnsi="Arial" w:cs="Arial"/>
              </w:rPr>
              <w:t>(-7.0)</w:t>
            </w:r>
          </w:p>
        </w:tc>
        <w:tc>
          <w:tcPr>
            <w:tcW w:w="2254" w:type="dxa"/>
          </w:tcPr>
          <w:p w14:paraId="613328D1" w14:textId="77777777" w:rsidR="00827331" w:rsidRDefault="00827331" w:rsidP="002B33CC">
            <w:pPr>
              <w:rPr>
                <w:rFonts w:ascii="Arial" w:hAnsi="Arial" w:cs="Arial"/>
              </w:rPr>
            </w:pPr>
            <w:r>
              <w:rPr>
                <w:rFonts w:ascii="Arial" w:hAnsi="Arial" w:cs="Arial"/>
              </w:rPr>
              <w:t>-9.2</w:t>
            </w:r>
          </w:p>
          <w:p w14:paraId="643D163E" w14:textId="7304BE29" w:rsidR="00DF0EDC" w:rsidRDefault="00DF0EDC" w:rsidP="002B33CC">
            <w:pPr>
              <w:rPr>
                <w:rFonts w:ascii="Arial" w:hAnsi="Arial" w:cs="Arial"/>
              </w:rPr>
            </w:pPr>
          </w:p>
        </w:tc>
        <w:tc>
          <w:tcPr>
            <w:tcW w:w="2254" w:type="dxa"/>
          </w:tcPr>
          <w:p w14:paraId="7A6088CC" w14:textId="7CD9F3A6" w:rsidR="00827331" w:rsidRDefault="00DF0EDC" w:rsidP="002B33CC">
            <w:pPr>
              <w:rPr>
                <w:rFonts w:ascii="Arial" w:hAnsi="Arial" w:cs="Arial"/>
              </w:rPr>
            </w:pPr>
            <w:r>
              <w:rPr>
                <w:rFonts w:ascii="Arial" w:hAnsi="Arial" w:cs="Arial"/>
              </w:rPr>
              <w:t xml:space="preserve"> </w:t>
            </w:r>
            <w:r w:rsidR="00827331">
              <w:rPr>
                <w:rFonts w:ascii="Arial" w:hAnsi="Arial" w:cs="Arial"/>
              </w:rPr>
              <w:t>+29.4</w:t>
            </w:r>
          </w:p>
          <w:p w14:paraId="168B426F" w14:textId="2FA07724" w:rsidR="00DF0EDC" w:rsidRDefault="00DF0EDC" w:rsidP="002B33CC">
            <w:pPr>
              <w:rPr>
                <w:rFonts w:ascii="Arial" w:hAnsi="Arial" w:cs="Arial"/>
              </w:rPr>
            </w:pPr>
            <w:r>
              <w:rPr>
                <w:rFonts w:ascii="Arial" w:hAnsi="Arial" w:cs="Arial"/>
              </w:rPr>
              <w:t>(+29.0)</w:t>
            </w:r>
          </w:p>
        </w:tc>
      </w:tr>
    </w:tbl>
    <w:p w14:paraId="0714A568" w14:textId="0C2CA946" w:rsidR="00827331" w:rsidRDefault="00DF0EDC" w:rsidP="002B33CC">
      <w:pPr>
        <w:rPr>
          <w:rFonts w:ascii="Arial" w:hAnsi="Arial" w:cs="Arial"/>
        </w:rPr>
      </w:pPr>
      <w:r>
        <w:rPr>
          <w:rFonts w:ascii="Arial" w:hAnsi="Arial" w:cs="Arial"/>
        </w:rPr>
        <w:t>Sources: White (1997), White and Farrington (1998).</w:t>
      </w:r>
    </w:p>
    <w:p w14:paraId="0279C5D7" w14:textId="65002A39" w:rsidR="00827331" w:rsidRDefault="00827331" w:rsidP="002B33CC">
      <w:pPr>
        <w:rPr>
          <w:rFonts w:ascii="Arial" w:hAnsi="Arial" w:cs="Arial"/>
        </w:rPr>
      </w:pPr>
      <w:r>
        <w:rPr>
          <w:rFonts w:ascii="Arial" w:hAnsi="Arial" w:cs="Arial"/>
        </w:rPr>
        <w:t xml:space="preserve">What is noticeable is that Northern Ireland was between the two other parts of the United Kingdom in terms of demand </w:t>
      </w:r>
      <w:r w:rsidR="00D91EE5">
        <w:rPr>
          <w:rFonts w:ascii="Arial" w:hAnsi="Arial" w:cs="Arial"/>
        </w:rPr>
        <w:t xml:space="preserve">changes </w:t>
      </w:r>
      <w:r>
        <w:rPr>
          <w:rFonts w:ascii="Arial" w:hAnsi="Arial" w:cs="Arial"/>
        </w:rPr>
        <w:t>but has the highest increase in supply (albeit by a small margin)</w:t>
      </w:r>
      <w:r w:rsidR="00DF0EDC">
        <w:rPr>
          <w:rFonts w:ascii="Arial" w:hAnsi="Arial" w:cs="Arial"/>
        </w:rPr>
        <w:t>, at least for the comparison to 1994/5</w:t>
      </w:r>
      <w:r>
        <w:rPr>
          <w:rFonts w:ascii="Arial" w:hAnsi="Arial" w:cs="Arial"/>
        </w:rPr>
        <w:t xml:space="preserve">. </w:t>
      </w:r>
      <w:r w:rsidR="00D91EE5">
        <w:rPr>
          <w:rFonts w:ascii="Arial" w:hAnsi="Arial" w:cs="Arial"/>
        </w:rPr>
        <w:t>Difference in difference</w:t>
      </w:r>
      <w:r w:rsidR="002F4913">
        <w:rPr>
          <w:rFonts w:ascii="Arial" w:hAnsi="Arial" w:cs="Arial"/>
        </w:rPr>
        <w:t>s</w:t>
      </w:r>
      <w:r w:rsidR="00D91EE5">
        <w:rPr>
          <w:rFonts w:ascii="Arial" w:hAnsi="Arial" w:cs="Arial"/>
        </w:rPr>
        <w:t xml:space="preserve"> estimates (treatment area minus control area) </w:t>
      </w:r>
      <w:r w:rsidR="000E1E81">
        <w:rPr>
          <w:rFonts w:ascii="Arial" w:hAnsi="Arial" w:cs="Arial"/>
        </w:rPr>
        <w:t>are used to highlight illustrative trends</w:t>
      </w:r>
      <w:r w:rsidR="00FC762D">
        <w:rPr>
          <w:rStyle w:val="FootnoteReference"/>
          <w:rFonts w:ascii="Arial" w:hAnsi="Arial" w:cs="Arial"/>
        </w:rPr>
        <w:footnoteReference w:id="4"/>
      </w:r>
      <w:r w:rsidR="000E1E81">
        <w:rPr>
          <w:rFonts w:ascii="Arial" w:hAnsi="Arial" w:cs="Arial"/>
        </w:rPr>
        <w:t xml:space="preserve">. They </w:t>
      </w:r>
      <w:r w:rsidR="00D91EE5">
        <w:rPr>
          <w:rFonts w:ascii="Arial" w:hAnsi="Arial" w:cs="Arial"/>
        </w:rPr>
        <w:t>suggest a decline in demand, in terms of passenger trips, in Great Britain outside of London of around 22% but an increase in London of almost 7%</w:t>
      </w:r>
      <w:r w:rsidR="00903B2F">
        <w:rPr>
          <w:rFonts w:ascii="Arial" w:hAnsi="Arial" w:cs="Arial"/>
        </w:rPr>
        <w:t>, compared to Northern Ireland.</w:t>
      </w:r>
      <w:r w:rsidR="00D91EE5">
        <w:rPr>
          <w:rFonts w:ascii="Arial" w:hAnsi="Arial" w:cs="Arial"/>
        </w:rPr>
        <w:t xml:space="preserve"> By contrast for supply, the results are </w:t>
      </w:r>
      <w:r w:rsidR="00903B2F">
        <w:rPr>
          <w:rFonts w:ascii="Arial" w:hAnsi="Arial" w:cs="Arial"/>
        </w:rPr>
        <w:t xml:space="preserve">a </w:t>
      </w:r>
      <w:r w:rsidR="00D91EE5">
        <w:rPr>
          <w:rFonts w:ascii="Arial" w:hAnsi="Arial" w:cs="Arial"/>
        </w:rPr>
        <w:t>decrease of around 1% for both Great Britain outside of London and for London, which might be interpreted as no difference,</w:t>
      </w:r>
      <w:r w:rsidR="00903B2F">
        <w:rPr>
          <w:rFonts w:ascii="Arial" w:hAnsi="Arial" w:cs="Arial"/>
        </w:rPr>
        <w:t xml:space="preserve"> Although Northern Ireland is by no means an ideal control, particularly prior to the Good Friday agreement (1998)</w:t>
      </w:r>
      <w:r w:rsidR="00D94EC9">
        <w:rPr>
          <w:rFonts w:ascii="Arial" w:hAnsi="Arial" w:cs="Arial"/>
        </w:rPr>
        <w:t xml:space="preserve"> that ended a prolonged period of civil unrest</w:t>
      </w:r>
      <w:r w:rsidR="00903B2F">
        <w:rPr>
          <w:rFonts w:ascii="Arial" w:hAnsi="Arial" w:cs="Arial"/>
        </w:rPr>
        <w:t>, it may be of interest to extend these comparisons, at least on the demand side.  However, this is not straightforward as readily available digital data only goes back to 1995/6</w:t>
      </w:r>
      <w:r w:rsidR="00DF0EDC">
        <w:rPr>
          <w:rStyle w:val="FootnoteReference"/>
          <w:rFonts w:ascii="Arial" w:hAnsi="Arial" w:cs="Arial"/>
        </w:rPr>
        <w:footnoteReference w:id="5"/>
      </w:r>
      <w:r w:rsidR="002D25B7">
        <w:rPr>
          <w:rFonts w:ascii="Arial" w:hAnsi="Arial" w:cs="Arial"/>
        </w:rPr>
        <w:t xml:space="preserve">. Compared to 1985/6, it is estimated that bus trips in Northern Ireland had decreased by 16% by 2008/9 and 19% by 2019/20. Comparison with Table 1 then suggest difference in differences of </w:t>
      </w:r>
      <w:r w:rsidR="0042743B">
        <w:rPr>
          <w:rFonts w:ascii="Arial" w:hAnsi="Arial" w:cs="Arial"/>
        </w:rPr>
        <w:t xml:space="preserve">around </w:t>
      </w:r>
      <w:r w:rsidR="00933535">
        <w:rPr>
          <w:rFonts w:ascii="Arial" w:hAnsi="Arial" w:cs="Arial"/>
        </w:rPr>
        <w:t>-15% and -25% for Great Britain outside London for 2008/9 and 2019/20 respectively. For London, the corresponding figures are +102% and +101% respectively. Compared to the publicly owned and regulated market, the deregulated market demand reduced somewhat</w:t>
      </w:r>
      <w:r w:rsidR="0042743B">
        <w:rPr>
          <w:rFonts w:ascii="Arial" w:hAnsi="Arial" w:cs="Arial"/>
        </w:rPr>
        <w:t>,</w:t>
      </w:r>
      <w:r w:rsidR="00933535">
        <w:rPr>
          <w:rFonts w:ascii="Arial" w:hAnsi="Arial" w:cs="Arial"/>
        </w:rPr>
        <w:t xml:space="preserve"> but the comprehensively tendered bus market saw substantial growth.</w:t>
      </w:r>
    </w:p>
    <w:p w14:paraId="03B0CA0A" w14:textId="3692DBD6" w:rsidR="00933535" w:rsidRDefault="00057E6A" w:rsidP="002B33CC">
      <w:pPr>
        <w:rPr>
          <w:rFonts w:ascii="Arial" w:hAnsi="Arial" w:cs="Arial"/>
        </w:rPr>
      </w:pPr>
      <w:r>
        <w:rPr>
          <w:rFonts w:ascii="Arial" w:hAnsi="Arial" w:cs="Arial"/>
        </w:rPr>
        <w:t xml:space="preserve">The two break points in Table 1 were chosen purposively. The year 2008/9 was the end of the evaluation period in the papers by Preston and </w:t>
      </w:r>
      <w:r w:rsidRPr="00057E6A">
        <w:rPr>
          <w:rFonts w:ascii="Arial" w:hAnsi="Arial" w:cs="Arial"/>
        </w:rPr>
        <w:t>Almutairi</w:t>
      </w:r>
      <w:r>
        <w:rPr>
          <w:rFonts w:ascii="Arial" w:hAnsi="Arial" w:cs="Arial"/>
        </w:rPr>
        <w:t xml:space="preserve"> (op cit.). The year 2019/20 was the last year relatively unscathed by Covid</w:t>
      </w:r>
      <w:r w:rsidR="00026180">
        <w:rPr>
          <w:rFonts w:ascii="Arial" w:hAnsi="Arial" w:cs="Arial"/>
        </w:rPr>
        <w:t>-</w:t>
      </w:r>
      <w:r>
        <w:rPr>
          <w:rFonts w:ascii="Arial" w:hAnsi="Arial" w:cs="Arial"/>
        </w:rPr>
        <w:t xml:space="preserve">19. </w:t>
      </w:r>
      <w:r w:rsidR="00026180">
        <w:rPr>
          <w:rFonts w:ascii="Arial" w:hAnsi="Arial" w:cs="Arial"/>
        </w:rPr>
        <w:t xml:space="preserve">The impact of Covid-19 on bus usage in Great Britain outside of London and in London is relatively similar (Figure 1), with bus use around 90% of pre-Covid levels </w:t>
      </w:r>
      <w:r w:rsidR="00FC7952">
        <w:rPr>
          <w:rFonts w:ascii="Arial" w:hAnsi="Arial" w:cs="Arial"/>
        </w:rPr>
        <w:t xml:space="preserve">by </w:t>
      </w:r>
      <w:r w:rsidR="0042743B">
        <w:rPr>
          <w:rFonts w:ascii="Arial" w:hAnsi="Arial" w:cs="Arial"/>
        </w:rPr>
        <w:t>late</w:t>
      </w:r>
      <w:r w:rsidR="00FC7952">
        <w:rPr>
          <w:rFonts w:ascii="Arial" w:hAnsi="Arial" w:cs="Arial"/>
        </w:rPr>
        <w:t xml:space="preserve">-2024 </w:t>
      </w:r>
      <w:r w:rsidR="00026180">
        <w:rPr>
          <w:rFonts w:ascii="Arial" w:hAnsi="Arial" w:cs="Arial"/>
        </w:rPr>
        <w:t xml:space="preserve">– but higher than this percentage at weekends (particularly Sundays) and lower during weekdays. </w:t>
      </w:r>
      <w:r w:rsidR="00FC762D">
        <w:rPr>
          <w:rFonts w:ascii="Arial" w:hAnsi="Arial" w:cs="Arial"/>
        </w:rPr>
        <w:t xml:space="preserve">The break points in Table 2 (1994/5 and 1996/7) were not chosen purposively but </w:t>
      </w:r>
      <w:r w:rsidR="00820802">
        <w:rPr>
          <w:rFonts w:ascii="Arial" w:hAnsi="Arial" w:cs="Arial"/>
        </w:rPr>
        <w:t>reflect the data analysed by the source documents (White, op cit., White and Farrington, op cit.).</w:t>
      </w:r>
    </w:p>
    <w:p w14:paraId="738A5CF8" w14:textId="0B75CD48" w:rsidR="00A72D51" w:rsidRDefault="00A72D51" w:rsidP="002B33CC">
      <w:pPr>
        <w:rPr>
          <w:rFonts w:ascii="Arial" w:hAnsi="Arial" w:cs="Arial"/>
        </w:rPr>
      </w:pPr>
      <w:r>
        <w:rPr>
          <w:rFonts w:ascii="Arial" w:hAnsi="Arial" w:cs="Arial"/>
          <w:noProof/>
        </w:rPr>
        <w:drawing>
          <wp:inline distT="0" distB="0" distL="0" distR="0" wp14:anchorId="4B26EE20" wp14:editId="6773D9E6">
            <wp:extent cx="5544087" cy="3093848"/>
            <wp:effectExtent l="0" t="0" r="0" b="0"/>
            <wp:docPr id="166014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0562" cy="3108622"/>
                    </a:xfrm>
                    <a:prstGeom prst="rect">
                      <a:avLst/>
                    </a:prstGeom>
                    <a:noFill/>
                  </pic:spPr>
                </pic:pic>
              </a:graphicData>
            </a:graphic>
          </wp:inline>
        </w:drawing>
      </w:r>
    </w:p>
    <w:p w14:paraId="7B0605FD" w14:textId="7DE0155B" w:rsidR="00860751" w:rsidRPr="001C0E4B" w:rsidRDefault="00860751" w:rsidP="00860751">
      <w:pPr>
        <w:spacing w:after="0" w:line="240" w:lineRule="auto"/>
        <w:rPr>
          <w:rFonts w:ascii="Arial" w:hAnsi="Arial" w:cs="Arial"/>
          <w:b/>
          <w:bCs/>
          <w:sz w:val="20"/>
          <w:szCs w:val="20"/>
        </w:rPr>
      </w:pPr>
      <w:r w:rsidRPr="001C0E4B">
        <w:rPr>
          <w:rFonts w:ascii="Arial" w:hAnsi="Arial" w:cs="Arial"/>
          <w:b/>
          <w:bCs/>
          <w:sz w:val="20"/>
          <w:szCs w:val="20"/>
        </w:rPr>
        <w:t xml:space="preserve">Figure </w:t>
      </w:r>
      <w:r>
        <w:rPr>
          <w:rFonts w:ascii="Arial" w:hAnsi="Arial" w:cs="Arial"/>
          <w:b/>
          <w:bCs/>
          <w:sz w:val="20"/>
          <w:szCs w:val="20"/>
        </w:rPr>
        <w:t>1</w:t>
      </w:r>
      <w:r w:rsidRPr="001C0E4B">
        <w:rPr>
          <w:rFonts w:ascii="Arial" w:hAnsi="Arial" w:cs="Arial"/>
          <w:b/>
          <w:bCs/>
          <w:sz w:val="20"/>
          <w:szCs w:val="20"/>
        </w:rPr>
        <w:t>: The Impact of Covid-19 on Bus Demand</w:t>
      </w:r>
    </w:p>
    <w:p w14:paraId="3120A2D6" w14:textId="77777777" w:rsidR="00860751" w:rsidRPr="00C310FD" w:rsidRDefault="00860751" w:rsidP="005821D8">
      <w:pPr>
        <w:rPr>
          <w:rFonts w:ascii="Arial" w:hAnsi="Arial" w:cs="Arial"/>
        </w:rPr>
      </w:pPr>
      <w:bookmarkStart w:id="1" w:name="_Hlk107302364"/>
      <w:r w:rsidRPr="00C310FD">
        <w:rPr>
          <w:rFonts w:ascii="Arial" w:hAnsi="Arial" w:cs="Arial"/>
        </w:rPr>
        <w:t xml:space="preserve">Source: </w:t>
      </w:r>
      <w:hyperlink r:id="rId9" w:history="1">
        <w:r w:rsidRPr="00C310FD">
          <w:rPr>
            <w:rStyle w:val="Hyperlink"/>
            <w:rFonts w:ascii="Arial" w:hAnsi="Arial" w:cs="Arial"/>
          </w:rPr>
          <w:t>https://www.gov.uk/government/statistics/transport-use-during-the-coronavirus-covid-19-pandemic</w:t>
        </w:r>
      </w:hyperlink>
    </w:p>
    <w:bookmarkEnd w:id="1"/>
    <w:p w14:paraId="4E7BD38E" w14:textId="3D2A90B8" w:rsidR="004E4023" w:rsidRDefault="004E4023" w:rsidP="005416E3">
      <w:pPr>
        <w:rPr>
          <w:rFonts w:ascii="Arial" w:hAnsi="Arial" w:cs="Arial"/>
        </w:rPr>
      </w:pPr>
      <w:r w:rsidRPr="004E4023">
        <w:rPr>
          <w:rFonts w:ascii="Arial" w:hAnsi="Arial" w:cs="Arial"/>
        </w:rPr>
        <w:t>The impacts of Covid-19 on bus finances in England are illustrated by Table 3.  Subsidy for the devolved nations (Northern Ireland, Scotland and Wales) are reported separately and not always consistently. In 2019/20, fares in England accounted for around 60% of funding, with subsidy amounting to some £2.5 billion. This subsidy was split between revenue support for socially necessary Public Transport (PT) services (40%), concessionary fares reimbursement (48%) and Bus Service Operators Grant (12%). The latter is a discretionary grant that helps operators recover some of their fuel costs and was previously known as Fuel Duty Rebate.</w:t>
      </w:r>
    </w:p>
    <w:p w14:paraId="7B867547" w14:textId="4B657447" w:rsidR="00E81DFB" w:rsidRPr="00E81DFB" w:rsidRDefault="00E81DFB" w:rsidP="00E81DFB">
      <w:pPr>
        <w:spacing w:after="0" w:line="240" w:lineRule="auto"/>
        <w:rPr>
          <w:rFonts w:ascii="Arial" w:hAnsi="Arial" w:cs="Arial"/>
          <w:b/>
          <w:bCs/>
        </w:rPr>
      </w:pPr>
      <w:r w:rsidRPr="00E81DFB">
        <w:rPr>
          <w:rFonts w:ascii="Arial" w:hAnsi="Arial" w:cs="Arial"/>
          <w:b/>
          <w:bCs/>
        </w:rPr>
        <w:t>Table 3: Bus Subsidy in England (£ million –</w:t>
      </w:r>
      <w:r w:rsidR="004E4023">
        <w:rPr>
          <w:rFonts w:ascii="Arial" w:hAnsi="Arial" w:cs="Arial"/>
          <w:b/>
          <w:bCs/>
        </w:rPr>
        <w:t xml:space="preserve"> </w:t>
      </w:r>
      <w:r w:rsidRPr="00E81DFB">
        <w:rPr>
          <w:rFonts w:ascii="Arial" w:hAnsi="Arial" w:cs="Arial"/>
          <w:b/>
          <w:bCs/>
        </w:rPr>
        <w:t>June 202</w:t>
      </w:r>
      <w:r w:rsidR="00F24A59">
        <w:rPr>
          <w:rFonts w:ascii="Arial" w:hAnsi="Arial" w:cs="Arial"/>
          <w:b/>
          <w:bCs/>
        </w:rPr>
        <w:t>4</w:t>
      </w:r>
      <w:r w:rsidRPr="00E81DFB">
        <w:rPr>
          <w:rFonts w:ascii="Arial" w:hAnsi="Arial" w:cs="Arial"/>
          <w:b/>
          <w:bCs/>
        </w:rPr>
        <w:t xml:space="preserve"> prices)</w:t>
      </w:r>
    </w:p>
    <w:tbl>
      <w:tblPr>
        <w:tblStyle w:val="TableGrid"/>
        <w:tblW w:w="0" w:type="auto"/>
        <w:tblLayout w:type="fixed"/>
        <w:tblLook w:val="04A0" w:firstRow="1" w:lastRow="0" w:firstColumn="1" w:lastColumn="0" w:noHBand="0" w:noVBand="1"/>
      </w:tblPr>
      <w:tblGrid>
        <w:gridCol w:w="1129"/>
        <w:gridCol w:w="1107"/>
        <w:gridCol w:w="1264"/>
        <w:gridCol w:w="1173"/>
        <w:gridCol w:w="1133"/>
        <w:gridCol w:w="1264"/>
        <w:gridCol w:w="682"/>
        <w:gridCol w:w="1264"/>
      </w:tblGrid>
      <w:tr w:rsidR="00E81DFB" w:rsidRPr="00E81DFB" w14:paraId="7B8CF7E0" w14:textId="77777777" w:rsidTr="005821D8">
        <w:tc>
          <w:tcPr>
            <w:tcW w:w="1129" w:type="dxa"/>
          </w:tcPr>
          <w:p w14:paraId="704E1449" w14:textId="77777777" w:rsidR="00E81DFB" w:rsidRPr="00E81DFB" w:rsidRDefault="00E81DFB" w:rsidP="000A6BA4">
            <w:pPr>
              <w:rPr>
                <w:rFonts w:ascii="Arial" w:hAnsi="Arial" w:cs="Arial"/>
              </w:rPr>
            </w:pPr>
          </w:p>
        </w:tc>
        <w:tc>
          <w:tcPr>
            <w:tcW w:w="1107" w:type="dxa"/>
            <w:tcBorders>
              <w:bottom w:val="single" w:sz="4" w:space="0" w:color="auto"/>
            </w:tcBorders>
          </w:tcPr>
          <w:p w14:paraId="7E6D1925" w14:textId="77777777" w:rsidR="00E81DFB" w:rsidRPr="00E81DFB" w:rsidRDefault="00E81DFB" w:rsidP="000A6BA4">
            <w:pPr>
              <w:rPr>
                <w:rFonts w:ascii="Arial" w:hAnsi="Arial" w:cs="Arial"/>
              </w:rPr>
            </w:pPr>
            <w:r w:rsidRPr="00E81DFB">
              <w:rPr>
                <w:rFonts w:ascii="Arial" w:hAnsi="Arial" w:cs="Arial"/>
              </w:rPr>
              <w:t>Fare</w:t>
            </w:r>
          </w:p>
          <w:p w14:paraId="3A6A9E8C" w14:textId="64D2F2D8" w:rsidR="00E81DFB" w:rsidRPr="00E81DFB" w:rsidRDefault="0031377A" w:rsidP="000A6BA4">
            <w:pPr>
              <w:rPr>
                <w:rFonts w:ascii="Arial" w:hAnsi="Arial" w:cs="Arial"/>
              </w:rPr>
            </w:pPr>
            <w:r w:rsidRPr="00E81DFB">
              <w:rPr>
                <w:rFonts w:ascii="Arial" w:hAnsi="Arial" w:cs="Arial"/>
              </w:rPr>
              <w:t>R</w:t>
            </w:r>
            <w:r w:rsidR="00E81DFB" w:rsidRPr="00E81DFB">
              <w:rPr>
                <w:rFonts w:ascii="Arial" w:hAnsi="Arial" w:cs="Arial"/>
              </w:rPr>
              <w:t>eceipts</w:t>
            </w:r>
          </w:p>
        </w:tc>
        <w:tc>
          <w:tcPr>
            <w:tcW w:w="1264" w:type="dxa"/>
            <w:tcBorders>
              <w:bottom w:val="single" w:sz="4" w:space="0" w:color="auto"/>
            </w:tcBorders>
          </w:tcPr>
          <w:p w14:paraId="27512F50" w14:textId="77777777" w:rsidR="00E81DFB" w:rsidRPr="00E81DFB" w:rsidRDefault="00E81DFB" w:rsidP="000A6BA4">
            <w:pPr>
              <w:rPr>
                <w:rFonts w:ascii="Arial" w:hAnsi="Arial" w:cs="Arial"/>
              </w:rPr>
            </w:pPr>
            <w:r w:rsidRPr="00E81DFB">
              <w:rPr>
                <w:rFonts w:ascii="Arial" w:hAnsi="Arial" w:cs="Arial"/>
              </w:rPr>
              <w:t>Gross PT Support</w:t>
            </w:r>
          </w:p>
        </w:tc>
        <w:tc>
          <w:tcPr>
            <w:tcW w:w="1173" w:type="dxa"/>
            <w:tcBorders>
              <w:bottom w:val="single" w:sz="4" w:space="0" w:color="auto"/>
            </w:tcBorders>
          </w:tcPr>
          <w:p w14:paraId="7090CA5B" w14:textId="77777777" w:rsidR="00E81DFB" w:rsidRPr="00E81DFB" w:rsidRDefault="00E81DFB" w:rsidP="000A6BA4">
            <w:pPr>
              <w:rPr>
                <w:rFonts w:ascii="Arial" w:hAnsi="Arial" w:cs="Arial"/>
              </w:rPr>
            </w:pPr>
            <w:r w:rsidRPr="00E81DFB">
              <w:rPr>
                <w:rFonts w:ascii="Arial" w:hAnsi="Arial" w:cs="Arial"/>
              </w:rPr>
              <w:t>Concess-ionary Fares</w:t>
            </w:r>
          </w:p>
        </w:tc>
        <w:tc>
          <w:tcPr>
            <w:tcW w:w="1133" w:type="dxa"/>
            <w:tcBorders>
              <w:bottom w:val="single" w:sz="4" w:space="0" w:color="auto"/>
            </w:tcBorders>
          </w:tcPr>
          <w:p w14:paraId="7DAFEB08" w14:textId="77777777" w:rsidR="00E81DFB" w:rsidRPr="00E81DFB" w:rsidRDefault="00E81DFB" w:rsidP="000A6BA4">
            <w:pPr>
              <w:rPr>
                <w:rFonts w:ascii="Arial" w:hAnsi="Arial" w:cs="Arial"/>
              </w:rPr>
            </w:pPr>
            <w:r w:rsidRPr="00E81DFB">
              <w:rPr>
                <w:rFonts w:ascii="Arial" w:hAnsi="Arial" w:cs="Arial"/>
              </w:rPr>
              <w:t>Bus Service Operator</w:t>
            </w:r>
          </w:p>
          <w:p w14:paraId="60D89A59" w14:textId="77777777" w:rsidR="00E81DFB" w:rsidRPr="00E81DFB" w:rsidRDefault="00E81DFB" w:rsidP="000A6BA4">
            <w:pPr>
              <w:rPr>
                <w:rFonts w:ascii="Arial" w:hAnsi="Arial" w:cs="Arial"/>
              </w:rPr>
            </w:pPr>
            <w:r w:rsidRPr="00E81DFB">
              <w:rPr>
                <w:rFonts w:ascii="Arial" w:hAnsi="Arial" w:cs="Arial"/>
              </w:rPr>
              <w:t>Grant</w:t>
            </w:r>
          </w:p>
          <w:p w14:paraId="70A63FB1" w14:textId="77777777" w:rsidR="00E81DFB" w:rsidRPr="00E81DFB" w:rsidRDefault="00E81DFB" w:rsidP="000A6BA4">
            <w:pPr>
              <w:rPr>
                <w:rFonts w:ascii="Arial" w:hAnsi="Arial" w:cs="Arial"/>
              </w:rPr>
            </w:pPr>
            <w:r w:rsidRPr="00E81DFB">
              <w:rPr>
                <w:rFonts w:ascii="Arial" w:hAnsi="Arial" w:cs="Arial"/>
              </w:rPr>
              <w:t>(BSOG)</w:t>
            </w:r>
          </w:p>
        </w:tc>
        <w:tc>
          <w:tcPr>
            <w:tcW w:w="1264" w:type="dxa"/>
            <w:tcBorders>
              <w:bottom w:val="single" w:sz="4" w:space="0" w:color="auto"/>
            </w:tcBorders>
          </w:tcPr>
          <w:p w14:paraId="34E650B4" w14:textId="77777777" w:rsidR="00E81DFB" w:rsidRPr="00E81DFB" w:rsidRDefault="00E81DFB" w:rsidP="000A6BA4">
            <w:pPr>
              <w:rPr>
                <w:rFonts w:ascii="Arial" w:hAnsi="Arial" w:cs="Arial"/>
              </w:rPr>
            </w:pPr>
            <w:r w:rsidRPr="00E81DFB">
              <w:rPr>
                <w:rFonts w:ascii="Arial" w:hAnsi="Arial" w:cs="Arial"/>
              </w:rPr>
              <w:t>CBSSG/</w:t>
            </w:r>
          </w:p>
          <w:p w14:paraId="02B2D659" w14:textId="77777777" w:rsidR="00E81DFB" w:rsidRPr="00E81DFB" w:rsidRDefault="00E81DFB" w:rsidP="000A6BA4">
            <w:pPr>
              <w:rPr>
                <w:rFonts w:ascii="Arial" w:hAnsi="Arial" w:cs="Arial"/>
              </w:rPr>
            </w:pPr>
            <w:r w:rsidRPr="00E81DFB">
              <w:rPr>
                <w:rFonts w:ascii="Arial" w:hAnsi="Arial" w:cs="Arial"/>
              </w:rPr>
              <w:t>BRG</w:t>
            </w:r>
          </w:p>
        </w:tc>
        <w:tc>
          <w:tcPr>
            <w:tcW w:w="682" w:type="dxa"/>
            <w:tcBorders>
              <w:bottom w:val="single" w:sz="4" w:space="0" w:color="auto"/>
            </w:tcBorders>
          </w:tcPr>
          <w:p w14:paraId="21D5B65A" w14:textId="77777777" w:rsidR="00E81DFB" w:rsidRPr="00E81DFB" w:rsidRDefault="00E81DFB" w:rsidP="000A6BA4">
            <w:pPr>
              <w:rPr>
                <w:rFonts w:ascii="Arial" w:hAnsi="Arial" w:cs="Arial"/>
              </w:rPr>
            </w:pPr>
            <w:r w:rsidRPr="00E81DFB">
              <w:rPr>
                <w:rFonts w:ascii="Arial" w:hAnsi="Arial" w:cs="Arial"/>
              </w:rPr>
              <w:t>Fare Cap</w:t>
            </w:r>
          </w:p>
        </w:tc>
        <w:tc>
          <w:tcPr>
            <w:tcW w:w="1264" w:type="dxa"/>
            <w:tcBorders>
              <w:bottom w:val="single" w:sz="4" w:space="0" w:color="auto"/>
            </w:tcBorders>
          </w:tcPr>
          <w:p w14:paraId="1EC16002" w14:textId="77777777" w:rsidR="00E81DFB" w:rsidRPr="00E81DFB" w:rsidRDefault="00E81DFB" w:rsidP="000A6BA4">
            <w:pPr>
              <w:rPr>
                <w:rFonts w:ascii="Arial" w:hAnsi="Arial" w:cs="Arial"/>
              </w:rPr>
            </w:pPr>
            <w:r w:rsidRPr="00E81DFB">
              <w:rPr>
                <w:rFonts w:ascii="Arial" w:hAnsi="Arial" w:cs="Arial"/>
              </w:rPr>
              <w:t>Total</w:t>
            </w:r>
          </w:p>
        </w:tc>
      </w:tr>
      <w:tr w:rsidR="00F24A59" w:rsidRPr="00E81DFB" w14:paraId="5DB26E24" w14:textId="77777777" w:rsidTr="005821D8">
        <w:tc>
          <w:tcPr>
            <w:tcW w:w="1129" w:type="dxa"/>
          </w:tcPr>
          <w:p w14:paraId="6A0E53B1" w14:textId="77777777" w:rsidR="00F24A59" w:rsidRPr="00E81DFB" w:rsidRDefault="00F24A59" w:rsidP="00F24A59">
            <w:pPr>
              <w:rPr>
                <w:rFonts w:ascii="Arial" w:hAnsi="Arial" w:cs="Arial"/>
              </w:rPr>
            </w:pPr>
            <w:r w:rsidRPr="00E81DFB">
              <w:rPr>
                <w:rFonts w:ascii="Arial" w:hAnsi="Arial" w:cs="Arial"/>
              </w:rPr>
              <w:t>2019/20</w:t>
            </w:r>
          </w:p>
        </w:tc>
        <w:tc>
          <w:tcPr>
            <w:tcW w:w="1107" w:type="dxa"/>
            <w:tcBorders>
              <w:top w:val="single" w:sz="4" w:space="0" w:color="auto"/>
              <w:left w:val="nil"/>
              <w:bottom w:val="single" w:sz="4" w:space="0" w:color="auto"/>
              <w:right w:val="single" w:sz="4" w:space="0" w:color="auto"/>
            </w:tcBorders>
            <w:shd w:val="clear" w:color="auto" w:fill="auto"/>
          </w:tcPr>
          <w:p w14:paraId="42ADAF4D" w14:textId="0E2AB68A" w:rsidR="00F24A59" w:rsidRPr="00F24A59" w:rsidRDefault="00F24A59" w:rsidP="00F24A59">
            <w:pPr>
              <w:rPr>
                <w:rFonts w:ascii="Arial" w:hAnsi="Arial" w:cs="Arial"/>
              </w:rPr>
            </w:pPr>
            <w:r w:rsidRPr="005821D8">
              <w:rPr>
                <w:rFonts w:ascii="Arial" w:hAnsi="Arial" w:cs="Arial"/>
              </w:rPr>
              <w:t>3,757</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C2AFC6F" w14:textId="17A99172" w:rsidR="00F24A59" w:rsidRPr="00F24A59" w:rsidRDefault="00C930E7" w:rsidP="00F24A59">
            <w:pPr>
              <w:rPr>
                <w:rFonts w:ascii="Arial" w:hAnsi="Arial" w:cs="Arial"/>
              </w:rPr>
            </w:pPr>
            <w:r>
              <w:rPr>
                <w:rFonts w:ascii="Arial" w:hAnsi="Arial" w:cs="Arial"/>
              </w:rPr>
              <w:t xml:space="preserve">   </w:t>
            </w:r>
            <w:r w:rsidR="00F24A59" w:rsidRPr="005821D8">
              <w:rPr>
                <w:rFonts w:ascii="Arial" w:hAnsi="Arial" w:cs="Arial"/>
              </w:rPr>
              <w:t>995</w:t>
            </w:r>
          </w:p>
        </w:tc>
        <w:tc>
          <w:tcPr>
            <w:tcW w:w="1173" w:type="dxa"/>
            <w:tcBorders>
              <w:top w:val="single" w:sz="4" w:space="0" w:color="auto"/>
              <w:left w:val="single" w:sz="4" w:space="0" w:color="auto"/>
              <w:bottom w:val="single" w:sz="4" w:space="0" w:color="auto"/>
              <w:right w:val="single" w:sz="4" w:space="0" w:color="auto"/>
            </w:tcBorders>
            <w:shd w:val="clear" w:color="auto" w:fill="auto"/>
          </w:tcPr>
          <w:p w14:paraId="3822F189" w14:textId="5F3D7690" w:rsidR="00F24A59" w:rsidRPr="00F24A59" w:rsidRDefault="00F24A59" w:rsidP="00F24A59">
            <w:pPr>
              <w:rPr>
                <w:rFonts w:ascii="Arial" w:hAnsi="Arial" w:cs="Arial"/>
              </w:rPr>
            </w:pPr>
            <w:r w:rsidRPr="005821D8">
              <w:rPr>
                <w:rFonts w:ascii="Arial" w:hAnsi="Arial" w:cs="Arial"/>
              </w:rPr>
              <w:t>1,173</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F98EBFD" w14:textId="53FA5C56" w:rsidR="00F24A59" w:rsidRPr="00F24A59" w:rsidRDefault="00F24A59" w:rsidP="00F24A59">
            <w:pPr>
              <w:rPr>
                <w:rFonts w:ascii="Arial" w:hAnsi="Arial" w:cs="Arial"/>
              </w:rPr>
            </w:pPr>
            <w:r w:rsidRPr="005821D8">
              <w:rPr>
                <w:rFonts w:ascii="Arial" w:hAnsi="Arial" w:cs="Arial"/>
              </w:rPr>
              <w:t>292</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8A20CDF" w14:textId="3B34177C" w:rsidR="00F24A59" w:rsidRPr="00F24A59" w:rsidRDefault="00F24A59" w:rsidP="00F24A59">
            <w:pPr>
              <w:rPr>
                <w:rFonts w:ascii="Arial" w:hAnsi="Arial" w:cs="Arial"/>
              </w:rPr>
            </w:pPr>
          </w:p>
        </w:tc>
        <w:tc>
          <w:tcPr>
            <w:tcW w:w="682" w:type="dxa"/>
            <w:tcBorders>
              <w:top w:val="single" w:sz="4" w:space="0" w:color="auto"/>
              <w:left w:val="single" w:sz="4" w:space="0" w:color="auto"/>
              <w:bottom w:val="single" w:sz="4" w:space="0" w:color="auto"/>
              <w:right w:val="single" w:sz="4" w:space="0" w:color="auto"/>
            </w:tcBorders>
            <w:shd w:val="clear" w:color="auto" w:fill="auto"/>
          </w:tcPr>
          <w:p w14:paraId="1BD49730" w14:textId="55416822" w:rsidR="00F24A59" w:rsidRPr="00F24A59" w:rsidRDefault="00F24A59" w:rsidP="00F24A59">
            <w:pPr>
              <w:rPr>
                <w:rFonts w:ascii="Arial" w:hAnsi="Arial" w:cs="Arial"/>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5B8CD8D" w14:textId="46B529E8" w:rsidR="00F24A59" w:rsidRPr="00F24A59" w:rsidRDefault="00F24A59" w:rsidP="00F24A59">
            <w:pPr>
              <w:rPr>
                <w:rFonts w:ascii="Arial" w:hAnsi="Arial" w:cs="Arial"/>
              </w:rPr>
            </w:pPr>
            <w:r w:rsidRPr="005821D8">
              <w:rPr>
                <w:rFonts w:ascii="Arial" w:hAnsi="Arial" w:cs="Arial"/>
              </w:rPr>
              <w:t>6,217</w:t>
            </w:r>
          </w:p>
        </w:tc>
      </w:tr>
      <w:tr w:rsidR="00F24A59" w:rsidRPr="00E81DFB" w14:paraId="6B0666EE" w14:textId="77777777" w:rsidTr="005821D8">
        <w:tc>
          <w:tcPr>
            <w:tcW w:w="1129" w:type="dxa"/>
          </w:tcPr>
          <w:p w14:paraId="213845B4" w14:textId="77777777" w:rsidR="00F24A59" w:rsidRPr="00E81DFB" w:rsidRDefault="00F24A59" w:rsidP="00F24A59">
            <w:pPr>
              <w:rPr>
                <w:rFonts w:ascii="Arial" w:hAnsi="Arial" w:cs="Arial"/>
              </w:rPr>
            </w:pPr>
            <w:r w:rsidRPr="00E81DFB">
              <w:rPr>
                <w:rFonts w:ascii="Arial" w:hAnsi="Arial" w:cs="Arial"/>
              </w:rPr>
              <w:t>2020/21</w:t>
            </w:r>
          </w:p>
        </w:tc>
        <w:tc>
          <w:tcPr>
            <w:tcW w:w="1107" w:type="dxa"/>
            <w:tcBorders>
              <w:top w:val="single" w:sz="4" w:space="0" w:color="auto"/>
              <w:left w:val="nil"/>
              <w:bottom w:val="single" w:sz="4" w:space="0" w:color="auto"/>
              <w:right w:val="single" w:sz="4" w:space="0" w:color="auto"/>
            </w:tcBorders>
            <w:shd w:val="clear" w:color="auto" w:fill="auto"/>
          </w:tcPr>
          <w:p w14:paraId="06D6D014" w14:textId="2F157AE1" w:rsidR="00F24A59" w:rsidRPr="00F24A59" w:rsidRDefault="00F24A59" w:rsidP="00F24A59">
            <w:pPr>
              <w:rPr>
                <w:rFonts w:ascii="Arial" w:hAnsi="Arial" w:cs="Arial"/>
              </w:rPr>
            </w:pPr>
            <w:r w:rsidRPr="005821D8">
              <w:rPr>
                <w:rFonts w:ascii="Arial" w:hAnsi="Arial" w:cs="Arial"/>
              </w:rPr>
              <w:t>1,413</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79F93FE4" w14:textId="6617DC28" w:rsidR="00F24A59" w:rsidRPr="00F24A59" w:rsidRDefault="00F24A59" w:rsidP="00F24A59">
            <w:pPr>
              <w:rPr>
                <w:rFonts w:ascii="Arial" w:hAnsi="Arial" w:cs="Arial"/>
              </w:rPr>
            </w:pPr>
            <w:r w:rsidRPr="005821D8">
              <w:rPr>
                <w:rFonts w:ascii="Arial" w:hAnsi="Arial" w:cs="Arial"/>
              </w:rPr>
              <w:t>2,221</w:t>
            </w:r>
          </w:p>
        </w:tc>
        <w:tc>
          <w:tcPr>
            <w:tcW w:w="1173" w:type="dxa"/>
            <w:tcBorders>
              <w:top w:val="single" w:sz="4" w:space="0" w:color="auto"/>
              <w:left w:val="single" w:sz="4" w:space="0" w:color="auto"/>
              <w:bottom w:val="single" w:sz="4" w:space="0" w:color="auto"/>
              <w:right w:val="single" w:sz="4" w:space="0" w:color="auto"/>
            </w:tcBorders>
            <w:shd w:val="clear" w:color="auto" w:fill="auto"/>
          </w:tcPr>
          <w:p w14:paraId="6A15099B" w14:textId="3C65E33E" w:rsidR="00F24A59" w:rsidRPr="00F24A59" w:rsidRDefault="00F24A59" w:rsidP="00F24A59">
            <w:pPr>
              <w:rPr>
                <w:rFonts w:ascii="Arial" w:hAnsi="Arial" w:cs="Arial"/>
              </w:rPr>
            </w:pPr>
            <w:r w:rsidRPr="005821D8">
              <w:rPr>
                <w:rFonts w:ascii="Arial" w:hAnsi="Arial" w:cs="Arial"/>
              </w:rPr>
              <w:t>1,091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41E8235" w14:textId="2BCB8CE7" w:rsidR="00F24A59" w:rsidRPr="00F24A59" w:rsidRDefault="00F24A59" w:rsidP="00F24A59">
            <w:pPr>
              <w:rPr>
                <w:rFonts w:ascii="Arial" w:hAnsi="Arial" w:cs="Arial"/>
              </w:rPr>
            </w:pPr>
            <w:r w:rsidRPr="005821D8">
              <w:rPr>
                <w:rFonts w:ascii="Arial" w:hAnsi="Arial" w:cs="Arial"/>
              </w:rPr>
              <w:t>255</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6176119B" w14:textId="3AE9496B" w:rsidR="00F24A59" w:rsidRPr="00F24A59" w:rsidRDefault="00F24A59" w:rsidP="00F24A59">
            <w:pPr>
              <w:rPr>
                <w:rFonts w:ascii="Arial" w:hAnsi="Arial" w:cs="Arial"/>
              </w:rPr>
            </w:pPr>
            <w:r w:rsidRPr="005821D8">
              <w:rPr>
                <w:rFonts w:ascii="Arial" w:hAnsi="Arial" w:cs="Arial"/>
              </w:rPr>
              <w:t>1,258</w:t>
            </w:r>
          </w:p>
        </w:tc>
        <w:tc>
          <w:tcPr>
            <w:tcW w:w="682" w:type="dxa"/>
            <w:tcBorders>
              <w:top w:val="single" w:sz="4" w:space="0" w:color="auto"/>
              <w:left w:val="single" w:sz="4" w:space="0" w:color="auto"/>
              <w:bottom w:val="single" w:sz="4" w:space="0" w:color="auto"/>
              <w:right w:val="single" w:sz="4" w:space="0" w:color="auto"/>
            </w:tcBorders>
            <w:shd w:val="clear" w:color="auto" w:fill="auto"/>
          </w:tcPr>
          <w:p w14:paraId="098E45CC" w14:textId="25BF2539" w:rsidR="00F24A59" w:rsidRPr="00F24A59" w:rsidRDefault="00F24A59" w:rsidP="00F24A59">
            <w:pPr>
              <w:rPr>
                <w:rFonts w:ascii="Arial" w:hAnsi="Arial" w:cs="Arial"/>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32185876" w14:textId="22B25CFF" w:rsidR="00F24A59" w:rsidRPr="00F24A59" w:rsidRDefault="00F24A59" w:rsidP="00F24A59">
            <w:pPr>
              <w:rPr>
                <w:rFonts w:ascii="Arial" w:hAnsi="Arial" w:cs="Arial"/>
              </w:rPr>
            </w:pPr>
            <w:r w:rsidRPr="005821D8">
              <w:rPr>
                <w:rFonts w:ascii="Arial" w:hAnsi="Arial" w:cs="Arial"/>
              </w:rPr>
              <w:t>6,238</w:t>
            </w:r>
          </w:p>
        </w:tc>
      </w:tr>
      <w:tr w:rsidR="00F24A59" w:rsidRPr="00E81DFB" w14:paraId="0E634BB8" w14:textId="77777777" w:rsidTr="005821D8">
        <w:tc>
          <w:tcPr>
            <w:tcW w:w="1129" w:type="dxa"/>
          </w:tcPr>
          <w:p w14:paraId="6FA79DE9" w14:textId="77777777" w:rsidR="00F24A59" w:rsidRPr="00E81DFB" w:rsidRDefault="00F24A59" w:rsidP="00F24A59">
            <w:pPr>
              <w:rPr>
                <w:rFonts w:ascii="Arial" w:hAnsi="Arial" w:cs="Arial"/>
              </w:rPr>
            </w:pPr>
            <w:r w:rsidRPr="00E81DFB">
              <w:rPr>
                <w:rFonts w:ascii="Arial" w:hAnsi="Arial" w:cs="Arial"/>
              </w:rPr>
              <w:t>2021/22</w:t>
            </w:r>
          </w:p>
        </w:tc>
        <w:tc>
          <w:tcPr>
            <w:tcW w:w="1107" w:type="dxa"/>
            <w:tcBorders>
              <w:top w:val="single" w:sz="4" w:space="0" w:color="auto"/>
              <w:left w:val="nil"/>
              <w:bottom w:val="single" w:sz="4" w:space="0" w:color="auto"/>
              <w:right w:val="single" w:sz="4" w:space="0" w:color="auto"/>
            </w:tcBorders>
            <w:shd w:val="clear" w:color="auto" w:fill="auto"/>
          </w:tcPr>
          <w:p w14:paraId="0C61F1C1" w14:textId="2FA67549" w:rsidR="00F24A59" w:rsidRPr="00F24A59" w:rsidRDefault="00F24A59" w:rsidP="00F24A59">
            <w:pPr>
              <w:rPr>
                <w:rFonts w:ascii="Arial" w:hAnsi="Arial" w:cs="Arial"/>
              </w:rPr>
            </w:pPr>
            <w:r w:rsidRPr="005821D8">
              <w:rPr>
                <w:rFonts w:ascii="Arial" w:hAnsi="Arial" w:cs="Arial"/>
              </w:rPr>
              <w:t>2,616</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24842134" w14:textId="1FEE3269" w:rsidR="00F24A59" w:rsidRPr="00F24A59" w:rsidRDefault="00F24A59" w:rsidP="00F24A59">
            <w:pPr>
              <w:rPr>
                <w:rFonts w:ascii="Arial" w:hAnsi="Arial" w:cs="Arial"/>
              </w:rPr>
            </w:pPr>
            <w:r w:rsidRPr="005821D8">
              <w:rPr>
                <w:rFonts w:ascii="Arial" w:hAnsi="Arial" w:cs="Arial"/>
              </w:rPr>
              <w:t>1,644</w:t>
            </w:r>
          </w:p>
        </w:tc>
        <w:tc>
          <w:tcPr>
            <w:tcW w:w="1173" w:type="dxa"/>
            <w:tcBorders>
              <w:top w:val="single" w:sz="4" w:space="0" w:color="auto"/>
              <w:left w:val="single" w:sz="4" w:space="0" w:color="auto"/>
              <w:bottom w:val="single" w:sz="4" w:space="0" w:color="auto"/>
              <w:right w:val="single" w:sz="4" w:space="0" w:color="auto"/>
            </w:tcBorders>
            <w:shd w:val="clear" w:color="auto" w:fill="auto"/>
          </w:tcPr>
          <w:p w14:paraId="7BFA822E" w14:textId="1010A52A" w:rsidR="00F24A59" w:rsidRPr="00F24A59" w:rsidRDefault="00C930E7" w:rsidP="00F24A59">
            <w:pPr>
              <w:rPr>
                <w:rFonts w:ascii="Arial" w:hAnsi="Arial" w:cs="Arial"/>
              </w:rPr>
            </w:pPr>
            <w:r>
              <w:rPr>
                <w:rFonts w:ascii="Arial" w:hAnsi="Arial" w:cs="Arial"/>
              </w:rPr>
              <w:t xml:space="preserve">   </w:t>
            </w:r>
            <w:r w:rsidR="00F24A59" w:rsidRPr="005821D8">
              <w:rPr>
                <w:rFonts w:ascii="Arial" w:hAnsi="Arial" w:cs="Arial"/>
              </w:rPr>
              <w:t>941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4612B0D" w14:textId="699CE684" w:rsidR="00F24A59" w:rsidRPr="00F24A59" w:rsidRDefault="00F24A59" w:rsidP="00F24A59">
            <w:pPr>
              <w:rPr>
                <w:rFonts w:ascii="Arial" w:hAnsi="Arial" w:cs="Arial"/>
              </w:rPr>
            </w:pPr>
            <w:r w:rsidRPr="005821D8">
              <w:rPr>
                <w:rFonts w:ascii="Arial" w:hAnsi="Arial" w:cs="Arial"/>
              </w:rPr>
              <w:t>278</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2EBD73CE" w14:textId="434440E0" w:rsidR="00F24A59" w:rsidRPr="00F24A59" w:rsidRDefault="00C930E7" w:rsidP="00F24A59">
            <w:pPr>
              <w:rPr>
                <w:rFonts w:ascii="Arial" w:hAnsi="Arial" w:cs="Arial"/>
              </w:rPr>
            </w:pPr>
            <w:r>
              <w:rPr>
                <w:rFonts w:ascii="Arial" w:hAnsi="Arial" w:cs="Arial"/>
              </w:rPr>
              <w:t xml:space="preserve">  </w:t>
            </w:r>
            <w:r w:rsidR="00F24A59" w:rsidRPr="005821D8">
              <w:rPr>
                <w:rFonts w:ascii="Arial" w:hAnsi="Arial" w:cs="Arial"/>
              </w:rPr>
              <w:t>514</w:t>
            </w:r>
          </w:p>
        </w:tc>
        <w:tc>
          <w:tcPr>
            <w:tcW w:w="682" w:type="dxa"/>
            <w:tcBorders>
              <w:top w:val="single" w:sz="4" w:space="0" w:color="auto"/>
              <w:left w:val="single" w:sz="4" w:space="0" w:color="auto"/>
              <w:bottom w:val="single" w:sz="4" w:space="0" w:color="auto"/>
              <w:right w:val="single" w:sz="4" w:space="0" w:color="auto"/>
            </w:tcBorders>
            <w:shd w:val="clear" w:color="auto" w:fill="auto"/>
          </w:tcPr>
          <w:p w14:paraId="351076C2" w14:textId="74E6398B" w:rsidR="00F24A59" w:rsidRPr="00F24A59" w:rsidRDefault="00F24A59" w:rsidP="00F24A59">
            <w:pPr>
              <w:rPr>
                <w:rFonts w:ascii="Arial" w:hAnsi="Arial" w:cs="Arial"/>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53A8D0E9" w14:textId="2C79B2EF" w:rsidR="00F24A59" w:rsidRPr="00F24A59" w:rsidRDefault="00F24A59" w:rsidP="00F24A59">
            <w:pPr>
              <w:rPr>
                <w:rFonts w:ascii="Arial" w:hAnsi="Arial" w:cs="Arial"/>
              </w:rPr>
            </w:pPr>
            <w:r w:rsidRPr="005821D8">
              <w:rPr>
                <w:rFonts w:ascii="Arial" w:hAnsi="Arial" w:cs="Arial"/>
              </w:rPr>
              <w:t>5,993</w:t>
            </w:r>
          </w:p>
        </w:tc>
      </w:tr>
      <w:tr w:rsidR="00F24A59" w:rsidRPr="00E81DFB" w14:paraId="65A7C1BF" w14:textId="77777777" w:rsidTr="005821D8">
        <w:tc>
          <w:tcPr>
            <w:tcW w:w="1129" w:type="dxa"/>
          </w:tcPr>
          <w:p w14:paraId="125C99DA" w14:textId="77777777" w:rsidR="00F24A59" w:rsidRPr="00E81DFB" w:rsidRDefault="00F24A59" w:rsidP="00F24A59">
            <w:pPr>
              <w:rPr>
                <w:rFonts w:ascii="Arial" w:hAnsi="Arial" w:cs="Arial"/>
              </w:rPr>
            </w:pPr>
            <w:r w:rsidRPr="00E81DFB">
              <w:rPr>
                <w:rFonts w:ascii="Arial" w:hAnsi="Arial" w:cs="Arial"/>
              </w:rPr>
              <w:t>2022/23</w:t>
            </w:r>
          </w:p>
        </w:tc>
        <w:tc>
          <w:tcPr>
            <w:tcW w:w="1107" w:type="dxa"/>
            <w:tcBorders>
              <w:top w:val="single" w:sz="4" w:space="0" w:color="auto"/>
              <w:left w:val="nil"/>
              <w:bottom w:val="single" w:sz="4" w:space="0" w:color="auto"/>
              <w:right w:val="single" w:sz="4" w:space="0" w:color="auto"/>
            </w:tcBorders>
            <w:shd w:val="clear" w:color="auto" w:fill="auto"/>
          </w:tcPr>
          <w:p w14:paraId="05870908" w14:textId="53D24155" w:rsidR="00F24A59" w:rsidRPr="00F24A59" w:rsidRDefault="00F24A59" w:rsidP="00F24A59">
            <w:pPr>
              <w:rPr>
                <w:rFonts w:ascii="Arial" w:hAnsi="Arial" w:cs="Arial"/>
              </w:rPr>
            </w:pPr>
            <w:r w:rsidRPr="005821D8">
              <w:rPr>
                <w:rFonts w:ascii="Arial" w:hAnsi="Arial" w:cs="Arial"/>
              </w:rPr>
              <w:t>3,274</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28721A4D" w14:textId="442130CC" w:rsidR="00F24A59" w:rsidRPr="00F24A59" w:rsidRDefault="00F24A59" w:rsidP="00F24A59">
            <w:pPr>
              <w:rPr>
                <w:rFonts w:ascii="Arial" w:hAnsi="Arial" w:cs="Arial"/>
              </w:rPr>
            </w:pPr>
            <w:r w:rsidRPr="005821D8">
              <w:rPr>
                <w:rFonts w:ascii="Arial" w:hAnsi="Arial" w:cs="Arial"/>
              </w:rPr>
              <w:t>1,352</w:t>
            </w:r>
          </w:p>
        </w:tc>
        <w:tc>
          <w:tcPr>
            <w:tcW w:w="1173" w:type="dxa"/>
            <w:tcBorders>
              <w:top w:val="single" w:sz="4" w:space="0" w:color="auto"/>
              <w:left w:val="single" w:sz="4" w:space="0" w:color="auto"/>
              <w:bottom w:val="single" w:sz="4" w:space="0" w:color="auto"/>
              <w:right w:val="single" w:sz="4" w:space="0" w:color="auto"/>
            </w:tcBorders>
            <w:shd w:val="clear" w:color="auto" w:fill="auto"/>
          </w:tcPr>
          <w:p w14:paraId="3C67BDC3" w14:textId="4859D08F" w:rsidR="00F24A59" w:rsidRPr="00F24A59" w:rsidRDefault="00C930E7" w:rsidP="00F24A59">
            <w:pPr>
              <w:rPr>
                <w:rFonts w:ascii="Arial" w:hAnsi="Arial" w:cs="Arial"/>
              </w:rPr>
            </w:pPr>
            <w:r>
              <w:rPr>
                <w:rFonts w:ascii="Arial" w:hAnsi="Arial" w:cs="Arial"/>
              </w:rPr>
              <w:t xml:space="preserve">   </w:t>
            </w:r>
            <w:r w:rsidR="00F24A59" w:rsidRPr="005821D8">
              <w:rPr>
                <w:rFonts w:ascii="Arial" w:hAnsi="Arial" w:cs="Arial"/>
              </w:rPr>
              <w:t>767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2E7A7BF" w14:textId="38A2DE9C" w:rsidR="00F24A59" w:rsidRPr="00F24A59" w:rsidRDefault="00F24A59" w:rsidP="00F24A59">
            <w:pPr>
              <w:rPr>
                <w:rFonts w:ascii="Arial" w:hAnsi="Arial" w:cs="Arial"/>
              </w:rPr>
            </w:pPr>
            <w:r w:rsidRPr="005821D8">
              <w:rPr>
                <w:rFonts w:ascii="Arial" w:hAnsi="Arial" w:cs="Arial"/>
              </w:rPr>
              <w:t>213</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3C1B3649" w14:textId="5B42C649" w:rsidR="00F24A59" w:rsidRPr="00F24A59" w:rsidRDefault="00C930E7" w:rsidP="00F24A59">
            <w:pPr>
              <w:rPr>
                <w:rFonts w:ascii="Arial" w:hAnsi="Arial" w:cs="Arial"/>
              </w:rPr>
            </w:pPr>
            <w:r>
              <w:rPr>
                <w:rFonts w:ascii="Arial" w:hAnsi="Arial" w:cs="Arial"/>
              </w:rPr>
              <w:t xml:space="preserve">  </w:t>
            </w:r>
            <w:r w:rsidR="00F24A59" w:rsidRPr="005821D8">
              <w:rPr>
                <w:rFonts w:ascii="Arial" w:hAnsi="Arial" w:cs="Arial"/>
              </w:rPr>
              <w:t>162</w:t>
            </w:r>
          </w:p>
        </w:tc>
        <w:tc>
          <w:tcPr>
            <w:tcW w:w="682" w:type="dxa"/>
            <w:tcBorders>
              <w:top w:val="single" w:sz="4" w:space="0" w:color="auto"/>
              <w:left w:val="single" w:sz="4" w:space="0" w:color="auto"/>
              <w:bottom w:val="single" w:sz="4" w:space="0" w:color="auto"/>
              <w:right w:val="single" w:sz="4" w:space="0" w:color="auto"/>
            </w:tcBorders>
            <w:shd w:val="clear" w:color="auto" w:fill="auto"/>
          </w:tcPr>
          <w:p w14:paraId="7AFE5792" w14:textId="2BBDC087" w:rsidR="00F24A59" w:rsidRPr="00F24A59" w:rsidRDefault="00F24A59" w:rsidP="00F24A59">
            <w:pPr>
              <w:rPr>
                <w:rFonts w:ascii="Arial" w:hAnsi="Arial" w:cs="Arial"/>
              </w:rPr>
            </w:pPr>
            <w:r w:rsidRPr="005821D8">
              <w:rPr>
                <w:rFonts w:ascii="Arial" w:hAnsi="Arial" w:cs="Arial"/>
              </w:rPr>
              <w:t>64</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A728011" w14:textId="298FC500" w:rsidR="00F24A59" w:rsidRPr="00F24A59" w:rsidRDefault="00F24A59" w:rsidP="00F24A59">
            <w:pPr>
              <w:rPr>
                <w:rFonts w:ascii="Arial" w:hAnsi="Arial" w:cs="Arial"/>
              </w:rPr>
            </w:pPr>
            <w:r w:rsidRPr="005821D8">
              <w:rPr>
                <w:rFonts w:ascii="Arial" w:hAnsi="Arial" w:cs="Arial"/>
              </w:rPr>
              <w:t>5,833</w:t>
            </w:r>
          </w:p>
        </w:tc>
      </w:tr>
      <w:tr w:rsidR="00F24A59" w:rsidRPr="00E81DFB" w14:paraId="2F5216FA" w14:textId="77777777" w:rsidTr="005821D8">
        <w:tc>
          <w:tcPr>
            <w:tcW w:w="1129" w:type="dxa"/>
          </w:tcPr>
          <w:p w14:paraId="6A48663F" w14:textId="6F629C25" w:rsidR="00F24A59" w:rsidRPr="00E81DFB" w:rsidRDefault="00F24A59" w:rsidP="00F24A59">
            <w:pPr>
              <w:rPr>
                <w:rFonts w:ascii="Arial" w:hAnsi="Arial" w:cs="Arial"/>
              </w:rPr>
            </w:pPr>
            <w:r>
              <w:rPr>
                <w:rFonts w:ascii="Arial" w:hAnsi="Arial" w:cs="Arial"/>
              </w:rPr>
              <w:t>2023/24</w:t>
            </w:r>
          </w:p>
        </w:tc>
        <w:tc>
          <w:tcPr>
            <w:tcW w:w="1107" w:type="dxa"/>
            <w:tcBorders>
              <w:top w:val="single" w:sz="4" w:space="0" w:color="auto"/>
              <w:left w:val="nil"/>
              <w:bottom w:val="single" w:sz="4" w:space="0" w:color="auto"/>
              <w:right w:val="single" w:sz="4" w:space="0" w:color="auto"/>
            </w:tcBorders>
            <w:shd w:val="clear" w:color="auto" w:fill="auto"/>
          </w:tcPr>
          <w:p w14:paraId="7687660F" w14:textId="2795B23B" w:rsidR="00F24A59" w:rsidRPr="00F24A59" w:rsidRDefault="00F24A59" w:rsidP="00F24A59">
            <w:pPr>
              <w:rPr>
                <w:rFonts w:ascii="Arial" w:hAnsi="Arial" w:cs="Arial"/>
                <w:color w:val="000000"/>
              </w:rPr>
            </w:pPr>
            <w:r w:rsidRPr="005821D8">
              <w:rPr>
                <w:rFonts w:ascii="Arial" w:hAnsi="Arial" w:cs="Arial"/>
              </w:rPr>
              <w:t>3,184</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3635239" w14:textId="34E34877" w:rsidR="00F24A59" w:rsidRPr="00F24A59" w:rsidRDefault="00F24A59" w:rsidP="00F24A59">
            <w:pPr>
              <w:rPr>
                <w:rFonts w:ascii="Arial" w:hAnsi="Arial" w:cs="Arial"/>
                <w:color w:val="000000"/>
              </w:rPr>
            </w:pPr>
            <w:r w:rsidRPr="005821D8">
              <w:rPr>
                <w:rFonts w:ascii="Arial" w:hAnsi="Arial" w:cs="Arial"/>
              </w:rPr>
              <w:t>1,377</w:t>
            </w:r>
          </w:p>
        </w:tc>
        <w:tc>
          <w:tcPr>
            <w:tcW w:w="1173" w:type="dxa"/>
            <w:tcBorders>
              <w:top w:val="single" w:sz="4" w:space="0" w:color="auto"/>
              <w:left w:val="single" w:sz="4" w:space="0" w:color="auto"/>
              <w:bottom w:val="single" w:sz="4" w:space="0" w:color="auto"/>
              <w:right w:val="single" w:sz="4" w:space="0" w:color="auto"/>
            </w:tcBorders>
            <w:shd w:val="clear" w:color="auto" w:fill="auto"/>
          </w:tcPr>
          <w:p w14:paraId="54562973" w14:textId="11E60E5B" w:rsidR="00F24A59" w:rsidRPr="00F24A59" w:rsidRDefault="00C930E7" w:rsidP="00F24A59">
            <w:pPr>
              <w:rPr>
                <w:rFonts w:ascii="Arial" w:hAnsi="Arial" w:cs="Arial"/>
                <w:color w:val="000000"/>
              </w:rPr>
            </w:pPr>
            <w:r>
              <w:rPr>
                <w:rFonts w:ascii="Arial" w:hAnsi="Arial" w:cs="Arial"/>
              </w:rPr>
              <w:t xml:space="preserve">   </w:t>
            </w:r>
            <w:r w:rsidR="00F24A59" w:rsidRPr="005821D8">
              <w:rPr>
                <w:rFonts w:ascii="Arial" w:hAnsi="Arial" w:cs="Arial"/>
              </w:rPr>
              <w:t>713</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8810B54" w14:textId="0EEA1248" w:rsidR="00F24A59" w:rsidRPr="00F24A59" w:rsidRDefault="00F24A59" w:rsidP="00F24A59">
            <w:pPr>
              <w:rPr>
                <w:rFonts w:ascii="Arial" w:hAnsi="Arial" w:cs="Arial"/>
                <w:color w:val="000000"/>
              </w:rPr>
            </w:pPr>
            <w:r w:rsidRPr="005821D8">
              <w:rPr>
                <w:rFonts w:ascii="Arial" w:hAnsi="Arial" w:cs="Arial"/>
              </w:rPr>
              <w:t>210</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599C543B" w14:textId="1457D297" w:rsidR="00F24A59" w:rsidRPr="00F24A59" w:rsidRDefault="00C930E7" w:rsidP="00F24A59">
            <w:pPr>
              <w:rPr>
                <w:rFonts w:ascii="Arial" w:hAnsi="Arial" w:cs="Arial"/>
                <w:color w:val="000000"/>
              </w:rPr>
            </w:pPr>
            <w:r>
              <w:rPr>
                <w:rFonts w:ascii="Arial" w:hAnsi="Arial" w:cs="Arial"/>
              </w:rPr>
              <w:t xml:space="preserve">  </w:t>
            </w:r>
            <w:r w:rsidR="00F24A59" w:rsidRPr="005821D8">
              <w:rPr>
                <w:rFonts w:ascii="Arial" w:hAnsi="Arial" w:cs="Arial"/>
              </w:rPr>
              <w:t>206</w:t>
            </w:r>
          </w:p>
        </w:tc>
        <w:tc>
          <w:tcPr>
            <w:tcW w:w="682" w:type="dxa"/>
            <w:tcBorders>
              <w:top w:val="single" w:sz="4" w:space="0" w:color="auto"/>
              <w:left w:val="single" w:sz="4" w:space="0" w:color="auto"/>
              <w:bottom w:val="single" w:sz="4" w:space="0" w:color="auto"/>
              <w:right w:val="single" w:sz="4" w:space="0" w:color="auto"/>
            </w:tcBorders>
            <w:shd w:val="clear" w:color="auto" w:fill="auto"/>
          </w:tcPr>
          <w:p w14:paraId="5D58368C" w14:textId="63B7D33A" w:rsidR="00F24A59" w:rsidRPr="00F24A59" w:rsidRDefault="00F24A59" w:rsidP="00F24A59">
            <w:pPr>
              <w:rPr>
                <w:rFonts w:ascii="Arial" w:hAnsi="Arial" w:cs="Arial"/>
                <w:color w:val="000000"/>
              </w:rPr>
            </w:pPr>
            <w:r w:rsidRPr="005821D8">
              <w:rPr>
                <w:rFonts w:ascii="Arial" w:hAnsi="Arial" w:cs="Arial"/>
              </w:rPr>
              <w:t>279</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C316DE8" w14:textId="1E2F434C" w:rsidR="00F24A59" w:rsidRPr="00F24A59" w:rsidRDefault="00F24A59" w:rsidP="00F24A59">
            <w:pPr>
              <w:rPr>
                <w:rFonts w:ascii="Arial" w:hAnsi="Arial" w:cs="Arial"/>
                <w:color w:val="000000"/>
              </w:rPr>
            </w:pPr>
            <w:r w:rsidRPr="005821D8">
              <w:rPr>
                <w:rFonts w:ascii="Arial" w:hAnsi="Arial" w:cs="Arial"/>
              </w:rPr>
              <w:t>5,968</w:t>
            </w:r>
          </w:p>
        </w:tc>
      </w:tr>
    </w:tbl>
    <w:p w14:paraId="6FC0B7B7" w14:textId="77777777" w:rsidR="00E81DFB" w:rsidRPr="00E81DFB" w:rsidRDefault="00E81DFB" w:rsidP="00E81DFB">
      <w:pPr>
        <w:spacing w:after="0" w:line="240" w:lineRule="auto"/>
        <w:rPr>
          <w:rFonts w:ascii="Arial" w:hAnsi="Arial" w:cs="Arial"/>
        </w:rPr>
      </w:pPr>
      <w:r w:rsidRPr="00E81DFB">
        <w:rPr>
          <w:rFonts w:ascii="Arial" w:hAnsi="Arial" w:cs="Arial"/>
        </w:rPr>
        <w:t>CBSSG = Covid Bus Service Support Grant, BRG = Bus Recovery Grant</w:t>
      </w:r>
    </w:p>
    <w:p w14:paraId="4F54E6EF" w14:textId="143BDB80" w:rsidR="00E81DFB" w:rsidRDefault="00E81DFB" w:rsidP="00E81DFB">
      <w:pPr>
        <w:spacing w:after="0" w:line="240" w:lineRule="auto"/>
      </w:pPr>
      <w:r w:rsidRPr="00E81DFB">
        <w:rPr>
          <w:rFonts w:ascii="Arial" w:hAnsi="Arial" w:cs="Arial"/>
        </w:rPr>
        <w:t xml:space="preserve">Source: </w:t>
      </w:r>
      <w:hyperlink r:id="rId10" w:history="1">
        <w:r w:rsidR="00C930E7" w:rsidRPr="00351A62">
          <w:rPr>
            <w:rStyle w:val="Hyperlink"/>
            <w:rFonts w:ascii="Arial" w:hAnsi="Arial" w:cs="Arial"/>
          </w:rPr>
          <w:t>https://www.gov.uk/government/statistics/annual-bus-statistics-year-ending-march-2024</w:t>
        </w:r>
      </w:hyperlink>
      <w:r w:rsidR="00C930E7">
        <w:rPr>
          <w:rFonts w:ascii="Arial" w:hAnsi="Arial" w:cs="Arial"/>
        </w:rPr>
        <w:t xml:space="preserve"> </w:t>
      </w:r>
      <w:r w:rsidRPr="00E81DFB">
        <w:rPr>
          <w:rFonts w:ascii="Arial" w:hAnsi="Arial" w:cs="Arial"/>
        </w:rPr>
        <w:t>BUS05ii</w:t>
      </w:r>
      <w:r>
        <w:t>.</w:t>
      </w:r>
    </w:p>
    <w:p w14:paraId="59599CFA" w14:textId="77777777" w:rsidR="004E4023" w:rsidRDefault="004E4023" w:rsidP="00E81DFB">
      <w:pPr>
        <w:spacing w:after="0" w:line="240" w:lineRule="auto"/>
      </w:pPr>
    </w:p>
    <w:p w14:paraId="5D7140DC" w14:textId="55655BB4" w:rsidR="004E4023" w:rsidRPr="005821D8" w:rsidRDefault="004E4023" w:rsidP="00E81DFB">
      <w:pPr>
        <w:spacing w:after="0" w:line="240" w:lineRule="auto"/>
        <w:rPr>
          <w:rFonts w:ascii="Arial" w:hAnsi="Arial" w:cs="Arial"/>
        </w:rPr>
      </w:pPr>
      <w:r w:rsidRPr="005821D8">
        <w:rPr>
          <w:rFonts w:ascii="Arial" w:hAnsi="Arial" w:cs="Arial"/>
        </w:rPr>
        <w:t>In the peak Covid-19 year of 2020/21, subsidy increased to £4.8 billion, the farebox ratio reduced to 23% and emergency grants were introduced to ensure the industry’s survival. By 2022/23, subsidy had fallen back down to around £2.4 billion, and the fare-box ratio had gone up to almost 57%. However, as a result of fare caps (a maximum £2 fare on most bus routes from 1 January 2023 to 31 December 2024, increased to £3 from January 2025), subsidy went up in 2023/24 to £2.8 billion and the fare box ratio fell back to 53%.Moreover, the composition of this subsidy had changed. Gross PT support had increased to 49%, whilst concessionary fare reimbursement had reduced to 26% (and was 39% lower than in 2019/20), reflecting reduced bus travel by the elderly as a result of Covid, and BSOG had reduced to 7%. The balance is made up by support for fare caps.</w:t>
      </w:r>
    </w:p>
    <w:p w14:paraId="3B7B8399" w14:textId="77777777" w:rsidR="00E81DFB" w:rsidRPr="00827331" w:rsidRDefault="00E81DFB" w:rsidP="002B33CC">
      <w:pPr>
        <w:rPr>
          <w:rFonts w:ascii="Arial" w:hAnsi="Arial" w:cs="Arial"/>
        </w:rPr>
      </w:pPr>
    </w:p>
    <w:p w14:paraId="502EFCB2" w14:textId="57608907" w:rsidR="00833DB3" w:rsidRPr="00A133E3" w:rsidRDefault="00833DB3" w:rsidP="00833DB3">
      <w:pPr>
        <w:ind w:left="567" w:hanging="567"/>
        <w:rPr>
          <w:rFonts w:ascii="Arial" w:hAnsi="Arial" w:cs="Arial"/>
          <w:b/>
          <w:bCs/>
        </w:rPr>
      </w:pPr>
      <w:r w:rsidRPr="00A133E3">
        <w:rPr>
          <w:rFonts w:ascii="Arial" w:hAnsi="Arial" w:cs="Arial"/>
          <w:b/>
          <w:bCs/>
        </w:rPr>
        <w:t>3.</w:t>
      </w:r>
      <w:r w:rsidRPr="00A133E3">
        <w:rPr>
          <w:rFonts w:ascii="Arial" w:hAnsi="Arial" w:cs="Arial"/>
          <w:b/>
          <w:bCs/>
        </w:rPr>
        <w:tab/>
        <w:t>Evidence from Small Islands</w:t>
      </w:r>
    </w:p>
    <w:p w14:paraId="321DEA1B" w14:textId="16C69A12" w:rsidR="00476AAE" w:rsidRDefault="000834F5" w:rsidP="00281F87">
      <w:pPr>
        <w:rPr>
          <w:rFonts w:ascii="Arial" w:hAnsi="Arial" w:cs="Arial"/>
        </w:rPr>
      </w:pPr>
      <w:r>
        <w:rPr>
          <w:rFonts w:ascii="Arial" w:hAnsi="Arial" w:cs="Arial"/>
        </w:rPr>
        <w:t xml:space="preserve">From the </w:t>
      </w:r>
      <w:r w:rsidR="00281F87">
        <w:rPr>
          <w:rFonts w:ascii="Arial" w:hAnsi="Arial" w:cs="Arial"/>
        </w:rPr>
        <w:t>above</w:t>
      </w:r>
      <w:r>
        <w:rPr>
          <w:rFonts w:ascii="Arial" w:hAnsi="Arial" w:cs="Arial"/>
        </w:rPr>
        <w:t>, it is evident</w:t>
      </w:r>
      <w:r w:rsidR="00281F87">
        <w:rPr>
          <w:rFonts w:ascii="Arial" w:hAnsi="Arial" w:cs="Arial"/>
        </w:rPr>
        <w:t xml:space="preserve"> that the United Kingdom </w:t>
      </w:r>
      <w:r w:rsidR="00123849">
        <w:rPr>
          <w:rFonts w:ascii="Arial" w:hAnsi="Arial" w:cs="Arial"/>
        </w:rPr>
        <w:t xml:space="preserve">somewhat </w:t>
      </w:r>
      <w:r w:rsidR="00281F87">
        <w:rPr>
          <w:rFonts w:ascii="Arial" w:hAnsi="Arial" w:cs="Arial"/>
        </w:rPr>
        <w:t>inadvertently provided a natural experiment where bus deregulation (Great Britain outside London), comprehensive tendering (London) and public ownership and control (Northern Ireland)</w:t>
      </w:r>
      <w:r w:rsidR="00476AAE">
        <w:rPr>
          <w:rFonts w:ascii="Arial" w:hAnsi="Arial" w:cs="Arial"/>
        </w:rPr>
        <w:t xml:space="preserve"> could be compared</w:t>
      </w:r>
      <w:r w:rsidR="00281F87">
        <w:rPr>
          <w:rFonts w:ascii="Arial" w:hAnsi="Arial" w:cs="Arial"/>
        </w:rPr>
        <w:t xml:space="preserve">. If </w:t>
      </w:r>
      <w:r>
        <w:rPr>
          <w:rFonts w:ascii="Arial" w:hAnsi="Arial" w:cs="Arial"/>
        </w:rPr>
        <w:t>the</w:t>
      </w:r>
      <w:r w:rsidR="00281F87">
        <w:rPr>
          <w:rFonts w:ascii="Arial" w:hAnsi="Arial" w:cs="Arial"/>
        </w:rPr>
        <w:t xml:space="preserve"> scope is extended to the British Isles</w:t>
      </w:r>
      <w:r w:rsidR="00476AAE">
        <w:rPr>
          <w:rFonts w:ascii="Arial" w:hAnsi="Arial" w:cs="Arial"/>
        </w:rPr>
        <w:t>,</w:t>
      </w:r>
      <w:r w:rsidR="00281F87">
        <w:rPr>
          <w:rFonts w:ascii="Arial" w:hAnsi="Arial" w:cs="Arial"/>
        </w:rPr>
        <w:t xml:space="preserve"> further comparison</w:t>
      </w:r>
      <w:r w:rsidR="00FC7952">
        <w:rPr>
          <w:rFonts w:ascii="Arial" w:hAnsi="Arial" w:cs="Arial"/>
        </w:rPr>
        <w:t>s</w:t>
      </w:r>
      <w:r w:rsidR="00281F87">
        <w:rPr>
          <w:rFonts w:ascii="Arial" w:hAnsi="Arial" w:cs="Arial"/>
        </w:rPr>
        <w:t xml:space="preserve"> can be made (Mu, 2023). </w:t>
      </w:r>
    </w:p>
    <w:p w14:paraId="34ACBCF9" w14:textId="77777777" w:rsidR="00FC7952" w:rsidRDefault="00281F87" w:rsidP="00CD0DBE">
      <w:pPr>
        <w:rPr>
          <w:rFonts w:ascii="Arial" w:hAnsi="Arial" w:cs="Arial"/>
        </w:rPr>
      </w:pPr>
      <w:r>
        <w:rPr>
          <w:rFonts w:ascii="Arial" w:hAnsi="Arial" w:cs="Arial"/>
        </w:rPr>
        <w:t xml:space="preserve">The Crown Dependency of the Isle of Man has a publicly owned and controlled public transport system </w:t>
      </w:r>
      <w:r w:rsidR="00123849">
        <w:rPr>
          <w:rFonts w:ascii="Arial" w:hAnsi="Arial" w:cs="Arial"/>
        </w:rPr>
        <w:t xml:space="preserve">and is </w:t>
      </w:r>
      <w:r>
        <w:rPr>
          <w:rFonts w:ascii="Arial" w:hAnsi="Arial" w:cs="Arial"/>
        </w:rPr>
        <w:t>organisationally similar to Northern Ireland</w:t>
      </w:r>
      <w:r w:rsidR="00123849">
        <w:rPr>
          <w:rFonts w:ascii="Arial" w:hAnsi="Arial" w:cs="Arial"/>
        </w:rPr>
        <w:t xml:space="preserve">, not least in terms of the integration of bus and rail services. Public transport is </w:t>
      </w:r>
      <w:r>
        <w:rPr>
          <w:rFonts w:ascii="Arial" w:hAnsi="Arial" w:cs="Arial"/>
        </w:rPr>
        <w:t>controlled by the Department of Infrastructure and operated by Isle of Man Public Transport, that dates back to 187</w:t>
      </w:r>
      <w:r w:rsidR="007170F9">
        <w:rPr>
          <w:rFonts w:ascii="Arial" w:hAnsi="Arial" w:cs="Arial"/>
        </w:rPr>
        <w:t>3</w:t>
      </w:r>
      <w:r>
        <w:rPr>
          <w:rFonts w:ascii="Arial" w:hAnsi="Arial" w:cs="Arial"/>
        </w:rPr>
        <w:t>, and operates buses as Bus Vannin</w:t>
      </w:r>
      <w:r w:rsidR="007170F9">
        <w:rPr>
          <w:rFonts w:ascii="Arial" w:hAnsi="Arial" w:cs="Arial"/>
        </w:rPr>
        <w:t xml:space="preserve"> (brand used since 2009)</w:t>
      </w:r>
      <w:r>
        <w:rPr>
          <w:rFonts w:ascii="Arial" w:hAnsi="Arial" w:cs="Arial"/>
        </w:rPr>
        <w:t>.</w:t>
      </w:r>
      <w:r w:rsidR="007170F9">
        <w:rPr>
          <w:rFonts w:ascii="Arial" w:hAnsi="Arial" w:cs="Arial"/>
        </w:rPr>
        <w:t xml:space="preserve"> </w:t>
      </w:r>
    </w:p>
    <w:p w14:paraId="10EE41D7" w14:textId="5C115192" w:rsidR="00FC7952" w:rsidRDefault="007170F9" w:rsidP="00CD0DBE">
      <w:pPr>
        <w:rPr>
          <w:rFonts w:ascii="Arial" w:hAnsi="Arial" w:cs="Arial"/>
        </w:rPr>
      </w:pPr>
      <w:r>
        <w:rPr>
          <w:rFonts w:ascii="Arial" w:hAnsi="Arial" w:cs="Arial"/>
        </w:rPr>
        <w:t>By contrast, the Crown Dependencies of Guernsey and Jersey have adopted a franchising model.</w:t>
      </w:r>
      <w:r w:rsidR="00281F87">
        <w:rPr>
          <w:rFonts w:ascii="Arial" w:hAnsi="Arial" w:cs="Arial"/>
        </w:rPr>
        <w:t xml:space="preserve"> </w:t>
      </w:r>
      <w:r>
        <w:rPr>
          <w:rFonts w:ascii="Arial" w:hAnsi="Arial" w:cs="Arial"/>
        </w:rPr>
        <w:t xml:space="preserve">In Jersey, franchising can be traced back to the MyBus brand that </w:t>
      </w:r>
      <w:r w:rsidR="002F4913">
        <w:rPr>
          <w:rFonts w:ascii="Arial" w:hAnsi="Arial" w:cs="Arial"/>
        </w:rPr>
        <w:t xml:space="preserve">was </w:t>
      </w:r>
      <w:r>
        <w:rPr>
          <w:rFonts w:ascii="Arial" w:hAnsi="Arial" w:cs="Arial"/>
        </w:rPr>
        <w:t xml:space="preserve">operated from September 2002 by Veolia Transport (Veolia Transdev from 2011), under a seven years plus three </w:t>
      </w:r>
      <w:r w:rsidR="002F4913">
        <w:rPr>
          <w:rFonts w:ascii="Arial" w:hAnsi="Arial" w:cs="Arial"/>
        </w:rPr>
        <w:t>contract</w:t>
      </w:r>
      <w:r w:rsidR="007A3EBC">
        <w:rPr>
          <w:rFonts w:ascii="Arial" w:hAnsi="Arial" w:cs="Arial"/>
        </w:rPr>
        <w:t>, replacing the incumbent JMT</w:t>
      </w:r>
      <w:r>
        <w:rPr>
          <w:rFonts w:ascii="Arial" w:hAnsi="Arial" w:cs="Arial"/>
        </w:rPr>
        <w:t>.</w:t>
      </w:r>
      <w:r w:rsidR="00942D59">
        <w:rPr>
          <w:rFonts w:ascii="Arial" w:hAnsi="Arial" w:cs="Arial"/>
        </w:rPr>
        <w:t xml:space="preserve"> From January 2013, the franchise was operated by LibertyBus, a subsidiary of HCT (Hackney Community Transport</w:t>
      </w:r>
      <w:r w:rsidR="00123849">
        <w:rPr>
          <w:rFonts w:ascii="Arial" w:hAnsi="Arial" w:cs="Arial"/>
        </w:rPr>
        <w:t>)</w:t>
      </w:r>
      <w:r w:rsidR="00942D59">
        <w:rPr>
          <w:rFonts w:ascii="Arial" w:hAnsi="Arial" w:cs="Arial"/>
        </w:rPr>
        <w:t xml:space="preserve"> (London) Group, a social enterprise</w:t>
      </w:r>
      <w:r w:rsidR="005C5BEA">
        <w:rPr>
          <w:rFonts w:ascii="Arial" w:hAnsi="Arial" w:cs="Arial"/>
        </w:rPr>
        <w:t>, on a ten years plus three model</w:t>
      </w:r>
      <w:r w:rsidR="00942D59">
        <w:rPr>
          <w:rFonts w:ascii="Arial" w:hAnsi="Arial" w:cs="Arial"/>
        </w:rPr>
        <w:t xml:space="preserve">. In September 2022, LibertyBus was sold to Tower Transit, part of the Kelsian Group. </w:t>
      </w:r>
      <w:r w:rsidR="00CD0DBE">
        <w:rPr>
          <w:rFonts w:ascii="Arial" w:hAnsi="Arial" w:cs="Arial"/>
        </w:rPr>
        <w:t xml:space="preserve">In October  2024, Kelsian was </w:t>
      </w:r>
      <w:r w:rsidR="00CD0DBE" w:rsidRPr="00CD0DBE">
        <w:rPr>
          <w:rFonts w:ascii="Arial" w:hAnsi="Arial" w:cs="Arial"/>
        </w:rPr>
        <w:t>named as Preferred Bidder for the renewal of the bus services contract for the island of Jersey, following a competitive tender process.</w:t>
      </w:r>
      <w:r w:rsidR="00CD0DBE">
        <w:rPr>
          <w:rFonts w:ascii="Arial" w:hAnsi="Arial" w:cs="Arial"/>
        </w:rPr>
        <w:t xml:space="preserve"> The </w:t>
      </w:r>
      <w:r w:rsidR="002F4913">
        <w:rPr>
          <w:rFonts w:ascii="Arial" w:hAnsi="Arial" w:cs="Arial"/>
        </w:rPr>
        <w:t>c</w:t>
      </w:r>
      <w:r w:rsidR="00CD0DBE" w:rsidRPr="00CD0DBE">
        <w:rPr>
          <w:rFonts w:ascii="Arial" w:hAnsi="Arial" w:cs="Arial"/>
        </w:rPr>
        <w:t>ontract is for a 10-year term commencing 6 April 2025</w:t>
      </w:r>
      <w:r w:rsidR="00CD0DBE">
        <w:rPr>
          <w:rFonts w:ascii="Arial" w:hAnsi="Arial" w:cs="Arial"/>
        </w:rPr>
        <w:t xml:space="preserve">. </w:t>
      </w:r>
    </w:p>
    <w:p w14:paraId="2AA30385" w14:textId="4EF0223D" w:rsidR="00FC7952" w:rsidRDefault="00F84DE0" w:rsidP="00CD0DBE">
      <w:pPr>
        <w:rPr>
          <w:rFonts w:ascii="Arial" w:hAnsi="Arial" w:cs="Arial"/>
        </w:rPr>
      </w:pPr>
      <w:r>
        <w:rPr>
          <w:rFonts w:ascii="Arial" w:hAnsi="Arial" w:cs="Arial"/>
        </w:rPr>
        <w:t xml:space="preserve">A similar picture emerges in Guernsey. </w:t>
      </w:r>
      <w:r w:rsidR="007A3EBC">
        <w:rPr>
          <w:rFonts w:ascii="Arial" w:hAnsi="Arial" w:cs="Arial"/>
        </w:rPr>
        <w:t xml:space="preserve">Franchising has been undertaken since 2001, initially by Island Coachways. </w:t>
      </w:r>
      <w:r w:rsidR="002F4913">
        <w:rPr>
          <w:rFonts w:ascii="Arial" w:hAnsi="Arial" w:cs="Arial"/>
        </w:rPr>
        <w:t xml:space="preserve">From </w:t>
      </w:r>
      <w:r>
        <w:rPr>
          <w:rFonts w:ascii="Arial" w:hAnsi="Arial" w:cs="Arial"/>
        </w:rPr>
        <w:t xml:space="preserve">2012 </w:t>
      </w:r>
      <w:r w:rsidR="007A3EBC">
        <w:rPr>
          <w:rFonts w:ascii="Arial" w:hAnsi="Arial" w:cs="Arial"/>
        </w:rPr>
        <w:t xml:space="preserve">bus services </w:t>
      </w:r>
      <w:r w:rsidR="002F4913">
        <w:rPr>
          <w:rFonts w:ascii="Arial" w:hAnsi="Arial" w:cs="Arial"/>
        </w:rPr>
        <w:t xml:space="preserve">were </w:t>
      </w:r>
      <w:r w:rsidR="007A3EBC">
        <w:rPr>
          <w:rFonts w:ascii="Arial" w:hAnsi="Arial" w:cs="Arial"/>
        </w:rPr>
        <w:t xml:space="preserve">operated </w:t>
      </w:r>
      <w:r w:rsidRPr="00F84DE0">
        <w:rPr>
          <w:rFonts w:ascii="Arial" w:hAnsi="Arial" w:cs="Arial"/>
        </w:rPr>
        <w:t>by CT Plus Guernsey</w:t>
      </w:r>
      <w:r w:rsidR="00FC7952">
        <w:rPr>
          <w:rFonts w:ascii="Arial" w:hAnsi="Arial" w:cs="Arial"/>
        </w:rPr>
        <w:t>, a subsidiary of HCT (London) Group</w:t>
      </w:r>
      <w:r w:rsidRPr="00F84DE0">
        <w:rPr>
          <w:rFonts w:ascii="Arial" w:hAnsi="Arial" w:cs="Arial"/>
        </w:rPr>
        <w:t xml:space="preserve"> </w:t>
      </w:r>
      <w:r>
        <w:rPr>
          <w:rFonts w:ascii="Arial" w:hAnsi="Arial" w:cs="Arial"/>
        </w:rPr>
        <w:t xml:space="preserve">(and branded as buses.gg) </w:t>
      </w:r>
      <w:r w:rsidRPr="00F84DE0">
        <w:rPr>
          <w:rFonts w:ascii="Arial" w:hAnsi="Arial" w:cs="Arial"/>
        </w:rPr>
        <w:t xml:space="preserve">on behalf of the Environment Department of the States of Guernsey. CT Plus was </w:t>
      </w:r>
      <w:r>
        <w:rPr>
          <w:rFonts w:ascii="Arial" w:hAnsi="Arial" w:cs="Arial"/>
        </w:rPr>
        <w:t xml:space="preserve">also </w:t>
      </w:r>
      <w:r w:rsidRPr="00F84DE0">
        <w:rPr>
          <w:rFonts w:ascii="Arial" w:hAnsi="Arial" w:cs="Arial"/>
        </w:rPr>
        <w:t>acquired by Tower Transit in September 2022 following the administration and subsequent collapse of CT Plus's parent company</w:t>
      </w:r>
      <w:r w:rsidR="00FC7952">
        <w:rPr>
          <w:rFonts w:ascii="Arial" w:hAnsi="Arial" w:cs="Arial"/>
        </w:rPr>
        <w:t>.</w:t>
      </w:r>
      <w:r w:rsidR="002F4913">
        <w:rPr>
          <w:rFonts w:ascii="Arial" w:hAnsi="Arial" w:cs="Arial"/>
        </w:rPr>
        <w:t xml:space="preserve"> </w:t>
      </w:r>
      <w:r w:rsidR="00F2165C">
        <w:rPr>
          <w:rFonts w:ascii="Arial" w:hAnsi="Arial" w:cs="Arial"/>
        </w:rPr>
        <w:t>Th</w:t>
      </w:r>
      <w:r w:rsidR="004E4023">
        <w:rPr>
          <w:rFonts w:ascii="Arial" w:hAnsi="Arial" w:cs="Arial"/>
        </w:rPr>
        <w:t>is</w:t>
      </w:r>
      <w:r w:rsidR="00F2165C">
        <w:rPr>
          <w:rFonts w:ascii="Arial" w:hAnsi="Arial" w:cs="Arial"/>
        </w:rPr>
        <w:t xml:space="preserve"> contract r</w:t>
      </w:r>
      <w:r w:rsidR="004E4023">
        <w:rPr>
          <w:rFonts w:ascii="Arial" w:hAnsi="Arial" w:cs="Arial"/>
        </w:rPr>
        <w:t>an</w:t>
      </w:r>
      <w:r w:rsidR="00F2165C">
        <w:rPr>
          <w:rFonts w:ascii="Arial" w:hAnsi="Arial" w:cs="Arial"/>
        </w:rPr>
        <w:t xml:space="preserve"> until March 2025</w:t>
      </w:r>
      <w:r w:rsidR="007A3EBC">
        <w:rPr>
          <w:rFonts w:ascii="Arial" w:hAnsi="Arial" w:cs="Arial"/>
        </w:rPr>
        <w:t xml:space="preserve"> and in September 2024 it was announced that the new contract would be operated by Stagecoach</w:t>
      </w:r>
      <w:r w:rsidR="00F2165C">
        <w:rPr>
          <w:rFonts w:ascii="Arial" w:hAnsi="Arial" w:cs="Arial"/>
        </w:rPr>
        <w:t>.</w:t>
      </w:r>
      <w:r w:rsidR="005C5BEA">
        <w:rPr>
          <w:rFonts w:ascii="Arial" w:hAnsi="Arial" w:cs="Arial"/>
        </w:rPr>
        <w:t xml:space="preserve"> </w:t>
      </w:r>
    </w:p>
    <w:p w14:paraId="08382783" w14:textId="6D5E6C3A" w:rsidR="004E4023" w:rsidRDefault="005C5BEA" w:rsidP="00CD0DBE">
      <w:pPr>
        <w:rPr>
          <w:rFonts w:ascii="Arial" w:hAnsi="Arial" w:cs="Arial"/>
        </w:rPr>
      </w:pPr>
      <w:r>
        <w:rPr>
          <w:rFonts w:ascii="Arial" w:hAnsi="Arial" w:cs="Arial"/>
        </w:rPr>
        <w:t xml:space="preserve">The last of the small </w:t>
      </w:r>
      <w:r w:rsidR="00A72D51">
        <w:rPr>
          <w:rFonts w:ascii="Arial" w:hAnsi="Arial" w:cs="Arial"/>
        </w:rPr>
        <w:t>i</w:t>
      </w:r>
      <w:r>
        <w:rPr>
          <w:rFonts w:ascii="Arial" w:hAnsi="Arial" w:cs="Arial"/>
        </w:rPr>
        <w:t>slands to be covered is the Isle of Wight, which is a Local Authority District of England. Along with the rest of Great Britain outside London, buses were deregulated in 1986. The dominant operator is Southern Vectis which was part of the publicly owned National Bus Company but was privatised by a management buy-out in 1986 and was sold to the Go-Ahead Group (the current owners) in 2005.</w:t>
      </w:r>
      <w:r w:rsidR="00803F18">
        <w:rPr>
          <w:rFonts w:ascii="Arial" w:hAnsi="Arial" w:cs="Arial"/>
        </w:rPr>
        <w:t xml:space="preserve"> The bus route maps for the four islands are given in the Appendix, whilst Table 4 provides some background comparative data.</w:t>
      </w:r>
    </w:p>
    <w:p w14:paraId="070D1683" w14:textId="77777777" w:rsidR="004E4023" w:rsidRDefault="004E4023">
      <w:pPr>
        <w:rPr>
          <w:rFonts w:ascii="Arial" w:hAnsi="Arial" w:cs="Arial"/>
        </w:rPr>
      </w:pPr>
      <w:r>
        <w:rPr>
          <w:rFonts w:ascii="Arial" w:hAnsi="Arial" w:cs="Arial"/>
        </w:rPr>
        <w:br w:type="page"/>
      </w:r>
    </w:p>
    <w:p w14:paraId="6D82D24F" w14:textId="24E6C4F8" w:rsidR="00803F18" w:rsidRPr="00803F18" w:rsidRDefault="00803F18" w:rsidP="00281F87">
      <w:pPr>
        <w:rPr>
          <w:rFonts w:ascii="Arial" w:hAnsi="Arial" w:cs="Arial"/>
          <w:b/>
          <w:bCs/>
        </w:rPr>
      </w:pPr>
      <w:r>
        <w:rPr>
          <w:rFonts w:ascii="Arial" w:hAnsi="Arial" w:cs="Arial"/>
          <w:b/>
          <w:bCs/>
        </w:rPr>
        <w:t xml:space="preserve">Table 4: Comparative </w:t>
      </w:r>
      <w:r w:rsidR="004D32F3">
        <w:rPr>
          <w:rFonts w:ascii="Arial" w:hAnsi="Arial" w:cs="Arial"/>
          <w:b/>
          <w:bCs/>
        </w:rPr>
        <w:t xml:space="preserve">General </w:t>
      </w:r>
      <w:r>
        <w:rPr>
          <w:rFonts w:ascii="Arial" w:hAnsi="Arial" w:cs="Arial"/>
          <w:b/>
          <w:bCs/>
        </w:rPr>
        <w:t>Statistics for the Four Islands.</w:t>
      </w:r>
    </w:p>
    <w:tbl>
      <w:tblPr>
        <w:tblStyle w:val="TableGrid"/>
        <w:tblW w:w="0" w:type="auto"/>
        <w:tblInd w:w="-5" w:type="dxa"/>
        <w:tblLook w:val="04A0" w:firstRow="1" w:lastRow="0" w:firstColumn="1" w:lastColumn="0" w:noHBand="0" w:noVBand="1"/>
      </w:tblPr>
      <w:tblGrid>
        <w:gridCol w:w="1288"/>
        <w:gridCol w:w="1289"/>
        <w:gridCol w:w="1289"/>
        <w:gridCol w:w="1288"/>
        <w:gridCol w:w="1225"/>
        <w:gridCol w:w="1353"/>
        <w:gridCol w:w="1289"/>
      </w:tblGrid>
      <w:tr w:rsidR="00803F18" w14:paraId="274745ED" w14:textId="77777777" w:rsidTr="002C1729">
        <w:tc>
          <w:tcPr>
            <w:tcW w:w="1288" w:type="dxa"/>
          </w:tcPr>
          <w:p w14:paraId="7DEE85A2" w14:textId="77777777" w:rsidR="00803F18" w:rsidRDefault="00803F18" w:rsidP="00833DB3">
            <w:pPr>
              <w:rPr>
                <w:rFonts w:ascii="Arial" w:hAnsi="Arial" w:cs="Arial"/>
              </w:rPr>
            </w:pPr>
          </w:p>
        </w:tc>
        <w:tc>
          <w:tcPr>
            <w:tcW w:w="1289" w:type="dxa"/>
          </w:tcPr>
          <w:p w14:paraId="42899971" w14:textId="11D7C485" w:rsidR="00803F18" w:rsidRPr="002C1729" w:rsidRDefault="00B62C23" w:rsidP="00833DB3">
            <w:pPr>
              <w:rPr>
                <w:rFonts w:ascii="Arial" w:hAnsi="Arial" w:cs="Arial"/>
                <w:sz w:val="20"/>
                <w:szCs w:val="20"/>
              </w:rPr>
            </w:pPr>
            <w:r w:rsidRPr="002C1729">
              <w:rPr>
                <w:rFonts w:ascii="Arial" w:hAnsi="Arial" w:cs="Arial"/>
                <w:sz w:val="20"/>
                <w:szCs w:val="20"/>
              </w:rPr>
              <w:t>Area</w:t>
            </w:r>
            <w:r w:rsidR="002C1729" w:rsidRPr="002C1729">
              <w:rPr>
                <w:rFonts w:ascii="Arial" w:hAnsi="Arial" w:cs="Arial"/>
                <w:sz w:val="20"/>
                <w:szCs w:val="20"/>
              </w:rPr>
              <w:t xml:space="preserve"> (</w:t>
            </w:r>
            <w:r w:rsidRPr="002C1729">
              <w:rPr>
                <w:rFonts w:ascii="Arial" w:hAnsi="Arial" w:cs="Arial"/>
                <w:sz w:val="20"/>
                <w:szCs w:val="20"/>
              </w:rPr>
              <w:t>km</w:t>
            </w:r>
            <w:r w:rsidRPr="002C1729">
              <w:rPr>
                <w:rFonts w:ascii="Arial" w:hAnsi="Arial" w:cs="Arial"/>
                <w:sz w:val="20"/>
                <w:szCs w:val="20"/>
                <w:vertAlign w:val="superscript"/>
              </w:rPr>
              <w:t>2</w:t>
            </w:r>
            <w:r w:rsidR="002C1729" w:rsidRPr="002C1729">
              <w:rPr>
                <w:rFonts w:ascii="Arial" w:hAnsi="Arial" w:cs="Arial"/>
                <w:sz w:val="20"/>
                <w:szCs w:val="20"/>
              </w:rPr>
              <w:t>)</w:t>
            </w:r>
          </w:p>
        </w:tc>
        <w:tc>
          <w:tcPr>
            <w:tcW w:w="1289" w:type="dxa"/>
          </w:tcPr>
          <w:p w14:paraId="4FADA9F0" w14:textId="77777777" w:rsidR="00803F18" w:rsidRPr="002C1729" w:rsidRDefault="00B62C23" w:rsidP="00833DB3">
            <w:pPr>
              <w:rPr>
                <w:rFonts w:ascii="Arial" w:hAnsi="Arial" w:cs="Arial"/>
                <w:sz w:val="20"/>
                <w:szCs w:val="20"/>
              </w:rPr>
            </w:pPr>
            <w:r w:rsidRPr="002C1729">
              <w:rPr>
                <w:rFonts w:ascii="Arial" w:hAnsi="Arial" w:cs="Arial"/>
                <w:sz w:val="20"/>
                <w:szCs w:val="20"/>
              </w:rPr>
              <w:t>Resident</w:t>
            </w:r>
          </w:p>
          <w:p w14:paraId="33D05067" w14:textId="101E4BEB" w:rsidR="00B62C23" w:rsidRPr="002C1729" w:rsidRDefault="00B62C23" w:rsidP="00833DB3">
            <w:pPr>
              <w:rPr>
                <w:rFonts w:ascii="Arial" w:hAnsi="Arial" w:cs="Arial"/>
                <w:sz w:val="20"/>
                <w:szCs w:val="20"/>
              </w:rPr>
            </w:pPr>
            <w:r w:rsidRPr="002C1729">
              <w:rPr>
                <w:rFonts w:ascii="Arial" w:hAnsi="Arial" w:cs="Arial"/>
                <w:sz w:val="20"/>
                <w:szCs w:val="20"/>
              </w:rPr>
              <w:t>Population</w:t>
            </w:r>
          </w:p>
        </w:tc>
        <w:tc>
          <w:tcPr>
            <w:tcW w:w="1288" w:type="dxa"/>
          </w:tcPr>
          <w:p w14:paraId="1F61D8EE" w14:textId="77777777" w:rsidR="002C1729" w:rsidRPr="002C1729" w:rsidRDefault="00B62C23" w:rsidP="00B62C23">
            <w:pPr>
              <w:rPr>
                <w:rFonts w:ascii="Arial" w:hAnsi="Arial" w:cs="Arial"/>
                <w:sz w:val="20"/>
                <w:szCs w:val="20"/>
              </w:rPr>
            </w:pPr>
            <w:r w:rsidRPr="002C1729">
              <w:rPr>
                <w:rFonts w:ascii="Arial" w:hAnsi="Arial" w:cs="Arial"/>
                <w:sz w:val="20"/>
                <w:szCs w:val="20"/>
              </w:rPr>
              <w:t>Pop</w:t>
            </w:r>
            <w:r w:rsidR="002C1729" w:rsidRPr="002C1729">
              <w:rPr>
                <w:rFonts w:ascii="Arial" w:hAnsi="Arial" w:cs="Arial"/>
                <w:sz w:val="20"/>
                <w:szCs w:val="20"/>
              </w:rPr>
              <w:t>ulation</w:t>
            </w:r>
            <w:r w:rsidRPr="002C1729">
              <w:rPr>
                <w:rFonts w:ascii="Arial" w:hAnsi="Arial" w:cs="Arial"/>
                <w:sz w:val="20"/>
                <w:szCs w:val="20"/>
              </w:rPr>
              <w:t xml:space="preserve"> Density</w:t>
            </w:r>
          </w:p>
          <w:p w14:paraId="59A95CC7" w14:textId="7472E71A" w:rsidR="00B62C23" w:rsidRPr="002C1729" w:rsidRDefault="002C1729" w:rsidP="00B62C23">
            <w:pPr>
              <w:rPr>
                <w:rFonts w:ascii="Arial" w:hAnsi="Arial" w:cs="Arial"/>
                <w:sz w:val="20"/>
                <w:szCs w:val="20"/>
              </w:rPr>
            </w:pPr>
            <w:r w:rsidRPr="002C1729">
              <w:rPr>
                <w:rFonts w:ascii="Arial" w:hAnsi="Arial" w:cs="Arial"/>
                <w:sz w:val="20"/>
                <w:szCs w:val="20"/>
              </w:rPr>
              <w:t>(</w:t>
            </w:r>
            <w:r w:rsidR="00B62C23" w:rsidRPr="002C1729">
              <w:rPr>
                <w:rFonts w:ascii="Arial" w:hAnsi="Arial" w:cs="Arial"/>
                <w:sz w:val="20"/>
                <w:szCs w:val="20"/>
              </w:rPr>
              <w:t>km</w:t>
            </w:r>
            <w:r w:rsidRPr="002C1729">
              <w:rPr>
                <w:rFonts w:ascii="Arial" w:hAnsi="Arial" w:cs="Arial"/>
                <w:sz w:val="20"/>
                <w:szCs w:val="20"/>
                <w:vertAlign w:val="superscript"/>
              </w:rPr>
              <w:t>-2</w:t>
            </w:r>
            <w:r w:rsidRPr="002C1729">
              <w:rPr>
                <w:rFonts w:ascii="Arial" w:hAnsi="Arial" w:cs="Arial"/>
                <w:sz w:val="20"/>
                <w:szCs w:val="20"/>
              </w:rPr>
              <w:t>)</w:t>
            </w:r>
          </w:p>
        </w:tc>
        <w:tc>
          <w:tcPr>
            <w:tcW w:w="1225" w:type="dxa"/>
          </w:tcPr>
          <w:p w14:paraId="2B4455A1" w14:textId="77777777" w:rsidR="00803F18" w:rsidRPr="002C1729" w:rsidRDefault="002C1729" w:rsidP="00833DB3">
            <w:pPr>
              <w:rPr>
                <w:rFonts w:ascii="Arial" w:hAnsi="Arial" w:cs="Arial"/>
                <w:sz w:val="20"/>
                <w:szCs w:val="20"/>
              </w:rPr>
            </w:pPr>
            <w:r w:rsidRPr="002C1729">
              <w:rPr>
                <w:rFonts w:ascii="Arial" w:hAnsi="Arial" w:cs="Arial"/>
                <w:sz w:val="20"/>
                <w:szCs w:val="20"/>
              </w:rPr>
              <w:t>GDP</w:t>
            </w:r>
          </w:p>
          <w:p w14:paraId="51592492" w14:textId="4C901660" w:rsidR="002C1729" w:rsidRPr="002C1729" w:rsidRDefault="002C1729" w:rsidP="00833DB3">
            <w:pPr>
              <w:rPr>
                <w:rFonts w:ascii="Arial" w:hAnsi="Arial" w:cs="Arial"/>
                <w:sz w:val="20"/>
                <w:szCs w:val="20"/>
              </w:rPr>
            </w:pPr>
            <w:r w:rsidRPr="002C1729">
              <w:rPr>
                <w:rFonts w:ascii="Arial" w:hAnsi="Arial" w:cs="Arial"/>
                <w:sz w:val="20"/>
                <w:szCs w:val="20"/>
              </w:rPr>
              <w:t>£ bn</w:t>
            </w:r>
          </w:p>
        </w:tc>
        <w:tc>
          <w:tcPr>
            <w:tcW w:w="1353" w:type="dxa"/>
          </w:tcPr>
          <w:p w14:paraId="63DCCC8E" w14:textId="464F45C0" w:rsidR="00803F18" w:rsidRPr="002C1729" w:rsidRDefault="002C1729" w:rsidP="00833DB3">
            <w:pPr>
              <w:rPr>
                <w:rFonts w:ascii="Arial" w:hAnsi="Arial" w:cs="Arial"/>
                <w:sz w:val="20"/>
                <w:szCs w:val="20"/>
              </w:rPr>
            </w:pPr>
            <w:r w:rsidRPr="002C1729">
              <w:rPr>
                <w:rFonts w:ascii="Arial" w:hAnsi="Arial" w:cs="Arial"/>
                <w:sz w:val="20"/>
                <w:szCs w:val="20"/>
              </w:rPr>
              <w:t xml:space="preserve">Median Weekly Earnings </w:t>
            </w:r>
            <w:r>
              <w:rPr>
                <w:rFonts w:ascii="Arial" w:hAnsi="Arial" w:cs="Arial"/>
                <w:sz w:val="20"/>
                <w:szCs w:val="20"/>
              </w:rPr>
              <w:t>(</w:t>
            </w:r>
            <w:r w:rsidRPr="002C1729">
              <w:rPr>
                <w:rFonts w:ascii="Arial" w:hAnsi="Arial" w:cs="Arial"/>
                <w:sz w:val="20"/>
                <w:szCs w:val="20"/>
              </w:rPr>
              <w:t>£)</w:t>
            </w:r>
          </w:p>
        </w:tc>
        <w:tc>
          <w:tcPr>
            <w:tcW w:w="1289" w:type="dxa"/>
          </w:tcPr>
          <w:p w14:paraId="28A0436C" w14:textId="36C3E828" w:rsidR="00803F18" w:rsidRPr="002C1729" w:rsidRDefault="002C1729" w:rsidP="00833DB3">
            <w:pPr>
              <w:rPr>
                <w:rFonts w:ascii="Arial" w:hAnsi="Arial" w:cs="Arial"/>
                <w:sz w:val="20"/>
                <w:szCs w:val="20"/>
              </w:rPr>
            </w:pPr>
            <w:r>
              <w:rPr>
                <w:rFonts w:ascii="Arial" w:hAnsi="Arial" w:cs="Arial"/>
                <w:sz w:val="20"/>
                <w:szCs w:val="20"/>
              </w:rPr>
              <w:t>Car Ownership per Capita.</w:t>
            </w:r>
          </w:p>
        </w:tc>
      </w:tr>
      <w:tr w:rsidR="00803F18" w14:paraId="5E8C9156" w14:textId="77777777" w:rsidTr="002C1729">
        <w:tc>
          <w:tcPr>
            <w:tcW w:w="1288" w:type="dxa"/>
          </w:tcPr>
          <w:p w14:paraId="745257B5" w14:textId="79EC13B7" w:rsidR="00803F18" w:rsidRDefault="00803F18" w:rsidP="00833DB3">
            <w:pPr>
              <w:rPr>
                <w:rFonts w:ascii="Arial" w:hAnsi="Arial" w:cs="Arial"/>
              </w:rPr>
            </w:pPr>
            <w:r>
              <w:rPr>
                <w:rFonts w:ascii="Arial" w:hAnsi="Arial" w:cs="Arial"/>
              </w:rPr>
              <w:t>Isle of Wight</w:t>
            </w:r>
          </w:p>
        </w:tc>
        <w:tc>
          <w:tcPr>
            <w:tcW w:w="1289" w:type="dxa"/>
          </w:tcPr>
          <w:p w14:paraId="15FBA6F4" w14:textId="2864A80C" w:rsidR="00803F18" w:rsidRDefault="002C1729" w:rsidP="00833DB3">
            <w:pPr>
              <w:rPr>
                <w:rFonts w:ascii="Arial" w:hAnsi="Arial" w:cs="Arial"/>
              </w:rPr>
            </w:pPr>
            <w:r>
              <w:rPr>
                <w:rFonts w:ascii="Arial" w:hAnsi="Arial" w:cs="Arial"/>
              </w:rPr>
              <w:t>382</w:t>
            </w:r>
          </w:p>
        </w:tc>
        <w:tc>
          <w:tcPr>
            <w:tcW w:w="1289" w:type="dxa"/>
          </w:tcPr>
          <w:p w14:paraId="72409D34" w14:textId="6AD23636" w:rsidR="00803F18" w:rsidRDefault="002C1729" w:rsidP="00833DB3">
            <w:pPr>
              <w:rPr>
                <w:rFonts w:ascii="Arial" w:hAnsi="Arial" w:cs="Arial"/>
              </w:rPr>
            </w:pPr>
            <w:r>
              <w:rPr>
                <w:rFonts w:ascii="Arial" w:hAnsi="Arial" w:cs="Arial"/>
              </w:rPr>
              <w:t>140,400</w:t>
            </w:r>
          </w:p>
        </w:tc>
        <w:tc>
          <w:tcPr>
            <w:tcW w:w="1288" w:type="dxa"/>
          </w:tcPr>
          <w:p w14:paraId="33DBC76E" w14:textId="06FB0EF7" w:rsidR="00803F18" w:rsidRDefault="002C1729" w:rsidP="00833DB3">
            <w:pPr>
              <w:rPr>
                <w:rFonts w:ascii="Arial" w:hAnsi="Arial" w:cs="Arial"/>
              </w:rPr>
            </w:pPr>
            <w:r>
              <w:rPr>
                <w:rFonts w:ascii="Arial" w:hAnsi="Arial" w:cs="Arial"/>
              </w:rPr>
              <w:t>368</w:t>
            </w:r>
          </w:p>
        </w:tc>
        <w:tc>
          <w:tcPr>
            <w:tcW w:w="1225" w:type="dxa"/>
          </w:tcPr>
          <w:p w14:paraId="117EA466" w14:textId="3504CFB2" w:rsidR="00803F18" w:rsidRDefault="002C1729" w:rsidP="00833DB3">
            <w:pPr>
              <w:rPr>
                <w:rFonts w:ascii="Arial" w:hAnsi="Arial" w:cs="Arial"/>
              </w:rPr>
            </w:pPr>
            <w:r>
              <w:rPr>
                <w:rFonts w:ascii="Arial" w:hAnsi="Arial" w:cs="Arial"/>
              </w:rPr>
              <w:t>3.10</w:t>
            </w:r>
          </w:p>
        </w:tc>
        <w:tc>
          <w:tcPr>
            <w:tcW w:w="1353" w:type="dxa"/>
          </w:tcPr>
          <w:p w14:paraId="4275A3F0" w14:textId="2129DE3A" w:rsidR="00803F18" w:rsidRDefault="002C1729" w:rsidP="00833DB3">
            <w:pPr>
              <w:rPr>
                <w:rFonts w:ascii="Arial" w:hAnsi="Arial" w:cs="Arial"/>
              </w:rPr>
            </w:pPr>
            <w:r>
              <w:rPr>
                <w:rFonts w:ascii="Arial" w:hAnsi="Arial" w:cs="Arial"/>
              </w:rPr>
              <w:t>621</w:t>
            </w:r>
          </w:p>
        </w:tc>
        <w:tc>
          <w:tcPr>
            <w:tcW w:w="1289" w:type="dxa"/>
          </w:tcPr>
          <w:p w14:paraId="361F0195" w14:textId="2F52BF52" w:rsidR="00803F18" w:rsidRDefault="002C1729" w:rsidP="00833DB3">
            <w:pPr>
              <w:rPr>
                <w:rFonts w:ascii="Arial" w:hAnsi="Arial" w:cs="Arial"/>
              </w:rPr>
            </w:pPr>
            <w:r>
              <w:rPr>
                <w:rFonts w:ascii="Arial" w:hAnsi="Arial" w:cs="Arial"/>
              </w:rPr>
              <w:t>0.57</w:t>
            </w:r>
          </w:p>
        </w:tc>
      </w:tr>
      <w:tr w:rsidR="00803F18" w14:paraId="6F608E93" w14:textId="77777777" w:rsidTr="002C1729">
        <w:tc>
          <w:tcPr>
            <w:tcW w:w="1288" w:type="dxa"/>
          </w:tcPr>
          <w:p w14:paraId="51B072C6" w14:textId="6E7BCEE5" w:rsidR="00803F18" w:rsidRDefault="00803F18" w:rsidP="00833DB3">
            <w:pPr>
              <w:rPr>
                <w:rFonts w:ascii="Arial" w:hAnsi="Arial" w:cs="Arial"/>
              </w:rPr>
            </w:pPr>
            <w:r>
              <w:rPr>
                <w:rFonts w:ascii="Arial" w:hAnsi="Arial" w:cs="Arial"/>
              </w:rPr>
              <w:t>Isle of Man</w:t>
            </w:r>
          </w:p>
        </w:tc>
        <w:tc>
          <w:tcPr>
            <w:tcW w:w="1289" w:type="dxa"/>
          </w:tcPr>
          <w:p w14:paraId="792FEA4C" w14:textId="0F071CEF" w:rsidR="00803F18" w:rsidRDefault="002C1729" w:rsidP="00833DB3">
            <w:pPr>
              <w:rPr>
                <w:rFonts w:ascii="Arial" w:hAnsi="Arial" w:cs="Arial"/>
              </w:rPr>
            </w:pPr>
            <w:r>
              <w:rPr>
                <w:rFonts w:ascii="Arial" w:hAnsi="Arial" w:cs="Arial"/>
              </w:rPr>
              <w:t>572</w:t>
            </w:r>
          </w:p>
        </w:tc>
        <w:tc>
          <w:tcPr>
            <w:tcW w:w="1289" w:type="dxa"/>
          </w:tcPr>
          <w:p w14:paraId="3E3C53AE" w14:textId="1352091A" w:rsidR="00803F18" w:rsidRDefault="002C1729" w:rsidP="00833DB3">
            <w:pPr>
              <w:rPr>
                <w:rFonts w:ascii="Arial" w:hAnsi="Arial" w:cs="Arial"/>
              </w:rPr>
            </w:pPr>
            <w:r>
              <w:rPr>
                <w:rFonts w:ascii="Arial" w:hAnsi="Arial" w:cs="Arial"/>
              </w:rPr>
              <w:t xml:space="preserve"> 84,069</w:t>
            </w:r>
          </w:p>
        </w:tc>
        <w:tc>
          <w:tcPr>
            <w:tcW w:w="1288" w:type="dxa"/>
          </w:tcPr>
          <w:p w14:paraId="2B630D9C" w14:textId="03092ABA" w:rsidR="00803F18" w:rsidRDefault="002C1729" w:rsidP="00833DB3">
            <w:pPr>
              <w:rPr>
                <w:rFonts w:ascii="Arial" w:hAnsi="Arial" w:cs="Arial"/>
              </w:rPr>
            </w:pPr>
            <w:r>
              <w:rPr>
                <w:rFonts w:ascii="Arial" w:hAnsi="Arial" w:cs="Arial"/>
              </w:rPr>
              <w:t>147</w:t>
            </w:r>
          </w:p>
        </w:tc>
        <w:tc>
          <w:tcPr>
            <w:tcW w:w="1225" w:type="dxa"/>
          </w:tcPr>
          <w:p w14:paraId="120DD385" w14:textId="01DD5895" w:rsidR="00803F18" w:rsidRDefault="002C1729" w:rsidP="00833DB3">
            <w:pPr>
              <w:rPr>
                <w:rFonts w:ascii="Arial" w:hAnsi="Arial" w:cs="Arial"/>
              </w:rPr>
            </w:pPr>
            <w:r>
              <w:rPr>
                <w:rFonts w:ascii="Arial" w:hAnsi="Arial" w:cs="Arial"/>
              </w:rPr>
              <w:t>5.08</w:t>
            </w:r>
          </w:p>
        </w:tc>
        <w:tc>
          <w:tcPr>
            <w:tcW w:w="1353" w:type="dxa"/>
          </w:tcPr>
          <w:p w14:paraId="3778517C" w14:textId="45646E78" w:rsidR="00803F18" w:rsidRDefault="002C1729" w:rsidP="00833DB3">
            <w:pPr>
              <w:rPr>
                <w:rFonts w:ascii="Arial" w:hAnsi="Arial" w:cs="Arial"/>
              </w:rPr>
            </w:pPr>
            <w:r>
              <w:rPr>
                <w:rFonts w:ascii="Arial" w:hAnsi="Arial" w:cs="Arial"/>
              </w:rPr>
              <w:t>673</w:t>
            </w:r>
          </w:p>
        </w:tc>
        <w:tc>
          <w:tcPr>
            <w:tcW w:w="1289" w:type="dxa"/>
          </w:tcPr>
          <w:p w14:paraId="1DDAD66B" w14:textId="0EB13B59" w:rsidR="00803F18" w:rsidRDefault="002C1729" w:rsidP="00833DB3">
            <w:pPr>
              <w:rPr>
                <w:rFonts w:ascii="Arial" w:hAnsi="Arial" w:cs="Arial"/>
              </w:rPr>
            </w:pPr>
            <w:r>
              <w:rPr>
                <w:rFonts w:ascii="Arial" w:hAnsi="Arial" w:cs="Arial"/>
              </w:rPr>
              <w:t>0.61</w:t>
            </w:r>
          </w:p>
        </w:tc>
      </w:tr>
      <w:tr w:rsidR="00803F18" w14:paraId="62E10BAE" w14:textId="77777777" w:rsidTr="002C1729">
        <w:tc>
          <w:tcPr>
            <w:tcW w:w="1288" w:type="dxa"/>
          </w:tcPr>
          <w:p w14:paraId="60D690CA" w14:textId="77777777" w:rsidR="00803F18" w:rsidRDefault="00803F18" w:rsidP="00833DB3">
            <w:pPr>
              <w:rPr>
                <w:rFonts w:ascii="Arial" w:hAnsi="Arial" w:cs="Arial"/>
              </w:rPr>
            </w:pPr>
            <w:r>
              <w:rPr>
                <w:rFonts w:ascii="Arial" w:hAnsi="Arial" w:cs="Arial"/>
              </w:rPr>
              <w:t>Guernsey</w:t>
            </w:r>
          </w:p>
          <w:p w14:paraId="664A9715" w14:textId="1C604163" w:rsidR="00803F18" w:rsidRDefault="00803F18" w:rsidP="00833DB3">
            <w:pPr>
              <w:rPr>
                <w:rFonts w:ascii="Arial" w:hAnsi="Arial" w:cs="Arial"/>
              </w:rPr>
            </w:pPr>
          </w:p>
        </w:tc>
        <w:tc>
          <w:tcPr>
            <w:tcW w:w="1289" w:type="dxa"/>
          </w:tcPr>
          <w:p w14:paraId="5693003B" w14:textId="5A550903" w:rsidR="00803F18" w:rsidRDefault="002C1729" w:rsidP="00833DB3">
            <w:pPr>
              <w:rPr>
                <w:rFonts w:ascii="Arial" w:hAnsi="Arial" w:cs="Arial"/>
              </w:rPr>
            </w:pPr>
            <w:r>
              <w:rPr>
                <w:rFonts w:ascii="Arial" w:hAnsi="Arial" w:cs="Arial"/>
              </w:rPr>
              <w:t xml:space="preserve">  78</w:t>
            </w:r>
          </w:p>
        </w:tc>
        <w:tc>
          <w:tcPr>
            <w:tcW w:w="1289" w:type="dxa"/>
          </w:tcPr>
          <w:p w14:paraId="607CBE15" w14:textId="12D8344B" w:rsidR="00803F18" w:rsidRDefault="002C1729" w:rsidP="00833DB3">
            <w:pPr>
              <w:rPr>
                <w:rFonts w:ascii="Arial" w:hAnsi="Arial" w:cs="Arial"/>
              </w:rPr>
            </w:pPr>
            <w:r>
              <w:rPr>
                <w:rFonts w:ascii="Arial" w:hAnsi="Arial" w:cs="Arial"/>
              </w:rPr>
              <w:t xml:space="preserve"> 63,950</w:t>
            </w:r>
          </w:p>
        </w:tc>
        <w:tc>
          <w:tcPr>
            <w:tcW w:w="1288" w:type="dxa"/>
          </w:tcPr>
          <w:p w14:paraId="2C9525FD" w14:textId="0C34806F" w:rsidR="00803F18" w:rsidRDefault="002C1729" w:rsidP="00833DB3">
            <w:pPr>
              <w:rPr>
                <w:rFonts w:ascii="Arial" w:hAnsi="Arial" w:cs="Arial"/>
              </w:rPr>
            </w:pPr>
            <w:r>
              <w:rPr>
                <w:rFonts w:ascii="Arial" w:hAnsi="Arial" w:cs="Arial"/>
              </w:rPr>
              <w:t>820</w:t>
            </w:r>
          </w:p>
        </w:tc>
        <w:tc>
          <w:tcPr>
            <w:tcW w:w="1225" w:type="dxa"/>
          </w:tcPr>
          <w:p w14:paraId="70DF2623" w14:textId="3168EFF4" w:rsidR="00803F18" w:rsidRDefault="002C1729" w:rsidP="00833DB3">
            <w:pPr>
              <w:rPr>
                <w:rFonts w:ascii="Arial" w:hAnsi="Arial" w:cs="Arial"/>
              </w:rPr>
            </w:pPr>
            <w:r>
              <w:rPr>
                <w:rFonts w:ascii="Arial" w:hAnsi="Arial" w:cs="Arial"/>
              </w:rPr>
              <w:t>3.45</w:t>
            </w:r>
          </w:p>
        </w:tc>
        <w:tc>
          <w:tcPr>
            <w:tcW w:w="1353" w:type="dxa"/>
          </w:tcPr>
          <w:p w14:paraId="3BC6F4A4" w14:textId="79D25155" w:rsidR="00803F18" w:rsidRDefault="002C1729" w:rsidP="00833DB3">
            <w:pPr>
              <w:rPr>
                <w:rFonts w:ascii="Arial" w:hAnsi="Arial" w:cs="Arial"/>
              </w:rPr>
            </w:pPr>
            <w:r>
              <w:rPr>
                <w:rFonts w:ascii="Arial" w:hAnsi="Arial" w:cs="Arial"/>
              </w:rPr>
              <w:t>768</w:t>
            </w:r>
          </w:p>
        </w:tc>
        <w:tc>
          <w:tcPr>
            <w:tcW w:w="1289" w:type="dxa"/>
          </w:tcPr>
          <w:p w14:paraId="5AA40F05" w14:textId="4C1F01DB" w:rsidR="00803F18" w:rsidRDefault="002C1729" w:rsidP="00833DB3">
            <w:pPr>
              <w:rPr>
                <w:rFonts w:ascii="Arial" w:hAnsi="Arial" w:cs="Arial"/>
              </w:rPr>
            </w:pPr>
            <w:r>
              <w:rPr>
                <w:rFonts w:ascii="Arial" w:hAnsi="Arial" w:cs="Arial"/>
              </w:rPr>
              <w:t>0.98</w:t>
            </w:r>
          </w:p>
        </w:tc>
      </w:tr>
      <w:tr w:rsidR="00803F18" w14:paraId="01F1CEB6" w14:textId="77777777" w:rsidTr="002C1729">
        <w:tc>
          <w:tcPr>
            <w:tcW w:w="1288" w:type="dxa"/>
          </w:tcPr>
          <w:p w14:paraId="40B9B04A" w14:textId="77777777" w:rsidR="00803F18" w:rsidRDefault="00803F18" w:rsidP="00833DB3">
            <w:pPr>
              <w:rPr>
                <w:rFonts w:ascii="Arial" w:hAnsi="Arial" w:cs="Arial"/>
              </w:rPr>
            </w:pPr>
            <w:r>
              <w:rPr>
                <w:rFonts w:ascii="Arial" w:hAnsi="Arial" w:cs="Arial"/>
              </w:rPr>
              <w:t>Jersey</w:t>
            </w:r>
          </w:p>
          <w:p w14:paraId="6E89FC62" w14:textId="50DB0E70" w:rsidR="002C1729" w:rsidRDefault="002C1729" w:rsidP="00833DB3">
            <w:pPr>
              <w:rPr>
                <w:rFonts w:ascii="Arial" w:hAnsi="Arial" w:cs="Arial"/>
              </w:rPr>
            </w:pPr>
          </w:p>
        </w:tc>
        <w:tc>
          <w:tcPr>
            <w:tcW w:w="1289" w:type="dxa"/>
          </w:tcPr>
          <w:p w14:paraId="3EA42434" w14:textId="5908F74E" w:rsidR="00803F18" w:rsidRDefault="002C1729" w:rsidP="00833DB3">
            <w:pPr>
              <w:rPr>
                <w:rFonts w:ascii="Arial" w:hAnsi="Arial" w:cs="Arial"/>
              </w:rPr>
            </w:pPr>
            <w:r>
              <w:rPr>
                <w:rFonts w:ascii="Arial" w:hAnsi="Arial" w:cs="Arial"/>
              </w:rPr>
              <w:t>120</w:t>
            </w:r>
          </w:p>
        </w:tc>
        <w:tc>
          <w:tcPr>
            <w:tcW w:w="1289" w:type="dxa"/>
          </w:tcPr>
          <w:p w14:paraId="3A0DA83F" w14:textId="011F92AD" w:rsidR="00803F18" w:rsidRDefault="002C1729" w:rsidP="00833DB3">
            <w:pPr>
              <w:rPr>
                <w:rFonts w:ascii="Arial" w:hAnsi="Arial" w:cs="Arial"/>
              </w:rPr>
            </w:pPr>
            <w:r>
              <w:rPr>
                <w:rFonts w:ascii="Arial" w:hAnsi="Arial" w:cs="Arial"/>
              </w:rPr>
              <w:t>103,100</w:t>
            </w:r>
          </w:p>
        </w:tc>
        <w:tc>
          <w:tcPr>
            <w:tcW w:w="1288" w:type="dxa"/>
          </w:tcPr>
          <w:p w14:paraId="38FC4C0F" w14:textId="607E74A6" w:rsidR="00803F18" w:rsidRDefault="002C1729" w:rsidP="00833DB3">
            <w:pPr>
              <w:rPr>
                <w:rFonts w:ascii="Arial" w:hAnsi="Arial" w:cs="Arial"/>
              </w:rPr>
            </w:pPr>
            <w:r>
              <w:rPr>
                <w:rFonts w:ascii="Arial" w:hAnsi="Arial" w:cs="Arial"/>
              </w:rPr>
              <w:t>859</w:t>
            </w:r>
          </w:p>
        </w:tc>
        <w:tc>
          <w:tcPr>
            <w:tcW w:w="1225" w:type="dxa"/>
          </w:tcPr>
          <w:p w14:paraId="41FEA6C1" w14:textId="2B126351" w:rsidR="00803F18" w:rsidRDefault="002C1729" w:rsidP="00833DB3">
            <w:pPr>
              <w:rPr>
                <w:rFonts w:ascii="Arial" w:hAnsi="Arial" w:cs="Arial"/>
              </w:rPr>
            </w:pPr>
            <w:r>
              <w:rPr>
                <w:rFonts w:ascii="Arial" w:hAnsi="Arial" w:cs="Arial"/>
              </w:rPr>
              <w:t>5.09</w:t>
            </w:r>
          </w:p>
        </w:tc>
        <w:tc>
          <w:tcPr>
            <w:tcW w:w="1353" w:type="dxa"/>
          </w:tcPr>
          <w:p w14:paraId="615002A4" w14:textId="4C5937DD" w:rsidR="00803F18" w:rsidRDefault="002C1729" w:rsidP="00833DB3">
            <w:pPr>
              <w:rPr>
                <w:rFonts w:ascii="Arial" w:hAnsi="Arial" w:cs="Arial"/>
              </w:rPr>
            </w:pPr>
            <w:r>
              <w:rPr>
                <w:rFonts w:ascii="Arial" w:hAnsi="Arial" w:cs="Arial"/>
              </w:rPr>
              <w:t>860</w:t>
            </w:r>
          </w:p>
        </w:tc>
        <w:tc>
          <w:tcPr>
            <w:tcW w:w="1289" w:type="dxa"/>
          </w:tcPr>
          <w:p w14:paraId="55824730" w14:textId="04AE089F" w:rsidR="00803F18" w:rsidRDefault="002C1729" w:rsidP="00833DB3">
            <w:pPr>
              <w:rPr>
                <w:rFonts w:ascii="Arial" w:hAnsi="Arial" w:cs="Arial"/>
              </w:rPr>
            </w:pPr>
            <w:r>
              <w:rPr>
                <w:rFonts w:ascii="Arial" w:hAnsi="Arial" w:cs="Arial"/>
              </w:rPr>
              <w:t>0.66</w:t>
            </w:r>
          </w:p>
        </w:tc>
      </w:tr>
    </w:tbl>
    <w:p w14:paraId="6FFBBDA6" w14:textId="69E62DDC" w:rsidR="00803F18" w:rsidRDefault="002C1729" w:rsidP="00833DB3">
      <w:pPr>
        <w:ind w:left="567" w:hanging="567"/>
        <w:rPr>
          <w:rFonts w:ascii="Arial" w:hAnsi="Arial" w:cs="Arial"/>
        </w:rPr>
      </w:pPr>
      <w:r>
        <w:rPr>
          <w:rFonts w:ascii="Arial" w:hAnsi="Arial" w:cs="Arial"/>
        </w:rPr>
        <w:t>Source: Mu, op cit., 8.</w:t>
      </w:r>
    </w:p>
    <w:p w14:paraId="011CE96D" w14:textId="5223535A" w:rsidR="002A0397" w:rsidRDefault="002C1729" w:rsidP="002C1729">
      <w:pPr>
        <w:rPr>
          <w:rFonts w:ascii="Arial" w:hAnsi="Arial" w:cs="Arial"/>
        </w:rPr>
      </w:pPr>
      <w:r>
        <w:rPr>
          <w:rFonts w:ascii="Arial" w:hAnsi="Arial" w:cs="Arial"/>
        </w:rPr>
        <w:t xml:space="preserve">Table 4 indicates that these islands are broadly </w:t>
      </w:r>
      <w:r w:rsidR="00C92AD5">
        <w:rPr>
          <w:rFonts w:ascii="Arial" w:hAnsi="Arial" w:cs="Arial"/>
        </w:rPr>
        <w:t>comparable,</w:t>
      </w:r>
      <w:r>
        <w:rPr>
          <w:rFonts w:ascii="Arial" w:hAnsi="Arial" w:cs="Arial"/>
        </w:rPr>
        <w:t xml:space="preserve"> but the two Channel Islands (Guernsey and Jersey) are smaller (in terms of area), more densely populated, wealthier and with higher car owners</w:t>
      </w:r>
      <w:r w:rsidR="004D32F3">
        <w:rPr>
          <w:rFonts w:ascii="Arial" w:hAnsi="Arial" w:cs="Arial"/>
        </w:rPr>
        <w:t>h</w:t>
      </w:r>
      <w:r>
        <w:rPr>
          <w:rFonts w:ascii="Arial" w:hAnsi="Arial" w:cs="Arial"/>
        </w:rPr>
        <w:t>ip.</w:t>
      </w:r>
      <w:r w:rsidR="002A0397">
        <w:rPr>
          <w:rFonts w:ascii="Arial" w:hAnsi="Arial" w:cs="Arial"/>
        </w:rPr>
        <w:t xml:space="preserve"> Some evidence on the performance of the bus industry in each of the four islands is given by Table 5.</w:t>
      </w:r>
      <w:r w:rsidR="00F52492">
        <w:rPr>
          <w:rFonts w:ascii="Arial" w:hAnsi="Arial" w:cs="Arial"/>
        </w:rPr>
        <w:t xml:space="preserve"> Where possible the data presented are standardised to permit comparisons.</w:t>
      </w:r>
      <w:r w:rsidR="00123849">
        <w:rPr>
          <w:rFonts w:ascii="Arial" w:hAnsi="Arial" w:cs="Arial"/>
        </w:rPr>
        <w:t xml:space="preserve"> This </w:t>
      </w:r>
      <w:r w:rsidR="00D628FC">
        <w:rPr>
          <w:rFonts w:ascii="Arial" w:hAnsi="Arial" w:cs="Arial"/>
        </w:rPr>
        <w:t>is based on</w:t>
      </w:r>
      <w:r w:rsidR="00123849">
        <w:rPr>
          <w:rFonts w:ascii="Arial" w:hAnsi="Arial" w:cs="Arial"/>
        </w:rPr>
        <w:t xml:space="preserve"> per capita indicators</w:t>
      </w:r>
      <w:r w:rsidR="00D628FC">
        <w:rPr>
          <w:rFonts w:ascii="Arial" w:hAnsi="Arial" w:cs="Arial"/>
        </w:rPr>
        <w:t>, as consistent data on households and age structures were not available. It should be note</w:t>
      </w:r>
      <w:r w:rsidR="00073B03">
        <w:rPr>
          <w:rFonts w:ascii="Arial" w:hAnsi="Arial" w:cs="Arial"/>
        </w:rPr>
        <w:t>d</w:t>
      </w:r>
      <w:r w:rsidR="00D628FC">
        <w:rPr>
          <w:rFonts w:ascii="Arial" w:hAnsi="Arial" w:cs="Arial"/>
        </w:rPr>
        <w:t xml:space="preserve"> that </w:t>
      </w:r>
      <w:r w:rsidR="00123849">
        <w:rPr>
          <w:rFonts w:ascii="Arial" w:hAnsi="Arial" w:cs="Arial"/>
        </w:rPr>
        <w:t>all four islands have substantial tourist industries so that the resident population is not a complete indicator of demand</w:t>
      </w:r>
      <w:r w:rsidR="00073B03">
        <w:rPr>
          <w:rFonts w:ascii="Arial" w:hAnsi="Arial" w:cs="Arial"/>
        </w:rPr>
        <w:t xml:space="preserve"> potential</w:t>
      </w:r>
      <w:r w:rsidR="00123849">
        <w:rPr>
          <w:rFonts w:ascii="Arial" w:hAnsi="Arial" w:cs="Arial"/>
        </w:rPr>
        <w:t>.</w:t>
      </w:r>
    </w:p>
    <w:p w14:paraId="3863B5DF" w14:textId="376E70FE" w:rsidR="002C1729" w:rsidRPr="00B35DE2" w:rsidRDefault="00B35DE2" w:rsidP="002C1729">
      <w:pPr>
        <w:rPr>
          <w:rFonts w:ascii="Arial" w:hAnsi="Arial" w:cs="Arial"/>
          <w:b/>
          <w:bCs/>
        </w:rPr>
      </w:pPr>
      <w:r w:rsidRPr="00B35DE2">
        <w:rPr>
          <w:rFonts w:ascii="Arial" w:hAnsi="Arial" w:cs="Arial"/>
          <w:b/>
          <w:bCs/>
        </w:rPr>
        <w:t>Table 5: Comparative Bus Statistics for the Four Islands</w:t>
      </w:r>
    </w:p>
    <w:tbl>
      <w:tblPr>
        <w:tblStyle w:val="TableGrid"/>
        <w:tblW w:w="0" w:type="auto"/>
        <w:tblLook w:val="04A0" w:firstRow="1" w:lastRow="0" w:firstColumn="1" w:lastColumn="0" w:noHBand="0" w:noVBand="1"/>
      </w:tblPr>
      <w:tblGrid>
        <w:gridCol w:w="1288"/>
        <w:gridCol w:w="1288"/>
        <w:gridCol w:w="1288"/>
        <w:gridCol w:w="1288"/>
        <w:gridCol w:w="1288"/>
        <w:gridCol w:w="1210"/>
        <w:gridCol w:w="1366"/>
      </w:tblGrid>
      <w:tr w:rsidR="002A0397" w14:paraId="5F9BBA45" w14:textId="77777777" w:rsidTr="002A0397">
        <w:tc>
          <w:tcPr>
            <w:tcW w:w="1288" w:type="dxa"/>
          </w:tcPr>
          <w:p w14:paraId="40752760" w14:textId="77777777" w:rsidR="002A0397" w:rsidRDefault="002A0397" w:rsidP="002C1729">
            <w:pPr>
              <w:rPr>
                <w:rFonts w:ascii="Arial" w:hAnsi="Arial" w:cs="Arial"/>
              </w:rPr>
            </w:pPr>
          </w:p>
        </w:tc>
        <w:tc>
          <w:tcPr>
            <w:tcW w:w="1288" w:type="dxa"/>
          </w:tcPr>
          <w:p w14:paraId="697470B4" w14:textId="2C9F6F31" w:rsidR="002A0397" w:rsidRDefault="002A0397" w:rsidP="002C1729">
            <w:pPr>
              <w:rPr>
                <w:rFonts w:ascii="Arial" w:hAnsi="Arial" w:cs="Arial"/>
              </w:rPr>
            </w:pPr>
            <w:r>
              <w:rPr>
                <w:rFonts w:ascii="Arial" w:hAnsi="Arial" w:cs="Arial"/>
              </w:rPr>
              <w:t>SDEUs per 000 population</w:t>
            </w:r>
          </w:p>
        </w:tc>
        <w:tc>
          <w:tcPr>
            <w:tcW w:w="1288" w:type="dxa"/>
          </w:tcPr>
          <w:p w14:paraId="331499A2" w14:textId="31244F8D" w:rsidR="002A0397" w:rsidRDefault="002A0397" w:rsidP="002C1729">
            <w:pPr>
              <w:rPr>
                <w:rFonts w:ascii="Arial" w:hAnsi="Arial" w:cs="Arial"/>
              </w:rPr>
            </w:pPr>
            <w:r>
              <w:rPr>
                <w:rFonts w:ascii="Arial" w:hAnsi="Arial" w:cs="Arial"/>
              </w:rPr>
              <w:t>Annual bus kms per capita</w:t>
            </w:r>
          </w:p>
        </w:tc>
        <w:tc>
          <w:tcPr>
            <w:tcW w:w="1288" w:type="dxa"/>
          </w:tcPr>
          <w:p w14:paraId="3856B970" w14:textId="5A5A9528" w:rsidR="002A0397" w:rsidRDefault="002A0397" w:rsidP="002C1729">
            <w:pPr>
              <w:rPr>
                <w:rFonts w:ascii="Arial" w:hAnsi="Arial" w:cs="Arial"/>
              </w:rPr>
            </w:pPr>
            <w:r>
              <w:rPr>
                <w:rFonts w:ascii="Arial" w:hAnsi="Arial" w:cs="Arial"/>
              </w:rPr>
              <w:t>Annual passenger trips per capita</w:t>
            </w:r>
          </w:p>
        </w:tc>
        <w:tc>
          <w:tcPr>
            <w:tcW w:w="1288" w:type="dxa"/>
          </w:tcPr>
          <w:p w14:paraId="7214D281" w14:textId="5D351675" w:rsidR="002A0397" w:rsidRDefault="002A0397" w:rsidP="002C1729">
            <w:pPr>
              <w:rPr>
                <w:rFonts w:ascii="Arial" w:hAnsi="Arial" w:cs="Arial"/>
              </w:rPr>
            </w:pPr>
            <w:r>
              <w:rPr>
                <w:rFonts w:ascii="Arial" w:hAnsi="Arial" w:cs="Arial"/>
              </w:rPr>
              <w:t>Fare per km (£)</w:t>
            </w:r>
          </w:p>
        </w:tc>
        <w:tc>
          <w:tcPr>
            <w:tcW w:w="1210" w:type="dxa"/>
          </w:tcPr>
          <w:p w14:paraId="130C9E09" w14:textId="346C2E62" w:rsidR="002A0397" w:rsidRDefault="002A0397" w:rsidP="002C1729">
            <w:pPr>
              <w:rPr>
                <w:rFonts w:ascii="Arial" w:hAnsi="Arial" w:cs="Arial"/>
              </w:rPr>
            </w:pPr>
            <w:r>
              <w:rPr>
                <w:rFonts w:ascii="Arial" w:hAnsi="Arial" w:cs="Arial"/>
              </w:rPr>
              <w:t>Annual subsidy per capita (£)</w:t>
            </w:r>
          </w:p>
        </w:tc>
        <w:tc>
          <w:tcPr>
            <w:tcW w:w="1366" w:type="dxa"/>
          </w:tcPr>
          <w:p w14:paraId="23DC9062" w14:textId="1095088F" w:rsidR="002A0397" w:rsidRDefault="002A0397" w:rsidP="002C1729">
            <w:pPr>
              <w:rPr>
                <w:rFonts w:ascii="Arial" w:hAnsi="Arial" w:cs="Arial"/>
              </w:rPr>
            </w:pPr>
            <w:r>
              <w:rPr>
                <w:rFonts w:ascii="Arial" w:hAnsi="Arial" w:cs="Arial"/>
              </w:rPr>
              <w:t>Below average Trip Advisor reviews (%)</w:t>
            </w:r>
          </w:p>
        </w:tc>
      </w:tr>
      <w:tr w:rsidR="002A0397" w14:paraId="287ABA09" w14:textId="77777777" w:rsidTr="002A0397">
        <w:tc>
          <w:tcPr>
            <w:tcW w:w="1288" w:type="dxa"/>
          </w:tcPr>
          <w:p w14:paraId="7445CB85" w14:textId="480C9677" w:rsidR="002A0397" w:rsidRDefault="002A0397" w:rsidP="002A0397">
            <w:pPr>
              <w:rPr>
                <w:rFonts w:ascii="Arial" w:hAnsi="Arial" w:cs="Arial"/>
              </w:rPr>
            </w:pPr>
            <w:r>
              <w:rPr>
                <w:rFonts w:ascii="Arial" w:hAnsi="Arial" w:cs="Arial"/>
              </w:rPr>
              <w:t>Isle of Wight</w:t>
            </w:r>
          </w:p>
        </w:tc>
        <w:tc>
          <w:tcPr>
            <w:tcW w:w="1288" w:type="dxa"/>
          </w:tcPr>
          <w:p w14:paraId="349DA115" w14:textId="1DC91380" w:rsidR="002A0397" w:rsidRDefault="00D13B75" w:rsidP="002A0397">
            <w:pPr>
              <w:rPr>
                <w:rFonts w:ascii="Arial" w:hAnsi="Arial" w:cs="Arial"/>
              </w:rPr>
            </w:pPr>
            <w:r>
              <w:rPr>
                <w:rFonts w:ascii="Arial" w:hAnsi="Arial" w:cs="Arial"/>
              </w:rPr>
              <w:t>1.14</w:t>
            </w:r>
          </w:p>
        </w:tc>
        <w:tc>
          <w:tcPr>
            <w:tcW w:w="1288" w:type="dxa"/>
          </w:tcPr>
          <w:p w14:paraId="1E396E89" w14:textId="176605E3" w:rsidR="002A0397" w:rsidRDefault="00D13B75" w:rsidP="002A0397">
            <w:pPr>
              <w:rPr>
                <w:rFonts w:ascii="Arial" w:hAnsi="Arial" w:cs="Arial"/>
              </w:rPr>
            </w:pPr>
            <w:r>
              <w:rPr>
                <w:rFonts w:ascii="Arial" w:hAnsi="Arial" w:cs="Arial"/>
              </w:rPr>
              <w:t>32.5</w:t>
            </w:r>
          </w:p>
        </w:tc>
        <w:tc>
          <w:tcPr>
            <w:tcW w:w="1288" w:type="dxa"/>
          </w:tcPr>
          <w:p w14:paraId="1C523153" w14:textId="7697076C" w:rsidR="002A0397" w:rsidRDefault="00D13B75" w:rsidP="002A0397">
            <w:pPr>
              <w:rPr>
                <w:rFonts w:ascii="Arial" w:hAnsi="Arial" w:cs="Arial"/>
              </w:rPr>
            </w:pPr>
            <w:r>
              <w:rPr>
                <w:rFonts w:ascii="Arial" w:hAnsi="Arial" w:cs="Arial"/>
              </w:rPr>
              <w:t>44</w:t>
            </w:r>
          </w:p>
        </w:tc>
        <w:tc>
          <w:tcPr>
            <w:tcW w:w="1288" w:type="dxa"/>
          </w:tcPr>
          <w:p w14:paraId="183AEF6F" w14:textId="027D9694" w:rsidR="002A0397" w:rsidRDefault="00D13B75" w:rsidP="002A0397">
            <w:pPr>
              <w:rPr>
                <w:rFonts w:ascii="Arial" w:hAnsi="Arial" w:cs="Arial"/>
              </w:rPr>
            </w:pPr>
            <w:r>
              <w:rPr>
                <w:rFonts w:ascii="Arial" w:hAnsi="Arial" w:cs="Arial"/>
              </w:rPr>
              <w:t>0.15</w:t>
            </w:r>
          </w:p>
        </w:tc>
        <w:tc>
          <w:tcPr>
            <w:tcW w:w="1210" w:type="dxa"/>
          </w:tcPr>
          <w:p w14:paraId="2D71715C" w14:textId="437C0A0D" w:rsidR="002A0397" w:rsidRDefault="00D13B75" w:rsidP="002A0397">
            <w:pPr>
              <w:rPr>
                <w:rFonts w:ascii="Arial" w:hAnsi="Arial" w:cs="Arial"/>
              </w:rPr>
            </w:pPr>
            <w:r>
              <w:rPr>
                <w:rFonts w:ascii="Arial" w:hAnsi="Arial" w:cs="Arial"/>
              </w:rPr>
              <w:t>33.40</w:t>
            </w:r>
          </w:p>
        </w:tc>
        <w:tc>
          <w:tcPr>
            <w:tcW w:w="1366" w:type="dxa"/>
          </w:tcPr>
          <w:p w14:paraId="2800243B" w14:textId="3191C364" w:rsidR="002A0397" w:rsidRDefault="00D13B75" w:rsidP="002A0397">
            <w:pPr>
              <w:rPr>
                <w:rFonts w:ascii="Arial" w:hAnsi="Arial" w:cs="Arial"/>
              </w:rPr>
            </w:pPr>
            <w:r>
              <w:rPr>
                <w:rFonts w:ascii="Arial" w:hAnsi="Arial" w:cs="Arial"/>
              </w:rPr>
              <w:t>17.3</w:t>
            </w:r>
          </w:p>
        </w:tc>
      </w:tr>
      <w:tr w:rsidR="002A0397" w14:paraId="5AFA0D92" w14:textId="77777777" w:rsidTr="002A0397">
        <w:tc>
          <w:tcPr>
            <w:tcW w:w="1288" w:type="dxa"/>
          </w:tcPr>
          <w:p w14:paraId="073FB381" w14:textId="25F52D5F" w:rsidR="002A0397" w:rsidRDefault="002A0397" w:rsidP="002A0397">
            <w:pPr>
              <w:rPr>
                <w:rFonts w:ascii="Arial" w:hAnsi="Arial" w:cs="Arial"/>
              </w:rPr>
            </w:pPr>
            <w:r>
              <w:rPr>
                <w:rFonts w:ascii="Arial" w:hAnsi="Arial" w:cs="Arial"/>
              </w:rPr>
              <w:t>Isle of Man</w:t>
            </w:r>
          </w:p>
        </w:tc>
        <w:tc>
          <w:tcPr>
            <w:tcW w:w="1288" w:type="dxa"/>
          </w:tcPr>
          <w:p w14:paraId="31D6133D" w14:textId="1B7F6382" w:rsidR="002A0397" w:rsidRDefault="00D13B75" w:rsidP="002A0397">
            <w:pPr>
              <w:rPr>
                <w:rFonts w:ascii="Arial" w:hAnsi="Arial" w:cs="Arial"/>
              </w:rPr>
            </w:pPr>
            <w:r>
              <w:rPr>
                <w:rFonts w:ascii="Arial" w:hAnsi="Arial" w:cs="Arial"/>
              </w:rPr>
              <w:t>1.12</w:t>
            </w:r>
          </w:p>
        </w:tc>
        <w:tc>
          <w:tcPr>
            <w:tcW w:w="1288" w:type="dxa"/>
          </w:tcPr>
          <w:p w14:paraId="7CACC78D" w14:textId="072E704B" w:rsidR="002A0397" w:rsidRDefault="00D13B75" w:rsidP="002A0397">
            <w:pPr>
              <w:rPr>
                <w:rFonts w:ascii="Arial" w:hAnsi="Arial" w:cs="Arial"/>
              </w:rPr>
            </w:pPr>
            <w:r>
              <w:rPr>
                <w:rFonts w:ascii="Arial" w:hAnsi="Arial" w:cs="Arial"/>
              </w:rPr>
              <w:t>34.7</w:t>
            </w:r>
          </w:p>
        </w:tc>
        <w:tc>
          <w:tcPr>
            <w:tcW w:w="1288" w:type="dxa"/>
          </w:tcPr>
          <w:p w14:paraId="0B705580" w14:textId="1DA54121" w:rsidR="002A0397" w:rsidRDefault="00D13B75" w:rsidP="002A0397">
            <w:pPr>
              <w:rPr>
                <w:rFonts w:ascii="Arial" w:hAnsi="Arial" w:cs="Arial"/>
              </w:rPr>
            </w:pPr>
            <w:r>
              <w:rPr>
                <w:rFonts w:ascii="Arial" w:hAnsi="Arial" w:cs="Arial"/>
              </w:rPr>
              <w:t>42</w:t>
            </w:r>
          </w:p>
        </w:tc>
        <w:tc>
          <w:tcPr>
            <w:tcW w:w="1288" w:type="dxa"/>
          </w:tcPr>
          <w:p w14:paraId="6F8CCAEA" w14:textId="7B183E4D" w:rsidR="002A0397" w:rsidRDefault="00D13B75" w:rsidP="002A0397">
            <w:pPr>
              <w:rPr>
                <w:rFonts w:ascii="Arial" w:hAnsi="Arial" w:cs="Arial"/>
              </w:rPr>
            </w:pPr>
            <w:r>
              <w:rPr>
                <w:rFonts w:ascii="Arial" w:hAnsi="Arial" w:cs="Arial"/>
              </w:rPr>
              <w:t>0.14</w:t>
            </w:r>
          </w:p>
        </w:tc>
        <w:tc>
          <w:tcPr>
            <w:tcW w:w="1210" w:type="dxa"/>
          </w:tcPr>
          <w:p w14:paraId="2510308A" w14:textId="2FEDCB4C" w:rsidR="002A0397" w:rsidRDefault="00D13B75" w:rsidP="002A0397">
            <w:pPr>
              <w:rPr>
                <w:rFonts w:ascii="Arial" w:hAnsi="Arial" w:cs="Arial"/>
              </w:rPr>
            </w:pPr>
            <w:r>
              <w:rPr>
                <w:rFonts w:ascii="Arial" w:hAnsi="Arial" w:cs="Arial"/>
              </w:rPr>
              <w:t>68.87</w:t>
            </w:r>
          </w:p>
        </w:tc>
        <w:tc>
          <w:tcPr>
            <w:tcW w:w="1366" w:type="dxa"/>
          </w:tcPr>
          <w:p w14:paraId="075174CA" w14:textId="0E3D2CE6" w:rsidR="002A0397" w:rsidRDefault="00F52492" w:rsidP="002A0397">
            <w:pPr>
              <w:rPr>
                <w:rFonts w:ascii="Arial" w:hAnsi="Arial" w:cs="Arial"/>
              </w:rPr>
            </w:pPr>
            <w:r>
              <w:rPr>
                <w:rFonts w:ascii="Arial" w:hAnsi="Arial" w:cs="Arial"/>
              </w:rPr>
              <w:t xml:space="preserve">  1.3</w:t>
            </w:r>
          </w:p>
        </w:tc>
      </w:tr>
      <w:tr w:rsidR="002A0397" w14:paraId="47250D08" w14:textId="77777777" w:rsidTr="002A0397">
        <w:tc>
          <w:tcPr>
            <w:tcW w:w="1288" w:type="dxa"/>
          </w:tcPr>
          <w:p w14:paraId="49DA5CB1" w14:textId="77777777" w:rsidR="002A0397" w:rsidRDefault="002A0397" w:rsidP="002A0397">
            <w:pPr>
              <w:rPr>
                <w:rFonts w:ascii="Arial" w:hAnsi="Arial" w:cs="Arial"/>
              </w:rPr>
            </w:pPr>
            <w:r>
              <w:rPr>
                <w:rFonts w:ascii="Arial" w:hAnsi="Arial" w:cs="Arial"/>
              </w:rPr>
              <w:t>Guernsey</w:t>
            </w:r>
          </w:p>
          <w:p w14:paraId="45E78FFA" w14:textId="77777777" w:rsidR="002A0397" w:rsidRDefault="002A0397" w:rsidP="002A0397">
            <w:pPr>
              <w:rPr>
                <w:rFonts w:ascii="Arial" w:hAnsi="Arial" w:cs="Arial"/>
              </w:rPr>
            </w:pPr>
          </w:p>
        </w:tc>
        <w:tc>
          <w:tcPr>
            <w:tcW w:w="1288" w:type="dxa"/>
          </w:tcPr>
          <w:p w14:paraId="5F8B3FE9" w14:textId="4E5EB812" w:rsidR="002A0397" w:rsidRDefault="00D13B75" w:rsidP="002A0397">
            <w:pPr>
              <w:rPr>
                <w:rFonts w:ascii="Arial" w:hAnsi="Arial" w:cs="Arial"/>
              </w:rPr>
            </w:pPr>
            <w:r>
              <w:rPr>
                <w:rFonts w:ascii="Arial" w:hAnsi="Arial" w:cs="Arial"/>
              </w:rPr>
              <w:t>0.68</w:t>
            </w:r>
          </w:p>
        </w:tc>
        <w:tc>
          <w:tcPr>
            <w:tcW w:w="1288" w:type="dxa"/>
          </w:tcPr>
          <w:p w14:paraId="7C1FC288" w14:textId="058C11B5" w:rsidR="002A0397" w:rsidRDefault="00D13B75" w:rsidP="002A0397">
            <w:pPr>
              <w:rPr>
                <w:rFonts w:ascii="Arial" w:hAnsi="Arial" w:cs="Arial"/>
              </w:rPr>
            </w:pPr>
            <w:r>
              <w:rPr>
                <w:rFonts w:ascii="Arial" w:hAnsi="Arial" w:cs="Arial"/>
              </w:rPr>
              <w:t>28.49</w:t>
            </w:r>
          </w:p>
        </w:tc>
        <w:tc>
          <w:tcPr>
            <w:tcW w:w="1288" w:type="dxa"/>
          </w:tcPr>
          <w:p w14:paraId="6976C308" w14:textId="57D0A93C" w:rsidR="002A0397" w:rsidRDefault="00D13B75" w:rsidP="002A0397">
            <w:pPr>
              <w:rPr>
                <w:rFonts w:ascii="Arial" w:hAnsi="Arial" w:cs="Arial"/>
              </w:rPr>
            </w:pPr>
            <w:r>
              <w:rPr>
                <w:rFonts w:ascii="Arial" w:hAnsi="Arial" w:cs="Arial"/>
              </w:rPr>
              <w:t>26</w:t>
            </w:r>
          </w:p>
        </w:tc>
        <w:tc>
          <w:tcPr>
            <w:tcW w:w="1288" w:type="dxa"/>
          </w:tcPr>
          <w:p w14:paraId="0C24EBD7" w14:textId="0D3C6189" w:rsidR="002A0397" w:rsidRDefault="00D13B75" w:rsidP="002A0397">
            <w:pPr>
              <w:rPr>
                <w:rFonts w:ascii="Arial" w:hAnsi="Arial" w:cs="Arial"/>
              </w:rPr>
            </w:pPr>
            <w:r>
              <w:rPr>
                <w:rFonts w:ascii="Arial" w:hAnsi="Arial" w:cs="Arial"/>
              </w:rPr>
              <w:t>0.17</w:t>
            </w:r>
          </w:p>
        </w:tc>
        <w:tc>
          <w:tcPr>
            <w:tcW w:w="1210" w:type="dxa"/>
          </w:tcPr>
          <w:p w14:paraId="4C1FEDAF" w14:textId="072D4028" w:rsidR="002A0397" w:rsidRDefault="00D13B75" w:rsidP="002A0397">
            <w:pPr>
              <w:rPr>
                <w:rFonts w:ascii="Arial" w:hAnsi="Arial" w:cs="Arial"/>
              </w:rPr>
            </w:pPr>
            <w:r>
              <w:rPr>
                <w:rFonts w:ascii="Arial" w:hAnsi="Arial" w:cs="Arial"/>
              </w:rPr>
              <w:t>68.80</w:t>
            </w:r>
          </w:p>
        </w:tc>
        <w:tc>
          <w:tcPr>
            <w:tcW w:w="1366" w:type="dxa"/>
          </w:tcPr>
          <w:p w14:paraId="7F785A16" w14:textId="259500E9" w:rsidR="002A0397" w:rsidRDefault="00F52492" w:rsidP="002A0397">
            <w:pPr>
              <w:rPr>
                <w:rFonts w:ascii="Arial" w:hAnsi="Arial" w:cs="Arial"/>
              </w:rPr>
            </w:pPr>
            <w:r>
              <w:rPr>
                <w:rFonts w:ascii="Arial" w:hAnsi="Arial" w:cs="Arial"/>
              </w:rPr>
              <w:t>NA</w:t>
            </w:r>
          </w:p>
        </w:tc>
      </w:tr>
      <w:tr w:rsidR="002A0397" w14:paraId="3031AE88" w14:textId="77777777" w:rsidTr="002A0397">
        <w:tc>
          <w:tcPr>
            <w:tcW w:w="1288" w:type="dxa"/>
          </w:tcPr>
          <w:p w14:paraId="5922E191" w14:textId="77777777" w:rsidR="002A0397" w:rsidRDefault="002A0397" w:rsidP="002A0397">
            <w:pPr>
              <w:rPr>
                <w:rFonts w:ascii="Arial" w:hAnsi="Arial" w:cs="Arial"/>
              </w:rPr>
            </w:pPr>
            <w:r>
              <w:rPr>
                <w:rFonts w:ascii="Arial" w:hAnsi="Arial" w:cs="Arial"/>
              </w:rPr>
              <w:t>Jersey</w:t>
            </w:r>
          </w:p>
          <w:p w14:paraId="7371BC4D" w14:textId="77777777" w:rsidR="002A0397" w:rsidRDefault="002A0397" w:rsidP="002A0397">
            <w:pPr>
              <w:rPr>
                <w:rFonts w:ascii="Arial" w:hAnsi="Arial" w:cs="Arial"/>
              </w:rPr>
            </w:pPr>
          </w:p>
        </w:tc>
        <w:tc>
          <w:tcPr>
            <w:tcW w:w="1288" w:type="dxa"/>
          </w:tcPr>
          <w:p w14:paraId="6D51D25A" w14:textId="271C9ECE" w:rsidR="002A0397" w:rsidRDefault="00D13B75" w:rsidP="002A0397">
            <w:pPr>
              <w:rPr>
                <w:rFonts w:ascii="Arial" w:hAnsi="Arial" w:cs="Arial"/>
              </w:rPr>
            </w:pPr>
            <w:r>
              <w:rPr>
                <w:rFonts w:ascii="Arial" w:hAnsi="Arial" w:cs="Arial"/>
              </w:rPr>
              <w:t>0.87</w:t>
            </w:r>
          </w:p>
        </w:tc>
        <w:tc>
          <w:tcPr>
            <w:tcW w:w="1288" w:type="dxa"/>
          </w:tcPr>
          <w:p w14:paraId="76FFB49D" w14:textId="798EB601" w:rsidR="002A0397" w:rsidRDefault="00D13B75" w:rsidP="002A0397">
            <w:pPr>
              <w:rPr>
                <w:rFonts w:ascii="Arial" w:hAnsi="Arial" w:cs="Arial"/>
              </w:rPr>
            </w:pPr>
            <w:r>
              <w:rPr>
                <w:rFonts w:ascii="Arial" w:hAnsi="Arial" w:cs="Arial"/>
              </w:rPr>
              <w:t>23.38</w:t>
            </w:r>
          </w:p>
        </w:tc>
        <w:tc>
          <w:tcPr>
            <w:tcW w:w="1288" w:type="dxa"/>
          </w:tcPr>
          <w:p w14:paraId="4AC0D6DB" w14:textId="487DD508" w:rsidR="002A0397" w:rsidRDefault="00D13B75" w:rsidP="002A0397">
            <w:pPr>
              <w:rPr>
                <w:rFonts w:ascii="Arial" w:hAnsi="Arial" w:cs="Arial"/>
              </w:rPr>
            </w:pPr>
            <w:r>
              <w:rPr>
                <w:rFonts w:ascii="Arial" w:hAnsi="Arial" w:cs="Arial"/>
              </w:rPr>
              <w:t>41</w:t>
            </w:r>
          </w:p>
        </w:tc>
        <w:tc>
          <w:tcPr>
            <w:tcW w:w="1288" w:type="dxa"/>
          </w:tcPr>
          <w:p w14:paraId="62FF7815" w14:textId="2739474D" w:rsidR="002A0397" w:rsidRDefault="00D13B75" w:rsidP="002A0397">
            <w:pPr>
              <w:rPr>
                <w:rFonts w:ascii="Arial" w:hAnsi="Arial" w:cs="Arial"/>
              </w:rPr>
            </w:pPr>
            <w:r>
              <w:rPr>
                <w:rFonts w:ascii="Arial" w:hAnsi="Arial" w:cs="Arial"/>
              </w:rPr>
              <w:t>0.28</w:t>
            </w:r>
          </w:p>
        </w:tc>
        <w:tc>
          <w:tcPr>
            <w:tcW w:w="1210" w:type="dxa"/>
          </w:tcPr>
          <w:p w14:paraId="6DAF4140" w14:textId="03DA2537" w:rsidR="002A0397" w:rsidRDefault="00D13B75" w:rsidP="002A0397">
            <w:pPr>
              <w:rPr>
                <w:rFonts w:ascii="Arial" w:hAnsi="Arial" w:cs="Arial"/>
              </w:rPr>
            </w:pPr>
            <w:r>
              <w:rPr>
                <w:rFonts w:ascii="Arial" w:hAnsi="Arial" w:cs="Arial"/>
              </w:rPr>
              <w:t>43.74</w:t>
            </w:r>
          </w:p>
        </w:tc>
        <w:tc>
          <w:tcPr>
            <w:tcW w:w="1366" w:type="dxa"/>
          </w:tcPr>
          <w:p w14:paraId="7DAEA660" w14:textId="0142F1F4" w:rsidR="002A0397" w:rsidRDefault="00F52492" w:rsidP="002A0397">
            <w:pPr>
              <w:rPr>
                <w:rFonts w:ascii="Arial" w:hAnsi="Arial" w:cs="Arial"/>
              </w:rPr>
            </w:pPr>
            <w:r>
              <w:rPr>
                <w:rFonts w:ascii="Arial" w:hAnsi="Arial" w:cs="Arial"/>
              </w:rPr>
              <w:t xml:space="preserve"> 6.5</w:t>
            </w:r>
          </w:p>
        </w:tc>
      </w:tr>
    </w:tbl>
    <w:p w14:paraId="0BAE0D5C" w14:textId="19D434A3" w:rsidR="002A0397" w:rsidRDefault="002A0397" w:rsidP="002C1729">
      <w:pPr>
        <w:rPr>
          <w:rFonts w:ascii="Arial" w:hAnsi="Arial" w:cs="Arial"/>
        </w:rPr>
      </w:pPr>
      <w:r>
        <w:rPr>
          <w:rFonts w:ascii="Arial" w:hAnsi="Arial" w:cs="Arial"/>
        </w:rPr>
        <w:t xml:space="preserve">SDEU = Single Deck Equivalent Units. NA = Not Available. Source: Mu, op cit., </w:t>
      </w:r>
      <w:r w:rsidR="00D13B75">
        <w:rPr>
          <w:rFonts w:ascii="Arial" w:hAnsi="Arial" w:cs="Arial"/>
        </w:rPr>
        <w:t xml:space="preserve">18, 38, 47,48 and 50. </w:t>
      </w:r>
    </w:p>
    <w:p w14:paraId="30845A11" w14:textId="360FF4B3" w:rsidR="002A0397" w:rsidRDefault="00F52492" w:rsidP="002C1729">
      <w:pPr>
        <w:rPr>
          <w:rFonts w:ascii="Arial" w:hAnsi="Arial" w:cs="Arial"/>
        </w:rPr>
      </w:pPr>
      <w:r>
        <w:rPr>
          <w:rFonts w:ascii="Arial" w:hAnsi="Arial" w:cs="Arial"/>
        </w:rPr>
        <w:t xml:space="preserve">Table 5 indicates that supply per capita, in terms of number of vehicles and bus kms operated are similar in the Isle of Wight and Man but lower in the Channel Islands. The level of demand per capita are similar in Jersey and the Isles of Wight and Man but is lower in Guernsey. Fares per km are also similar in the Isles of Wight and Man, a bit higher in Guernsey and much higher in Jersey. Subsidy per capita is lowest in the Isle of Wight, then Jersey, whilst the Isle of Man and Guernsey have the highest levels. </w:t>
      </w:r>
      <w:r w:rsidR="004F2229">
        <w:rPr>
          <w:rFonts w:ascii="Arial" w:hAnsi="Arial" w:cs="Arial"/>
        </w:rPr>
        <w:t>With respect to customer satisfaction, it appears that the Isle of Wight has the worst reviews. Overall, it does not appear that organisational form has a discernible influence on outcomes.</w:t>
      </w:r>
    </w:p>
    <w:p w14:paraId="073CF0F7" w14:textId="1A5DC6A5" w:rsidR="00123849" w:rsidRDefault="00B35DE2" w:rsidP="002C1729">
      <w:pPr>
        <w:rPr>
          <w:rFonts w:ascii="Arial" w:hAnsi="Arial" w:cs="Arial"/>
        </w:rPr>
      </w:pPr>
      <w:r>
        <w:rPr>
          <w:rFonts w:ascii="Arial" w:hAnsi="Arial" w:cs="Arial"/>
        </w:rPr>
        <w:t>Of course, as Table 4 intimates</w:t>
      </w:r>
      <w:r w:rsidR="00476AAE">
        <w:rPr>
          <w:rFonts w:ascii="Arial" w:hAnsi="Arial" w:cs="Arial"/>
        </w:rPr>
        <w:t>,</w:t>
      </w:r>
      <w:r>
        <w:rPr>
          <w:rFonts w:ascii="Arial" w:hAnsi="Arial" w:cs="Arial"/>
        </w:rPr>
        <w:t xml:space="preserve"> we are not comparing like with like. If, as in the previous section, we assume that demand is the key metric, we could adjust for income and fare levels by using elasticities and comparing with a benchmark</w:t>
      </w:r>
      <w:r w:rsidR="00B8370D">
        <w:rPr>
          <w:rFonts w:ascii="Arial" w:hAnsi="Arial" w:cs="Arial"/>
        </w:rPr>
        <w:t>. As the Isle of Man (rather like Northern Ireland) has not undergone any major organisation</w:t>
      </w:r>
      <w:r w:rsidR="009E0521">
        <w:rPr>
          <w:rFonts w:ascii="Arial" w:hAnsi="Arial" w:cs="Arial"/>
        </w:rPr>
        <w:t>al</w:t>
      </w:r>
      <w:r w:rsidR="00B8370D">
        <w:rPr>
          <w:rFonts w:ascii="Arial" w:hAnsi="Arial" w:cs="Arial"/>
        </w:rPr>
        <w:t xml:space="preserve"> reforms, it is set as the benchmark. </w:t>
      </w:r>
      <w:r>
        <w:rPr>
          <w:rFonts w:ascii="Arial" w:hAnsi="Arial" w:cs="Arial"/>
        </w:rPr>
        <w:t xml:space="preserve">If we assume short-run fares and income elasticities of -0.4, drawing loosely from Dargay and Hanly (2002), then compared to the Isle of </w:t>
      </w:r>
      <w:r w:rsidR="00B8370D">
        <w:rPr>
          <w:rFonts w:ascii="Arial" w:hAnsi="Arial" w:cs="Arial"/>
        </w:rPr>
        <w:t>Man</w:t>
      </w:r>
      <w:r>
        <w:rPr>
          <w:rFonts w:ascii="Arial" w:hAnsi="Arial" w:cs="Arial"/>
        </w:rPr>
        <w:t>’s 4</w:t>
      </w:r>
      <w:r w:rsidR="00B8370D">
        <w:rPr>
          <w:rFonts w:ascii="Arial" w:hAnsi="Arial" w:cs="Arial"/>
        </w:rPr>
        <w:t>2</w:t>
      </w:r>
      <w:r>
        <w:rPr>
          <w:rFonts w:ascii="Arial" w:hAnsi="Arial" w:cs="Arial"/>
        </w:rPr>
        <w:t xml:space="preserve"> bus trips</w:t>
      </w:r>
      <w:r w:rsidR="00476AAE">
        <w:rPr>
          <w:rFonts w:ascii="Arial" w:hAnsi="Arial" w:cs="Arial"/>
        </w:rPr>
        <w:t xml:space="preserve"> per capita</w:t>
      </w:r>
      <w:r>
        <w:rPr>
          <w:rFonts w:ascii="Arial" w:hAnsi="Arial" w:cs="Arial"/>
        </w:rPr>
        <w:t xml:space="preserve">, the adjusted demand levels are </w:t>
      </w:r>
      <w:r w:rsidR="002A7AE0">
        <w:rPr>
          <w:rFonts w:ascii="Arial" w:hAnsi="Arial" w:cs="Arial"/>
        </w:rPr>
        <w:t xml:space="preserve">Isle of </w:t>
      </w:r>
      <w:r w:rsidR="00B8370D">
        <w:rPr>
          <w:rFonts w:ascii="Arial" w:hAnsi="Arial" w:cs="Arial"/>
        </w:rPr>
        <w:t>Wight</w:t>
      </w:r>
      <w:r w:rsidR="002A7AE0">
        <w:rPr>
          <w:rFonts w:ascii="Arial" w:hAnsi="Arial" w:cs="Arial"/>
        </w:rPr>
        <w:t xml:space="preserve"> 4</w:t>
      </w:r>
      <w:r w:rsidR="00B8370D">
        <w:rPr>
          <w:rFonts w:ascii="Arial" w:hAnsi="Arial" w:cs="Arial"/>
        </w:rPr>
        <w:t>4</w:t>
      </w:r>
      <w:r w:rsidR="002A7AE0">
        <w:rPr>
          <w:rFonts w:ascii="Arial" w:hAnsi="Arial" w:cs="Arial"/>
        </w:rPr>
        <w:t xml:space="preserve"> (no change), Guernsey 30 (up 14%) and Jersey</w:t>
      </w:r>
      <w:r w:rsidR="00F65F06">
        <w:rPr>
          <w:rFonts w:ascii="Arial" w:hAnsi="Arial" w:cs="Arial"/>
        </w:rPr>
        <w:t xml:space="preserve"> 60 (up 46%)</w:t>
      </w:r>
      <w:r w:rsidR="00F65F06">
        <w:rPr>
          <w:rStyle w:val="FootnoteReference"/>
          <w:rFonts w:ascii="Arial" w:hAnsi="Arial" w:cs="Arial"/>
        </w:rPr>
        <w:footnoteReference w:id="6"/>
      </w:r>
      <w:r w:rsidR="00F65F06">
        <w:rPr>
          <w:rFonts w:ascii="Arial" w:hAnsi="Arial" w:cs="Arial"/>
        </w:rPr>
        <w:t>. There is again no discernible pattern with respect to organisation but</w:t>
      </w:r>
      <w:r w:rsidR="00476AAE">
        <w:rPr>
          <w:rFonts w:ascii="Arial" w:hAnsi="Arial" w:cs="Arial"/>
        </w:rPr>
        <w:t>,</w:t>
      </w:r>
      <w:r w:rsidR="00F65F06">
        <w:rPr>
          <w:rFonts w:ascii="Arial" w:hAnsi="Arial" w:cs="Arial"/>
        </w:rPr>
        <w:t xml:space="preserve"> following adjustments</w:t>
      </w:r>
      <w:r w:rsidR="00476AAE">
        <w:rPr>
          <w:rFonts w:ascii="Arial" w:hAnsi="Arial" w:cs="Arial"/>
        </w:rPr>
        <w:t>,</w:t>
      </w:r>
      <w:r w:rsidR="00F65F06">
        <w:rPr>
          <w:rFonts w:ascii="Arial" w:hAnsi="Arial" w:cs="Arial"/>
        </w:rPr>
        <w:t xml:space="preserve"> Jersey emerges as the best performer.</w:t>
      </w:r>
      <w:r w:rsidR="003F3F2B">
        <w:rPr>
          <w:rFonts w:ascii="Arial" w:hAnsi="Arial" w:cs="Arial"/>
        </w:rPr>
        <w:t xml:space="preserve"> Indeed, DfT (2021, 43) held up Jersey as an exemplar of bus franchising with a passenger satisfaction score of 8.3 out of 10 and a 38% increase in ridership and an 11% decrease in contract price between 2012 and 2017</w:t>
      </w:r>
      <w:r w:rsidR="00123849">
        <w:rPr>
          <w:rFonts w:ascii="Arial" w:hAnsi="Arial" w:cs="Arial"/>
        </w:rPr>
        <w:t>.</w:t>
      </w:r>
    </w:p>
    <w:p w14:paraId="059F66FD" w14:textId="1A9A79D7" w:rsidR="00B35DE2" w:rsidRDefault="00123849" w:rsidP="002C1729">
      <w:pPr>
        <w:rPr>
          <w:rFonts w:ascii="Arial" w:hAnsi="Arial" w:cs="Arial"/>
        </w:rPr>
      </w:pPr>
      <w:r>
        <w:rPr>
          <w:rFonts w:ascii="Arial" w:hAnsi="Arial" w:cs="Arial"/>
        </w:rPr>
        <w:t>The experiences of Jersey may be particularly instructive as lesson</w:t>
      </w:r>
      <w:r w:rsidR="00D628FC">
        <w:rPr>
          <w:rFonts w:ascii="Arial" w:hAnsi="Arial" w:cs="Arial"/>
        </w:rPr>
        <w:t>s</w:t>
      </w:r>
      <w:r>
        <w:rPr>
          <w:rFonts w:ascii="Arial" w:hAnsi="Arial" w:cs="Arial"/>
        </w:rPr>
        <w:t xml:space="preserve"> were learned from the 2002-12 contract </w:t>
      </w:r>
      <w:r w:rsidR="003F3F2B">
        <w:rPr>
          <w:rFonts w:ascii="Arial" w:hAnsi="Arial" w:cs="Arial"/>
        </w:rPr>
        <w:t>(Government of Jersey, 2017</w:t>
      </w:r>
      <w:r>
        <w:rPr>
          <w:rFonts w:ascii="Arial" w:hAnsi="Arial" w:cs="Arial"/>
        </w:rPr>
        <w:t>a</w:t>
      </w:r>
      <w:r w:rsidR="003F3F2B">
        <w:rPr>
          <w:rFonts w:ascii="Arial" w:hAnsi="Arial" w:cs="Arial"/>
        </w:rPr>
        <w:t>).</w:t>
      </w:r>
      <w:r>
        <w:rPr>
          <w:rFonts w:ascii="Arial" w:hAnsi="Arial" w:cs="Arial"/>
        </w:rPr>
        <w:t xml:space="preserve"> This was on a cost-plus basis and cha</w:t>
      </w:r>
      <w:r w:rsidR="00947B57">
        <w:rPr>
          <w:rFonts w:ascii="Arial" w:hAnsi="Arial" w:cs="Arial"/>
        </w:rPr>
        <w:t>racterised by we</w:t>
      </w:r>
      <w:r w:rsidR="002461E1">
        <w:rPr>
          <w:rFonts w:ascii="Arial" w:hAnsi="Arial" w:cs="Arial"/>
        </w:rPr>
        <w:t>a</w:t>
      </w:r>
      <w:r w:rsidR="00947B57">
        <w:rPr>
          <w:rFonts w:ascii="Arial" w:hAnsi="Arial" w:cs="Arial"/>
        </w:rPr>
        <w:t>k incentives, misaligned risk profiles, a complex</w:t>
      </w:r>
      <w:r>
        <w:rPr>
          <w:rFonts w:ascii="Arial" w:hAnsi="Arial" w:cs="Arial"/>
        </w:rPr>
        <w:t xml:space="preserve"> </w:t>
      </w:r>
      <w:r w:rsidR="00947B57">
        <w:rPr>
          <w:rFonts w:ascii="Arial" w:hAnsi="Arial" w:cs="Arial"/>
        </w:rPr>
        <w:t>penalty process and low levels of customer satisfaction. Preparation for the successor contract began early with the establishment of a project board in 2009, the development of a vision, “Commissioning 4 Change”, and links to the Island’s sustainable transport targets. More revenue risk was placed on the operator, penalties were simplified</w:t>
      </w:r>
      <w:r w:rsidR="005630CD">
        <w:rPr>
          <w:rFonts w:ascii="Arial" w:hAnsi="Arial" w:cs="Arial"/>
        </w:rPr>
        <w:t>,</w:t>
      </w:r>
      <w:r w:rsidR="00947B57">
        <w:rPr>
          <w:rFonts w:ascii="Arial" w:hAnsi="Arial" w:cs="Arial"/>
        </w:rPr>
        <w:t xml:space="preserve"> and innovative smart card ticketing developed (the Avanchicard). A two</w:t>
      </w:r>
      <w:r w:rsidR="005630CD">
        <w:rPr>
          <w:rFonts w:ascii="Arial" w:hAnsi="Arial" w:cs="Arial"/>
        </w:rPr>
        <w:t>-</w:t>
      </w:r>
      <w:r w:rsidR="00947B57">
        <w:rPr>
          <w:rFonts w:ascii="Arial" w:hAnsi="Arial" w:cs="Arial"/>
        </w:rPr>
        <w:t xml:space="preserve">stage procurement process was developed, with the second stage involving a comprehensive re-design of the model network by the preferred bidder that included a 12% increase in service. The contract was based on an open-book profit sharing agreement (Government of Jersey, 2017b) that may have been facilitated by the preferred bidder’s third-sector, social enterprise status. </w:t>
      </w:r>
      <w:r w:rsidR="005630CD">
        <w:rPr>
          <w:rFonts w:ascii="Arial" w:hAnsi="Arial" w:cs="Arial"/>
        </w:rPr>
        <w:t xml:space="preserve"> The contract seemed </w:t>
      </w:r>
      <w:r w:rsidR="00375578">
        <w:rPr>
          <w:rFonts w:ascii="Arial" w:hAnsi="Arial" w:cs="Arial"/>
        </w:rPr>
        <w:t xml:space="preserve">to </w:t>
      </w:r>
      <w:r w:rsidR="005630CD">
        <w:rPr>
          <w:rFonts w:ascii="Arial" w:hAnsi="Arial" w:cs="Arial"/>
        </w:rPr>
        <w:t>work well in its initial phases, winning national awards and the State of Jersey receiving £971,000 of profit share between 2013 and 2016. However, the contract system was not resilient enough to survive Covid</w:t>
      </w:r>
      <w:r w:rsidR="00B8370D">
        <w:rPr>
          <w:rFonts w:ascii="Arial" w:hAnsi="Arial" w:cs="Arial"/>
        </w:rPr>
        <w:t xml:space="preserve"> as the operator was unable to access additional funds.</w:t>
      </w:r>
      <w:r w:rsidR="00D54501">
        <w:rPr>
          <w:rFonts w:ascii="Arial" w:hAnsi="Arial" w:cs="Arial"/>
        </w:rPr>
        <w:t xml:space="preserve"> It is understood that the new contract with Kelsian has a secured revenue provision over its ten years duration, whilst a new bus fleet will </w:t>
      </w:r>
      <w:r w:rsidR="00D54501" w:rsidRPr="00D54501">
        <w:rPr>
          <w:rFonts w:ascii="Arial" w:hAnsi="Arial" w:cs="Arial"/>
        </w:rPr>
        <w:t>be financed under a new limited recourse, ring fenced financing facility</w:t>
      </w:r>
      <w:r w:rsidR="00D54501">
        <w:rPr>
          <w:rFonts w:ascii="Arial" w:hAnsi="Arial" w:cs="Arial"/>
        </w:rPr>
        <w:t xml:space="preserve"> (</w:t>
      </w:r>
      <w:proofErr w:type="spellStart"/>
      <w:r w:rsidR="00D54501">
        <w:rPr>
          <w:rFonts w:ascii="Arial" w:hAnsi="Arial" w:cs="Arial"/>
        </w:rPr>
        <w:t>Kelsian</w:t>
      </w:r>
      <w:proofErr w:type="spellEnd"/>
      <w:r w:rsidR="00D54501">
        <w:rPr>
          <w:rFonts w:ascii="Arial" w:hAnsi="Arial" w:cs="Arial"/>
        </w:rPr>
        <w:t>, 2024)</w:t>
      </w:r>
      <w:r w:rsidR="00D54501" w:rsidRPr="00D54501">
        <w:rPr>
          <w:rFonts w:ascii="Arial" w:hAnsi="Arial" w:cs="Arial"/>
        </w:rPr>
        <w:t>.</w:t>
      </w:r>
    </w:p>
    <w:p w14:paraId="1A9D81AF" w14:textId="3340F50A" w:rsidR="00833DB3" w:rsidRPr="00A133E3" w:rsidRDefault="00833DB3" w:rsidP="00833DB3">
      <w:pPr>
        <w:ind w:left="567" w:hanging="567"/>
        <w:rPr>
          <w:rFonts w:ascii="Arial" w:hAnsi="Arial" w:cs="Arial"/>
          <w:b/>
          <w:bCs/>
        </w:rPr>
      </w:pPr>
      <w:r w:rsidRPr="00A133E3">
        <w:rPr>
          <w:rFonts w:ascii="Arial" w:hAnsi="Arial" w:cs="Arial"/>
          <w:b/>
          <w:bCs/>
        </w:rPr>
        <w:t>4.</w:t>
      </w:r>
      <w:r w:rsidRPr="00A133E3">
        <w:rPr>
          <w:rFonts w:ascii="Arial" w:hAnsi="Arial" w:cs="Arial"/>
          <w:b/>
          <w:bCs/>
        </w:rPr>
        <w:tab/>
        <w:t>Evidence from Bournemouth and Southampton</w:t>
      </w:r>
    </w:p>
    <w:p w14:paraId="68A0AF78" w14:textId="5E05427E" w:rsidR="00553E55" w:rsidRDefault="009532DC" w:rsidP="009532DC">
      <w:pPr>
        <w:rPr>
          <w:rFonts w:ascii="Arial" w:hAnsi="Arial" w:cs="Arial"/>
        </w:rPr>
      </w:pPr>
      <w:r w:rsidRPr="009532DC">
        <w:rPr>
          <w:rFonts w:ascii="Arial" w:hAnsi="Arial" w:cs="Arial"/>
        </w:rPr>
        <w:t xml:space="preserve">In August 2022, the former municipal provider of bus services in Bournemouth, now privately owned and </w:t>
      </w:r>
      <w:r w:rsidR="00073B03">
        <w:rPr>
          <w:rFonts w:ascii="Arial" w:hAnsi="Arial" w:cs="Arial"/>
        </w:rPr>
        <w:t xml:space="preserve">branded </w:t>
      </w:r>
      <w:r w:rsidRPr="009532DC">
        <w:rPr>
          <w:rFonts w:ascii="Arial" w:hAnsi="Arial" w:cs="Arial"/>
        </w:rPr>
        <w:t>as Yellow Buses, ceased trading</w:t>
      </w:r>
      <w:r w:rsidR="00553E55">
        <w:rPr>
          <w:rFonts w:ascii="Arial" w:hAnsi="Arial" w:cs="Arial"/>
        </w:rPr>
        <w:t xml:space="preserve"> (Lin, 2024)</w:t>
      </w:r>
      <w:r w:rsidRPr="009532DC">
        <w:rPr>
          <w:rFonts w:ascii="Arial" w:hAnsi="Arial" w:cs="Arial"/>
        </w:rPr>
        <w:t xml:space="preserve">. </w:t>
      </w:r>
      <w:r w:rsidR="00CE7F4E">
        <w:rPr>
          <w:rFonts w:ascii="Arial" w:hAnsi="Arial" w:cs="Arial"/>
        </w:rPr>
        <w:t xml:space="preserve">Yellow Buses originated with the privatisation of Bournemouth Corporation Transport in December 2004 through a sale to Transdev, with operations subsequently acquired by RATP in March 2011 and a management buy-out </w:t>
      </w:r>
      <w:r w:rsidR="00375578">
        <w:rPr>
          <w:rFonts w:ascii="Arial" w:hAnsi="Arial" w:cs="Arial"/>
        </w:rPr>
        <w:t xml:space="preserve">taking place </w:t>
      </w:r>
      <w:r w:rsidR="00CE7F4E">
        <w:rPr>
          <w:rFonts w:ascii="Arial" w:hAnsi="Arial" w:cs="Arial"/>
        </w:rPr>
        <w:t>in July 2019.</w:t>
      </w:r>
      <w:r w:rsidR="00476AAE">
        <w:rPr>
          <w:rFonts w:ascii="Arial" w:hAnsi="Arial" w:cs="Arial"/>
        </w:rPr>
        <w:t xml:space="preserve"> </w:t>
      </w:r>
      <w:r w:rsidR="00CE7F4E">
        <w:rPr>
          <w:rFonts w:ascii="Arial" w:hAnsi="Arial" w:cs="Arial"/>
        </w:rPr>
        <w:t xml:space="preserve">Between January 2017 and March 2020, the operations accumulated losses of £6.5 million. Morebus, a subsidiary of </w:t>
      </w:r>
      <w:r w:rsidR="00476AAE">
        <w:rPr>
          <w:rFonts w:ascii="Arial" w:hAnsi="Arial" w:cs="Arial"/>
        </w:rPr>
        <w:t xml:space="preserve">the Go-Ahead Group </w:t>
      </w:r>
      <w:r w:rsidR="00CE7F4E">
        <w:rPr>
          <w:rFonts w:ascii="Arial" w:hAnsi="Arial" w:cs="Arial"/>
        </w:rPr>
        <w:t>took over 10 of the routes, whilst an independent operator, Xelabus, took over Yellow Coaches and ran three tendered routes up to Fe</w:t>
      </w:r>
      <w:r w:rsidR="00553E55">
        <w:rPr>
          <w:rFonts w:ascii="Arial" w:hAnsi="Arial" w:cs="Arial"/>
        </w:rPr>
        <w:t xml:space="preserve">bruary 2023. Morebus originated from the privatisation of National Bus Company subsidiary, Wilts &amp; Dorset, to a management buy-out in 1987 and </w:t>
      </w:r>
      <w:r w:rsidR="005630CD">
        <w:rPr>
          <w:rFonts w:ascii="Arial" w:hAnsi="Arial" w:cs="Arial"/>
        </w:rPr>
        <w:t xml:space="preserve">was </w:t>
      </w:r>
      <w:r w:rsidR="00553E55">
        <w:rPr>
          <w:rFonts w:ascii="Arial" w:hAnsi="Arial" w:cs="Arial"/>
        </w:rPr>
        <w:t>subsequent</w:t>
      </w:r>
      <w:r w:rsidR="005630CD">
        <w:rPr>
          <w:rFonts w:ascii="Arial" w:hAnsi="Arial" w:cs="Arial"/>
        </w:rPr>
        <w:t>ly</w:t>
      </w:r>
      <w:r w:rsidR="00553E55">
        <w:rPr>
          <w:rFonts w:ascii="Arial" w:hAnsi="Arial" w:cs="Arial"/>
        </w:rPr>
        <w:t xml:space="preserve"> acqui</w:t>
      </w:r>
      <w:r w:rsidR="005630CD">
        <w:rPr>
          <w:rFonts w:ascii="Arial" w:hAnsi="Arial" w:cs="Arial"/>
        </w:rPr>
        <w:t>red</w:t>
      </w:r>
      <w:r w:rsidR="00553E55">
        <w:rPr>
          <w:rFonts w:ascii="Arial" w:hAnsi="Arial" w:cs="Arial"/>
        </w:rPr>
        <w:t xml:space="preserve"> by the Go-Ahead Group in 2003. The Morebus brand was launched in 2004 and the Wilts &amp; Dorset name dropped in 2012.</w:t>
      </w:r>
      <w:r w:rsidR="00CE7F4E">
        <w:rPr>
          <w:rFonts w:ascii="Arial" w:hAnsi="Arial" w:cs="Arial"/>
        </w:rPr>
        <w:t xml:space="preserve"> </w:t>
      </w:r>
    </w:p>
    <w:p w14:paraId="5FD80477" w14:textId="74E0EC10" w:rsidR="00895026" w:rsidRDefault="009532DC" w:rsidP="009532DC">
      <w:pPr>
        <w:rPr>
          <w:rFonts w:ascii="Arial" w:hAnsi="Arial" w:cs="Arial"/>
        </w:rPr>
      </w:pPr>
      <w:r w:rsidRPr="009532DC">
        <w:rPr>
          <w:rFonts w:ascii="Arial" w:hAnsi="Arial" w:cs="Arial"/>
        </w:rPr>
        <w:t>In February 2023, the former municipal provider of bus services in Southampton, now owned by First Group and trading as City Reds, withdrew from the city.</w:t>
      </w:r>
      <w:r w:rsidR="00895026">
        <w:rPr>
          <w:rFonts w:ascii="Arial" w:hAnsi="Arial" w:cs="Arial"/>
        </w:rPr>
        <w:t xml:space="preserve"> City Reds originates with the privatisation of Southampton Citybus in the form of a management-employee buy-out in 1993 and the subsequent sale to First Group in 1997, eventually becoming part of First Hants &amp; Dorset. Bluestar </w:t>
      </w:r>
      <w:r w:rsidR="00B3161F">
        <w:rPr>
          <w:rFonts w:ascii="Arial" w:hAnsi="Arial" w:cs="Arial"/>
        </w:rPr>
        <w:t xml:space="preserve">took over </w:t>
      </w:r>
      <w:r w:rsidR="00895026">
        <w:rPr>
          <w:rFonts w:ascii="Arial" w:hAnsi="Arial" w:cs="Arial"/>
        </w:rPr>
        <w:t>six of the ten City Reds routes and some 140 drivers. Bluestar originated in 1987 as Solent Blue Line and was a subsidiary of Southern Vectis designed to take advantages of the opportunities of deregulation. It purchased the former National Bus Company’s Eastleigh depot from Stagecoach</w:t>
      </w:r>
      <w:r w:rsidR="00B3161F">
        <w:rPr>
          <w:rFonts w:ascii="Arial" w:hAnsi="Arial" w:cs="Arial"/>
        </w:rPr>
        <w:t xml:space="preserve"> </w:t>
      </w:r>
      <w:r w:rsidR="00476AAE">
        <w:rPr>
          <w:rFonts w:ascii="Arial" w:hAnsi="Arial" w:cs="Arial"/>
        </w:rPr>
        <w:t>to permit this expansion.</w:t>
      </w:r>
      <w:r w:rsidR="007C7D46">
        <w:rPr>
          <w:rFonts w:ascii="Arial" w:hAnsi="Arial" w:cs="Arial"/>
        </w:rPr>
        <w:t xml:space="preserve"> The Bluestar brand was launched in 2003 and the operations were acquired by the Go-Ahead Group as part of the purchase of Southern Vectis in 2005.</w:t>
      </w:r>
    </w:p>
    <w:p w14:paraId="5208D2A8" w14:textId="21168DDE" w:rsidR="009E0521" w:rsidRDefault="007C7D46" w:rsidP="009532DC">
      <w:pPr>
        <w:rPr>
          <w:rFonts w:ascii="Arial" w:hAnsi="Arial" w:cs="Arial"/>
        </w:rPr>
      </w:pPr>
      <w:r>
        <w:rPr>
          <w:rFonts w:ascii="Arial" w:hAnsi="Arial" w:cs="Arial"/>
        </w:rPr>
        <w:t xml:space="preserve">The recent history of buses in Bournemouth and Southampton is strikingly similar. Both were essentially duopolies consisting of former National Bus Company operations (in both cases owned by the Go-Ahead Group) competing with former municipal operations. Between August 2022 and February 2023, the former municipal operators withdrew with some services </w:t>
      </w:r>
      <w:r w:rsidR="00CF202B">
        <w:rPr>
          <w:rFonts w:ascii="Arial" w:hAnsi="Arial" w:cs="Arial"/>
        </w:rPr>
        <w:t xml:space="preserve">being taken over by the </w:t>
      </w:r>
      <w:r w:rsidR="00476AAE">
        <w:rPr>
          <w:rFonts w:ascii="Arial" w:hAnsi="Arial" w:cs="Arial"/>
        </w:rPr>
        <w:t xml:space="preserve">competing </w:t>
      </w:r>
      <w:r w:rsidR="00CF202B">
        <w:rPr>
          <w:rFonts w:ascii="Arial" w:hAnsi="Arial" w:cs="Arial"/>
        </w:rPr>
        <w:t xml:space="preserve">Go-Ahead Group </w:t>
      </w:r>
      <w:r w:rsidR="00476AAE">
        <w:rPr>
          <w:rFonts w:ascii="Arial" w:hAnsi="Arial" w:cs="Arial"/>
        </w:rPr>
        <w:t xml:space="preserve">subsidiaries </w:t>
      </w:r>
      <w:r w:rsidR="00CF202B">
        <w:rPr>
          <w:rFonts w:ascii="Arial" w:hAnsi="Arial" w:cs="Arial"/>
        </w:rPr>
        <w:t xml:space="preserve">so that </w:t>
      </w:r>
      <w:r w:rsidR="00476AAE">
        <w:rPr>
          <w:rFonts w:ascii="Arial" w:hAnsi="Arial" w:cs="Arial"/>
        </w:rPr>
        <w:t>they</w:t>
      </w:r>
      <w:r w:rsidR="00CF202B">
        <w:rPr>
          <w:rFonts w:ascii="Arial" w:hAnsi="Arial" w:cs="Arial"/>
        </w:rPr>
        <w:t xml:space="preserve"> had a near-monopoly in both urban areas</w:t>
      </w:r>
      <w:r w:rsidR="009E0521">
        <w:rPr>
          <w:rFonts w:ascii="Arial" w:hAnsi="Arial" w:cs="Arial"/>
        </w:rPr>
        <w:t>.</w:t>
      </w:r>
      <w:r w:rsidR="00CF202B">
        <w:rPr>
          <w:rFonts w:ascii="Arial" w:hAnsi="Arial" w:cs="Arial"/>
        </w:rPr>
        <w:t xml:space="preserve"> </w:t>
      </w:r>
    </w:p>
    <w:p w14:paraId="64622F0A" w14:textId="794D4713" w:rsidR="009532DC" w:rsidRDefault="00B3161F" w:rsidP="009532DC">
      <w:pPr>
        <w:rPr>
          <w:rFonts w:ascii="Arial" w:hAnsi="Arial" w:cs="Arial"/>
        </w:rPr>
      </w:pPr>
      <w:r>
        <w:rPr>
          <w:rFonts w:ascii="Arial" w:hAnsi="Arial" w:cs="Arial"/>
        </w:rPr>
        <w:t xml:space="preserve">By contrast, the duopoly in </w:t>
      </w:r>
      <w:r w:rsidR="00CF202B">
        <w:rPr>
          <w:rFonts w:ascii="Arial" w:hAnsi="Arial" w:cs="Arial"/>
        </w:rPr>
        <w:t xml:space="preserve">nearby </w:t>
      </w:r>
      <w:r>
        <w:rPr>
          <w:rFonts w:ascii="Arial" w:hAnsi="Arial" w:cs="Arial"/>
        </w:rPr>
        <w:t>Portsmouth between Stagecoach</w:t>
      </w:r>
      <w:r w:rsidR="00CF202B">
        <w:rPr>
          <w:rFonts w:ascii="Arial" w:hAnsi="Arial" w:cs="Arial"/>
        </w:rPr>
        <w:t>, th</w:t>
      </w:r>
      <w:r w:rsidR="00E91886">
        <w:rPr>
          <w:rFonts w:ascii="Arial" w:hAnsi="Arial" w:cs="Arial"/>
        </w:rPr>
        <w:t>at had acquired</w:t>
      </w:r>
      <w:r w:rsidR="00CF202B">
        <w:rPr>
          <w:rFonts w:ascii="Arial" w:hAnsi="Arial" w:cs="Arial"/>
        </w:rPr>
        <w:t xml:space="preserve"> former National Bus Company opera</w:t>
      </w:r>
      <w:r w:rsidR="00E91886">
        <w:rPr>
          <w:rFonts w:ascii="Arial" w:hAnsi="Arial" w:cs="Arial"/>
        </w:rPr>
        <w:t>tions</w:t>
      </w:r>
      <w:r>
        <w:rPr>
          <w:rFonts w:ascii="Arial" w:hAnsi="Arial" w:cs="Arial"/>
        </w:rPr>
        <w:t xml:space="preserve"> and First, </w:t>
      </w:r>
      <w:r w:rsidR="00CF202B">
        <w:rPr>
          <w:rFonts w:ascii="Arial" w:hAnsi="Arial" w:cs="Arial"/>
        </w:rPr>
        <w:t xml:space="preserve">in the main, </w:t>
      </w:r>
      <w:r>
        <w:rPr>
          <w:rFonts w:ascii="Arial" w:hAnsi="Arial" w:cs="Arial"/>
        </w:rPr>
        <w:t>the former municipal</w:t>
      </w:r>
      <w:r w:rsidR="00B8370D">
        <w:rPr>
          <w:rFonts w:ascii="Arial" w:hAnsi="Arial" w:cs="Arial"/>
        </w:rPr>
        <w:t xml:space="preserve">, </w:t>
      </w:r>
      <w:r w:rsidR="00073B03">
        <w:rPr>
          <w:rFonts w:ascii="Arial" w:hAnsi="Arial" w:cs="Arial"/>
        </w:rPr>
        <w:t>(</w:t>
      </w:r>
      <w:r w:rsidR="00B8370D">
        <w:rPr>
          <w:rFonts w:ascii="Arial" w:hAnsi="Arial" w:cs="Arial"/>
        </w:rPr>
        <w:t>privatised in 1988</w:t>
      </w:r>
      <w:r w:rsidR="00B5486A">
        <w:rPr>
          <w:rFonts w:ascii="Arial" w:hAnsi="Arial" w:cs="Arial"/>
        </w:rPr>
        <w:t>)</w:t>
      </w:r>
      <w:r w:rsidR="00073B03">
        <w:rPr>
          <w:rFonts w:ascii="Arial" w:hAnsi="Arial" w:cs="Arial"/>
        </w:rPr>
        <w:t>,</w:t>
      </w:r>
      <w:r>
        <w:rPr>
          <w:rFonts w:ascii="Arial" w:hAnsi="Arial" w:cs="Arial"/>
        </w:rPr>
        <w:t xml:space="preserve"> was maintained.</w:t>
      </w:r>
      <w:r w:rsidR="00B5486A">
        <w:rPr>
          <w:rFonts w:ascii="Arial" w:hAnsi="Arial" w:cs="Arial"/>
        </w:rPr>
        <w:t xml:space="preserve"> </w:t>
      </w:r>
      <w:r w:rsidR="009E0521">
        <w:rPr>
          <w:rFonts w:ascii="Arial" w:hAnsi="Arial" w:cs="Arial"/>
        </w:rPr>
        <w:t>With a population in 2021 of</w:t>
      </w:r>
      <w:r w:rsidR="00280A15">
        <w:rPr>
          <w:rFonts w:ascii="Arial" w:hAnsi="Arial" w:cs="Arial"/>
        </w:rPr>
        <w:t xml:space="preserve"> 208,013, Portsmouth is of a similar</w:t>
      </w:r>
      <w:r w:rsidR="009E0521">
        <w:rPr>
          <w:rFonts w:ascii="Arial" w:hAnsi="Arial" w:cs="Arial"/>
        </w:rPr>
        <w:t xml:space="preserve"> size to Southampton</w:t>
      </w:r>
      <w:r w:rsidR="00280A15">
        <w:rPr>
          <w:rFonts w:ascii="Arial" w:hAnsi="Arial" w:cs="Arial"/>
        </w:rPr>
        <w:t xml:space="preserve"> (248,922)</w:t>
      </w:r>
      <w:r w:rsidR="009E0521">
        <w:rPr>
          <w:rFonts w:ascii="Arial" w:hAnsi="Arial" w:cs="Arial"/>
        </w:rPr>
        <w:t xml:space="preserve">, </w:t>
      </w:r>
      <w:r w:rsidR="00280A15">
        <w:rPr>
          <w:rFonts w:ascii="Arial" w:hAnsi="Arial" w:cs="Arial"/>
        </w:rPr>
        <w:t xml:space="preserve">and </w:t>
      </w:r>
      <w:r w:rsidR="009E0521">
        <w:rPr>
          <w:rFonts w:ascii="Arial" w:hAnsi="Arial" w:cs="Arial"/>
        </w:rPr>
        <w:t>makes an appropriate control</w:t>
      </w:r>
      <w:r w:rsidR="00280A15">
        <w:rPr>
          <w:rFonts w:ascii="Arial" w:hAnsi="Arial" w:cs="Arial"/>
        </w:rPr>
        <w:t>, although both cities have a smaller population than BCP (Bournemouth, Christchurch and Poole)</w:t>
      </w:r>
      <w:r w:rsidR="009E0521">
        <w:rPr>
          <w:rFonts w:ascii="Arial" w:hAnsi="Arial" w:cs="Arial"/>
        </w:rPr>
        <w:t>.</w:t>
      </w:r>
    </w:p>
    <w:p w14:paraId="34D0E3D9" w14:textId="6F7A32D4" w:rsidR="00B5486A" w:rsidRDefault="00B5486A" w:rsidP="009532DC">
      <w:pPr>
        <w:rPr>
          <w:rFonts w:ascii="Arial" w:hAnsi="Arial" w:cs="Arial"/>
        </w:rPr>
      </w:pPr>
      <w:r>
        <w:rPr>
          <w:rFonts w:ascii="Arial" w:hAnsi="Arial" w:cs="Arial"/>
        </w:rPr>
        <w:t xml:space="preserve">In Figure 2, some recent </w:t>
      </w:r>
      <w:r w:rsidR="00073B03">
        <w:rPr>
          <w:rFonts w:ascii="Arial" w:hAnsi="Arial" w:cs="Arial"/>
        </w:rPr>
        <w:t xml:space="preserve">indexed </w:t>
      </w:r>
      <w:r>
        <w:rPr>
          <w:rFonts w:ascii="Arial" w:hAnsi="Arial" w:cs="Arial"/>
        </w:rPr>
        <w:t xml:space="preserve">trends for demand are plotted for the three areas, although there is a complication </w:t>
      </w:r>
      <w:r w:rsidR="00280A15">
        <w:rPr>
          <w:rFonts w:ascii="Arial" w:hAnsi="Arial" w:cs="Arial"/>
        </w:rPr>
        <w:t xml:space="preserve">in </w:t>
      </w:r>
      <w:r>
        <w:rPr>
          <w:rFonts w:ascii="Arial" w:hAnsi="Arial" w:cs="Arial"/>
        </w:rPr>
        <w:t xml:space="preserve">that the unitary authority of </w:t>
      </w:r>
      <w:r w:rsidR="003223A2">
        <w:rPr>
          <w:rFonts w:ascii="Arial" w:hAnsi="Arial" w:cs="Arial"/>
        </w:rPr>
        <w:t>BCP</w:t>
      </w:r>
      <w:r w:rsidR="00280A15">
        <w:rPr>
          <w:rFonts w:ascii="Arial" w:hAnsi="Arial" w:cs="Arial"/>
        </w:rPr>
        <w:t xml:space="preserve"> </w:t>
      </w:r>
      <w:r>
        <w:rPr>
          <w:rFonts w:ascii="Arial" w:hAnsi="Arial" w:cs="Arial"/>
        </w:rPr>
        <w:t xml:space="preserve">was </w:t>
      </w:r>
      <w:r w:rsidR="00280A15">
        <w:rPr>
          <w:rFonts w:ascii="Arial" w:hAnsi="Arial" w:cs="Arial"/>
        </w:rPr>
        <w:t xml:space="preserve">only </w:t>
      </w:r>
      <w:r>
        <w:rPr>
          <w:rFonts w:ascii="Arial" w:hAnsi="Arial" w:cs="Arial"/>
        </w:rPr>
        <w:t>established in 2019, comprising of the former unitaries of Bournemouth and Poole, plus parts of Dorset. However, data for the new unitary is only available from 2020/21 – the year of maximum Covid-19 impact. The 2021 population of Bournemouth and Poole was 337,421 in an area of 85.1 square kilometres, compared to</w:t>
      </w:r>
      <w:r w:rsidR="003223A2">
        <w:rPr>
          <w:rFonts w:ascii="Arial" w:hAnsi="Arial" w:cs="Arial"/>
        </w:rPr>
        <w:t xml:space="preserve"> BCP</w:t>
      </w:r>
      <w:r>
        <w:rPr>
          <w:rFonts w:ascii="Arial" w:hAnsi="Arial" w:cs="Arial"/>
        </w:rPr>
        <w:t xml:space="preserve">, which </w:t>
      </w:r>
      <w:r w:rsidR="003223A2">
        <w:rPr>
          <w:rFonts w:ascii="Arial" w:hAnsi="Arial" w:cs="Arial"/>
        </w:rPr>
        <w:t xml:space="preserve">had a population of </w:t>
      </w:r>
      <w:r w:rsidR="003223A2" w:rsidRPr="003223A2">
        <w:rPr>
          <w:rFonts w:ascii="Arial" w:hAnsi="Arial" w:cs="Arial"/>
        </w:rPr>
        <w:t>400,196</w:t>
      </w:r>
      <w:r w:rsidR="003223A2">
        <w:rPr>
          <w:rFonts w:ascii="Arial" w:hAnsi="Arial" w:cs="Arial"/>
        </w:rPr>
        <w:t xml:space="preserve"> and an area of 161 square kilometres – increases of 19% and 89% respectively. However, the data for BCP is indexed with respect to the bus ridership in Bournemouth and Poole in 2010.</w:t>
      </w:r>
    </w:p>
    <w:p w14:paraId="096EFCE2" w14:textId="49852ED3" w:rsidR="003223A2" w:rsidRDefault="00327D17" w:rsidP="009532DC">
      <w:pPr>
        <w:rPr>
          <w:rFonts w:ascii="Arial" w:hAnsi="Arial" w:cs="Arial"/>
        </w:rPr>
      </w:pPr>
      <w:r>
        <w:rPr>
          <w:rFonts w:ascii="Arial" w:hAnsi="Arial" w:cs="Arial"/>
          <w:noProof/>
        </w:rPr>
        <w:drawing>
          <wp:inline distT="0" distB="0" distL="0" distR="0" wp14:anchorId="12F2EBAA" wp14:editId="3348053D">
            <wp:extent cx="5029200" cy="3513218"/>
            <wp:effectExtent l="0" t="0" r="0" b="0"/>
            <wp:docPr id="199886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050" cy="3520099"/>
                    </a:xfrm>
                    <a:prstGeom prst="rect">
                      <a:avLst/>
                    </a:prstGeom>
                    <a:noFill/>
                  </pic:spPr>
                </pic:pic>
              </a:graphicData>
            </a:graphic>
          </wp:inline>
        </w:drawing>
      </w:r>
    </w:p>
    <w:p w14:paraId="0C54BBC0" w14:textId="77777777" w:rsidR="00955B23" w:rsidRDefault="00955B23" w:rsidP="00955B23">
      <w:pPr>
        <w:rPr>
          <w:rFonts w:ascii="Arial" w:hAnsi="Arial" w:cs="Arial"/>
          <w:b/>
          <w:bCs/>
        </w:rPr>
      </w:pPr>
      <w:r w:rsidRPr="003223A2">
        <w:rPr>
          <w:rFonts w:ascii="Arial" w:hAnsi="Arial" w:cs="Arial"/>
          <w:b/>
          <w:bCs/>
        </w:rPr>
        <w:t>Figure 2: Trends in Bus Ridership in Three</w:t>
      </w:r>
      <w:r>
        <w:rPr>
          <w:rFonts w:ascii="Arial" w:hAnsi="Arial" w:cs="Arial"/>
          <w:b/>
          <w:bCs/>
        </w:rPr>
        <w:t xml:space="preserve"> Urban Areas</w:t>
      </w:r>
      <w:r w:rsidRPr="003223A2">
        <w:rPr>
          <w:rFonts w:ascii="Arial" w:hAnsi="Arial" w:cs="Arial"/>
          <w:b/>
          <w:bCs/>
        </w:rPr>
        <w:t>.</w:t>
      </w:r>
    </w:p>
    <w:p w14:paraId="3DA3A7BC" w14:textId="5EC1D034" w:rsidR="003223A2" w:rsidRDefault="003223A2" w:rsidP="009532DC">
      <w:pPr>
        <w:rPr>
          <w:rFonts w:ascii="Arial" w:hAnsi="Arial" w:cs="Arial"/>
        </w:rPr>
      </w:pPr>
      <w:r>
        <w:rPr>
          <w:rFonts w:ascii="Arial" w:hAnsi="Arial" w:cs="Arial"/>
        </w:rPr>
        <w:t xml:space="preserve">Source: DfT, 2024, </w:t>
      </w:r>
      <w:r w:rsidR="005B1590">
        <w:rPr>
          <w:rFonts w:ascii="Arial" w:hAnsi="Arial" w:cs="Arial"/>
        </w:rPr>
        <w:t xml:space="preserve">Annual Bus Statistics, Year Ending </w:t>
      </w:r>
      <w:r w:rsidR="00955B23">
        <w:rPr>
          <w:rFonts w:ascii="Arial" w:hAnsi="Arial" w:cs="Arial"/>
        </w:rPr>
        <w:t xml:space="preserve">March </w:t>
      </w:r>
      <w:r w:rsidR="005B1590">
        <w:rPr>
          <w:rFonts w:ascii="Arial" w:hAnsi="Arial" w:cs="Arial"/>
        </w:rPr>
        <w:t>202</w:t>
      </w:r>
      <w:r w:rsidR="00E60213">
        <w:rPr>
          <w:rFonts w:ascii="Arial" w:hAnsi="Arial" w:cs="Arial"/>
        </w:rPr>
        <w:t>4</w:t>
      </w:r>
      <w:r w:rsidR="005B1590">
        <w:rPr>
          <w:rFonts w:ascii="Arial" w:hAnsi="Arial" w:cs="Arial"/>
        </w:rPr>
        <w:t>. Table Bus 01e.</w:t>
      </w:r>
    </w:p>
    <w:p w14:paraId="6FE267BE" w14:textId="127E0A1C" w:rsidR="00BC0776" w:rsidRDefault="003223A2" w:rsidP="009532DC">
      <w:pPr>
        <w:rPr>
          <w:rFonts w:ascii="Arial" w:hAnsi="Arial" w:cs="Arial"/>
        </w:rPr>
      </w:pPr>
      <w:r>
        <w:rPr>
          <w:rFonts w:ascii="Arial" w:hAnsi="Arial" w:cs="Arial"/>
        </w:rPr>
        <w:t xml:space="preserve">No clear differences in </w:t>
      </w:r>
      <w:r w:rsidR="00BC0776">
        <w:rPr>
          <w:rFonts w:ascii="Arial" w:hAnsi="Arial" w:cs="Arial"/>
        </w:rPr>
        <w:t xml:space="preserve">demand </w:t>
      </w:r>
      <w:r>
        <w:rPr>
          <w:rFonts w:ascii="Arial" w:hAnsi="Arial" w:cs="Arial"/>
        </w:rPr>
        <w:t>trends emerge, although bus demand in Bournemouth and Poole seemed to grow between 2010 and 201</w:t>
      </w:r>
      <w:r w:rsidR="00476AAE">
        <w:rPr>
          <w:rFonts w:ascii="Arial" w:hAnsi="Arial" w:cs="Arial"/>
        </w:rPr>
        <w:t>5</w:t>
      </w:r>
      <w:r>
        <w:rPr>
          <w:rFonts w:ascii="Arial" w:hAnsi="Arial" w:cs="Arial"/>
        </w:rPr>
        <w:t xml:space="preserve">, before going into </w:t>
      </w:r>
      <w:r w:rsidR="00476AAE">
        <w:rPr>
          <w:rFonts w:ascii="Arial" w:hAnsi="Arial" w:cs="Arial"/>
        </w:rPr>
        <w:t xml:space="preserve">a </w:t>
      </w:r>
      <w:r>
        <w:rPr>
          <w:rFonts w:ascii="Arial" w:hAnsi="Arial" w:cs="Arial"/>
        </w:rPr>
        <w:t>decline</w:t>
      </w:r>
      <w:r w:rsidR="005B1590">
        <w:rPr>
          <w:rFonts w:ascii="Arial" w:hAnsi="Arial" w:cs="Arial"/>
        </w:rPr>
        <w:t xml:space="preserve"> that predates Covid.</w:t>
      </w:r>
      <w:r w:rsidR="003A7EAA">
        <w:rPr>
          <w:rFonts w:ascii="Arial" w:hAnsi="Arial" w:cs="Arial"/>
        </w:rPr>
        <w:t xml:space="preserve"> </w:t>
      </w:r>
      <w:r w:rsidR="00BC0776">
        <w:rPr>
          <w:rFonts w:ascii="Arial" w:hAnsi="Arial" w:cs="Arial"/>
        </w:rPr>
        <w:t>Southampton seems to have had a greater post-Covid recovery than either BCP or Portsmouth, which may reflect a low reliance on the Concessionary market and conversely a high reliance on the student market, served by Go-Ahead’s Unilink brand.</w:t>
      </w:r>
      <w:r w:rsidR="008B59EC">
        <w:rPr>
          <w:rFonts w:ascii="Arial" w:hAnsi="Arial" w:cs="Arial"/>
        </w:rPr>
        <w:t xml:space="preserve"> The increase in passenger trips between 2021/22 and 2023/24 was 42% for Southampton, 37% for BCP and 41% for Portsmouth. If Portsmouth is set as the control, the difference in differences are +1% for Southampton and -4% for BCP.</w:t>
      </w:r>
    </w:p>
    <w:p w14:paraId="3215B28E" w14:textId="3DFCD36C" w:rsidR="00A875C3" w:rsidRDefault="003A7EAA" w:rsidP="009532DC">
      <w:pPr>
        <w:rPr>
          <w:rFonts w:ascii="Arial" w:hAnsi="Arial" w:cs="Arial"/>
        </w:rPr>
      </w:pPr>
      <w:r>
        <w:rPr>
          <w:rFonts w:ascii="Arial" w:hAnsi="Arial" w:cs="Arial"/>
        </w:rPr>
        <w:t xml:space="preserve">In terms of </w:t>
      </w:r>
      <w:r w:rsidR="002461E1">
        <w:rPr>
          <w:rFonts w:ascii="Arial" w:hAnsi="Arial" w:cs="Arial"/>
        </w:rPr>
        <w:t xml:space="preserve">total </w:t>
      </w:r>
      <w:r>
        <w:rPr>
          <w:rFonts w:ascii="Arial" w:hAnsi="Arial" w:cs="Arial"/>
        </w:rPr>
        <w:t xml:space="preserve">vehicle kilometres, this </w:t>
      </w:r>
      <w:r w:rsidR="00E60213">
        <w:rPr>
          <w:rFonts w:ascii="Arial" w:hAnsi="Arial" w:cs="Arial"/>
        </w:rPr>
        <w:t>re</w:t>
      </w:r>
      <w:r w:rsidR="008B59EC">
        <w:rPr>
          <w:rFonts w:ascii="Arial" w:hAnsi="Arial" w:cs="Arial"/>
        </w:rPr>
        <w:t>d</w:t>
      </w:r>
      <w:r w:rsidR="00E60213">
        <w:rPr>
          <w:rFonts w:ascii="Arial" w:hAnsi="Arial" w:cs="Arial"/>
        </w:rPr>
        <w:t xml:space="preserve">uced </w:t>
      </w:r>
      <w:r>
        <w:rPr>
          <w:rFonts w:ascii="Arial" w:hAnsi="Arial" w:cs="Arial"/>
        </w:rPr>
        <w:t>in BCP between 2021/22 and 202</w:t>
      </w:r>
      <w:r w:rsidR="00257FFE">
        <w:rPr>
          <w:rFonts w:ascii="Arial" w:hAnsi="Arial" w:cs="Arial"/>
        </w:rPr>
        <w:t>3</w:t>
      </w:r>
      <w:r>
        <w:rPr>
          <w:rFonts w:ascii="Arial" w:hAnsi="Arial" w:cs="Arial"/>
        </w:rPr>
        <w:t>/2</w:t>
      </w:r>
      <w:r w:rsidR="00257FFE">
        <w:rPr>
          <w:rFonts w:ascii="Arial" w:hAnsi="Arial" w:cs="Arial"/>
        </w:rPr>
        <w:t>4</w:t>
      </w:r>
      <w:r>
        <w:rPr>
          <w:rFonts w:ascii="Arial" w:hAnsi="Arial" w:cs="Arial"/>
        </w:rPr>
        <w:t xml:space="preserve"> from </w:t>
      </w:r>
      <w:r w:rsidR="002461E1">
        <w:rPr>
          <w:rFonts w:ascii="Arial" w:hAnsi="Arial" w:cs="Arial"/>
        </w:rPr>
        <w:t>11.31</w:t>
      </w:r>
      <w:r>
        <w:rPr>
          <w:rFonts w:ascii="Arial" w:hAnsi="Arial" w:cs="Arial"/>
        </w:rPr>
        <w:t xml:space="preserve"> million to </w:t>
      </w:r>
      <w:r w:rsidR="00257FFE">
        <w:rPr>
          <w:rFonts w:ascii="Arial" w:hAnsi="Arial" w:cs="Arial"/>
        </w:rPr>
        <w:t xml:space="preserve">9.86 </w:t>
      </w:r>
      <w:r>
        <w:rPr>
          <w:rFonts w:ascii="Arial" w:hAnsi="Arial" w:cs="Arial"/>
        </w:rPr>
        <w:t>million (</w:t>
      </w:r>
      <w:r w:rsidR="00257FFE">
        <w:rPr>
          <w:rFonts w:ascii="Arial" w:hAnsi="Arial" w:cs="Arial"/>
        </w:rPr>
        <w:t>by</w:t>
      </w:r>
      <w:r>
        <w:rPr>
          <w:rFonts w:ascii="Arial" w:hAnsi="Arial" w:cs="Arial"/>
        </w:rPr>
        <w:t xml:space="preserve"> </w:t>
      </w:r>
      <w:r w:rsidR="00257FFE">
        <w:rPr>
          <w:rFonts w:ascii="Arial" w:hAnsi="Arial" w:cs="Arial"/>
        </w:rPr>
        <w:t>13</w:t>
      </w:r>
      <w:r>
        <w:rPr>
          <w:rFonts w:ascii="Arial" w:hAnsi="Arial" w:cs="Arial"/>
        </w:rPr>
        <w:t>%)</w:t>
      </w:r>
      <w:r w:rsidR="00476AAE">
        <w:rPr>
          <w:rFonts w:ascii="Arial" w:hAnsi="Arial" w:cs="Arial"/>
        </w:rPr>
        <w:t xml:space="preserve">, </w:t>
      </w:r>
      <w:r w:rsidR="00257FFE">
        <w:rPr>
          <w:rFonts w:ascii="Arial" w:hAnsi="Arial" w:cs="Arial"/>
        </w:rPr>
        <w:t>illustrating the</w:t>
      </w:r>
      <w:r w:rsidR="00476AAE">
        <w:rPr>
          <w:rFonts w:ascii="Arial" w:hAnsi="Arial" w:cs="Arial"/>
        </w:rPr>
        <w:t xml:space="preserve"> withdrawal of Yellowbus</w:t>
      </w:r>
      <w:r w:rsidR="00520127">
        <w:rPr>
          <w:rFonts w:ascii="Arial" w:hAnsi="Arial" w:cs="Arial"/>
        </w:rPr>
        <w:t xml:space="preserve">. </w:t>
      </w:r>
      <w:r w:rsidR="00A875C3">
        <w:rPr>
          <w:rFonts w:ascii="Arial" w:hAnsi="Arial" w:cs="Arial"/>
        </w:rPr>
        <w:t>Total s</w:t>
      </w:r>
      <w:r w:rsidR="00520127">
        <w:rPr>
          <w:rFonts w:ascii="Arial" w:hAnsi="Arial" w:cs="Arial"/>
        </w:rPr>
        <w:t>upply was 12.24 million in 2022/23, indicating a year-on-year reduction of 19%.</w:t>
      </w:r>
      <w:r w:rsidR="00D66C4A">
        <w:rPr>
          <w:rFonts w:ascii="Arial" w:hAnsi="Arial" w:cs="Arial"/>
        </w:rPr>
        <w:t xml:space="preserve"> T</w:t>
      </w:r>
      <w:r w:rsidR="00D66C4A" w:rsidRPr="00D66C4A">
        <w:rPr>
          <w:rFonts w:ascii="Arial" w:hAnsi="Arial" w:cs="Arial"/>
        </w:rPr>
        <w:t xml:space="preserve">endered services declined from 1.13 million </w:t>
      </w:r>
      <w:r w:rsidR="00D66C4A">
        <w:rPr>
          <w:rFonts w:ascii="Arial" w:hAnsi="Arial" w:cs="Arial"/>
        </w:rPr>
        <w:t xml:space="preserve">in 2021/22 </w:t>
      </w:r>
      <w:r w:rsidR="00D66C4A" w:rsidRPr="00D66C4A">
        <w:rPr>
          <w:rFonts w:ascii="Arial" w:hAnsi="Arial" w:cs="Arial"/>
        </w:rPr>
        <w:t xml:space="preserve">to 0.83 million vehicle kilometres </w:t>
      </w:r>
      <w:r w:rsidR="00D66C4A">
        <w:rPr>
          <w:rFonts w:ascii="Arial" w:hAnsi="Arial" w:cs="Arial"/>
        </w:rPr>
        <w:t xml:space="preserve">in 2022/23 </w:t>
      </w:r>
      <w:r w:rsidR="00D66C4A" w:rsidRPr="00D66C4A">
        <w:rPr>
          <w:rFonts w:ascii="Arial" w:hAnsi="Arial" w:cs="Arial"/>
        </w:rPr>
        <w:t xml:space="preserve">(down 27%) and may have sparked </w:t>
      </w:r>
      <w:r w:rsidR="00D66C4A">
        <w:rPr>
          <w:rFonts w:ascii="Arial" w:hAnsi="Arial" w:cs="Arial"/>
        </w:rPr>
        <w:t xml:space="preserve">subsequent </w:t>
      </w:r>
      <w:r w:rsidR="00D66C4A" w:rsidRPr="00D66C4A">
        <w:rPr>
          <w:rFonts w:ascii="Arial" w:hAnsi="Arial" w:cs="Arial"/>
        </w:rPr>
        <w:t>instability</w:t>
      </w:r>
      <w:r>
        <w:rPr>
          <w:rFonts w:ascii="Arial" w:hAnsi="Arial" w:cs="Arial"/>
        </w:rPr>
        <w:t xml:space="preserve"> </w:t>
      </w:r>
      <w:r w:rsidR="00D66C4A">
        <w:rPr>
          <w:rFonts w:ascii="Arial" w:hAnsi="Arial" w:cs="Arial"/>
        </w:rPr>
        <w:t xml:space="preserve">in the commercial market. </w:t>
      </w:r>
      <w:r w:rsidR="00A875C3">
        <w:rPr>
          <w:rFonts w:ascii="Arial" w:hAnsi="Arial" w:cs="Arial"/>
        </w:rPr>
        <w:t xml:space="preserve">They subsequently recovered to 1.1 million vehicle kilometres in 2023/24. </w:t>
      </w:r>
    </w:p>
    <w:p w14:paraId="31A0AAF0" w14:textId="332BCAF4" w:rsidR="008B59EC" w:rsidRDefault="003A7EAA" w:rsidP="009532DC">
      <w:pPr>
        <w:rPr>
          <w:rFonts w:ascii="Arial" w:hAnsi="Arial" w:cs="Arial"/>
        </w:rPr>
      </w:pPr>
      <w:r>
        <w:rPr>
          <w:rFonts w:ascii="Arial" w:hAnsi="Arial" w:cs="Arial"/>
        </w:rPr>
        <w:t>By contrast, in Southampton total supply increased from 9.5</w:t>
      </w:r>
      <w:r w:rsidR="002461E1">
        <w:rPr>
          <w:rFonts w:ascii="Arial" w:hAnsi="Arial" w:cs="Arial"/>
        </w:rPr>
        <w:t>1</w:t>
      </w:r>
      <w:r>
        <w:rPr>
          <w:rFonts w:ascii="Arial" w:hAnsi="Arial" w:cs="Arial"/>
        </w:rPr>
        <w:t xml:space="preserve"> million to </w:t>
      </w:r>
      <w:r w:rsidR="00230399">
        <w:rPr>
          <w:rFonts w:ascii="Arial" w:hAnsi="Arial" w:cs="Arial"/>
        </w:rPr>
        <w:t>1</w:t>
      </w:r>
      <w:r w:rsidR="00D66C4A">
        <w:rPr>
          <w:rFonts w:ascii="Arial" w:hAnsi="Arial" w:cs="Arial"/>
        </w:rPr>
        <w:t>1</w:t>
      </w:r>
      <w:r w:rsidR="00230399">
        <w:rPr>
          <w:rFonts w:ascii="Arial" w:hAnsi="Arial" w:cs="Arial"/>
        </w:rPr>
        <w:t>.4</w:t>
      </w:r>
      <w:r w:rsidR="00D66C4A">
        <w:rPr>
          <w:rFonts w:ascii="Arial" w:hAnsi="Arial" w:cs="Arial"/>
        </w:rPr>
        <w:t>0</w:t>
      </w:r>
      <w:r w:rsidR="00230399">
        <w:rPr>
          <w:rFonts w:ascii="Arial" w:hAnsi="Arial" w:cs="Arial"/>
        </w:rPr>
        <w:t xml:space="preserve"> million vehicle kilometres (up </w:t>
      </w:r>
      <w:r w:rsidR="00D66C4A">
        <w:rPr>
          <w:rFonts w:ascii="Arial" w:hAnsi="Arial" w:cs="Arial"/>
        </w:rPr>
        <w:t>2</w:t>
      </w:r>
      <w:r w:rsidR="00230399">
        <w:rPr>
          <w:rFonts w:ascii="Arial" w:hAnsi="Arial" w:cs="Arial"/>
        </w:rPr>
        <w:t>0%)</w:t>
      </w:r>
      <w:r w:rsidR="00CB2416">
        <w:rPr>
          <w:rFonts w:ascii="Arial" w:hAnsi="Arial" w:cs="Arial"/>
        </w:rPr>
        <w:t xml:space="preserve"> between 2021/22 and 202</w:t>
      </w:r>
      <w:r w:rsidR="00D66C4A">
        <w:rPr>
          <w:rFonts w:ascii="Arial" w:hAnsi="Arial" w:cs="Arial"/>
        </w:rPr>
        <w:t>3</w:t>
      </w:r>
      <w:r w:rsidR="00CB2416">
        <w:rPr>
          <w:rFonts w:ascii="Arial" w:hAnsi="Arial" w:cs="Arial"/>
        </w:rPr>
        <w:t>/2</w:t>
      </w:r>
      <w:r w:rsidR="00D66C4A">
        <w:rPr>
          <w:rFonts w:ascii="Arial" w:hAnsi="Arial" w:cs="Arial"/>
        </w:rPr>
        <w:t>4</w:t>
      </w:r>
      <w:r w:rsidR="00230399">
        <w:rPr>
          <w:rFonts w:ascii="Arial" w:hAnsi="Arial" w:cs="Arial"/>
        </w:rPr>
        <w:t xml:space="preserve">, whilst in Portsmouth it grew from 5.89 million to </w:t>
      </w:r>
      <w:r w:rsidR="00D66C4A">
        <w:rPr>
          <w:rFonts w:ascii="Arial" w:hAnsi="Arial" w:cs="Arial"/>
        </w:rPr>
        <w:t>7.24</w:t>
      </w:r>
      <w:r w:rsidR="00230399">
        <w:rPr>
          <w:rFonts w:ascii="Arial" w:hAnsi="Arial" w:cs="Arial"/>
        </w:rPr>
        <w:t xml:space="preserve"> million (</w:t>
      </w:r>
      <w:r w:rsidR="00D66C4A">
        <w:rPr>
          <w:rFonts w:ascii="Arial" w:hAnsi="Arial" w:cs="Arial"/>
        </w:rPr>
        <w:t xml:space="preserve">up </w:t>
      </w:r>
      <w:r w:rsidR="002461E1">
        <w:rPr>
          <w:rFonts w:ascii="Arial" w:hAnsi="Arial" w:cs="Arial"/>
        </w:rPr>
        <w:t>2</w:t>
      </w:r>
      <w:r w:rsidR="00D66C4A">
        <w:rPr>
          <w:rFonts w:ascii="Arial" w:hAnsi="Arial" w:cs="Arial"/>
        </w:rPr>
        <w:t>3</w:t>
      </w:r>
      <w:r w:rsidR="00230399">
        <w:rPr>
          <w:rFonts w:ascii="Arial" w:hAnsi="Arial" w:cs="Arial"/>
        </w:rPr>
        <w:t>%)</w:t>
      </w:r>
      <w:r w:rsidR="00491FD4">
        <w:rPr>
          <w:rFonts w:ascii="Arial" w:hAnsi="Arial" w:cs="Arial"/>
        </w:rPr>
        <w:t xml:space="preserve"> (DfT, 2024, Table Bus 02d)</w:t>
      </w:r>
      <w:r w:rsidR="00230399">
        <w:rPr>
          <w:rFonts w:ascii="Arial" w:hAnsi="Arial" w:cs="Arial"/>
        </w:rPr>
        <w:t xml:space="preserve">. </w:t>
      </w:r>
      <w:r w:rsidR="00F718F9">
        <w:rPr>
          <w:rFonts w:ascii="Arial" w:hAnsi="Arial" w:cs="Arial"/>
        </w:rPr>
        <w:t xml:space="preserve">In Southampton supply was 12.41 million in 2022/23, indicating an 8% reduction as a result of the withdrawal of First Southampton. </w:t>
      </w:r>
      <w:r w:rsidR="008B59EC">
        <w:rPr>
          <w:rFonts w:ascii="Arial" w:hAnsi="Arial" w:cs="Arial"/>
        </w:rPr>
        <w:t>If Portsmouth is set as the control, the difference in differences for total vehicle kilometres between 2021/22 and 2023/24 are -3% for Southampton but -36% for BCP. Recent trends in the bus industry in BCP seem to be different to those in Southampton and Portsmouth, but this may reflect a recent history of over-supply.</w:t>
      </w:r>
    </w:p>
    <w:p w14:paraId="319E003C" w14:textId="00C54269" w:rsidR="00D15230" w:rsidRDefault="00D15230" w:rsidP="009532DC">
      <w:pPr>
        <w:rPr>
          <w:rFonts w:ascii="Arial" w:hAnsi="Arial" w:cs="Arial"/>
        </w:rPr>
      </w:pPr>
      <w:r>
        <w:rPr>
          <w:rFonts w:ascii="Arial" w:hAnsi="Arial" w:cs="Arial"/>
        </w:rPr>
        <w:t>There is th</w:t>
      </w:r>
      <w:r w:rsidR="00F718F9">
        <w:rPr>
          <w:rFonts w:ascii="Arial" w:hAnsi="Arial" w:cs="Arial"/>
        </w:rPr>
        <w:t xml:space="preserve">us some </w:t>
      </w:r>
      <w:r>
        <w:rPr>
          <w:rFonts w:ascii="Arial" w:hAnsi="Arial" w:cs="Arial"/>
        </w:rPr>
        <w:t>evidence that the movement from duopoly to monopoly provision in BCP and Southampton led to reduction</w:t>
      </w:r>
      <w:r w:rsidR="00F718F9">
        <w:rPr>
          <w:rFonts w:ascii="Arial" w:hAnsi="Arial" w:cs="Arial"/>
        </w:rPr>
        <w:t>s</w:t>
      </w:r>
      <w:r>
        <w:rPr>
          <w:rFonts w:ascii="Arial" w:hAnsi="Arial" w:cs="Arial"/>
        </w:rPr>
        <w:t xml:space="preserve"> in service</w:t>
      </w:r>
      <w:r w:rsidR="008B59EC">
        <w:rPr>
          <w:rFonts w:ascii="Arial" w:hAnsi="Arial" w:cs="Arial"/>
        </w:rPr>
        <w:t>, particularly in BCP</w:t>
      </w:r>
      <w:r>
        <w:rPr>
          <w:rFonts w:ascii="Arial" w:hAnsi="Arial" w:cs="Arial"/>
        </w:rPr>
        <w:t xml:space="preserve">. </w:t>
      </w:r>
      <w:r w:rsidR="00F718F9">
        <w:rPr>
          <w:rFonts w:ascii="Arial" w:hAnsi="Arial" w:cs="Arial"/>
        </w:rPr>
        <w:t>Moreover,</w:t>
      </w:r>
      <w:r>
        <w:rPr>
          <w:rFonts w:ascii="Arial" w:hAnsi="Arial" w:cs="Arial"/>
        </w:rPr>
        <w:t xml:space="preserve"> Table 6 indicates that there were </w:t>
      </w:r>
      <w:r w:rsidR="00110F00">
        <w:rPr>
          <w:rFonts w:ascii="Arial" w:hAnsi="Arial" w:cs="Arial"/>
        </w:rPr>
        <w:t xml:space="preserve">also </w:t>
      </w:r>
      <w:r>
        <w:rPr>
          <w:rFonts w:ascii="Arial" w:hAnsi="Arial" w:cs="Arial"/>
        </w:rPr>
        <w:t xml:space="preserve">reductions in network kilometres, reducing from 301 to 241 kms in BCP (down 20%) and in Southampton, reducing from 235 to 205 kms (down 13%). As a result traffic density increased by </w:t>
      </w:r>
      <w:r w:rsidR="00F718F9">
        <w:rPr>
          <w:rFonts w:ascii="Arial" w:hAnsi="Arial" w:cs="Arial"/>
        </w:rPr>
        <w:t>a modest 8</w:t>
      </w:r>
      <w:r>
        <w:rPr>
          <w:rFonts w:ascii="Arial" w:hAnsi="Arial" w:cs="Arial"/>
        </w:rPr>
        <w:t xml:space="preserve">% in BCP and </w:t>
      </w:r>
      <w:r w:rsidR="00F718F9">
        <w:rPr>
          <w:rFonts w:ascii="Arial" w:hAnsi="Arial" w:cs="Arial"/>
        </w:rPr>
        <w:t>a more substantial 36</w:t>
      </w:r>
      <w:r w:rsidR="00FF65A8">
        <w:rPr>
          <w:rFonts w:ascii="Arial" w:hAnsi="Arial" w:cs="Arial"/>
        </w:rPr>
        <w:t xml:space="preserve">% in Southampton. This may reflect economies of density on the demand side </w:t>
      </w:r>
      <w:r w:rsidR="008B59EC">
        <w:rPr>
          <w:rFonts w:ascii="Arial" w:hAnsi="Arial" w:cs="Arial"/>
        </w:rPr>
        <w:t xml:space="preserve">(reflected by recent demand growth) </w:t>
      </w:r>
      <w:r w:rsidR="00FF65A8">
        <w:rPr>
          <w:rFonts w:ascii="Arial" w:hAnsi="Arial" w:cs="Arial"/>
        </w:rPr>
        <w:t>as the benefits of higher frequency services are likely to outweigh the disbenefits of some longer access and egress times. However, there may be some diseconomies on the supply side, in terms of congestion</w:t>
      </w:r>
      <w:r w:rsidR="00955B23">
        <w:rPr>
          <w:rFonts w:ascii="Arial" w:hAnsi="Arial" w:cs="Arial"/>
        </w:rPr>
        <w:t>, particularly in Southampton.</w:t>
      </w:r>
      <w:r w:rsidR="00FF65A8">
        <w:rPr>
          <w:rFonts w:ascii="Arial" w:hAnsi="Arial" w:cs="Arial"/>
        </w:rPr>
        <w:t xml:space="preserve"> </w:t>
      </w:r>
      <w:r w:rsidR="00955B23">
        <w:rPr>
          <w:rFonts w:ascii="Arial" w:hAnsi="Arial" w:cs="Arial"/>
        </w:rPr>
        <w:t xml:space="preserve">Where this leads to bus bunching, there </w:t>
      </w:r>
      <w:r w:rsidR="00A875C3">
        <w:rPr>
          <w:rFonts w:ascii="Arial" w:hAnsi="Arial" w:cs="Arial"/>
        </w:rPr>
        <w:t xml:space="preserve">may </w:t>
      </w:r>
      <w:r w:rsidR="00955B23">
        <w:rPr>
          <w:rFonts w:ascii="Arial" w:hAnsi="Arial" w:cs="Arial"/>
        </w:rPr>
        <w:t xml:space="preserve">also be </w:t>
      </w:r>
      <w:r w:rsidR="00110F00">
        <w:rPr>
          <w:rFonts w:ascii="Arial" w:hAnsi="Arial" w:cs="Arial"/>
        </w:rPr>
        <w:t xml:space="preserve">adverse </w:t>
      </w:r>
      <w:r w:rsidR="00955B23">
        <w:rPr>
          <w:rFonts w:ascii="Arial" w:hAnsi="Arial" w:cs="Arial"/>
        </w:rPr>
        <w:t>demand side effects.</w:t>
      </w:r>
    </w:p>
    <w:p w14:paraId="5E38EEFC" w14:textId="2FA39E8D" w:rsidR="003223A2" w:rsidRPr="00FF65A8" w:rsidRDefault="00FF65A8" w:rsidP="009532DC">
      <w:pPr>
        <w:rPr>
          <w:rFonts w:ascii="Arial" w:hAnsi="Arial" w:cs="Arial"/>
          <w:b/>
          <w:bCs/>
        </w:rPr>
      </w:pPr>
      <w:r w:rsidRPr="00FF65A8">
        <w:rPr>
          <w:rFonts w:ascii="Arial" w:hAnsi="Arial" w:cs="Arial"/>
          <w:b/>
          <w:bCs/>
        </w:rPr>
        <w:t>Table 6: Changes in Vehicle Kilometres</w:t>
      </w:r>
      <w:r w:rsidR="00A40660">
        <w:rPr>
          <w:rFonts w:ascii="Arial" w:hAnsi="Arial" w:cs="Arial"/>
          <w:b/>
          <w:bCs/>
        </w:rPr>
        <w:t xml:space="preserve"> (VKM)</w:t>
      </w:r>
      <w:r w:rsidRPr="00FF65A8">
        <w:rPr>
          <w:rFonts w:ascii="Arial" w:hAnsi="Arial" w:cs="Arial"/>
          <w:b/>
          <w:bCs/>
        </w:rPr>
        <w:t xml:space="preserve">, Network Kilometres </w:t>
      </w:r>
      <w:r w:rsidR="00A40660">
        <w:rPr>
          <w:rFonts w:ascii="Arial" w:hAnsi="Arial" w:cs="Arial"/>
          <w:b/>
          <w:bCs/>
        </w:rPr>
        <w:t xml:space="preserve">(NKM) </w:t>
      </w:r>
      <w:r w:rsidRPr="00FF65A8">
        <w:rPr>
          <w:rFonts w:ascii="Arial" w:hAnsi="Arial" w:cs="Arial"/>
          <w:b/>
          <w:bCs/>
        </w:rPr>
        <w:t xml:space="preserve">and Traffic Density </w:t>
      </w:r>
      <w:r w:rsidR="00A40660">
        <w:rPr>
          <w:rFonts w:ascii="Arial" w:hAnsi="Arial" w:cs="Arial"/>
          <w:b/>
          <w:bCs/>
        </w:rPr>
        <w:t xml:space="preserve">(TD) </w:t>
      </w:r>
      <w:r w:rsidRPr="00FF65A8">
        <w:rPr>
          <w:rFonts w:ascii="Arial" w:hAnsi="Arial" w:cs="Arial"/>
          <w:b/>
          <w:bCs/>
        </w:rPr>
        <w:t>in BCP and Southampton.</w:t>
      </w:r>
    </w:p>
    <w:tbl>
      <w:tblPr>
        <w:tblStyle w:val="TableGrid"/>
        <w:tblW w:w="8642" w:type="dxa"/>
        <w:tblLook w:val="0420" w:firstRow="1" w:lastRow="0" w:firstColumn="0" w:lastColumn="0" w:noHBand="0" w:noVBand="1"/>
      </w:tblPr>
      <w:tblGrid>
        <w:gridCol w:w="1129"/>
        <w:gridCol w:w="1252"/>
        <w:gridCol w:w="1252"/>
        <w:gridCol w:w="1324"/>
        <w:gridCol w:w="1180"/>
        <w:gridCol w:w="1252"/>
        <w:gridCol w:w="1253"/>
      </w:tblGrid>
      <w:tr w:rsidR="008062AA" w:rsidRPr="008062AA" w14:paraId="3FFE794E" w14:textId="77777777" w:rsidTr="00D15230">
        <w:trPr>
          <w:trHeight w:val="305"/>
        </w:trPr>
        <w:tc>
          <w:tcPr>
            <w:tcW w:w="1129" w:type="dxa"/>
            <w:hideMark/>
          </w:tcPr>
          <w:p w14:paraId="342E8ACB" w14:textId="77777777" w:rsidR="008062AA" w:rsidRPr="008062AA" w:rsidRDefault="008062AA" w:rsidP="008062AA">
            <w:pPr>
              <w:rPr>
                <w:rFonts w:ascii="Arial" w:eastAsia="Times New Roman" w:hAnsi="Arial" w:cs="Arial"/>
                <w:lang w:eastAsia="en-GB"/>
              </w:rPr>
            </w:pPr>
          </w:p>
        </w:tc>
        <w:tc>
          <w:tcPr>
            <w:tcW w:w="3828" w:type="dxa"/>
            <w:gridSpan w:val="3"/>
            <w:hideMark/>
          </w:tcPr>
          <w:p w14:paraId="788F6D5A"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kern w:val="24"/>
                <w:lang w:eastAsia="en-GB"/>
              </w:rPr>
              <w:t>Before (2021/22)</w:t>
            </w:r>
          </w:p>
        </w:tc>
        <w:tc>
          <w:tcPr>
            <w:tcW w:w="3685" w:type="dxa"/>
            <w:gridSpan w:val="3"/>
            <w:hideMark/>
          </w:tcPr>
          <w:p w14:paraId="31630D35" w14:textId="111508B4" w:rsidR="008062AA" w:rsidRPr="008062AA" w:rsidRDefault="008062AA" w:rsidP="008062AA">
            <w:pPr>
              <w:rPr>
                <w:rFonts w:ascii="Arial" w:eastAsia="Times New Roman" w:hAnsi="Arial" w:cs="Arial"/>
                <w:lang w:eastAsia="en-GB"/>
              </w:rPr>
            </w:pPr>
            <w:r w:rsidRPr="008062AA">
              <w:rPr>
                <w:rFonts w:ascii="Arial" w:eastAsia="Times New Roman" w:hAnsi="Arial" w:cs="Arial"/>
                <w:kern w:val="24"/>
                <w:lang w:eastAsia="en-GB"/>
              </w:rPr>
              <w:t>After (202</w:t>
            </w:r>
            <w:r w:rsidR="00257FFE">
              <w:rPr>
                <w:rFonts w:ascii="Arial" w:eastAsia="Times New Roman" w:hAnsi="Arial" w:cs="Arial"/>
                <w:kern w:val="24"/>
                <w:lang w:eastAsia="en-GB"/>
              </w:rPr>
              <w:t>3</w:t>
            </w:r>
            <w:r w:rsidRPr="008062AA">
              <w:rPr>
                <w:rFonts w:ascii="Arial" w:eastAsia="Times New Roman" w:hAnsi="Arial" w:cs="Arial"/>
                <w:kern w:val="24"/>
                <w:lang w:eastAsia="en-GB"/>
              </w:rPr>
              <w:t>/2</w:t>
            </w:r>
            <w:r w:rsidR="00257FFE">
              <w:rPr>
                <w:rFonts w:ascii="Arial" w:eastAsia="Times New Roman" w:hAnsi="Arial" w:cs="Arial"/>
                <w:kern w:val="24"/>
                <w:lang w:eastAsia="en-GB"/>
              </w:rPr>
              <w:t>4</w:t>
            </w:r>
            <w:r w:rsidRPr="008062AA">
              <w:rPr>
                <w:rFonts w:ascii="Arial" w:eastAsia="Times New Roman" w:hAnsi="Arial" w:cs="Arial"/>
                <w:kern w:val="24"/>
                <w:lang w:eastAsia="en-GB"/>
              </w:rPr>
              <w:t>)</w:t>
            </w:r>
          </w:p>
        </w:tc>
      </w:tr>
      <w:tr w:rsidR="008062AA" w:rsidRPr="008062AA" w14:paraId="7F4352C2" w14:textId="77777777" w:rsidTr="00D15230">
        <w:trPr>
          <w:trHeight w:val="458"/>
        </w:trPr>
        <w:tc>
          <w:tcPr>
            <w:tcW w:w="1129" w:type="dxa"/>
            <w:hideMark/>
          </w:tcPr>
          <w:p w14:paraId="20807104" w14:textId="77777777" w:rsidR="008062AA" w:rsidRPr="008062AA" w:rsidRDefault="008062AA" w:rsidP="008062AA">
            <w:pPr>
              <w:rPr>
                <w:rFonts w:ascii="Arial" w:eastAsia="Times New Roman" w:hAnsi="Arial" w:cs="Arial"/>
                <w:lang w:eastAsia="en-GB"/>
              </w:rPr>
            </w:pPr>
          </w:p>
        </w:tc>
        <w:tc>
          <w:tcPr>
            <w:tcW w:w="1252" w:type="dxa"/>
            <w:hideMark/>
          </w:tcPr>
          <w:p w14:paraId="7A7C6B75"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VKM</w:t>
            </w:r>
          </w:p>
          <w:p w14:paraId="123372E0"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(millions)</w:t>
            </w:r>
          </w:p>
        </w:tc>
        <w:tc>
          <w:tcPr>
            <w:tcW w:w="1252" w:type="dxa"/>
            <w:hideMark/>
          </w:tcPr>
          <w:p w14:paraId="5ACAA928"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NKM</w:t>
            </w:r>
          </w:p>
        </w:tc>
        <w:tc>
          <w:tcPr>
            <w:tcW w:w="1324" w:type="dxa"/>
            <w:hideMark/>
          </w:tcPr>
          <w:p w14:paraId="2BC83CB3" w14:textId="0CEC6E6C" w:rsidR="008062AA" w:rsidRPr="008062AA" w:rsidRDefault="00A40660" w:rsidP="008062AA">
            <w:pPr>
              <w:rPr>
                <w:rFonts w:ascii="Arial" w:eastAsia="Times New Roman" w:hAnsi="Arial" w:cs="Arial"/>
                <w:lang w:eastAsia="en-GB"/>
              </w:rPr>
            </w:pPr>
            <w:r>
              <w:rPr>
                <w:rFonts w:ascii="Arial" w:eastAsia="Times New Roman" w:hAnsi="Arial" w:cs="Arial"/>
                <w:color w:val="000000" w:themeColor="dark1"/>
                <w:kern w:val="24"/>
                <w:lang w:eastAsia="en-GB"/>
              </w:rPr>
              <w:t>T</w:t>
            </w:r>
            <w:r w:rsidR="008062AA" w:rsidRPr="008062AA">
              <w:rPr>
                <w:rFonts w:ascii="Arial" w:eastAsia="Times New Roman" w:hAnsi="Arial" w:cs="Arial"/>
                <w:color w:val="000000" w:themeColor="dark1"/>
                <w:kern w:val="24"/>
                <w:lang w:eastAsia="en-GB"/>
              </w:rPr>
              <w:t>D</w:t>
            </w:r>
          </w:p>
          <w:p w14:paraId="3BCD5859"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(VKM/</w:t>
            </w:r>
          </w:p>
          <w:p w14:paraId="4FC32672"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NKM)</w:t>
            </w:r>
          </w:p>
        </w:tc>
        <w:tc>
          <w:tcPr>
            <w:tcW w:w="1180" w:type="dxa"/>
            <w:hideMark/>
          </w:tcPr>
          <w:p w14:paraId="00A33CE0" w14:textId="77777777" w:rsidR="008062AA" w:rsidRDefault="008062AA" w:rsidP="008062AA">
            <w:pPr>
              <w:rPr>
                <w:rFonts w:ascii="Arial" w:eastAsia="Times New Roman" w:hAnsi="Arial" w:cs="Arial"/>
                <w:color w:val="000000" w:themeColor="dark1"/>
                <w:kern w:val="24"/>
                <w:lang w:eastAsia="en-GB"/>
              </w:rPr>
            </w:pPr>
            <w:r w:rsidRPr="008062AA">
              <w:rPr>
                <w:rFonts w:ascii="Arial" w:eastAsia="Times New Roman" w:hAnsi="Arial" w:cs="Arial"/>
                <w:color w:val="000000" w:themeColor="dark1"/>
                <w:kern w:val="24"/>
                <w:lang w:eastAsia="en-GB"/>
              </w:rPr>
              <w:t>VKM</w:t>
            </w:r>
          </w:p>
          <w:p w14:paraId="0CA6D4A2" w14:textId="1163112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(millions)</w:t>
            </w:r>
          </w:p>
        </w:tc>
        <w:tc>
          <w:tcPr>
            <w:tcW w:w="1252" w:type="dxa"/>
            <w:hideMark/>
          </w:tcPr>
          <w:p w14:paraId="77380FEF"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NKM</w:t>
            </w:r>
          </w:p>
        </w:tc>
        <w:tc>
          <w:tcPr>
            <w:tcW w:w="1253" w:type="dxa"/>
            <w:hideMark/>
          </w:tcPr>
          <w:p w14:paraId="2DCD6D1A" w14:textId="49DB7AA6" w:rsidR="008062AA" w:rsidRDefault="00A40660" w:rsidP="008062AA">
            <w:pPr>
              <w:rPr>
                <w:rFonts w:ascii="Arial" w:eastAsia="Times New Roman" w:hAnsi="Arial" w:cs="Arial"/>
                <w:color w:val="000000" w:themeColor="dark1"/>
                <w:kern w:val="24"/>
                <w:lang w:eastAsia="en-GB"/>
              </w:rPr>
            </w:pPr>
            <w:r>
              <w:rPr>
                <w:rFonts w:ascii="Arial" w:eastAsia="Times New Roman" w:hAnsi="Arial" w:cs="Arial"/>
                <w:color w:val="000000" w:themeColor="dark1"/>
                <w:kern w:val="24"/>
                <w:lang w:eastAsia="en-GB"/>
              </w:rPr>
              <w:t>T</w:t>
            </w:r>
            <w:r w:rsidR="008062AA" w:rsidRPr="008062AA">
              <w:rPr>
                <w:rFonts w:ascii="Arial" w:eastAsia="Times New Roman" w:hAnsi="Arial" w:cs="Arial"/>
                <w:color w:val="000000" w:themeColor="dark1"/>
                <w:kern w:val="24"/>
                <w:lang w:eastAsia="en-GB"/>
              </w:rPr>
              <w:t>D</w:t>
            </w:r>
          </w:p>
          <w:p w14:paraId="6079C99C" w14:textId="77777777" w:rsidR="008062AA" w:rsidRDefault="008062AA" w:rsidP="008062AA">
            <w:pPr>
              <w:rPr>
                <w:rFonts w:ascii="Arial" w:eastAsia="Times New Roman" w:hAnsi="Arial" w:cs="Arial"/>
                <w:color w:val="000000" w:themeColor="dark1"/>
                <w:kern w:val="24"/>
                <w:lang w:eastAsia="en-GB"/>
              </w:rPr>
            </w:pPr>
            <w:r w:rsidRPr="008062AA">
              <w:rPr>
                <w:rFonts w:ascii="Arial" w:eastAsia="Times New Roman" w:hAnsi="Arial" w:cs="Arial"/>
                <w:color w:val="000000" w:themeColor="dark1"/>
                <w:kern w:val="24"/>
                <w:lang w:eastAsia="en-GB"/>
              </w:rPr>
              <w:t>(VKM/</w:t>
            </w:r>
          </w:p>
          <w:p w14:paraId="66DE7535" w14:textId="5FF8A25E"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NKM)</w:t>
            </w:r>
          </w:p>
        </w:tc>
      </w:tr>
      <w:tr w:rsidR="008062AA" w:rsidRPr="008062AA" w14:paraId="0F4A83AF" w14:textId="77777777" w:rsidTr="00D15230">
        <w:trPr>
          <w:trHeight w:val="399"/>
        </w:trPr>
        <w:tc>
          <w:tcPr>
            <w:tcW w:w="1129" w:type="dxa"/>
            <w:hideMark/>
          </w:tcPr>
          <w:p w14:paraId="54CADAE1"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BCP</w:t>
            </w:r>
          </w:p>
        </w:tc>
        <w:tc>
          <w:tcPr>
            <w:tcW w:w="1252" w:type="dxa"/>
            <w:hideMark/>
          </w:tcPr>
          <w:p w14:paraId="053BD411" w14:textId="1EE79CCF"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11.3</w:t>
            </w:r>
            <w:r w:rsidR="00257FFE">
              <w:rPr>
                <w:rFonts w:ascii="Arial" w:eastAsia="Times New Roman" w:hAnsi="Arial" w:cs="Arial"/>
                <w:color w:val="000000" w:themeColor="dark1"/>
                <w:kern w:val="24"/>
                <w:lang w:eastAsia="en-GB"/>
              </w:rPr>
              <w:t>1</w:t>
            </w:r>
          </w:p>
        </w:tc>
        <w:tc>
          <w:tcPr>
            <w:tcW w:w="1252" w:type="dxa"/>
            <w:hideMark/>
          </w:tcPr>
          <w:p w14:paraId="634339FC"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301</w:t>
            </w:r>
          </w:p>
        </w:tc>
        <w:tc>
          <w:tcPr>
            <w:tcW w:w="1324" w:type="dxa"/>
            <w:hideMark/>
          </w:tcPr>
          <w:p w14:paraId="25146006" w14:textId="0E2FE72B"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37,5</w:t>
            </w:r>
            <w:r w:rsidR="00257FFE">
              <w:rPr>
                <w:rFonts w:ascii="Arial" w:eastAsia="Times New Roman" w:hAnsi="Arial" w:cs="Arial"/>
                <w:color w:val="000000" w:themeColor="dark1"/>
                <w:kern w:val="24"/>
                <w:lang w:eastAsia="en-GB"/>
              </w:rPr>
              <w:t>75</w:t>
            </w:r>
          </w:p>
        </w:tc>
        <w:tc>
          <w:tcPr>
            <w:tcW w:w="1180" w:type="dxa"/>
            <w:hideMark/>
          </w:tcPr>
          <w:p w14:paraId="19B49A1A" w14:textId="146A79E5" w:rsidR="008062AA" w:rsidRPr="008062AA" w:rsidRDefault="00257FFE" w:rsidP="008062AA">
            <w:pPr>
              <w:rPr>
                <w:rFonts w:ascii="Arial" w:eastAsia="Times New Roman" w:hAnsi="Arial" w:cs="Arial"/>
                <w:lang w:eastAsia="en-GB"/>
              </w:rPr>
            </w:pPr>
            <w:r>
              <w:rPr>
                <w:rFonts w:ascii="Arial" w:eastAsia="Times New Roman" w:hAnsi="Arial" w:cs="Arial"/>
                <w:lang w:eastAsia="en-GB"/>
              </w:rPr>
              <w:t xml:space="preserve"> 9.86</w:t>
            </w:r>
          </w:p>
        </w:tc>
        <w:tc>
          <w:tcPr>
            <w:tcW w:w="1252" w:type="dxa"/>
            <w:hideMark/>
          </w:tcPr>
          <w:p w14:paraId="40889BB5"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241</w:t>
            </w:r>
          </w:p>
        </w:tc>
        <w:tc>
          <w:tcPr>
            <w:tcW w:w="1253" w:type="dxa"/>
            <w:hideMark/>
          </w:tcPr>
          <w:p w14:paraId="53CA3470" w14:textId="7D078063"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4</w:t>
            </w:r>
            <w:r w:rsidR="00257FFE">
              <w:rPr>
                <w:rFonts w:ascii="Arial" w:eastAsia="Times New Roman" w:hAnsi="Arial" w:cs="Arial"/>
                <w:color w:val="000000" w:themeColor="dark1"/>
                <w:kern w:val="24"/>
                <w:lang w:eastAsia="en-GB"/>
              </w:rPr>
              <w:t>0</w:t>
            </w:r>
            <w:r w:rsidRPr="008062AA">
              <w:rPr>
                <w:rFonts w:ascii="Arial" w:eastAsia="Times New Roman" w:hAnsi="Arial" w:cs="Arial"/>
                <w:color w:val="000000" w:themeColor="dark1"/>
                <w:kern w:val="24"/>
                <w:lang w:eastAsia="en-GB"/>
              </w:rPr>
              <w:t>,</w:t>
            </w:r>
            <w:r w:rsidR="00257FFE">
              <w:rPr>
                <w:rFonts w:ascii="Arial" w:eastAsia="Times New Roman" w:hAnsi="Arial" w:cs="Arial"/>
                <w:color w:val="000000" w:themeColor="dark1"/>
                <w:kern w:val="24"/>
                <w:lang w:eastAsia="en-GB"/>
              </w:rPr>
              <w:t>913</w:t>
            </w:r>
          </w:p>
        </w:tc>
      </w:tr>
      <w:tr w:rsidR="008062AA" w:rsidRPr="008062AA" w14:paraId="7AD1D9BE" w14:textId="77777777" w:rsidTr="00D15230">
        <w:trPr>
          <w:trHeight w:val="418"/>
        </w:trPr>
        <w:tc>
          <w:tcPr>
            <w:tcW w:w="1129" w:type="dxa"/>
            <w:hideMark/>
          </w:tcPr>
          <w:p w14:paraId="38AA7FA1"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Soton</w:t>
            </w:r>
          </w:p>
        </w:tc>
        <w:tc>
          <w:tcPr>
            <w:tcW w:w="1252" w:type="dxa"/>
            <w:hideMark/>
          </w:tcPr>
          <w:p w14:paraId="7FEF2005" w14:textId="0B6438E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 xml:space="preserve"> 9.5</w:t>
            </w:r>
            <w:r w:rsidR="00257FFE">
              <w:rPr>
                <w:rFonts w:ascii="Arial" w:eastAsia="Times New Roman" w:hAnsi="Arial" w:cs="Arial"/>
                <w:color w:val="000000" w:themeColor="dark1"/>
                <w:kern w:val="24"/>
                <w:lang w:eastAsia="en-GB"/>
              </w:rPr>
              <w:t>1</w:t>
            </w:r>
          </w:p>
        </w:tc>
        <w:tc>
          <w:tcPr>
            <w:tcW w:w="1252" w:type="dxa"/>
            <w:hideMark/>
          </w:tcPr>
          <w:p w14:paraId="13AC6C89"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235</w:t>
            </w:r>
          </w:p>
        </w:tc>
        <w:tc>
          <w:tcPr>
            <w:tcW w:w="1324" w:type="dxa"/>
            <w:hideMark/>
          </w:tcPr>
          <w:p w14:paraId="58CC7C0A" w14:textId="76CFB6E8"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40,4</w:t>
            </w:r>
            <w:r w:rsidR="00257FFE">
              <w:rPr>
                <w:rFonts w:ascii="Arial" w:eastAsia="Times New Roman" w:hAnsi="Arial" w:cs="Arial"/>
                <w:color w:val="000000" w:themeColor="dark1"/>
                <w:kern w:val="24"/>
                <w:lang w:eastAsia="en-GB"/>
              </w:rPr>
              <w:t>68</w:t>
            </w:r>
          </w:p>
        </w:tc>
        <w:tc>
          <w:tcPr>
            <w:tcW w:w="1180" w:type="dxa"/>
            <w:hideMark/>
          </w:tcPr>
          <w:p w14:paraId="37BF7548" w14:textId="1823EF72"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1</w:t>
            </w:r>
            <w:r w:rsidR="00257FFE">
              <w:rPr>
                <w:rFonts w:ascii="Arial" w:eastAsia="Times New Roman" w:hAnsi="Arial" w:cs="Arial"/>
                <w:color w:val="000000" w:themeColor="dark1"/>
                <w:kern w:val="24"/>
                <w:lang w:eastAsia="en-GB"/>
              </w:rPr>
              <w:t>1</w:t>
            </w:r>
            <w:r w:rsidRPr="008062AA">
              <w:rPr>
                <w:rFonts w:ascii="Arial" w:eastAsia="Times New Roman" w:hAnsi="Arial" w:cs="Arial"/>
                <w:color w:val="000000" w:themeColor="dark1"/>
                <w:kern w:val="24"/>
                <w:lang w:eastAsia="en-GB"/>
              </w:rPr>
              <w:t>.4</w:t>
            </w:r>
            <w:r w:rsidR="00257FFE">
              <w:rPr>
                <w:rFonts w:ascii="Arial" w:eastAsia="Times New Roman" w:hAnsi="Arial" w:cs="Arial"/>
                <w:color w:val="000000" w:themeColor="dark1"/>
                <w:kern w:val="24"/>
                <w:lang w:eastAsia="en-GB"/>
              </w:rPr>
              <w:t>0</w:t>
            </w:r>
          </w:p>
        </w:tc>
        <w:tc>
          <w:tcPr>
            <w:tcW w:w="1252" w:type="dxa"/>
            <w:hideMark/>
          </w:tcPr>
          <w:p w14:paraId="47032957" w14:textId="77777777" w:rsidR="008062AA" w:rsidRPr="008062AA" w:rsidRDefault="008062AA" w:rsidP="008062AA">
            <w:pPr>
              <w:rPr>
                <w:rFonts w:ascii="Arial" w:eastAsia="Times New Roman" w:hAnsi="Arial" w:cs="Arial"/>
                <w:lang w:eastAsia="en-GB"/>
              </w:rPr>
            </w:pPr>
            <w:r w:rsidRPr="008062AA">
              <w:rPr>
                <w:rFonts w:ascii="Arial" w:eastAsia="Times New Roman" w:hAnsi="Arial" w:cs="Arial"/>
                <w:color w:val="000000" w:themeColor="dark1"/>
                <w:kern w:val="24"/>
                <w:lang w:eastAsia="en-GB"/>
              </w:rPr>
              <w:t>205</w:t>
            </w:r>
          </w:p>
        </w:tc>
        <w:tc>
          <w:tcPr>
            <w:tcW w:w="1253" w:type="dxa"/>
            <w:hideMark/>
          </w:tcPr>
          <w:p w14:paraId="5F55D4CE" w14:textId="4DAE624E" w:rsidR="008062AA" w:rsidRPr="008062AA" w:rsidRDefault="00257FFE" w:rsidP="008062AA">
            <w:pPr>
              <w:rPr>
                <w:rFonts w:ascii="Arial" w:eastAsia="Times New Roman" w:hAnsi="Arial" w:cs="Arial"/>
                <w:lang w:eastAsia="en-GB"/>
              </w:rPr>
            </w:pPr>
            <w:r>
              <w:rPr>
                <w:rFonts w:ascii="Arial" w:eastAsia="Times New Roman" w:hAnsi="Arial" w:cs="Arial"/>
                <w:lang w:eastAsia="en-GB"/>
              </w:rPr>
              <w:t>55,610</w:t>
            </w:r>
          </w:p>
        </w:tc>
      </w:tr>
    </w:tbl>
    <w:p w14:paraId="5E0FF631" w14:textId="3F326547" w:rsidR="008062AA" w:rsidRDefault="00D15230" w:rsidP="009532DC">
      <w:pPr>
        <w:rPr>
          <w:rFonts w:ascii="Arial" w:hAnsi="Arial" w:cs="Arial"/>
        </w:rPr>
      </w:pPr>
      <w:r>
        <w:rPr>
          <w:rFonts w:ascii="Arial" w:hAnsi="Arial" w:cs="Arial"/>
        </w:rPr>
        <w:t>Source: Lin, 2024</w:t>
      </w:r>
      <w:r w:rsidR="00257FFE">
        <w:rPr>
          <w:rFonts w:ascii="Arial" w:hAnsi="Arial" w:cs="Arial"/>
        </w:rPr>
        <w:t>, updated</w:t>
      </w:r>
      <w:r>
        <w:rPr>
          <w:rFonts w:ascii="Arial" w:hAnsi="Arial" w:cs="Arial"/>
        </w:rPr>
        <w:t>.</w:t>
      </w:r>
    </w:p>
    <w:p w14:paraId="570B34D2" w14:textId="2A916C78" w:rsidR="00A40660" w:rsidRDefault="00D15230" w:rsidP="009532DC">
      <w:pPr>
        <w:rPr>
          <w:rFonts w:ascii="Arial" w:hAnsi="Arial" w:cs="Arial"/>
        </w:rPr>
      </w:pPr>
      <w:r>
        <w:rPr>
          <w:rFonts w:ascii="Arial" w:hAnsi="Arial" w:cs="Arial"/>
        </w:rPr>
        <w:t xml:space="preserve">It is worth noting that Portsmouth (£48.3 million) and BCP (£8.9 million) received funding from BSIP Phase 1, whilst Portsmouth also received ZEBRA funding. Southampton did not receive funding from either source. Such variations in external funding may explain some of the variations in the bus industries in the three urban areas but further research is </w:t>
      </w:r>
      <w:r w:rsidR="00073B03">
        <w:rPr>
          <w:rFonts w:ascii="Arial" w:hAnsi="Arial" w:cs="Arial"/>
        </w:rPr>
        <w:t xml:space="preserve">needed </w:t>
      </w:r>
      <w:r>
        <w:rPr>
          <w:rFonts w:ascii="Arial" w:hAnsi="Arial" w:cs="Arial"/>
        </w:rPr>
        <w:t>to better understand the dynamics of competition.</w:t>
      </w:r>
    </w:p>
    <w:p w14:paraId="44E4D6A1" w14:textId="77777777" w:rsidR="00A40660" w:rsidRDefault="00A40660">
      <w:pPr>
        <w:rPr>
          <w:rFonts w:ascii="Arial" w:hAnsi="Arial" w:cs="Arial"/>
        </w:rPr>
      </w:pPr>
      <w:r>
        <w:rPr>
          <w:rFonts w:ascii="Arial" w:hAnsi="Arial" w:cs="Arial"/>
        </w:rPr>
        <w:br w:type="page"/>
      </w:r>
    </w:p>
    <w:p w14:paraId="450E6028" w14:textId="2FAFE6A1" w:rsidR="00833DB3" w:rsidRPr="007C2647" w:rsidRDefault="00833DB3" w:rsidP="00833DB3">
      <w:pPr>
        <w:ind w:left="567" w:hanging="567"/>
        <w:rPr>
          <w:rFonts w:ascii="Arial" w:hAnsi="Arial" w:cs="Arial"/>
          <w:b/>
          <w:bCs/>
        </w:rPr>
      </w:pPr>
      <w:r w:rsidRPr="007C2647">
        <w:rPr>
          <w:rFonts w:ascii="Arial" w:hAnsi="Arial" w:cs="Arial"/>
          <w:b/>
          <w:bCs/>
        </w:rPr>
        <w:t>5.</w:t>
      </w:r>
      <w:r w:rsidRPr="007C2647">
        <w:rPr>
          <w:rFonts w:ascii="Arial" w:hAnsi="Arial" w:cs="Arial"/>
          <w:b/>
          <w:bCs/>
        </w:rPr>
        <w:tab/>
        <w:t>Conclusions</w:t>
      </w:r>
    </w:p>
    <w:p w14:paraId="1E971EE6" w14:textId="014B3D94" w:rsidR="00F21836" w:rsidRDefault="00A40660" w:rsidP="00373DCB">
      <w:pPr>
        <w:rPr>
          <w:rFonts w:ascii="Arial" w:hAnsi="Arial" w:cs="Arial"/>
        </w:rPr>
      </w:pPr>
      <w:r>
        <w:rPr>
          <w:rFonts w:ascii="Arial" w:hAnsi="Arial" w:cs="Arial"/>
        </w:rPr>
        <w:t xml:space="preserve">To return to Bill Bryson’s quote at the beginning of this paper, the local bus industry in the British Isles has been ‘bursting with incident and interest’. </w:t>
      </w:r>
      <w:r w:rsidR="00373DCB">
        <w:rPr>
          <w:rFonts w:ascii="Arial" w:hAnsi="Arial" w:cs="Arial"/>
        </w:rPr>
        <w:t xml:space="preserve">There have been further regulatory turns in the bus industry in Great Britain outside London. The dominant industry structure was becoming a private unregulated monopoly as evidenced by recent developments in Bournemouth and Southampton. </w:t>
      </w:r>
      <w:r w:rsidR="004E22CF">
        <w:rPr>
          <w:rFonts w:ascii="Arial" w:hAnsi="Arial" w:cs="Arial"/>
        </w:rPr>
        <w:t xml:space="preserve">In combination with reductions in some markets post-Covid (particularly concessionary travel by the elderly) and cost pressures, such unregulated monopolies lead to </w:t>
      </w:r>
      <w:r w:rsidR="00E91886">
        <w:rPr>
          <w:rFonts w:ascii="Arial" w:hAnsi="Arial" w:cs="Arial"/>
        </w:rPr>
        <w:t xml:space="preserve">the </w:t>
      </w:r>
      <w:r w:rsidR="004E22CF">
        <w:rPr>
          <w:rFonts w:ascii="Arial" w:hAnsi="Arial" w:cs="Arial"/>
        </w:rPr>
        <w:t xml:space="preserve">danger of leaving some markets unserved. </w:t>
      </w:r>
      <w:r w:rsidR="00A133E3">
        <w:rPr>
          <w:rFonts w:ascii="Arial" w:hAnsi="Arial" w:cs="Arial"/>
        </w:rPr>
        <w:t xml:space="preserve">This may be seen as a variant of the empty core problem that affects network industries </w:t>
      </w:r>
      <w:r w:rsidR="00A133E3" w:rsidRPr="00A133E3">
        <w:rPr>
          <w:rFonts w:ascii="Arial" w:hAnsi="Arial" w:cs="Arial"/>
        </w:rPr>
        <w:t>(Button, 1992, Faulhaber, 1975)</w:t>
      </w:r>
      <w:r w:rsidR="00E91886">
        <w:rPr>
          <w:rFonts w:ascii="Arial" w:hAnsi="Arial" w:cs="Arial"/>
        </w:rPr>
        <w:t xml:space="preserve"> and a return to the debate on the efficacy of cross-subsidy that </w:t>
      </w:r>
      <w:r w:rsidR="004A6DB6">
        <w:rPr>
          <w:rFonts w:ascii="Arial" w:hAnsi="Arial" w:cs="Arial"/>
        </w:rPr>
        <w:t>took place during deregulation (Gwilliam et al., op cit.)</w:t>
      </w:r>
      <w:r w:rsidR="00A133E3">
        <w:rPr>
          <w:rFonts w:ascii="Arial" w:hAnsi="Arial" w:cs="Arial"/>
        </w:rPr>
        <w:t xml:space="preserve">. </w:t>
      </w:r>
    </w:p>
    <w:p w14:paraId="13E8DA00" w14:textId="3302CDE3" w:rsidR="00D21D9A" w:rsidRDefault="00D21D9A" w:rsidP="00373DCB">
      <w:pPr>
        <w:rPr>
          <w:rFonts w:ascii="Arial" w:hAnsi="Arial" w:cs="Arial"/>
        </w:rPr>
      </w:pPr>
      <w:r>
        <w:rPr>
          <w:rFonts w:ascii="Arial" w:hAnsi="Arial" w:cs="Arial"/>
        </w:rPr>
        <w:t>Comparisons of the evolution of the local bus markets in London, Great Britain outside of London and the control of Northern Ireland, highlight the problematic nature of the deregulated model and the potential advantages of a comprehensive tendering mode</w:t>
      </w:r>
      <w:r w:rsidR="00AA51E4">
        <w:rPr>
          <w:rFonts w:ascii="Arial" w:hAnsi="Arial" w:cs="Arial"/>
        </w:rPr>
        <w:t>l.</w:t>
      </w:r>
      <w:r>
        <w:rPr>
          <w:rFonts w:ascii="Arial" w:hAnsi="Arial" w:cs="Arial"/>
        </w:rPr>
        <w:t xml:space="preserve"> Comparative statics of four small islands, with the Isle of Man as the public control</w:t>
      </w:r>
      <w:r w:rsidR="00AA51E4">
        <w:rPr>
          <w:rFonts w:ascii="Arial" w:hAnsi="Arial" w:cs="Arial"/>
        </w:rPr>
        <w:t>,</w:t>
      </w:r>
      <w:r>
        <w:rPr>
          <w:rFonts w:ascii="Arial" w:hAnsi="Arial" w:cs="Arial"/>
        </w:rPr>
        <w:t xml:space="preserve"> </w:t>
      </w:r>
      <w:r w:rsidR="00AA51E4">
        <w:rPr>
          <w:rFonts w:ascii="Arial" w:hAnsi="Arial" w:cs="Arial"/>
        </w:rPr>
        <w:t>is not decisive but</w:t>
      </w:r>
      <w:r w:rsidR="00073B03">
        <w:rPr>
          <w:rFonts w:ascii="Arial" w:hAnsi="Arial" w:cs="Arial"/>
        </w:rPr>
        <w:t xml:space="preserve">, when context is taken into account, </w:t>
      </w:r>
      <w:r w:rsidR="00AA51E4">
        <w:rPr>
          <w:rFonts w:ascii="Arial" w:hAnsi="Arial" w:cs="Arial"/>
        </w:rPr>
        <w:t>does suggest that the franchising model operated in Jersey has some advantages.</w:t>
      </w:r>
    </w:p>
    <w:p w14:paraId="34BD915E" w14:textId="46A2A78F" w:rsidR="00373DCB" w:rsidRDefault="00AA51E4" w:rsidP="00373DCB">
      <w:pPr>
        <w:rPr>
          <w:rFonts w:ascii="Arial" w:hAnsi="Arial" w:cs="Arial"/>
        </w:rPr>
      </w:pPr>
      <w:r>
        <w:rPr>
          <w:rFonts w:ascii="Arial" w:hAnsi="Arial" w:cs="Arial"/>
        </w:rPr>
        <w:t>S</w:t>
      </w:r>
      <w:r w:rsidR="00373DCB">
        <w:rPr>
          <w:rFonts w:ascii="Arial" w:hAnsi="Arial" w:cs="Arial"/>
        </w:rPr>
        <w:t xml:space="preserve">ince 2021 two trends seem to be evident, at least in England. One is a move towards regulated private monopolies in the form of EPs. </w:t>
      </w:r>
      <w:r w:rsidR="00A875C3">
        <w:rPr>
          <w:rFonts w:ascii="Arial" w:hAnsi="Arial" w:cs="Arial"/>
        </w:rPr>
        <w:t xml:space="preserve">This may be seen as a form of ex-post, reactive regulation. </w:t>
      </w:r>
      <w:r w:rsidR="00A133E3">
        <w:rPr>
          <w:rFonts w:ascii="Arial" w:hAnsi="Arial" w:cs="Arial"/>
        </w:rPr>
        <w:t>The second is t</w:t>
      </w:r>
      <w:r w:rsidR="00373DCB">
        <w:rPr>
          <w:rFonts w:ascii="Arial" w:hAnsi="Arial" w:cs="Arial"/>
        </w:rPr>
        <w:t xml:space="preserve">he development of competition for the market in terms of the franchising models being developed by CMAs such as Greater Manchester, but which have a precursor in the system developed in Jersey. </w:t>
      </w:r>
      <w:r w:rsidR="00A875C3">
        <w:rPr>
          <w:rFonts w:ascii="Arial" w:hAnsi="Arial" w:cs="Arial"/>
        </w:rPr>
        <w:t xml:space="preserve">This may be seen as a form of ex-ante, proactive regulation. </w:t>
      </w:r>
      <w:r w:rsidR="000249EE">
        <w:rPr>
          <w:rFonts w:ascii="Arial" w:hAnsi="Arial" w:cs="Arial"/>
        </w:rPr>
        <w:t>The choice between EPs and Franchising seem to be largely driven by institutional capacity and maturity, but may also reflect political preferences for redistribution from shareholders to consumer</w:t>
      </w:r>
      <w:r>
        <w:rPr>
          <w:rFonts w:ascii="Arial" w:hAnsi="Arial" w:cs="Arial"/>
        </w:rPr>
        <w:t>s</w:t>
      </w:r>
      <w:r w:rsidR="00E9490D">
        <w:rPr>
          <w:rFonts w:ascii="Arial" w:hAnsi="Arial" w:cs="Arial"/>
        </w:rPr>
        <w:t xml:space="preserve">, subject to available budgets and low shadow prices of public funds </w:t>
      </w:r>
      <w:r w:rsidR="000249EE">
        <w:rPr>
          <w:rFonts w:ascii="Arial" w:hAnsi="Arial" w:cs="Arial"/>
        </w:rPr>
        <w:t xml:space="preserve"> </w:t>
      </w:r>
      <w:r w:rsidR="00373DCB">
        <w:rPr>
          <w:rFonts w:ascii="Arial" w:hAnsi="Arial" w:cs="Arial"/>
        </w:rPr>
        <w:t>As Preston and Wretstrand (202</w:t>
      </w:r>
      <w:r w:rsidR="0085158D">
        <w:rPr>
          <w:rFonts w:ascii="Arial" w:hAnsi="Arial" w:cs="Arial"/>
        </w:rPr>
        <w:t>4</w:t>
      </w:r>
      <w:r w:rsidR="00373DCB">
        <w:rPr>
          <w:rFonts w:ascii="Arial" w:hAnsi="Arial" w:cs="Arial"/>
        </w:rPr>
        <w:t>) demonstrate</w:t>
      </w:r>
      <w:r w:rsidR="004A6DB6">
        <w:rPr>
          <w:rFonts w:ascii="Arial" w:hAnsi="Arial" w:cs="Arial"/>
        </w:rPr>
        <w:t>,</w:t>
      </w:r>
      <w:r w:rsidR="00373DCB">
        <w:rPr>
          <w:rFonts w:ascii="Arial" w:hAnsi="Arial" w:cs="Arial"/>
        </w:rPr>
        <w:t xml:space="preserve"> these trends are consistent with the theories </w:t>
      </w:r>
      <w:r w:rsidR="004A6DB6">
        <w:rPr>
          <w:rFonts w:ascii="Arial" w:hAnsi="Arial" w:cs="Arial"/>
        </w:rPr>
        <w:t xml:space="preserve">of regulatory cycles </w:t>
      </w:r>
      <w:r w:rsidR="00373DCB">
        <w:rPr>
          <w:rFonts w:ascii="Arial" w:hAnsi="Arial" w:cs="Arial"/>
        </w:rPr>
        <w:t>developed by Dementiev and Han (2020)</w:t>
      </w:r>
      <w:r w:rsidR="00E9490D">
        <w:rPr>
          <w:rFonts w:ascii="Arial" w:hAnsi="Arial" w:cs="Arial"/>
        </w:rPr>
        <w:t xml:space="preserve"> and elaborated by Dementiev (2024)</w:t>
      </w:r>
      <w:r w:rsidR="00987F31">
        <w:rPr>
          <w:rFonts w:ascii="Arial" w:hAnsi="Arial" w:cs="Arial"/>
        </w:rPr>
        <w:t xml:space="preserve"> in terms of an outer </w:t>
      </w:r>
      <w:r w:rsidR="00073B03">
        <w:rPr>
          <w:rFonts w:ascii="Arial" w:hAnsi="Arial" w:cs="Arial"/>
        </w:rPr>
        <w:t xml:space="preserve">circle </w:t>
      </w:r>
      <w:r w:rsidR="00987F31">
        <w:rPr>
          <w:rFonts w:ascii="Arial" w:hAnsi="Arial" w:cs="Arial"/>
        </w:rPr>
        <w:t>(competition in the market) and inner circle (competition for the market)</w:t>
      </w:r>
      <w:r w:rsidR="00373DCB">
        <w:rPr>
          <w:rFonts w:ascii="Arial" w:hAnsi="Arial" w:cs="Arial"/>
        </w:rPr>
        <w:t>.</w:t>
      </w:r>
      <w:r w:rsidR="00073B03">
        <w:rPr>
          <w:rFonts w:ascii="Arial" w:hAnsi="Arial" w:cs="Arial"/>
        </w:rPr>
        <w:t xml:space="preserve"> Well-funded and resourced LTAs in England seem to have a preference for the inner circle (franchising), whilst less well-funded and resourced LTAs stay on the outer circle with EPs.</w:t>
      </w:r>
    </w:p>
    <w:p w14:paraId="11143DAC" w14:textId="320C16D7" w:rsidR="004A6DB6" w:rsidRDefault="0085158D" w:rsidP="00373DCB">
      <w:pPr>
        <w:rPr>
          <w:rFonts w:ascii="Arial" w:hAnsi="Arial" w:cs="Arial"/>
        </w:rPr>
      </w:pPr>
      <w:r>
        <w:rPr>
          <w:rFonts w:ascii="Arial" w:hAnsi="Arial" w:cs="Arial"/>
        </w:rPr>
        <w:t xml:space="preserve">Given that these </w:t>
      </w:r>
      <w:r w:rsidR="00A875C3">
        <w:rPr>
          <w:rFonts w:ascii="Arial" w:hAnsi="Arial" w:cs="Arial"/>
        </w:rPr>
        <w:t xml:space="preserve">recent </w:t>
      </w:r>
      <w:r>
        <w:rPr>
          <w:rFonts w:ascii="Arial" w:hAnsi="Arial" w:cs="Arial"/>
        </w:rPr>
        <w:t>regulatory turns enhance the role of the public sector in the bus industry, the theory of public value, associated with Mark H. Moore becomes relevant (Moore, 1995</w:t>
      </w:r>
      <w:r w:rsidR="00DB2B02">
        <w:rPr>
          <w:rFonts w:ascii="Arial" w:hAnsi="Arial" w:cs="Arial"/>
        </w:rPr>
        <w:t>, Benington and Moore, 2011</w:t>
      </w:r>
      <w:r>
        <w:rPr>
          <w:rFonts w:ascii="Arial" w:hAnsi="Arial" w:cs="Arial"/>
        </w:rPr>
        <w:t xml:space="preserve">). </w:t>
      </w:r>
      <w:r w:rsidR="00EE3F46">
        <w:rPr>
          <w:rFonts w:ascii="Arial" w:hAnsi="Arial" w:cs="Arial"/>
        </w:rPr>
        <w:t xml:space="preserve">This is a contested concept (Brown et al., 2021) but may be summarised by Moore’s strategic triangle that </w:t>
      </w:r>
      <w:r>
        <w:rPr>
          <w:rFonts w:ascii="Arial" w:hAnsi="Arial" w:cs="Arial"/>
        </w:rPr>
        <w:t>involves three key components: administrative and operational feasibility; political and legal support; and the creation of public value through community and stakeholder engagement</w:t>
      </w:r>
      <w:r w:rsidR="00650F73">
        <w:rPr>
          <w:rFonts w:ascii="Arial" w:hAnsi="Arial" w:cs="Arial"/>
        </w:rPr>
        <w:t xml:space="preserve">. </w:t>
      </w:r>
      <w:r w:rsidR="00EE3F46">
        <w:rPr>
          <w:rFonts w:ascii="Arial" w:hAnsi="Arial" w:cs="Arial"/>
        </w:rPr>
        <w:t xml:space="preserve">In essence, it is the study of </w:t>
      </w:r>
      <w:r w:rsidR="004A6DB6">
        <w:rPr>
          <w:rFonts w:ascii="Arial" w:hAnsi="Arial" w:cs="Arial"/>
        </w:rPr>
        <w:t xml:space="preserve">the </w:t>
      </w:r>
      <w:r w:rsidR="00EE3F46">
        <w:rPr>
          <w:rFonts w:ascii="Arial" w:hAnsi="Arial" w:cs="Arial"/>
        </w:rPr>
        <w:t xml:space="preserve">interplay between managers, organisations and activities that may deliver economic and social value. </w:t>
      </w:r>
      <w:r w:rsidR="003761CC">
        <w:rPr>
          <w:rFonts w:ascii="Arial" w:hAnsi="Arial" w:cs="Arial"/>
        </w:rPr>
        <w:t>The public value of local buses has been under-researched, even though t</w:t>
      </w:r>
      <w:r w:rsidR="004A6DB6">
        <w:rPr>
          <w:rFonts w:ascii="Arial" w:hAnsi="Arial" w:cs="Arial"/>
        </w:rPr>
        <w:t>ools are relatively well established to determine the economic and social value of bus markets</w:t>
      </w:r>
      <w:r w:rsidR="00495910">
        <w:rPr>
          <w:rFonts w:ascii="Arial" w:hAnsi="Arial" w:cs="Arial"/>
        </w:rPr>
        <w:t xml:space="preserve"> (Glaister, 2001, Stanley et al., 2011, Preston, 2016)</w:t>
      </w:r>
      <w:r w:rsidR="003761CC">
        <w:rPr>
          <w:rFonts w:ascii="Arial" w:hAnsi="Arial" w:cs="Arial"/>
        </w:rPr>
        <w:t>.</w:t>
      </w:r>
      <w:r w:rsidR="00A875C3">
        <w:rPr>
          <w:rFonts w:ascii="Arial" w:hAnsi="Arial" w:cs="Arial"/>
        </w:rPr>
        <w:t xml:space="preserve"> </w:t>
      </w:r>
    </w:p>
    <w:p w14:paraId="6972E234" w14:textId="08121A0C" w:rsidR="00AA51E4" w:rsidRDefault="00AA51E4" w:rsidP="00373DCB">
      <w:pPr>
        <w:rPr>
          <w:rFonts w:ascii="Arial" w:hAnsi="Arial" w:cs="Arial"/>
        </w:rPr>
      </w:pPr>
      <w:r w:rsidRPr="00AA51E4">
        <w:rPr>
          <w:rFonts w:ascii="Arial" w:hAnsi="Arial" w:cs="Arial"/>
        </w:rPr>
        <w:t xml:space="preserve">Loeffler and Bovaird (2019) take the concept of public value further and advocate inclusive institutional design that involves co-commissioning, co-design, co-delivery and co-assessment (the 4 Cs), enabled by digital technologies and public-private-people collaborations. They illustrate this with respect to public health applications, but the principles may also apply to public transport. Some bus contracting models, such as the one developed in Jersey, exhibit some elements of  these 4 Cs. This offers the prospect of a fourth way for the production of bus services (in addition to the publicly owned and  regulated; deregulated; and comprehensive tendering models) based on co-production (see Table 7). As illustrated above, both EPs and franchising (and the related BSIPs) offer some prospects for such co-production, </w:t>
      </w:r>
      <w:r>
        <w:rPr>
          <w:rFonts w:ascii="Arial" w:hAnsi="Arial" w:cs="Arial"/>
        </w:rPr>
        <w:t xml:space="preserve">particularly in terms of co-commissioning and co-design, </w:t>
      </w:r>
      <w:r w:rsidRPr="00AA51E4">
        <w:rPr>
          <w:rFonts w:ascii="Arial" w:hAnsi="Arial" w:cs="Arial"/>
        </w:rPr>
        <w:t>although to date these interventions have been mainly delivered by top-down processes</w:t>
      </w:r>
      <w:r>
        <w:rPr>
          <w:rFonts w:ascii="Arial" w:hAnsi="Arial" w:cs="Arial"/>
        </w:rPr>
        <w:t xml:space="preserve"> initiated by</w:t>
      </w:r>
      <w:r w:rsidR="003761CC">
        <w:rPr>
          <w:rFonts w:ascii="Arial" w:hAnsi="Arial" w:cs="Arial"/>
        </w:rPr>
        <w:t xml:space="preserve"> LTAs</w:t>
      </w:r>
      <w:r w:rsidRPr="00AA51E4">
        <w:rPr>
          <w:rFonts w:ascii="Arial" w:hAnsi="Arial" w:cs="Arial"/>
        </w:rPr>
        <w:t>.</w:t>
      </w:r>
      <w:r w:rsidR="00C13D75">
        <w:rPr>
          <w:rFonts w:ascii="Arial" w:hAnsi="Arial" w:cs="Arial"/>
        </w:rPr>
        <w:t xml:space="preserve"> By contrast, deregulated bus markets, may exhibit a form of co-delivery, where there are multiple operators, but </w:t>
      </w:r>
      <w:r w:rsidR="003761CC">
        <w:rPr>
          <w:rFonts w:ascii="Arial" w:hAnsi="Arial" w:cs="Arial"/>
        </w:rPr>
        <w:t xml:space="preserve">this </w:t>
      </w:r>
      <w:r w:rsidR="00C13D75">
        <w:rPr>
          <w:rFonts w:ascii="Arial" w:hAnsi="Arial" w:cs="Arial"/>
        </w:rPr>
        <w:t>does not seem to consistently deliver public value.</w:t>
      </w:r>
    </w:p>
    <w:p w14:paraId="520E4784" w14:textId="77777777" w:rsidR="00A40660" w:rsidRDefault="00A40660" w:rsidP="00A40660">
      <w:pPr>
        <w:rPr>
          <w:rFonts w:ascii="Arial" w:hAnsi="Arial" w:cs="Arial"/>
          <w:b/>
          <w:bCs/>
        </w:rPr>
      </w:pPr>
      <w:r>
        <w:rPr>
          <w:rFonts w:ascii="Arial" w:hAnsi="Arial" w:cs="Arial"/>
          <w:b/>
          <w:bCs/>
        </w:rPr>
        <w:t>Table 7: Four Ways of Bus Production</w:t>
      </w:r>
    </w:p>
    <w:tbl>
      <w:tblPr>
        <w:tblStyle w:val="TableGrid"/>
        <w:tblW w:w="9016" w:type="dxa"/>
        <w:tblLook w:val="0420" w:firstRow="1" w:lastRow="0" w:firstColumn="0" w:lastColumn="0" w:noHBand="0" w:noVBand="1"/>
      </w:tblPr>
      <w:tblGrid>
        <w:gridCol w:w="1837"/>
        <w:gridCol w:w="2117"/>
        <w:gridCol w:w="2082"/>
        <w:gridCol w:w="2980"/>
      </w:tblGrid>
      <w:tr w:rsidR="00A40660" w:rsidRPr="00F21836" w14:paraId="0E6A0780" w14:textId="77777777" w:rsidTr="00F90103">
        <w:trPr>
          <w:trHeight w:val="584"/>
        </w:trPr>
        <w:tc>
          <w:tcPr>
            <w:tcW w:w="1837" w:type="dxa"/>
          </w:tcPr>
          <w:p w14:paraId="08DA8359" w14:textId="77777777" w:rsidR="00A40660" w:rsidRPr="00F21836" w:rsidRDefault="00A40660" w:rsidP="00F90103">
            <w:pPr>
              <w:rPr>
                <w:rFonts w:ascii="Arial" w:hAnsi="Arial" w:cs="Arial"/>
                <w:b/>
                <w:bCs/>
              </w:rPr>
            </w:pPr>
            <w:r>
              <w:rPr>
                <w:rFonts w:ascii="Arial" w:hAnsi="Arial" w:cs="Arial"/>
                <w:b/>
                <w:bCs/>
              </w:rPr>
              <w:t>Way</w:t>
            </w:r>
          </w:p>
        </w:tc>
        <w:tc>
          <w:tcPr>
            <w:tcW w:w="2117" w:type="dxa"/>
            <w:hideMark/>
          </w:tcPr>
          <w:p w14:paraId="41EDB27E" w14:textId="77777777" w:rsidR="00A40660" w:rsidRPr="00F21836" w:rsidRDefault="00A40660" w:rsidP="00F90103">
            <w:pPr>
              <w:rPr>
                <w:rFonts w:ascii="Arial" w:hAnsi="Arial" w:cs="Arial"/>
                <w:b/>
                <w:bCs/>
              </w:rPr>
            </w:pPr>
            <w:r w:rsidRPr="00F21836">
              <w:rPr>
                <w:rFonts w:ascii="Arial" w:hAnsi="Arial" w:cs="Arial"/>
                <w:b/>
                <w:bCs/>
              </w:rPr>
              <w:t>Bus Planning</w:t>
            </w:r>
          </w:p>
        </w:tc>
        <w:tc>
          <w:tcPr>
            <w:tcW w:w="2082" w:type="dxa"/>
            <w:hideMark/>
          </w:tcPr>
          <w:p w14:paraId="56E55859" w14:textId="77777777" w:rsidR="00A40660" w:rsidRPr="00F21836" w:rsidRDefault="00A40660" w:rsidP="00F90103">
            <w:pPr>
              <w:rPr>
                <w:rFonts w:ascii="Arial" w:hAnsi="Arial" w:cs="Arial"/>
                <w:b/>
                <w:bCs/>
              </w:rPr>
            </w:pPr>
            <w:r w:rsidRPr="00F21836">
              <w:rPr>
                <w:rFonts w:ascii="Arial" w:hAnsi="Arial" w:cs="Arial"/>
                <w:b/>
                <w:bCs/>
              </w:rPr>
              <w:t>Bus Operations</w:t>
            </w:r>
          </w:p>
        </w:tc>
        <w:tc>
          <w:tcPr>
            <w:tcW w:w="2980" w:type="dxa"/>
            <w:hideMark/>
          </w:tcPr>
          <w:p w14:paraId="377B4099" w14:textId="77777777" w:rsidR="00A40660" w:rsidRPr="00F21836" w:rsidRDefault="00A40660" w:rsidP="00F90103">
            <w:pPr>
              <w:rPr>
                <w:rFonts w:ascii="Arial" w:hAnsi="Arial" w:cs="Arial"/>
                <w:b/>
                <w:bCs/>
              </w:rPr>
            </w:pPr>
            <w:r w:rsidRPr="00F21836">
              <w:rPr>
                <w:rFonts w:ascii="Arial" w:hAnsi="Arial" w:cs="Arial"/>
                <w:b/>
                <w:bCs/>
              </w:rPr>
              <w:t>Examples</w:t>
            </w:r>
          </w:p>
        </w:tc>
      </w:tr>
      <w:tr w:rsidR="00A40660" w:rsidRPr="00F21836" w14:paraId="52C67DE6" w14:textId="77777777" w:rsidTr="00F90103">
        <w:trPr>
          <w:trHeight w:val="584"/>
        </w:trPr>
        <w:tc>
          <w:tcPr>
            <w:tcW w:w="1837" w:type="dxa"/>
          </w:tcPr>
          <w:p w14:paraId="14AE6BC8" w14:textId="77777777" w:rsidR="00A40660" w:rsidRPr="00F21836" w:rsidRDefault="00A40660" w:rsidP="00F90103">
            <w:pPr>
              <w:rPr>
                <w:rFonts w:ascii="Arial" w:hAnsi="Arial" w:cs="Arial"/>
              </w:rPr>
            </w:pPr>
            <w:r>
              <w:rPr>
                <w:rFonts w:ascii="Arial" w:hAnsi="Arial" w:cs="Arial"/>
              </w:rPr>
              <w:t>1. Regulated</w:t>
            </w:r>
          </w:p>
        </w:tc>
        <w:tc>
          <w:tcPr>
            <w:tcW w:w="2117" w:type="dxa"/>
            <w:hideMark/>
          </w:tcPr>
          <w:p w14:paraId="02698691" w14:textId="77777777" w:rsidR="00A40660" w:rsidRPr="00F21836" w:rsidRDefault="00A40660" w:rsidP="00F90103">
            <w:pPr>
              <w:rPr>
                <w:rFonts w:ascii="Arial" w:hAnsi="Arial" w:cs="Arial"/>
              </w:rPr>
            </w:pPr>
            <w:r w:rsidRPr="00F21836">
              <w:rPr>
                <w:rFonts w:ascii="Arial" w:hAnsi="Arial" w:cs="Arial"/>
              </w:rPr>
              <w:t>Public</w:t>
            </w:r>
          </w:p>
        </w:tc>
        <w:tc>
          <w:tcPr>
            <w:tcW w:w="2082" w:type="dxa"/>
            <w:hideMark/>
          </w:tcPr>
          <w:p w14:paraId="255C10EA" w14:textId="77777777" w:rsidR="00A40660" w:rsidRPr="00F21836" w:rsidRDefault="00A40660" w:rsidP="00F90103">
            <w:pPr>
              <w:rPr>
                <w:rFonts w:ascii="Arial" w:hAnsi="Arial" w:cs="Arial"/>
              </w:rPr>
            </w:pPr>
            <w:r w:rsidRPr="00F21836">
              <w:rPr>
                <w:rFonts w:ascii="Arial" w:hAnsi="Arial" w:cs="Arial"/>
              </w:rPr>
              <w:t>Public</w:t>
            </w:r>
          </w:p>
        </w:tc>
        <w:tc>
          <w:tcPr>
            <w:tcW w:w="2980" w:type="dxa"/>
            <w:hideMark/>
          </w:tcPr>
          <w:p w14:paraId="5801A93D" w14:textId="77777777" w:rsidR="00A40660" w:rsidRPr="00F21836" w:rsidRDefault="00A40660" w:rsidP="00F90103">
            <w:pPr>
              <w:rPr>
                <w:rFonts w:ascii="Arial" w:hAnsi="Arial" w:cs="Arial"/>
              </w:rPr>
            </w:pPr>
            <w:r w:rsidRPr="00F21836">
              <w:rPr>
                <w:rFonts w:ascii="Arial" w:hAnsi="Arial" w:cs="Arial"/>
              </w:rPr>
              <w:t>Isle of Man, Northern Ireland</w:t>
            </w:r>
          </w:p>
        </w:tc>
      </w:tr>
      <w:tr w:rsidR="00A40660" w:rsidRPr="00F21836" w14:paraId="7ABC2AB1" w14:textId="77777777" w:rsidTr="00F90103">
        <w:trPr>
          <w:trHeight w:val="584"/>
        </w:trPr>
        <w:tc>
          <w:tcPr>
            <w:tcW w:w="1837" w:type="dxa"/>
          </w:tcPr>
          <w:p w14:paraId="23D8BA3F" w14:textId="77777777" w:rsidR="00A40660" w:rsidRPr="00F21836" w:rsidRDefault="00A40660" w:rsidP="00F90103">
            <w:pPr>
              <w:rPr>
                <w:rFonts w:ascii="Arial" w:hAnsi="Arial" w:cs="Arial"/>
              </w:rPr>
            </w:pPr>
            <w:r>
              <w:rPr>
                <w:rFonts w:ascii="Arial" w:hAnsi="Arial" w:cs="Arial"/>
              </w:rPr>
              <w:t>2. Deregulated</w:t>
            </w:r>
          </w:p>
        </w:tc>
        <w:tc>
          <w:tcPr>
            <w:tcW w:w="2117" w:type="dxa"/>
          </w:tcPr>
          <w:p w14:paraId="4C6DC69F" w14:textId="77777777" w:rsidR="00A40660" w:rsidRPr="00F21836" w:rsidRDefault="00A40660" w:rsidP="00F90103">
            <w:pPr>
              <w:rPr>
                <w:rFonts w:ascii="Arial" w:hAnsi="Arial" w:cs="Arial"/>
              </w:rPr>
            </w:pPr>
            <w:r w:rsidRPr="00F21836">
              <w:rPr>
                <w:rFonts w:ascii="Arial" w:hAnsi="Arial" w:cs="Arial"/>
              </w:rPr>
              <w:t>Private</w:t>
            </w:r>
          </w:p>
        </w:tc>
        <w:tc>
          <w:tcPr>
            <w:tcW w:w="2082" w:type="dxa"/>
          </w:tcPr>
          <w:p w14:paraId="2A69A365" w14:textId="77777777" w:rsidR="00A40660" w:rsidRPr="00F21836" w:rsidRDefault="00A40660" w:rsidP="00F90103">
            <w:pPr>
              <w:rPr>
                <w:rFonts w:ascii="Arial" w:hAnsi="Arial" w:cs="Arial"/>
              </w:rPr>
            </w:pPr>
            <w:r w:rsidRPr="00F21836">
              <w:rPr>
                <w:rFonts w:ascii="Arial" w:hAnsi="Arial" w:cs="Arial"/>
              </w:rPr>
              <w:t>Private</w:t>
            </w:r>
          </w:p>
        </w:tc>
        <w:tc>
          <w:tcPr>
            <w:tcW w:w="2980" w:type="dxa"/>
          </w:tcPr>
          <w:p w14:paraId="31AE272B" w14:textId="77777777" w:rsidR="00A40660" w:rsidRDefault="00A40660" w:rsidP="00F90103">
            <w:pPr>
              <w:rPr>
                <w:rFonts w:ascii="Arial" w:hAnsi="Arial" w:cs="Arial"/>
              </w:rPr>
            </w:pPr>
            <w:r w:rsidRPr="00F21836">
              <w:rPr>
                <w:rFonts w:ascii="Arial" w:hAnsi="Arial" w:cs="Arial"/>
              </w:rPr>
              <w:t>Bournemouth, Isle of Wight,</w:t>
            </w:r>
          </w:p>
          <w:p w14:paraId="01216F6C" w14:textId="14246026" w:rsidR="00A40660" w:rsidRPr="00F21836" w:rsidRDefault="00A40660" w:rsidP="00F90103">
            <w:pPr>
              <w:rPr>
                <w:rFonts w:ascii="Arial" w:hAnsi="Arial" w:cs="Arial"/>
              </w:rPr>
            </w:pPr>
            <w:r w:rsidRPr="00F21836">
              <w:rPr>
                <w:rFonts w:ascii="Arial" w:hAnsi="Arial" w:cs="Arial"/>
              </w:rPr>
              <w:t>Portsmouth, Southampton</w:t>
            </w:r>
            <w:r w:rsidR="00A875C3">
              <w:rPr>
                <w:rFonts w:ascii="Arial" w:hAnsi="Arial" w:cs="Arial"/>
              </w:rPr>
              <w:t>, GB outside London</w:t>
            </w:r>
            <w:r w:rsidR="00DB2B02">
              <w:rPr>
                <w:rFonts w:ascii="Arial" w:hAnsi="Arial" w:cs="Arial"/>
              </w:rPr>
              <w:t xml:space="preserve"> (1986-2021)</w:t>
            </w:r>
            <w:r w:rsidRPr="00F21836">
              <w:rPr>
                <w:rFonts w:ascii="Arial" w:hAnsi="Arial" w:cs="Arial"/>
              </w:rPr>
              <w:t>.</w:t>
            </w:r>
          </w:p>
        </w:tc>
      </w:tr>
      <w:tr w:rsidR="00A40660" w:rsidRPr="00F21836" w14:paraId="59DE3682" w14:textId="77777777" w:rsidTr="00F90103">
        <w:trPr>
          <w:trHeight w:val="584"/>
        </w:trPr>
        <w:tc>
          <w:tcPr>
            <w:tcW w:w="1837" w:type="dxa"/>
          </w:tcPr>
          <w:p w14:paraId="1FBECBCE" w14:textId="77777777" w:rsidR="00A40660" w:rsidRDefault="00A40660" w:rsidP="00F90103">
            <w:pPr>
              <w:rPr>
                <w:rFonts w:ascii="Arial" w:hAnsi="Arial" w:cs="Arial"/>
              </w:rPr>
            </w:pPr>
            <w:r>
              <w:rPr>
                <w:rFonts w:ascii="Arial" w:hAnsi="Arial" w:cs="Arial"/>
              </w:rPr>
              <w:t>3. Tendered/</w:t>
            </w:r>
          </w:p>
          <w:p w14:paraId="759D5475" w14:textId="77777777" w:rsidR="00A40660" w:rsidRPr="00F21836" w:rsidRDefault="00A40660" w:rsidP="00F90103">
            <w:pPr>
              <w:rPr>
                <w:rFonts w:ascii="Arial" w:hAnsi="Arial" w:cs="Arial"/>
              </w:rPr>
            </w:pPr>
            <w:r>
              <w:rPr>
                <w:rFonts w:ascii="Arial" w:hAnsi="Arial" w:cs="Arial"/>
              </w:rPr>
              <w:t xml:space="preserve">    Franchised</w:t>
            </w:r>
          </w:p>
        </w:tc>
        <w:tc>
          <w:tcPr>
            <w:tcW w:w="2117" w:type="dxa"/>
            <w:hideMark/>
          </w:tcPr>
          <w:p w14:paraId="2FBDF64E" w14:textId="77777777" w:rsidR="00A40660" w:rsidRPr="00F21836" w:rsidRDefault="00A40660" w:rsidP="00F90103">
            <w:pPr>
              <w:rPr>
                <w:rFonts w:ascii="Arial" w:hAnsi="Arial" w:cs="Arial"/>
              </w:rPr>
            </w:pPr>
            <w:r w:rsidRPr="00F21836">
              <w:rPr>
                <w:rFonts w:ascii="Arial" w:hAnsi="Arial" w:cs="Arial"/>
              </w:rPr>
              <w:t>Public</w:t>
            </w:r>
          </w:p>
        </w:tc>
        <w:tc>
          <w:tcPr>
            <w:tcW w:w="2082" w:type="dxa"/>
            <w:hideMark/>
          </w:tcPr>
          <w:p w14:paraId="259ED419" w14:textId="77777777" w:rsidR="00A40660" w:rsidRPr="00F21836" w:rsidRDefault="00A40660" w:rsidP="00F90103">
            <w:pPr>
              <w:rPr>
                <w:rFonts w:ascii="Arial" w:hAnsi="Arial" w:cs="Arial"/>
              </w:rPr>
            </w:pPr>
            <w:r w:rsidRPr="00F21836">
              <w:rPr>
                <w:rFonts w:ascii="Arial" w:hAnsi="Arial" w:cs="Arial"/>
              </w:rPr>
              <w:t>Private</w:t>
            </w:r>
          </w:p>
        </w:tc>
        <w:tc>
          <w:tcPr>
            <w:tcW w:w="2980" w:type="dxa"/>
            <w:hideMark/>
          </w:tcPr>
          <w:p w14:paraId="593B7AAD" w14:textId="720A42C0" w:rsidR="00A40660" w:rsidRPr="00F21836" w:rsidRDefault="00A40660" w:rsidP="00F90103">
            <w:pPr>
              <w:rPr>
                <w:rFonts w:ascii="Arial" w:hAnsi="Arial" w:cs="Arial"/>
              </w:rPr>
            </w:pPr>
            <w:r w:rsidRPr="00F21836">
              <w:rPr>
                <w:rFonts w:ascii="Arial" w:hAnsi="Arial" w:cs="Arial"/>
              </w:rPr>
              <w:t xml:space="preserve">London, </w:t>
            </w:r>
            <w:r w:rsidR="006758D2">
              <w:rPr>
                <w:rFonts w:ascii="Arial" w:hAnsi="Arial" w:cs="Arial"/>
              </w:rPr>
              <w:t xml:space="preserve">Greater Manchester, </w:t>
            </w:r>
            <w:r w:rsidRPr="00F21836">
              <w:rPr>
                <w:rFonts w:ascii="Arial" w:hAnsi="Arial" w:cs="Arial"/>
              </w:rPr>
              <w:t>Guernsey, Jersey</w:t>
            </w:r>
          </w:p>
        </w:tc>
      </w:tr>
      <w:tr w:rsidR="00A40660" w:rsidRPr="00F21836" w14:paraId="30B614B5" w14:textId="77777777" w:rsidTr="00F90103">
        <w:trPr>
          <w:trHeight w:val="584"/>
        </w:trPr>
        <w:tc>
          <w:tcPr>
            <w:tcW w:w="1837" w:type="dxa"/>
          </w:tcPr>
          <w:p w14:paraId="3CDDF623" w14:textId="3E7D096E" w:rsidR="00A40660" w:rsidRPr="00F21836" w:rsidRDefault="00A40660" w:rsidP="00F90103">
            <w:pPr>
              <w:rPr>
                <w:rFonts w:ascii="Arial" w:hAnsi="Arial" w:cs="Arial"/>
              </w:rPr>
            </w:pPr>
            <w:r>
              <w:rPr>
                <w:rFonts w:ascii="Arial" w:hAnsi="Arial" w:cs="Arial"/>
              </w:rPr>
              <w:t>4. Co</w:t>
            </w:r>
            <w:r w:rsidR="002F4913">
              <w:rPr>
                <w:rFonts w:ascii="Arial" w:hAnsi="Arial" w:cs="Arial"/>
              </w:rPr>
              <w:t>-</w:t>
            </w:r>
            <w:r>
              <w:rPr>
                <w:rFonts w:ascii="Arial" w:hAnsi="Arial" w:cs="Arial"/>
              </w:rPr>
              <w:t>produced</w:t>
            </w:r>
          </w:p>
        </w:tc>
        <w:tc>
          <w:tcPr>
            <w:tcW w:w="2117" w:type="dxa"/>
            <w:hideMark/>
          </w:tcPr>
          <w:p w14:paraId="2A387F8C" w14:textId="77777777" w:rsidR="00A40660" w:rsidRPr="00F21836" w:rsidRDefault="00A40660" w:rsidP="00F90103">
            <w:pPr>
              <w:rPr>
                <w:rFonts w:ascii="Arial" w:hAnsi="Arial" w:cs="Arial"/>
              </w:rPr>
            </w:pPr>
            <w:r w:rsidRPr="00F21836">
              <w:rPr>
                <w:rFonts w:ascii="Arial" w:hAnsi="Arial" w:cs="Arial"/>
              </w:rPr>
              <w:t>Public/Private</w:t>
            </w:r>
          </w:p>
        </w:tc>
        <w:tc>
          <w:tcPr>
            <w:tcW w:w="2082" w:type="dxa"/>
            <w:hideMark/>
          </w:tcPr>
          <w:p w14:paraId="5481E7BD" w14:textId="77777777" w:rsidR="00A40660" w:rsidRPr="00F21836" w:rsidRDefault="00A40660" w:rsidP="00F90103">
            <w:pPr>
              <w:rPr>
                <w:rFonts w:ascii="Arial" w:hAnsi="Arial" w:cs="Arial"/>
              </w:rPr>
            </w:pPr>
            <w:r w:rsidRPr="00F21836">
              <w:rPr>
                <w:rFonts w:ascii="Arial" w:hAnsi="Arial" w:cs="Arial"/>
              </w:rPr>
              <w:t>Private</w:t>
            </w:r>
          </w:p>
        </w:tc>
        <w:tc>
          <w:tcPr>
            <w:tcW w:w="2980" w:type="dxa"/>
            <w:hideMark/>
          </w:tcPr>
          <w:p w14:paraId="16A41B40" w14:textId="4B065E45" w:rsidR="00A40660" w:rsidRPr="00F21836" w:rsidRDefault="00A40660" w:rsidP="00F90103">
            <w:pPr>
              <w:rPr>
                <w:rFonts w:ascii="Arial" w:hAnsi="Arial" w:cs="Arial"/>
              </w:rPr>
            </w:pPr>
            <w:r w:rsidRPr="00F21836">
              <w:rPr>
                <w:rFonts w:ascii="Arial" w:hAnsi="Arial" w:cs="Arial"/>
              </w:rPr>
              <w:t>EPs</w:t>
            </w:r>
            <w:r w:rsidR="00AA51E4">
              <w:rPr>
                <w:rFonts w:ascii="Arial" w:hAnsi="Arial" w:cs="Arial"/>
              </w:rPr>
              <w:t xml:space="preserve"> (2021-).</w:t>
            </w:r>
            <w:r w:rsidR="00D21D9A">
              <w:rPr>
                <w:rFonts w:ascii="Arial" w:hAnsi="Arial" w:cs="Arial"/>
              </w:rPr>
              <w:t xml:space="preserve"> </w:t>
            </w:r>
            <w:r w:rsidRPr="00F21836">
              <w:rPr>
                <w:rFonts w:ascii="Arial" w:hAnsi="Arial" w:cs="Arial"/>
              </w:rPr>
              <w:t>Some forms of franchising</w:t>
            </w:r>
            <w:r w:rsidR="00AA51E4">
              <w:rPr>
                <w:rFonts w:ascii="Arial" w:hAnsi="Arial" w:cs="Arial"/>
              </w:rPr>
              <w:t xml:space="preserve">. </w:t>
            </w:r>
          </w:p>
        </w:tc>
      </w:tr>
    </w:tbl>
    <w:p w14:paraId="1D2A0EA6" w14:textId="77777777" w:rsidR="00A40660" w:rsidRDefault="00A40660" w:rsidP="00373DCB">
      <w:pPr>
        <w:rPr>
          <w:rFonts w:ascii="Arial" w:hAnsi="Arial" w:cs="Arial"/>
        </w:rPr>
      </w:pPr>
    </w:p>
    <w:p w14:paraId="7BCA8F85" w14:textId="70A4FF50" w:rsidR="003761CC" w:rsidRDefault="003761CC" w:rsidP="00373DCB">
      <w:pPr>
        <w:rPr>
          <w:rFonts w:ascii="Arial" w:hAnsi="Arial" w:cs="Arial"/>
          <w:b/>
          <w:bCs/>
        </w:rPr>
      </w:pPr>
      <w:r w:rsidRPr="005821D8">
        <w:rPr>
          <w:rFonts w:ascii="Arial" w:hAnsi="Arial" w:cs="Arial"/>
          <w:b/>
          <w:bCs/>
        </w:rPr>
        <w:t>Acknowledgement</w:t>
      </w:r>
    </w:p>
    <w:p w14:paraId="57004A16" w14:textId="4324BD6B" w:rsidR="003761CC" w:rsidRPr="003761CC" w:rsidRDefault="003761CC" w:rsidP="00373DCB">
      <w:pPr>
        <w:rPr>
          <w:rFonts w:ascii="Arial" w:hAnsi="Arial" w:cs="Arial"/>
        </w:rPr>
      </w:pPr>
      <w:r>
        <w:rPr>
          <w:rFonts w:ascii="Arial" w:hAnsi="Arial" w:cs="Arial"/>
        </w:rPr>
        <w:t>The author is grateful for comments received from participants from Workshop 1 of the 18</w:t>
      </w:r>
      <w:r w:rsidRPr="005821D8">
        <w:rPr>
          <w:rFonts w:ascii="Arial" w:hAnsi="Arial" w:cs="Arial"/>
          <w:vertAlign w:val="superscript"/>
        </w:rPr>
        <w:t>th</w:t>
      </w:r>
      <w:r>
        <w:rPr>
          <w:rFonts w:ascii="Arial" w:hAnsi="Arial" w:cs="Arial"/>
        </w:rPr>
        <w:t xml:space="preserve"> International Conference on Competition and Ownership in Land Passenger Transport, held in Cape Town, South Africa, 29 September to 3 </w:t>
      </w:r>
      <w:r w:rsidR="006957C6">
        <w:rPr>
          <w:rFonts w:ascii="Arial" w:hAnsi="Arial" w:cs="Arial"/>
        </w:rPr>
        <w:t>October</w:t>
      </w:r>
      <w:r>
        <w:rPr>
          <w:rFonts w:ascii="Arial" w:hAnsi="Arial" w:cs="Arial"/>
        </w:rPr>
        <w:t xml:space="preserve"> 2024. The comments from two referees were also very useful. The usual caveat applies.</w:t>
      </w:r>
    </w:p>
    <w:p w14:paraId="0F76614B" w14:textId="0B5CEED7" w:rsidR="003901F7" w:rsidRPr="007C2647" w:rsidRDefault="003901F7" w:rsidP="00833DB3">
      <w:pPr>
        <w:ind w:left="567" w:hanging="567"/>
        <w:rPr>
          <w:rFonts w:ascii="Arial" w:hAnsi="Arial" w:cs="Arial"/>
          <w:b/>
          <w:bCs/>
        </w:rPr>
      </w:pPr>
      <w:r w:rsidRPr="007C2647">
        <w:rPr>
          <w:rFonts w:ascii="Arial" w:hAnsi="Arial" w:cs="Arial"/>
          <w:b/>
          <w:bCs/>
        </w:rPr>
        <w:t>References.</w:t>
      </w:r>
    </w:p>
    <w:p w14:paraId="738E8193" w14:textId="274E6E60" w:rsidR="00FC762D" w:rsidRDefault="00FC762D" w:rsidP="00FC762D">
      <w:pPr>
        <w:spacing w:line="276" w:lineRule="auto"/>
        <w:rPr>
          <w:rFonts w:ascii="Arial" w:hAnsi="Arial" w:cs="Arial"/>
        </w:rPr>
      </w:pPr>
      <w:r w:rsidRPr="00FC762D">
        <w:rPr>
          <w:rFonts w:ascii="Arial" w:hAnsi="Arial" w:cs="Arial"/>
        </w:rPr>
        <w:t xml:space="preserve">Ashenfelter, </w:t>
      </w:r>
      <w:r>
        <w:rPr>
          <w:rFonts w:ascii="Arial" w:hAnsi="Arial" w:cs="Arial"/>
        </w:rPr>
        <w:t xml:space="preserve">O. and </w:t>
      </w:r>
      <w:r w:rsidRPr="00FC762D">
        <w:rPr>
          <w:rFonts w:ascii="Arial" w:hAnsi="Arial" w:cs="Arial"/>
        </w:rPr>
        <w:t>Card</w:t>
      </w:r>
      <w:r>
        <w:rPr>
          <w:rFonts w:ascii="Arial" w:hAnsi="Arial" w:cs="Arial"/>
        </w:rPr>
        <w:t xml:space="preserve">, D. (1985) </w:t>
      </w:r>
      <w:r w:rsidRPr="00FC762D">
        <w:rPr>
          <w:rFonts w:ascii="Arial" w:hAnsi="Arial" w:cs="Arial"/>
        </w:rPr>
        <w:t>Using the longitudinal structure of earnings to estimate the effect of training programs</w:t>
      </w:r>
      <w:r>
        <w:rPr>
          <w:rFonts w:ascii="Arial" w:hAnsi="Arial" w:cs="Arial"/>
        </w:rPr>
        <w:t xml:space="preserve">. </w:t>
      </w:r>
      <w:r w:rsidRPr="005821D8">
        <w:rPr>
          <w:rFonts w:ascii="Arial" w:hAnsi="Arial" w:cs="Arial"/>
          <w:i/>
          <w:iCs/>
        </w:rPr>
        <w:t>Review of Economics and Stati</w:t>
      </w:r>
      <w:r w:rsidR="00987F31">
        <w:rPr>
          <w:rFonts w:ascii="Arial" w:hAnsi="Arial" w:cs="Arial"/>
          <w:i/>
          <w:iCs/>
        </w:rPr>
        <w:t>sti</w:t>
      </w:r>
      <w:r w:rsidRPr="005821D8">
        <w:rPr>
          <w:rFonts w:ascii="Arial" w:hAnsi="Arial" w:cs="Arial"/>
          <w:i/>
          <w:iCs/>
        </w:rPr>
        <w:t>cs</w:t>
      </w:r>
      <w:r w:rsidRPr="00FC762D">
        <w:rPr>
          <w:rFonts w:ascii="Arial" w:hAnsi="Arial" w:cs="Arial"/>
        </w:rPr>
        <w:t>, 67, 648-660</w:t>
      </w:r>
      <w:r>
        <w:rPr>
          <w:rFonts w:ascii="Arial" w:hAnsi="Arial" w:cs="Arial"/>
        </w:rPr>
        <w:t>.</w:t>
      </w:r>
    </w:p>
    <w:p w14:paraId="3CA3EC3C" w14:textId="32BF64E5" w:rsidR="00DB2198" w:rsidRDefault="00DB2198" w:rsidP="00DB2198">
      <w:pPr>
        <w:spacing w:line="276" w:lineRule="auto"/>
        <w:rPr>
          <w:rFonts w:ascii="Arial" w:hAnsi="Arial" w:cs="Arial"/>
        </w:rPr>
      </w:pPr>
      <w:r>
        <w:rPr>
          <w:rFonts w:ascii="Arial" w:hAnsi="Arial" w:cs="Arial"/>
        </w:rPr>
        <w:t xml:space="preserve">Beesley, M and Glaister, S. (1985) </w:t>
      </w:r>
      <w:r w:rsidRPr="00875867">
        <w:rPr>
          <w:rFonts w:ascii="Arial" w:hAnsi="Arial" w:cs="Arial"/>
        </w:rPr>
        <w:t xml:space="preserve">Deregulating the Bus Industry in Britain – (C) Response. </w:t>
      </w:r>
      <w:r w:rsidRPr="004E64F7">
        <w:rPr>
          <w:rFonts w:ascii="Arial" w:hAnsi="Arial" w:cs="Arial"/>
          <w:i/>
          <w:iCs/>
        </w:rPr>
        <w:t>Transport Reviews</w:t>
      </w:r>
      <w:r w:rsidRPr="00875867">
        <w:rPr>
          <w:rFonts w:ascii="Arial" w:hAnsi="Arial" w:cs="Arial"/>
        </w:rPr>
        <w:t>, 5, 133-142.</w:t>
      </w:r>
      <w:r w:rsidR="004E22CF">
        <w:rPr>
          <w:rFonts w:ascii="Arial" w:hAnsi="Arial" w:cs="Arial"/>
        </w:rPr>
        <w:t xml:space="preserve"> </w:t>
      </w:r>
    </w:p>
    <w:p w14:paraId="687CB79A" w14:textId="6E4FBE48" w:rsidR="00DB2B02" w:rsidRDefault="00DB2B02" w:rsidP="004E22CF">
      <w:pPr>
        <w:spacing w:line="276" w:lineRule="auto"/>
        <w:rPr>
          <w:rFonts w:ascii="Arial" w:hAnsi="Arial" w:cs="Arial"/>
        </w:rPr>
      </w:pPr>
      <w:r w:rsidRPr="00DB2B02">
        <w:rPr>
          <w:rFonts w:ascii="Arial" w:hAnsi="Arial" w:cs="Arial"/>
        </w:rPr>
        <w:t xml:space="preserve">Benington, J., and Moore, M. H. (2011). Public value in complex and changing times. In </w:t>
      </w:r>
      <w:r w:rsidR="00F46478" w:rsidRPr="00DB2B02">
        <w:rPr>
          <w:rFonts w:ascii="Arial" w:hAnsi="Arial" w:cs="Arial"/>
        </w:rPr>
        <w:t xml:space="preserve">Benington, J., and Moore, M. H. </w:t>
      </w:r>
      <w:r w:rsidR="00F46478">
        <w:rPr>
          <w:rFonts w:ascii="Arial" w:hAnsi="Arial" w:cs="Arial"/>
        </w:rPr>
        <w:t xml:space="preserve">(Eds) </w:t>
      </w:r>
      <w:r w:rsidRPr="005821D8">
        <w:rPr>
          <w:rFonts w:ascii="Arial" w:hAnsi="Arial" w:cs="Arial"/>
          <w:i/>
          <w:iCs/>
        </w:rPr>
        <w:t>Public Value: Theory and Practice</w:t>
      </w:r>
      <w:r w:rsidRPr="00DB2B02">
        <w:rPr>
          <w:rFonts w:ascii="Arial" w:hAnsi="Arial" w:cs="Arial"/>
        </w:rPr>
        <w:t xml:space="preserve">, Chapter 1 (pp. 1-30). Palgrave Macmillan, Basingstoke </w:t>
      </w:r>
    </w:p>
    <w:p w14:paraId="15B2DC33" w14:textId="22992713" w:rsidR="004E22CF" w:rsidRDefault="004E22CF" w:rsidP="004E22CF">
      <w:pPr>
        <w:spacing w:line="276" w:lineRule="auto"/>
        <w:rPr>
          <w:rFonts w:ascii="Arial" w:hAnsi="Arial" w:cs="Arial"/>
        </w:rPr>
      </w:pPr>
      <w:r>
        <w:rPr>
          <w:rFonts w:ascii="Arial" w:hAnsi="Arial" w:cs="Arial"/>
        </w:rPr>
        <w:t xml:space="preserve">Brown, P. R., Cherney, L. and Warners, S. (2021) Understanding Public Value – Why Does it Matter? </w:t>
      </w:r>
      <w:r w:rsidRPr="004E22CF">
        <w:rPr>
          <w:rFonts w:ascii="Arial" w:hAnsi="Arial" w:cs="Arial"/>
          <w:i/>
          <w:iCs/>
        </w:rPr>
        <w:t>International Journal of Public Administration</w:t>
      </w:r>
      <w:r w:rsidRPr="004E22CF">
        <w:rPr>
          <w:rFonts w:ascii="Arial" w:hAnsi="Arial" w:cs="Arial"/>
        </w:rPr>
        <w:t>, 44, 10, 803-807.</w:t>
      </w:r>
    </w:p>
    <w:p w14:paraId="1F14299F" w14:textId="77777777" w:rsidR="00A133E3" w:rsidRPr="00A133E3" w:rsidRDefault="00A133E3" w:rsidP="00A133E3">
      <w:pPr>
        <w:spacing w:line="276" w:lineRule="auto"/>
        <w:rPr>
          <w:rFonts w:ascii="Arial" w:hAnsi="Arial" w:cs="Arial"/>
          <w:lang w:val="en-AU"/>
        </w:rPr>
      </w:pPr>
      <w:r w:rsidRPr="00A133E3">
        <w:rPr>
          <w:rFonts w:ascii="Arial" w:hAnsi="Arial" w:cs="Arial"/>
          <w:lang w:val="en-AU"/>
        </w:rPr>
        <w:t xml:space="preserve">Button, K. (1996) Liberalising European aviation: Is there an empty core problem? </w:t>
      </w:r>
      <w:r w:rsidRPr="00A133E3">
        <w:rPr>
          <w:rFonts w:ascii="Arial" w:hAnsi="Arial" w:cs="Arial"/>
          <w:i/>
          <w:iCs/>
          <w:lang w:val="en-AU"/>
        </w:rPr>
        <w:t xml:space="preserve">Journal of Transport Economics. </w:t>
      </w:r>
      <w:r w:rsidRPr="00A133E3">
        <w:rPr>
          <w:rFonts w:ascii="Arial" w:hAnsi="Arial" w:cs="Arial"/>
          <w:lang w:val="en-AU"/>
        </w:rPr>
        <w:t>275-291.</w:t>
      </w:r>
    </w:p>
    <w:p w14:paraId="696F01F2" w14:textId="77777777" w:rsidR="00DB2198" w:rsidRDefault="00DB2198" w:rsidP="00DB2198">
      <w:pPr>
        <w:spacing w:line="276" w:lineRule="auto"/>
        <w:rPr>
          <w:rFonts w:ascii="Arial" w:hAnsi="Arial" w:cs="Arial"/>
        </w:rPr>
      </w:pPr>
      <w:r w:rsidRPr="00C310FD">
        <w:rPr>
          <w:rFonts w:ascii="Arial" w:hAnsi="Arial" w:cs="Arial"/>
        </w:rPr>
        <w:t xml:space="preserve">Carr, J.D. (1997) </w:t>
      </w:r>
      <w:r w:rsidRPr="00FA5872">
        <w:rPr>
          <w:rFonts w:ascii="Arial" w:hAnsi="Arial" w:cs="Arial"/>
          <w:iCs/>
        </w:rPr>
        <w:t>Light Touch Regulation for the Privatised Bus Industry.</w:t>
      </w:r>
      <w:r w:rsidRPr="00C310FD">
        <w:rPr>
          <w:rFonts w:ascii="Arial" w:hAnsi="Arial" w:cs="Arial"/>
          <w:i/>
        </w:rPr>
        <w:t xml:space="preserve"> </w:t>
      </w:r>
      <w:r>
        <w:rPr>
          <w:rFonts w:ascii="Arial" w:hAnsi="Arial" w:cs="Arial"/>
          <w:i/>
        </w:rPr>
        <w:t>5</w:t>
      </w:r>
      <w:r w:rsidRPr="00FA5872">
        <w:rPr>
          <w:rFonts w:ascii="Arial" w:hAnsi="Arial" w:cs="Arial"/>
          <w:i/>
          <w:vertAlign w:val="superscript"/>
        </w:rPr>
        <w:t>th</w:t>
      </w:r>
      <w:r>
        <w:rPr>
          <w:rFonts w:ascii="Arial" w:hAnsi="Arial" w:cs="Arial"/>
          <w:i/>
        </w:rPr>
        <w:t xml:space="preserve"> </w:t>
      </w:r>
      <w:bookmarkStart w:id="2" w:name="_Hlk201153161"/>
      <w:r w:rsidRPr="00FA5872">
        <w:rPr>
          <w:rFonts w:ascii="Arial" w:hAnsi="Arial" w:cs="Arial"/>
          <w:i/>
          <w:iCs/>
        </w:rPr>
        <w:t>International Conference on Competition and Ownership in Land Passenger Transport.</w:t>
      </w:r>
      <w:bookmarkEnd w:id="2"/>
      <w:r w:rsidRPr="00C310FD">
        <w:rPr>
          <w:rFonts w:ascii="Arial" w:hAnsi="Arial" w:cs="Arial"/>
        </w:rPr>
        <w:t xml:space="preserve"> Leeds. </w:t>
      </w:r>
    </w:p>
    <w:p w14:paraId="70680CF1" w14:textId="48ECABF0" w:rsidR="00B35DE2" w:rsidRDefault="00B35DE2" w:rsidP="00DB2198">
      <w:pPr>
        <w:spacing w:line="276" w:lineRule="auto"/>
        <w:rPr>
          <w:rFonts w:ascii="Arial" w:hAnsi="Arial" w:cs="Arial"/>
        </w:rPr>
      </w:pPr>
      <w:r w:rsidRPr="00B35DE2">
        <w:rPr>
          <w:rFonts w:ascii="Arial" w:hAnsi="Arial" w:cs="Arial"/>
        </w:rPr>
        <w:t xml:space="preserve">Dargay, J. and Hanly, M. (2002) The Demand for Local Bus Services. </w:t>
      </w:r>
      <w:r w:rsidRPr="00B35DE2">
        <w:rPr>
          <w:rFonts w:ascii="Arial" w:hAnsi="Arial" w:cs="Arial"/>
          <w:i/>
          <w:iCs/>
        </w:rPr>
        <w:t>Journal of Transport Economics and Policy</w:t>
      </w:r>
      <w:r w:rsidRPr="00B35DE2">
        <w:rPr>
          <w:rFonts w:ascii="Arial" w:hAnsi="Arial" w:cs="Arial"/>
        </w:rPr>
        <w:t>, 36, 1, 73-92.</w:t>
      </w:r>
    </w:p>
    <w:p w14:paraId="16D55367" w14:textId="77777777" w:rsidR="006655F6" w:rsidRDefault="006655F6" w:rsidP="006655F6">
      <w:pPr>
        <w:spacing w:line="276" w:lineRule="auto"/>
        <w:rPr>
          <w:rFonts w:ascii="Arial" w:eastAsia="Times New Roman" w:hAnsi="Arial" w:cs="Arial"/>
          <w:bCs/>
          <w:lang w:val="en-AU" w:eastAsia="en-AU"/>
        </w:rPr>
      </w:pPr>
      <w:r w:rsidRPr="006655F6">
        <w:rPr>
          <w:rFonts w:ascii="Arial" w:eastAsia="Times New Roman" w:hAnsi="Arial" w:cs="Arial"/>
          <w:bCs/>
          <w:lang w:val="en-AU" w:eastAsia="en-AU"/>
        </w:rPr>
        <w:t xml:space="preserve">Dementiev, A. and Han, H. J. (2020) A theory of deregulation in public transport. </w:t>
      </w:r>
      <w:r w:rsidRPr="006655F6">
        <w:rPr>
          <w:rFonts w:ascii="Arial" w:eastAsia="Times New Roman" w:hAnsi="Arial" w:cs="Arial"/>
          <w:bCs/>
          <w:i/>
          <w:iCs/>
          <w:lang w:val="en-AU" w:eastAsia="en-AU"/>
        </w:rPr>
        <w:t xml:space="preserve">Research in Transportation Economics, </w:t>
      </w:r>
      <w:r w:rsidRPr="006655F6">
        <w:rPr>
          <w:rFonts w:ascii="Arial" w:eastAsia="Times New Roman" w:hAnsi="Arial" w:cs="Arial"/>
          <w:bCs/>
          <w:lang w:val="en-AU" w:eastAsia="en-AU"/>
        </w:rPr>
        <w:t>83, 100953.</w:t>
      </w:r>
    </w:p>
    <w:p w14:paraId="7B96AC30" w14:textId="5625D000" w:rsidR="00E9490D" w:rsidRPr="00E9490D" w:rsidRDefault="00E9490D" w:rsidP="005821D8">
      <w:pPr>
        <w:spacing w:line="276" w:lineRule="auto"/>
        <w:rPr>
          <w:rFonts w:ascii="Arial" w:eastAsia="Times New Roman" w:hAnsi="Arial" w:cs="Arial"/>
          <w:lang w:val="en-AU" w:eastAsia="en-AU"/>
        </w:rPr>
      </w:pPr>
      <w:r w:rsidRPr="00E9490D">
        <w:rPr>
          <w:rFonts w:ascii="Arial" w:eastAsia="Times New Roman" w:hAnsi="Arial" w:cs="Arial"/>
          <w:lang w:val="en-AU" w:eastAsia="en-AU"/>
        </w:rPr>
        <w:t xml:space="preserve">Dementiev, A. </w:t>
      </w:r>
      <w:r>
        <w:rPr>
          <w:rFonts w:ascii="Arial" w:eastAsia="Times New Roman" w:hAnsi="Arial" w:cs="Arial"/>
          <w:lang w:val="en-AU" w:eastAsia="en-AU"/>
        </w:rPr>
        <w:t xml:space="preserve">(2024) </w:t>
      </w:r>
      <w:r w:rsidRPr="00E9490D">
        <w:rPr>
          <w:rFonts w:ascii="Arial" w:eastAsia="Times New Roman" w:hAnsi="Arial" w:cs="Arial"/>
          <w:lang w:val="en-AU" w:eastAsia="en-AU"/>
        </w:rPr>
        <w:t>Dynamic regulatory cycle in transport sector.</w:t>
      </w:r>
      <w:r>
        <w:rPr>
          <w:rFonts w:ascii="Arial" w:eastAsia="Times New Roman" w:hAnsi="Arial" w:cs="Arial"/>
          <w:lang w:val="en-AU" w:eastAsia="en-AU"/>
        </w:rPr>
        <w:t xml:space="preserve"> </w:t>
      </w:r>
      <w:r w:rsidRPr="005821D8">
        <w:rPr>
          <w:rFonts w:ascii="Arial" w:eastAsia="Times New Roman" w:hAnsi="Arial" w:cs="Arial"/>
          <w:i/>
          <w:iCs/>
          <w:lang w:val="en-AU" w:eastAsia="en-AU"/>
        </w:rPr>
        <w:t>18</w:t>
      </w:r>
      <w:r w:rsidRPr="005821D8">
        <w:rPr>
          <w:rFonts w:ascii="Arial" w:eastAsia="Times New Roman" w:hAnsi="Arial" w:cs="Arial"/>
          <w:i/>
          <w:iCs/>
          <w:vertAlign w:val="superscript"/>
          <w:lang w:val="en-AU" w:eastAsia="en-AU"/>
        </w:rPr>
        <w:t>th</w:t>
      </w:r>
      <w:r w:rsidRPr="005821D8">
        <w:rPr>
          <w:rFonts w:ascii="Arial" w:eastAsia="Times New Roman" w:hAnsi="Arial" w:cs="Arial"/>
          <w:i/>
          <w:iCs/>
          <w:lang w:val="en-AU" w:eastAsia="en-AU"/>
        </w:rPr>
        <w:t xml:space="preserve"> International Conference on Competition and Ownership in Land Passenger Transport.</w:t>
      </w:r>
      <w:r>
        <w:rPr>
          <w:rFonts w:ascii="Arial" w:eastAsia="Times New Roman" w:hAnsi="Arial" w:cs="Arial"/>
          <w:i/>
          <w:iCs/>
          <w:lang w:val="en-AU" w:eastAsia="en-AU"/>
        </w:rPr>
        <w:t xml:space="preserve"> </w:t>
      </w:r>
      <w:r>
        <w:rPr>
          <w:rFonts w:ascii="Arial" w:eastAsia="Times New Roman" w:hAnsi="Arial" w:cs="Arial"/>
          <w:lang w:val="en-AU" w:eastAsia="en-AU"/>
        </w:rPr>
        <w:t>Cape Town.</w:t>
      </w:r>
    </w:p>
    <w:p w14:paraId="27C746E3" w14:textId="77777777" w:rsidR="00E9490D" w:rsidRDefault="00E9490D" w:rsidP="00E9490D">
      <w:pPr>
        <w:spacing w:line="276" w:lineRule="auto"/>
        <w:rPr>
          <w:rFonts w:ascii="Arial" w:hAnsi="Arial" w:cs="Arial"/>
          <w:lang w:val="en"/>
        </w:rPr>
      </w:pPr>
      <w:r>
        <w:rPr>
          <w:rFonts w:ascii="Arial" w:hAnsi="Arial" w:cs="Arial"/>
          <w:lang w:val="en"/>
        </w:rPr>
        <w:t xml:space="preserve">DETR (Department of Environment, Transport and the Regions) (1999) </w:t>
      </w:r>
      <w:r>
        <w:rPr>
          <w:rFonts w:ascii="Arial" w:hAnsi="Arial" w:cs="Arial"/>
          <w:i/>
          <w:iCs/>
          <w:lang w:val="en"/>
        </w:rPr>
        <w:t xml:space="preserve">From workhorse to thoroughbred: a better role for bus travel. </w:t>
      </w:r>
      <w:r>
        <w:rPr>
          <w:rFonts w:ascii="Arial" w:hAnsi="Arial" w:cs="Arial"/>
          <w:lang w:val="en"/>
        </w:rPr>
        <w:t>London: DETR.</w:t>
      </w:r>
    </w:p>
    <w:p w14:paraId="1A78AADD" w14:textId="428C9BED" w:rsidR="00DB2198" w:rsidRDefault="00DB2198" w:rsidP="006655F6">
      <w:pPr>
        <w:spacing w:line="276" w:lineRule="auto"/>
        <w:rPr>
          <w:rStyle w:val="Hyperlink"/>
          <w:rFonts w:ascii="Arial" w:hAnsi="Arial" w:cs="Arial"/>
        </w:rPr>
      </w:pPr>
      <w:r w:rsidRPr="00C310FD">
        <w:rPr>
          <w:rFonts w:ascii="Arial" w:hAnsi="Arial" w:cs="Arial"/>
        </w:rPr>
        <w:t xml:space="preserve">DfT </w:t>
      </w:r>
      <w:r w:rsidR="00067F3E">
        <w:rPr>
          <w:rFonts w:ascii="Arial" w:hAnsi="Arial" w:cs="Arial"/>
        </w:rPr>
        <w:t xml:space="preserve">(Department for Transport) </w:t>
      </w:r>
      <w:r w:rsidRPr="00C310FD">
        <w:rPr>
          <w:rFonts w:ascii="Arial" w:hAnsi="Arial" w:cs="Arial"/>
        </w:rPr>
        <w:t xml:space="preserve">(2021) </w:t>
      </w:r>
      <w:r w:rsidRPr="00B97A92">
        <w:rPr>
          <w:rFonts w:ascii="Arial" w:hAnsi="Arial" w:cs="Arial"/>
          <w:i/>
          <w:iCs/>
        </w:rPr>
        <w:t>Bus Back Better. National Bus Strategy for England</w:t>
      </w:r>
      <w:r>
        <w:rPr>
          <w:rFonts w:ascii="Arial" w:hAnsi="Arial" w:cs="Arial"/>
        </w:rPr>
        <w:t xml:space="preserve">. </w:t>
      </w:r>
      <w:r w:rsidRPr="00C310FD">
        <w:rPr>
          <w:rFonts w:ascii="Arial" w:hAnsi="Arial" w:cs="Arial"/>
        </w:rPr>
        <w:t xml:space="preserve">March. </w:t>
      </w:r>
      <w:r>
        <w:rPr>
          <w:rFonts w:ascii="Arial" w:hAnsi="Arial" w:cs="Arial"/>
        </w:rPr>
        <w:t xml:space="preserve">London: HMSO. </w:t>
      </w:r>
      <w:hyperlink r:id="rId12" w:history="1">
        <w:r w:rsidRPr="00F45D81">
          <w:rPr>
            <w:rStyle w:val="Hyperlink"/>
            <w:rFonts w:ascii="Arial" w:hAnsi="Arial" w:cs="Arial"/>
          </w:rPr>
          <w:t>https://www.gov.uk/government/publications/bus-back-better</w:t>
        </w:r>
      </w:hyperlink>
    </w:p>
    <w:p w14:paraId="2EAAE7C1" w14:textId="5AB00092" w:rsidR="00067F3E" w:rsidRDefault="00067F3E" w:rsidP="00DB2198">
      <w:pPr>
        <w:spacing w:line="276" w:lineRule="auto"/>
        <w:rPr>
          <w:rStyle w:val="Hyperlink"/>
          <w:rFonts w:ascii="Arial" w:hAnsi="Arial" w:cs="Arial"/>
          <w:color w:val="auto"/>
          <w:u w:val="none"/>
        </w:rPr>
      </w:pPr>
      <w:r w:rsidRPr="00067F3E">
        <w:rPr>
          <w:rStyle w:val="Hyperlink"/>
          <w:rFonts w:ascii="Arial" w:hAnsi="Arial" w:cs="Arial"/>
          <w:color w:val="auto"/>
          <w:u w:val="none"/>
        </w:rPr>
        <w:t>DfT</w:t>
      </w:r>
      <w:r>
        <w:rPr>
          <w:rStyle w:val="Hyperlink"/>
          <w:rFonts w:ascii="Arial" w:hAnsi="Arial" w:cs="Arial"/>
          <w:color w:val="auto"/>
          <w:u w:val="none"/>
        </w:rPr>
        <w:t xml:space="preserve"> (2024) </w:t>
      </w:r>
      <w:r>
        <w:rPr>
          <w:rStyle w:val="Hyperlink"/>
          <w:rFonts w:ascii="Arial" w:hAnsi="Arial" w:cs="Arial"/>
          <w:i/>
          <w:iCs/>
          <w:color w:val="auto"/>
          <w:u w:val="none"/>
        </w:rPr>
        <w:t xml:space="preserve">National Bus Strategy: 2024 Bus Service Improvements Plans. Guidance to local authorities and bus operators. </w:t>
      </w:r>
      <w:r>
        <w:rPr>
          <w:rStyle w:val="Hyperlink"/>
          <w:rFonts w:ascii="Arial" w:hAnsi="Arial" w:cs="Arial"/>
          <w:color w:val="auto"/>
          <w:u w:val="none"/>
        </w:rPr>
        <w:t>January.</w:t>
      </w:r>
    </w:p>
    <w:p w14:paraId="4A660735" w14:textId="77777777" w:rsidR="00A133E3" w:rsidRDefault="00A133E3" w:rsidP="00A133E3">
      <w:pPr>
        <w:spacing w:line="276" w:lineRule="auto"/>
        <w:rPr>
          <w:rFonts w:ascii="Arial" w:hAnsi="Arial" w:cs="Arial"/>
        </w:rPr>
      </w:pPr>
      <w:r w:rsidRPr="00A133E3">
        <w:rPr>
          <w:rFonts w:ascii="Arial" w:hAnsi="Arial" w:cs="Arial"/>
        </w:rPr>
        <w:t xml:space="preserve">Faulhaber, G.R. (1975) Cross-subsidisation: Pricing in Public Enterprise. </w:t>
      </w:r>
      <w:r w:rsidRPr="00A133E3">
        <w:rPr>
          <w:rFonts w:ascii="Arial" w:hAnsi="Arial" w:cs="Arial"/>
          <w:i/>
          <w:iCs/>
        </w:rPr>
        <w:t>American Economic Review,</w:t>
      </w:r>
      <w:r w:rsidRPr="00A133E3">
        <w:rPr>
          <w:rFonts w:ascii="Arial" w:hAnsi="Arial" w:cs="Arial"/>
        </w:rPr>
        <w:t xml:space="preserve"> 65, 966-977.</w:t>
      </w:r>
    </w:p>
    <w:p w14:paraId="4E576584" w14:textId="77777777" w:rsidR="004A6DB6" w:rsidRPr="004A6DB6" w:rsidRDefault="004A6DB6" w:rsidP="004A6DB6">
      <w:pPr>
        <w:spacing w:line="276" w:lineRule="auto"/>
        <w:rPr>
          <w:rFonts w:ascii="Arial" w:hAnsi="Arial" w:cs="Arial"/>
        </w:rPr>
      </w:pPr>
      <w:r w:rsidRPr="004A6DB6">
        <w:rPr>
          <w:rFonts w:ascii="Arial" w:hAnsi="Arial" w:cs="Arial"/>
        </w:rPr>
        <w:t xml:space="preserve">Glaister, S. (2001). The </w:t>
      </w:r>
      <w:r w:rsidRPr="004A6DB6">
        <w:rPr>
          <w:rFonts w:ascii="Arial" w:hAnsi="Arial" w:cs="Arial"/>
          <w:i/>
        </w:rPr>
        <w:t>Economic Assessment of Local Transport Subsidies in Large Cities</w:t>
      </w:r>
      <w:r w:rsidRPr="004A6DB6">
        <w:rPr>
          <w:rFonts w:ascii="Arial" w:hAnsi="Arial" w:cs="Arial"/>
        </w:rPr>
        <w:t>. In Grayling, T. (Ed) Any More Fares?  IPPR, London.</w:t>
      </w:r>
    </w:p>
    <w:p w14:paraId="77F3DA8F" w14:textId="75CCFDC6" w:rsidR="003F3F2B" w:rsidRPr="003F3F2B" w:rsidRDefault="003F3F2B" w:rsidP="00DB2198">
      <w:pPr>
        <w:spacing w:line="276" w:lineRule="auto"/>
        <w:rPr>
          <w:rStyle w:val="Hyperlink"/>
          <w:rFonts w:ascii="Arial" w:hAnsi="Arial" w:cs="Arial"/>
          <w:color w:val="auto"/>
          <w:u w:val="none"/>
        </w:rPr>
      </w:pPr>
      <w:r>
        <w:rPr>
          <w:rStyle w:val="Hyperlink"/>
          <w:rFonts w:ascii="Arial" w:hAnsi="Arial" w:cs="Arial"/>
          <w:color w:val="auto"/>
          <w:u w:val="none"/>
        </w:rPr>
        <w:t>Government of Jersey (2017</w:t>
      </w:r>
      <w:r w:rsidR="004A6DB6">
        <w:rPr>
          <w:rStyle w:val="Hyperlink"/>
          <w:rFonts w:ascii="Arial" w:hAnsi="Arial" w:cs="Arial"/>
          <w:color w:val="auto"/>
          <w:u w:val="none"/>
        </w:rPr>
        <w:t>a</w:t>
      </w:r>
      <w:r>
        <w:rPr>
          <w:rStyle w:val="Hyperlink"/>
          <w:rFonts w:ascii="Arial" w:hAnsi="Arial" w:cs="Arial"/>
          <w:color w:val="auto"/>
          <w:u w:val="none"/>
        </w:rPr>
        <w:t xml:space="preserve">) </w:t>
      </w:r>
      <w:r>
        <w:rPr>
          <w:rStyle w:val="Hyperlink"/>
          <w:rFonts w:ascii="Arial" w:hAnsi="Arial" w:cs="Arial"/>
          <w:i/>
          <w:iCs/>
          <w:color w:val="auto"/>
          <w:u w:val="none"/>
        </w:rPr>
        <w:t xml:space="preserve">Jersey Bus Franchise: the Commissioner Perspective. </w:t>
      </w:r>
      <w:r>
        <w:rPr>
          <w:rStyle w:val="Hyperlink"/>
          <w:rFonts w:ascii="Arial" w:hAnsi="Arial" w:cs="Arial"/>
          <w:color w:val="auto"/>
          <w:u w:val="none"/>
        </w:rPr>
        <w:t>Presentation to the Urban Transport Group, Leeds.</w:t>
      </w:r>
    </w:p>
    <w:p w14:paraId="7267C41F" w14:textId="6327EE22" w:rsidR="004A6DB6" w:rsidRPr="003F3F2B" w:rsidRDefault="004A6DB6" w:rsidP="004A6DB6">
      <w:pPr>
        <w:spacing w:line="276" w:lineRule="auto"/>
        <w:rPr>
          <w:rStyle w:val="Hyperlink"/>
          <w:rFonts w:ascii="Arial" w:hAnsi="Arial" w:cs="Arial"/>
          <w:color w:val="auto"/>
          <w:u w:val="none"/>
        </w:rPr>
      </w:pPr>
      <w:r>
        <w:rPr>
          <w:rStyle w:val="Hyperlink"/>
          <w:rFonts w:ascii="Arial" w:hAnsi="Arial" w:cs="Arial"/>
          <w:color w:val="auto"/>
          <w:u w:val="none"/>
        </w:rPr>
        <w:t xml:space="preserve">Government of Jersey (2017b) </w:t>
      </w:r>
      <w:r>
        <w:rPr>
          <w:rStyle w:val="Hyperlink"/>
          <w:rFonts w:ascii="Arial" w:hAnsi="Arial" w:cs="Arial"/>
          <w:i/>
          <w:iCs/>
          <w:color w:val="auto"/>
          <w:u w:val="none"/>
        </w:rPr>
        <w:t xml:space="preserve">Jersey Bus Franchise: the Operator Perspective. </w:t>
      </w:r>
      <w:r>
        <w:rPr>
          <w:rStyle w:val="Hyperlink"/>
          <w:rFonts w:ascii="Arial" w:hAnsi="Arial" w:cs="Arial"/>
          <w:color w:val="auto"/>
          <w:u w:val="none"/>
        </w:rPr>
        <w:t>Presentation to the Urban Transport Group, Leeds.</w:t>
      </w:r>
    </w:p>
    <w:p w14:paraId="1BA40222" w14:textId="63E7CCED" w:rsidR="00DB2198" w:rsidRDefault="00DB2198" w:rsidP="00DB2198">
      <w:pPr>
        <w:spacing w:line="276" w:lineRule="auto"/>
        <w:rPr>
          <w:rFonts w:ascii="Arial" w:hAnsi="Arial" w:cs="Arial"/>
        </w:rPr>
      </w:pPr>
      <w:r w:rsidRPr="00875867">
        <w:rPr>
          <w:rFonts w:ascii="Arial" w:hAnsi="Arial" w:cs="Arial"/>
        </w:rPr>
        <w:t xml:space="preserve">Gwilliam, K.M., Nash, C.A. and Mackie, P.J. (1985) Deregulating the Bus Industry in Britain – (B) The Case Against. </w:t>
      </w:r>
      <w:r w:rsidRPr="004E64F7">
        <w:rPr>
          <w:rFonts w:ascii="Arial" w:hAnsi="Arial" w:cs="Arial"/>
          <w:i/>
          <w:iCs/>
        </w:rPr>
        <w:t>Transport Reviews</w:t>
      </w:r>
      <w:r w:rsidRPr="00875867">
        <w:rPr>
          <w:rFonts w:ascii="Arial" w:hAnsi="Arial" w:cs="Arial"/>
        </w:rPr>
        <w:t>, 5, 105-132.</w:t>
      </w:r>
    </w:p>
    <w:p w14:paraId="6EA6195C" w14:textId="778CB881" w:rsidR="00D54501" w:rsidRDefault="00D54501" w:rsidP="00DB2198">
      <w:pPr>
        <w:spacing w:line="276" w:lineRule="auto"/>
        <w:rPr>
          <w:rFonts w:ascii="Arial" w:hAnsi="Arial" w:cs="Arial"/>
        </w:rPr>
      </w:pPr>
      <w:r>
        <w:rPr>
          <w:rFonts w:ascii="Arial" w:hAnsi="Arial" w:cs="Arial"/>
        </w:rPr>
        <w:t xml:space="preserve">Kelsian (2024) </w:t>
      </w:r>
      <w:r w:rsidRPr="005821D8">
        <w:rPr>
          <w:rFonts w:ascii="Arial" w:hAnsi="Arial" w:cs="Arial"/>
          <w:i/>
          <w:iCs/>
        </w:rPr>
        <w:t>Kelsian Successfully Renews Jersey Channel Islands Contract</w:t>
      </w:r>
      <w:r>
        <w:rPr>
          <w:rFonts w:ascii="Arial" w:hAnsi="Arial" w:cs="Arial"/>
        </w:rPr>
        <w:t>. ASX announcement. 24 October. Kelsian Group Limited, Adelaide.</w:t>
      </w:r>
    </w:p>
    <w:p w14:paraId="441B0FCD" w14:textId="71E61AE6" w:rsidR="009532DC" w:rsidRDefault="009532DC" w:rsidP="00DB2198">
      <w:pPr>
        <w:spacing w:line="276" w:lineRule="auto"/>
        <w:rPr>
          <w:rFonts w:ascii="Arial" w:hAnsi="Arial" w:cs="Arial"/>
        </w:rPr>
      </w:pPr>
      <w:r>
        <w:rPr>
          <w:rFonts w:ascii="Arial" w:hAnsi="Arial" w:cs="Arial"/>
        </w:rPr>
        <w:t xml:space="preserve">Lin, K. (2024) </w:t>
      </w:r>
      <w:r w:rsidRPr="009532DC">
        <w:rPr>
          <w:rFonts w:ascii="Arial" w:hAnsi="Arial" w:cs="Arial"/>
          <w:i/>
          <w:iCs/>
        </w:rPr>
        <w:t>The Travail of Two Cities.</w:t>
      </w:r>
      <w:r>
        <w:rPr>
          <w:rFonts w:ascii="Arial" w:hAnsi="Arial" w:cs="Arial"/>
        </w:rPr>
        <w:t xml:space="preserve"> MSc Dissertation</w:t>
      </w:r>
      <w:r w:rsidR="003761CC">
        <w:rPr>
          <w:rFonts w:ascii="Arial" w:hAnsi="Arial" w:cs="Arial"/>
        </w:rPr>
        <w:t>.</w:t>
      </w:r>
      <w:r>
        <w:rPr>
          <w:rFonts w:ascii="Arial" w:hAnsi="Arial" w:cs="Arial"/>
        </w:rPr>
        <w:t xml:space="preserve"> University of Southampton.</w:t>
      </w:r>
      <w:r w:rsidR="003761CC">
        <w:rPr>
          <w:rFonts w:ascii="Arial" w:hAnsi="Arial" w:cs="Arial"/>
        </w:rPr>
        <w:t xml:space="preserve"> September</w:t>
      </w:r>
      <w:r>
        <w:rPr>
          <w:rFonts w:ascii="Arial" w:hAnsi="Arial" w:cs="Arial"/>
        </w:rPr>
        <w:t>.</w:t>
      </w:r>
    </w:p>
    <w:p w14:paraId="2D89BD3A" w14:textId="04BB38D4" w:rsidR="00032F30" w:rsidRPr="009532DC" w:rsidRDefault="00032F30" w:rsidP="00DB2198">
      <w:pPr>
        <w:spacing w:line="276" w:lineRule="auto"/>
        <w:rPr>
          <w:rFonts w:ascii="Arial" w:hAnsi="Arial" w:cs="Arial"/>
        </w:rPr>
      </w:pPr>
      <w:r w:rsidRPr="00032F30">
        <w:rPr>
          <w:rFonts w:ascii="Arial" w:hAnsi="Arial" w:cs="Arial"/>
        </w:rPr>
        <w:t>Loeffler</w:t>
      </w:r>
      <w:r>
        <w:rPr>
          <w:rFonts w:ascii="Arial" w:hAnsi="Arial" w:cs="Arial"/>
        </w:rPr>
        <w:t>, E.</w:t>
      </w:r>
      <w:r w:rsidRPr="00032F30">
        <w:rPr>
          <w:rFonts w:ascii="Arial" w:hAnsi="Arial" w:cs="Arial"/>
        </w:rPr>
        <w:t xml:space="preserve"> </w:t>
      </w:r>
      <w:r>
        <w:rPr>
          <w:rFonts w:ascii="Arial" w:hAnsi="Arial" w:cs="Arial"/>
        </w:rPr>
        <w:t xml:space="preserve">and </w:t>
      </w:r>
      <w:r w:rsidRPr="00032F30">
        <w:rPr>
          <w:rFonts w:ascii="Arial" w:hAnsi="Arial" w:cs="Arial"/>
        </w:rPr>
        <w:t>Bovaird</w:t>
      </w:r>
      <w:r>
        <w:rPr>
          <w:rFonts w:ascii="Arial" w:hAnsi="Arial" w:cs="Arial"/>
        </w:rPr>
        <w:t>, T.</w:t>
      </w:r>
      <w:r w:rsidRPr="00032F30">
        <w:rPr>
          <w:rFonts w:ascii="Arial" w:hAnsi="Arial" w:cs="Arial"/>
        </w:rPr>
        <w:t xml:space="preserve"> (2019) Co-commissioning of public services and outcomes in the UK: Bringing co-production into the strategic commissioning cycle</w:t>
      </w:r>
      <w:r>
        <w:rPr>
          <w:rFonts w:ascii="Arial" w:hAnsi="Arial" w:cs="Arial"/>
        </w:rPr>
        <w:t>.</w:t>
      </w:r>
      <w:r w:rsidRPr="00032F30">
        <w:rPr>
          <w:rFonts w:ascii="Arial" w:hAnsi="Arial" w:cs="Arial"/>
        </w:rPr>
        <w:t xml:space="preserve"> </w:t>
      </w:r>
      <w:r w:rsidRPr="00032F30">
        <w:rPr>
          <w:rFonts w:ascii="Arial" w:hAnsi="Arial" w:cs="Arial"/>
          <w:i/>
          <w:iCs/>
        </w:rPr>
        <w:t xml:space="preserve">Public Money </w:t>
      </w:r>
      <w:r w:rsidR="00495910">
        <w:rPr>
          <w:rFonts w:ascii="Arial" w:hAnsi="Arial" w:cs="Arial"/>
          <w:i/>
          <w:iCs/>
        </w:rPr>
        <w:t>and</w:t>
      </w:r>
      <w:r w:rsidRPr="00032F30">
        <w:rPr>
          <w:rFonts w:ascii="Arial" w:hAnsi="Arial" w:cs="Arial"/>
          <w:i/>
          <w:iCs/>
        </w:rPr>
        <w:t xml:space="preserve"> Management</w:t>
      </w:r>
      <w:r w:rsidRPr="00032F30">
        <w:rPr>
          <w:rFonts w:ascii="Arial" w:hAnsi="Arial" w:cs="Arial"/>
        </w:rPr>
        <w:t>, 39:4, 241-252</w:t>
      </w:r>
    </w:p>
    <w:p w14:paraId="537810B5" w14:textId="77777777" w:rsidR="00DB2198" w:rsidRDefault="00DB2198" w:rsidP="00DB2198">
      <w:pPr>
        <w:spacing w:line="276" w:lineRule="auto"/>
        <w:rPr>
          <w:rFonts w:ascii="Arial" w:hAnsi="Arial" w:cs="Arial"/>
          <w:bCs/>
        </w:rPr>
      </w:pPr>
      <w:r>
        <w:rPr>
          <w:rFonts w:ascii="Arial" w:hAnsi="Arial" w:cs="Arial"/>
          <w:bCs/>
        </w:rPr>
        <w:t xml:space="preserve">McTigue, C., Rye, T. and Monios, J. (2020) Identifying barriers to implementation of local transport policy – Lessons learned from case studies on bus policy implementation in Great Britain. </w:t>
      </w:r>
      <w:r>
        <w:rPr>
          <w:rFonts w:ascii="Arial" w:hAnsi="Arial" w:cs="Arial"/>
          <w:bCs/>
          <w:i/>
          <w:iCs/>
        </w:rPr>
        <w:t xml:space="preserve">Transport Policy, </w:t>
      </w:r>
      <w:r>
        <w:rPr>
          <w:rFonts w:ascii="Arial" w:hAnsi="Arial" w:cs="Arial"/>
          <w:bCs/>
        </w:rPr>
        <w:t>91, 16-25.</w:t>
      </w:r>
    </w:p>
    <w:p w14:paraId="095AE75B" w14:textId="5165CEBF" w:rsidR="00A53F15" w:rsidRDefault="00A53F15" w:rsidP="00DB2198">
      <w:pPr>
        <w:spacing w:line="276" w:lineRule="auto"/>
        <w:rPr>
          <w:rFonts w:ascii="Arial" w:hAnsi="Arial" w:cs="Arial"/>
          <w:bCs/>
        </w:rPr>
      </w:pPr>
      <w:r>
        <w:rPr>
          <w:rFonts w:ascii="Arial" w:hAnsi="Arial" w:cs="Arial"/>
          <w:bCs/>
        </w:rPr>
        <w:t>Mackie, T, (20</w:t>
      </w:r>
      <w:r w:rsidR="00803F18">
        <w:rPr>
          <w:rFonts w:ascii="Arial" w:hAnsi="Arial" w:cs="Arial"/>
          <w:bCs/>
        </w:rPr>
        <w:t>1</w:t>
      </w:r>
      <w:r>
        <w:rPr>
          <w:rFonts w:ascii="Arial" w:hAnsi="Arial" w:cs="Arial"/>
          <w:bCs/>
        </w:rPr>
        <w:t xml:space="preserve">8). </w:t>
      </w:r>
      <w:r>
        <w:rPr>
          <w:rFonts w:ascii="Arial" w:hAnsi="Arial" w:cs="Arial"/>
          <w:bCs/>
          <w:i/>
          <w:iCs/>
        </w:rPr>
        <w:t xml:space="preserve">Northern Ireland. The Forgotten Country? </w:t>
      </w:r>
      <w:r w:rsidR="00CA4B74">
        <w:rPr>
          <w:rFonts w:ascii="Arial" w:hAnsi="Arial" w:cs="Arial"/>
          <w:bCs/>
        </w:rPr>
        <w:t>MEng Individual Project, University of Southampton.</w:t>
      </w:r>
      <w:r w:rsidR="009532DC">
        <w:rPr>
          <w:rFonts w:ascii="Arial" w:hAnsi="Arial" w:cs="Arial"/>
          <w:bCs/>
        </w:rPr>
        <w:t xml:space="preserve"> May.</w:t>
      </w:r>
    </w:p>
    <w:p w14:paraId="705B6B2A" w14:textId="17CFBC47" w:rsidR="006655F6" w:rsidRPr="006655F6" w:rsidRDefault="006655F6" w:rsidP="006655F6">
      <w:pPr>
        <w:spacing w:line="276" w:lineRule="auto"/>
        <w:rPr>
          <w:rFonts w:ascii="Arial" w:hAnsi="Arial" w:cs="Arial"/>
          <w:bCs/>
          <w:lang w:val="en-AU"/>
        </w:rPr>
      </w:pPr>
      <w:r w:rsidRPr="006655F6">
        <w:rPr>
          <w:rFonts w:ascii="Arial" w:hAnsi="Arial" w:cs="Arial"/>
          <w:bCs/>
          <w:lang w:val="en-AU"/>
        </w:rPr>
        <w:t xml:space="preserve">Moore, M. H. (1995) </w:t>
      </w:r>
      <w:r w:rsidRPr="006655F6">
        <w:rPr>
          <w:rFonts w:ascii="Arial" w:hAnsi="Arial" w:cs="Arial"/>
          <w:bCs/>
          <w:i/>
          <w:iCs/>
          <w:lang w:val="en-AU"/>
        </w:rPr>
        <w:t xml:space="preserve">Creating Public Value: Strategic Management in Government. </w:t>
      </w:r>
      <w:r w:rsidRPr="006655F6">
        <w:rPr>
          <w:rFonts w:ascii="Arial" w:hAnsi="Arial" w:cs="Arial"/>
          <w:bCs/>
          <w:lang w:val="en-AU"/>
        </w:rPr>
        <w:t>Harvard University Press, Cambridge, Mass.</w:t>
      </w:r>
    </w:p>
    <w:p w14:paraId="07404E31" w14:textId="2EC8FCBA" w:rsidR="00803F18" w:rsidRDefault="00803F18" w:rsidP="00DB2198">
      <w:pPr>
        <w:spacing w:line="276" w:lineRule="auto"/>
        <w:rPr>
          <w:rFonts w:ascii="Arial" w:hAnsi="Arial" w:cs="Arial"/>
          <w:bCs/>
        </w:rPr>
      </w:pPr>
      <w:r>
        <w:rPr>
          <w:rFonts w:ascii="Arial" w:hAnsi="Arial" w:cs="Arial"/>
          <w:bCs/>
        </w:rPr>
        <w:t xml:space="preserve">Mu, R. (2023). </w:t>
      </w:r>
      <w:r>
        <w:rPr>
          <w:rFonts w:ascii="Arial" w:hAnsi="Arial" w:cs="Arial"/>
          <w:bCs/>
          <w:i/>
          <w:iCs/>
        </w:rPr>
        <w:t xml:space="preserve">Big Buses, Small Islands. </w:t>
      </w:r>
      <w:r>
        <w:rPr>
          <w:rFonts w:ascii="Arial" w:hAnsi="Arial" w:cs="Arial"/>
          <w:bCs/>
        </w:rPr>
        <w:t>MSc Dissertation, University of Southampton.</w:t>
      </w:r>
      <w:r w:rsidR="009532DC">
        <w:rPr>
          <w:rFonts w:ascii="Arial" w:hAnsi="Arial" w:cs="Arial"/>
          <w:bCs/>
        </w:rPr>
        <w:t xml:space="preserve"> September.</w:t>
      </w:r>
    </w:p>
    <w:p w14:paraId="6CFD0CC7" w14:textId="48EFA093" w:rsidR="00404757" w:rsidRPr="00404757" w:rsidRDefault="00404757" w:rsidP="00DB2198">
      <w:pPr>
        <w:spacing w:line="276" w:lineRule="auto"/>
        <w:rPr>
          <w:rFonts w:ascii="Arial" w:hAnsi="Arial" w:cs="Arial"/>
        </w:rPr>
      </w:pPr>
      <w:r>
        <w:rPr>
          <w:rFonts w:ascii="Arial" w:hAnsi="Arial" w:cs="Arial"/>
          <w:bCs/>
        </w:rPr>
        <w:t xml:space="preserve">Palmer, I. and Sansom, T. (2025) Bus franchising in Greater Manchester: economics of the case for franchising and early transport outcomes. </w:t>
      </w:r>
      <w:r>
        <w:rPr>
          <w:rFonts w:ascii="Arial" w:hAnsi="Arial" w:cs="Arial"/>
          <w:bCs/>
          <w:i/>
          <w:iCs/>
        </w:rPr>
        <w:t>The Transport Economist</w:t>
      </w:r>
      <w:r>
        <w:rPr>
          <w:rFonts w:ascii="Arial" w:hAnsi="Arial" w:cs="Arial"/>
          <w:bCs/>
        </w:rPr>
        <w:t>, 52, 1, 10-34. Transport Economists’ Group, London.</w:t>
      </w:r>
    </w:p>
    <w:p w14:paraId="572B0F3B" w14:textId="77777777" w:rsidR="00DB2198" w:rsidRPr="00C310FD" w:rsidRDefault="00DB2198" w:rsidP="00DB2198">
      <w:pPr>
        <w:spacing w:line="276" w:lineRule="auto"/>
        <w:rPr>
          <w:rFonts w:ascii="Arial" w:hAnsi="Arial" w:cs="Arial"/>
          <w:i/>
          <w:iCs/>
        </w:rPr>
      </w:pPr>
      <w:r w:rsidRPr="00C310FD">
        <w:rPr>
          <w:rFonts w:ascii="Arial" w:hAnsi="Arial" w:cs="Arial"/>
          <w:lang w:val="en-US"/>
        </w:rPr>
        <w:t xml:space="preserve">Preston, J.M. and Almutairi, T. (2013). Evaluating the Long Term Impacts of Transport Policy: An Initial Assessment of Bus Deregulation. </w:t>
      </w:r>
      <w:r w:rsidRPr="00C310FD">
        <w:rPr>
          <w:rFonts w:ascii="Arial" w:hAnsi="Arial" w:cs="Arial"/>
          <w:i/>
          <w:iCs/>
          <w:lang w:val="en-US"/>
        </w:rPr>
        <w:t>Research in Transportation Economics</w:t>
      </w:r>
      <w:r w:rsidRPr="00C310FD">
        <w:rPr>
          <w:rFonts w:ascii="Arial" w:hAnsi="Arial" w:cs="Arial"/>
          <w:lang w:val="en-US"/>
        </w:rPr>
        <w:t>,</w:t>
      </w:r>
      <w:r w:rsidRPr="00C310FD">
        <w:rPr>
          <w:rFonts w:ascii="Arial" w:hAnsi="Arial" w:cs="Arial"/>
        </w:rPr>
        <w:t xml:space="preserve"> 39, 208-214</w:t>
      </w:r>
      <w:r w:rsidRPr="00C310FD">
        <w:rPr>
          <w:rFonts w:ascii="Arial" w:hAnsi="Arial" w:cs="Arial"/>
          <w:i/>
          <w:iCs/>
        </w:rPr>
        <w:t>.</w:t>
      </w:r>
    </w:p>
    <w:p w14:paraId="29F424E0" w14:textId="77777777" w:rsidR="00DB2198" w:rsidRPr="00C310FD" w:rsidRDefault="00DB2198" w:rsidP="00DB2198">
      <w:pPr>
        <w:spacing w:line="276" w:lineRule="auto"/>
        <w:rPr>
          <w:rFonts w:ascii="Arial" w:hAnsi="Arial" w:cs="Arial"/>
        </w:rPr>
      </w:pPr>
      <w:r w:rsidRPr="00C310FD">
        <w:rPr>
          <w:rFonts w:ascii="Arial" w:hAnsi="Arial" w:cs="Arial"/>
          <w:lang w:val="en-US"/>
        </w:rPr>
        <w:t xml:space="preserve">Preston, J.M. and Almutairi, T. (2014) Evaluating the Long Term Impacts of Transport Policy: The Case of Bus Deregulation Revisited. </w:t>
      </w:r>
      <w:r w:rsidRPr="00C310FD">
        <w:rPr>
          <w:rFonts w:ascii="Arial" w:hAnsi="Arial" w:cs="Arial"/>
          <w:i/>
          <w:iCs/>
          <w:lang w:val="en-US"/>
        </w:rPr>
        <w:t>Research in Transportation Economics</w:t>
      </w:r>
      <w:r w:rsidRPr="00C310FD">
        <w:rPr>
          <w:rFonts w:ascii="Arial" w:hAnsi="Arial" w:cs="Arial"/>
          <w:lang w:val="en-US"/>
        </w:rPr>
        <w:t>,</w:t>
      </w:r>
      <w:r w:rsidRPr="00C310FD">
        <w:rPr>
          <w:rFonts w:ascii="Arial" w:hAnsi="Arial" w:cs="Arial"/>
        </w:rPr>
        <w:t xml:space="preserve"> 48, 263-269.</w:t>
      </w:r>
    </w:p>
    <w:p w14:paraId="16376212" w14:textId="77777777" w:rsidR="00DB2198" w:rsidRPr="00C310FD" w:rsidRDefault="00DB2198" w:rsidP="00DB2198">
      <w:pPr>
        <w:spacing w:line="276" w:lineRule="auto"/>
        <w:rPr>
          <w:rFonts w:ascii="Arial" w:hAnsi="Arial" w:cs="Arial"/>
        </w:rPr>
      </w:pPr>
      <w:r w:rsidRPr="00C310FD">
        <w:rPr>
          <w:rFonts w:ascii="Arial" w:hAnsi="Arial" w:cs="Arial"/>
        </w:rPr>
        <w:t xml:space="preserve">Preston, J., Song., Y. and Hickford, A. (2014) Delivering Sustainable Public Transport: The Case of the Better Bus Area Fund. </w:t>
      </w:r>
      <w:r w:rsidRPr="00C310FD">
        <w:rPr>
          <w:rFonts w:ascii="Arial" w:hAnsi="Arial" w:cs="Arial"/>
          <w:i/>
          <w:iCs/>
        </w:rPr>
        <w:t xml:space="preserve">Research in Transportation Economics. </w:t>
      </w:r>
      <w:r w:rsidRPr="00C310FD">
        <w:rPr>
          <w:rFonts w:ascii="Arial" w:hAnsi="Arial" w:cs="Arial"/>
        </w:rPr>
        <w:t>48, 373-380.</w:t>
      </w:r>
    </w:p>
    <w:p w14:paraId="1F3FA4F0" w14:textId="65BA04F5" w:rsidR="00DB2198" w:rsidRDefault="00DB2198" w:rsidP="00DB2198">
      <w:pPr>
        <w:spacing w:line="276" w:lineRule="auto"/>
        <w:rPr>
          <w:rFonts w:ascii="Arial" w:hAnsi="Arial" w:cs="Arial"/>
        </w:rPr>
      </w:pPr>
      <w:r w:rsidRPr="00C310FD">
        <w:rPr>
          <w:rFonts w:ascii="Arial" w:hAnsi="Arial" w:cs="Arial"/>
        </w:rPr>
        <w:t xml:space="preserve">Preston, J and Darivakis, E. (2019) Can Bus Quality Partnerships or Contracts Make a Difference? </w:t>
      </w:r>
      <w:bookmarkStart w:id="3" w:name="_Hlk107405965"/>
      <w:r w:rsidRPr="00C310FD">
        <w:rPr>
          <w:rFonts w:ascii="Arial" w:hAnsi="Arial" w:cs="Arial"/>
          <w:i/>
          <w:iCs/>
        </w:rPr>
        <w:t>16th International Conference on Competition and Ownership in Land Passenger Transport</w:t>
      </w:r>
      <w:r w:rsidRPr="00C310FD">
        <w:rPr>
          <w:rFonts w:ascii="Arial" w:hAnsi="Arial" w:cs="Arial"/>
        </w:rPr>
        <w:t>. Singapore.</w:t>
      </w:r>
      <w:bookmarkEnd w:id="3"/>
    </w:p>
    <w:p w14:paraId="4A4E0D0F" w14:textId="4CA7E6EC" w:rsidR="0085158D" w:rsidRPr="00C310FD" w:rsidRDefault="0085158D" w:rsidP="00DB2198">
      <w:pPr>
        <w:spacing w:line="276" w:lineRule="auto"/>
        <w:rPr>
          <w:rFonts w:ascii="Arial" w:hAnsi="Arial" w:cs="Arial"/>
          <w:lang w:val="en"/>
        </w:rPr>
      </w:pPr>
      <w:r>
        <w:rPr>
          <w:rFonts w:ascii="Arial" w:hAnsi="Arial" w:cs="Arial"/>
        </w:rPr>
        <w:t xml:space="preserve">Preston, J. and Wretstrand, A. (2024) </w:t>
      </w:r>
      <w:r w:rsidRPr="0085158D">
        <w:rPr>
          <w:rFonts w:ascii="Arial" w:hAnsi="Arial" w:cs="Arial"/>
        </w:rPr>
        <w:t xml:space="preserve">Workshop 1 report: Regulatory regimes: national and comparative regulation of public transport. </w:t>
      </w:r>
      <w:r w:rsidRPr="0085158D">
        <w:rPr>
          <w:rFonts w:ascii="Arial" w:hAnsi="Arial" w:cs="Arial"/>
          <w:i/>
          <w:iCs/>
        </w:rPr>
        <w:t xml:space="preserve">Research in Transportation Economics. </w:t>
      </w:r>
      <w:r w:rsidRPr="0085158D">
        <w:rPr>
          <w:rFonts w:ascii="Arial" w:hAnsi="Arial" w:cs="Arial"/>
        </w:rPr>
        <w:t>103, 101393.</w:t>
      </w:r>
    </w:p>
    <w:p w14:paraId="3E69C4E9" w14:textId="4C0CBA1E" w:rsidR="00B70D82" w:rsidRDefault="00B70D82" w:rsidP="003901F7">
      <w:pPr>
        <w:rPr>
          <w:rFonts w:ascii="Arial" w:hAnsi="Arial" w:cs="Arial"/>
        </w:rPr>
      </w:pPr>
      <w:r>
        <w:rPr>
          <w:rFonts w:ascii="Arial" w:hAnsi="Arial" w:cs="Arial"/>
        </w:rPr>
        <w:t xml:space="preserve">Preston, J. (2003) </w:t>
      </w:r>
      <w:r w:rsidRPr="00B70D82">
        <w:rPr>
          <w:rFonts w:ascii="Arial" w:hAnsi="Arial" w:cs="Arial"/>
        </w:rPr>
        <w:t xml:space="preserve">A Thoroughbred in the Making? The Bus Industry under Labour. In Docherty, I. And Shaw, J. (Eds) </w:t>
      </w:r>
      <w:r w:rsidRPr="00B70D82">
        <w:rPr>
          <w:rFonts w:ascii="Arial" w:hAnsi="Arial" w:cs="Arial"/>
          <w:i/>
        </w:rPr>
        <w:t xml:space="preserve">A New Deal for Transport? </w:t>
      </w:r>
      <w:r w:rsidRPr="00B70D82">
        <w:rPr>
          <w:rFonts w:ascii="Arial" w:hAnsi="Arial" w:cs="Arial"/>
        </w:rPr>
        <w:t>Blackwell, Oxford. 158-177.</w:t>
      </w:r>
    </w:p>
    <w:p w14:paraId="256CECC4" w14:textId="64EBA019" w:rsidR="003901F7" w:rsidRDefault="003901F7" w:rsidP="003901F7">
      <w:pPr>
        <w:rPr>
          <w:rFonts w:ascii="Arial" w:hAnsi="Arial" w:cs="Arial"/>
        </w:rPr>
      </w:pPr>
      <w:r w:rsidRPr="00C310FD">
        <w:rPr>
          <w:rFonts w:ascii="Arial" w:hAnsi="Arial" w:cs="Arial"/>
        </w:rPr>
        <w:t xml:space="preserve">Preston, J. (2005) </w:t>
      </w:r>
      <w:r w:rsidRPr="005821D8">
        <w:rPr>
          <w:rFonts w:ascii="Arial" w:hAnsi="Arial" w:cs="Arial"/>
        </w:rPr>
        <w:t>The Road to Rio: A Brief History of the International Conferences on Competition and Ownership in Land Passenger Transport.</w:t>
      </w:r>
      <w:r w:rsidRPr="00C310FD">
        <w:rPr>
          <w:rFonts w:ascii="Arial" w:hAnsi="Arial" w:cs="Arial"/>
          <w:i/>
          <w:iCs/>
        </w:rPr>
        <w:t xml:space="preserve"> </w:t>
      </w:r>
      <w:r w:rsidRPr="00C310FD">
        <w:rPr>
          <w:rFonts w:ascii="Arial" w:hAnsi="Arial" w:cs="Arial"/>
        </w:rPr>
        <w:t xml:space="preserve">In Hensher, D. (Ed.) </w:t>
      </w:r>
      <w:r w:rsidRPr="00C310FD">
        <w:rPr>
          <w:rFonts w:ascii="Arial" w:hAnsi="Arial" w:cs="Arial"/>
          <w:i/>
          <w:iCs/>
        </w:rPr>
        <w:t>Competition and Ownership in Land Passenger Transport. Selected Refereed Papers from the 8</w:t>
      </w:r>
      <w:r w:rsidRPr="00C310FD">
        <w:rPr>
          <w:rFonts w:ascii="Arial" w:hAnsi="Arial" w:cs="Arial"/>
          <w:i/>
          <w:iCs/>
          <w:vertAlign w:val="superscript"/>
        </w:rPr>
        <w:t>th</w:t>
      </w:r>
      <w:r w:rsidRPr="00C310FD">
        <w:rPr>
          <w:rFonts w:ascii="Arial" w:hAnsi="Arial" w:cs="Arial"/>
          <w:i/>
          <w:iCs/>
        </w:rPr>
        <w:t xml:space="preserve"> International Conference. </w:t>
      </w:r>
      <w:r w:rsidRPr="00C310FD">
        <w:rPr>
          <w:rFonts w:ascii="Arial" w:hAnsi="Arial" w:cs="Arial"/>
        </w:rPr>
        <w:t>Elsevier, Oxford. 7-20.</w:t>
      </w:r>
    </w:p>
    <w:p w14:paraId="2B8AF358" w14:textId="4383B2FA" w:rsidR="007A0E09" w:rsidRDefault="007A0E09" w:rsidP="003901F7">
      <w:pPr>
        <w:rPr>
          <w:rFonts w:ascii="Arial" w:hAnsi="Arial" w:cs="Arial"/>
        </w:rPr>
      </w:pPr>
      <w:r>
        <w:rPr>
          <w:rFonts w:ascii="Arial" w:hAnsi="Arial" w:cs="Arial"/>
        </w:rPr>
        <w:t xml:space="preserve">Preston, J. (2016) </w:t>
      </w:r>
      <w:r w:rsidRPr="007A0E09">
        <w:rPr>
          <w:rFonts w:ascii="Arial" w:hAnsi="Arial" w:cs="Arial"/>
        </w:rPr>
        <w:t>Big Buses in a Small Country: The Prospects for Bus Services in Wales.</w:t>
      </w:r>
      <w:r w:rsidRPr="007A0E09">
        <w:rPr>
          <w:rFonts w:ascii="Arial" w:hAnsi="Arial" w:cs="Arial"/>
          <w:i/>
          <w:iCs/>
        </w:rPr>
        <w:t xml:space="preserve"> Research in Transportation Economics. </w:t>
      </w:r>
      <w:r w:rsidRPr="007A0E09">
        <w:rPr>
          <w:rFonts w:ascii="Arial" w:hAnsi="Arial" w:cs="Arial"/>
        </w:rPr>
        <w:t>59, 379-387</w:t>
      </w:r>
      <w:r>
        <w:rPr>
          <w:rFonts w:ascii="Arial" w:hAnsi="Arial" w:cs="Arial"/>
        </w:rPr>
        <w:t>.</w:t>
      </w:r>
    </w:p>
    <w:p w14:paraId="4EFACE43" w14:textId="77777777" w:rsidR="007A0E09" w:rsidRPr="00261EEA" w:rsidRDefault="007A0E09" w:rsidP="007A0E09">
      <w:pPr>
        <w:spacing w:line="276" w:lineRule="auto"/>
        <w:rPr>
          <w:rFonts w:ascii="Arial" w:hAnsi="Arial" w:cs="Arial"/>
          <w:iCs/>
        </w:rPr>
      </w:pPr>
      <w:r w:rsidRPr="00261EEA">
        <w:rPr>
          <w:rFonts w:ascii="Arial" w:hAnsi="Arial" w:cs="Arial"/>
          <w:iCs/>
        </w:rPr>
        <w:t xml:space="preserve">Preston, J. (2018) The Impact of Reform on Public Transport Markets. In Cowie, J. and Ison, S. (Eds) </w:t>
      </w:r>
      <w:r w:rsidRPr="00261EEA">
        <w:rPr>
          <w:rFonts w:ascii="Arial" w:hAnsi="Arial" w:cs="Arial"/>
          <w:i/>
          <w:iCs/>
        </w:rPr>
        <w:t xml:space="preserve">Routledge Handbook of Transport Economics. </w:t>
      </w:r>
      <w:r w:rsidRPr="00261EEA">
        <w:rPr>
          <w:rFonts w:ascii="Arial" w:hAnsi="Arial" w:cs="Arial"/>
          <w:iCs/>
        </w:rPr>
        <w:t>Chapter 9</w:t>
      </w:r>
    </w:p>
    <w:p w14:paraId="77D0EEB9" w14:textId="01F861A5" w:rsidR="003901F7" w:rsidRDefault="003901F7" w:rsidP="003901F7">
      <w:pPr>
        <w:rPr>
          <w:rFonts w:ascii="Arial" w:hAnsi="Arial" w:cs="Arial"/>
        </w:rPr>
      </w:pPr>
      <w:r>
        <w:rPr>
          <w:rFonts w:ascii="Arial" w:hAnsi="Arial" w:cs="Arial"/>
        </w:rPr>
        <w:t xml:space="preserve">Preston, J. (2023) </w:t>
      </w:r>
      <w:r w:rsidRPr="003901F7">
        <w:rPr>
          <w:rFonts w:ascii="Arial" w:hAnsi="Arial" w:cs="Arial"/>
        </w:rPr>
        <w:t xml:space="preserve">All Things Must Pass? Recent Changes to Competition and Ownership in Public Transport in Great Britain. </w:t>
      </w:r>
      <w:r w:rsidRPr="003901F7">
        <w:rPr>
          <w:rFonts w:ascii="Arial" w:hAnsi="Arial" w:cs="Arial"/>
          <w:i/>
          <w:iCs/>
        </w:rPr>
        <w:t xml:space="preserve">Research in Transportation Economics. </w:t>
      </w:r>
      <w:r w:rsidRPr="003901F7">
        <w:rPr>
          <w:rFonts w:ascii="Arial" w:hAnsi="Arial" w:cs="Arial"/>
        </w:rPr>
        <w:t>99, 101281</w:t>
      </w:r>
      <w:r>
        <w:rPr>
          <w:rFonts w:ascii="Arial" w:hAnsi="Arial" w:cs="Arial"/>
        </w:rPr>
        <w:t>.</w:t>
      </w:r>
    </w:p>
    <w:p w14:paraId="65BA765D" w14:textId="77777777" w:rsidR="00DB2198" w:rsidRDefault="00DB2198" w:rsidP="00DB2198">
      <w:pPr>
        <w:spacing w:line="276" w:lineRule="auto"/>
        <w:rPr>
          <w:rFonts w:ascii="Arial" w:hAnsi="Arial" w:cs="Arial"/>
        </w:rPr>
      </w:pPr>
      <w:r w:rsidRPr="00261EEA">
        <w:rPr>
          <w:rFonts w:ascii="Arial" w:hAnsi="Arial" w:cs="Arial"/>
        </w:rPr>
        <w:t xml:space="preserve">Rye, T. and Wretstrand, A. (2014). Converging structures? Recent regulatory change in bus-based local public transport in Sweden and England. </w:t>
      </w:r>
      <w:r w:rsidRPr="00261EEA">
        <w:rPr>
          <w:rFonts w:ascii="Arial" w:hAnsi="Arial" w:cs="Arial"/>
          <w:i/>
          <w:iCs/>
        </w:rPr>
        <w:t>Research in Transportation Economics</w:t>
      </w:r>
      <w:r w:rsidRPr="00261EEA">
        <w:rPr>
          <w:rFonts w:ascii="Arial" w:hAnsi="Arial" w:cs="Arial"/>
        </w:rPr>
        <w:t>, 48, 24-32.</w:t>
      </w:r>
    </w:p>
    <w:p w14:paraId="5162CEA8" w14:textId="4E5A8CD8" w:rsidR="00E438BE" w:rsidRPr="00261EEA" w:rsidRDefault="00E438BE" w:rsidP="00DB2198">
      <w:pPr>
        <w:spacing w:line="276" w:lineRule="auto"/>
        <w:rPr>
          <w:rFonts w:ascii="Arial" w:hAnsi="Arial" w:cs="Arial"/>
        </w:rPr>
      </w:pPr>
      <w:r>
        <w:rPr>
          <w:rFonts w:ascii="Arial" w:hAnsi="Arial" w:cs="Arial"/>
        </w:rPr>
        <w:t xml:space="preserve">Stanley, J., Hensher, D., Stanley, J. and Vella-Brodrick, D. (2011). Mobility, social exclusion and well-being: Exploring the links. </w:t>
      </w:r>
      <w:r>
        <w:rPr>
          <w:rFonts w:ascii="Arial" w:hAnsi="Arial" w:cs="Arial"/>
          <w:i/>
          <w:iCs/>
        </w:rPr>
        <w:t xml:space="preserve">Transportation Research A, </w:t>
      </w:r>
      <w:r>
        <w:rPr>
          <w:rFonts w:ascii="Arial" w:hAnsi="Arial" w:cs="Arial"/>
        </w:rPr>
        <w:t xml:space="preserve">45, 8, 789-901. </w:t>
      </w:r>
    </w:p>
    <w:p w14:paraId="3DF589CF" w14:textId="08A89CFF" w:rsidR="00DB2198" w:rsidRDefault="00DB2198" w:rsidP="00DB2198">
      <w:pPr>
        <w:spacing w:line="276" w:lineRule="auto"/>
        <w:rPr>
          <w:rFonts w:ascii="Arial" w:hAnsi="Arial" w:cs="Arial"/>
          <w:iCs/>
        </w:rPr>
      </w:pPr>
      <w:r w:rsidRPr="00C2581A">
        <w:rPr>
          <w:rFonts w:ascii="Arial" w:hAnsi="Arial" w:cs="Arial"/>
          <w:iCs/>
        </w:rPr>
        <w:t xml:space="preserve">Villa i Aguilar, X., Rye, T., McTigue, C., </w:t>
      </w:r>
      <w:r w:rsidR="00E438BE">
        <w:rPr>
          <w:rFonts w:ascii="Arial" w:hAnsi="Arial" w:cs="Arial"/>
          <w:iCs/>
        </w:rPr>
        <w:t>and</w:t>
      </w:r>
      <w:r w:rsidRPr="00C2581A">
        <w:rPr>
          <w:rFonts w:ascii="Arial" w:hAnsi="Arial" w:cs="Arial"/>
          <w:iCs/>
        </w:rPr>
        <w:t xml:space="preserve"> Cowie, J. (2022). Bus Franchising in English and Scottish regions – viable solution or unfeasible instrument? </w:t>
      </w:r>
      <w:r w:rsidRPr="004E64F7">
        <w:rPr>
          <w:rFonts w:ascii="Arial" w:hAnsi="Arial" w:cs="Arial"/>
          <w:i/>
        </w:rPr>
        <w:t>Transport Policy</w:t>
      </w:r>
      <w:r w:rsidRPr="00C2581A">
        <w:rPr>
          <w:rFonts w:ascii="Arial" w:hAnsi="Arial" w:cs="Arial"/>
          <w:iCs/>
        </w:rPr>
        <w:t>, 120, 1-10.</w:t>
      </w:r>
    </w:p>
    <w:p w14:paraId="153FD27A" w14:textId="2087C334" w:rsidR="00DF0EDC" w:rsidRPr="00567CF5" w:rsidRDefault="00DF0EDC" w:rsidP="00567CF5">
      <w:pPr>
        <w:spacing w:line="276" w:lineRule="auto"/>
        <w:rPr>
          <w:rFonts w:ascii="Arial" w:hAnsi="Arial" w:cs="Arial"/>
          <w:iCs/>
        </w:rPr>
      </w:pPr>
      <w:r>
        <w:rPr>
          <w:rFonts w:ascii="Arial" w:hAnsi="Arial" w:cs="Arial"/>
          <w:iCs/>
        </w:rPr>
        <w:t>White, P. and Farrington, J. (</w:t>
      </w:r>
      <w:r w:rsidR="00567CF5">
        <w:rPr>
          <w:rFonts w:ascii="Arial" w:hAnsi="Arial" w:cs="Arial"/>
          <w:iCs/>
        </w:rPr>
        <w:t xml:space="preserve">1998) </w:t>
      </w:r>
      <w:r w:rsidR="00567CF5" w:rsidRPr="00567CF5">
        <w:rPr>
          <w:rFonts w:ascii="Arial" w:hAnsi="Arial" w:cs="Arial"/>
          <w:iCs/>
        </w:rPr>
        <w:t>Bus and coach deregulation and</w:t>
      </w:r>
      <w:r w:rsidR="00567CF5">
        <w:rPr>
          <w:rFonts w:ascii="Arial" w:hAnsi="Arial" w:cs="Arial"/>
          <w:iCs/>
        </w:rPr>
        <w:t xml:space="preserve"> </w:t>
      </w:r>
      <w:r w:rsidR="00567CF5" w:rsidRPr="00567CF5">
        <w:rPr>
          <w:rFonts w:ascii="Arial" w:hAnsi="Arial" w:cs="Arial"/>
          <w:iCs/>
        </w:rPr>
        <w:t>privatization in Great Britain, with</w:t>
      </w:r>
      <w:r w:rsidR="00567CF5">
        <w:rPr>
          <w:rFonts w:ascii="Arial" w:hAnsi="Arial" w:cs="Arial"/>
          <w:iCs/>
        </w:rPr>
        <w:t xml:space="preserve"> </w:t>
      </w:r>
      <w:r w:rsidR="00567CF5" w:rsidRPr="00567CF5">
        <w:rPr>
          <w:rFonts w:ascii="Arial" w:hAnsi="Arial" w:cs="Arial"/>
          <w:iCs/>
        </w:rPr>
        <w:t>particular reference to Scotland</w:t>
      </w:r>
      <w:r w:rsidR="00567CF5">
        <w:rPr>
          <w:rFonts w:ascii="Arial" w:hAnsi="Arial" w:cs="Arial"/>
          <w:iCs/>
        </w:rPr>
        <w:t xml:space="preserve">. </w:t>
      </w:r>
      <w:r w:rsidR="00567CF5">
        <w:rPr>
          <w:rFonts w:ascii="Arial" w:hAnsi="Arial" w:cs="Arial"/>
          <w:i/>
        </w:rPr>
        <w:t xml:space="preserve">Journal of Transport Geography, </w:t>
      </w:r>
      <w:r w:rsidR="00567CF5">
        <w:rPr>
          <w:rFonts w:ascii="Arial" w:hAnsi="Arial" w:cs="Arial"/>
          <w:iCs/>
        </w:rPr>
        <w:t>6, 2, 135-141.</w:t>
      </w:r>
    </w:p>
    <w:p w14:paraId="5A1FA328" w14:textId="544F7F52" w:rsidR="00CA4B74" w:rsidRPr="00CA4B74" w:rsidRDefault="00CA4B74" w:rsidP="00DB2198">
      <w:pPr>
        <w:spacing w:line="276" w:lineRule="auto"/>
        <w:rPr>
          <w:rFonts w:ascii="Arial" w:hAnsi="Arial" w:cs="Arial"/>
          <w:iCs/>
        </w:rPr>
      </w:pPr>
      <w:r>
        <w:rPr>
          <w:rFonts w:ascii="Arial" w:hAnsi="Arial" w:cs="Arial"/>
          <w:iCs/>
        </w:rPr>
        <w:t xml:space="preserve">White, P.R. (1997) </w:t>
      </w:r>
      <w:r w:rsidR="00827331">
        <w:rPr>
          <w:rFonts w:ascii="Arial" w:hAnsi="Arial" w:cs="Arial"/>
          <w:iCs/>
        </w:rPr>
        <w:t xml:space="preserve">The Experience of Bus and Coach Deregulation in Britain and in Other Countries. </w:t>
      </w:r>
      <w:r>
        <w:rPr>
          <w:rFonts w:ascii="Arial" w:hAnsi="Arial" w:cs="Arial"/>
          <w:i/>
        </w:rPr>
        <w:t xml:space="preserve">International Journal of Transport Economics, </w:t>
      </w:r>
      <w:r>
        <w:rPr>
          <w:rFonts w:ascii="Arial" w:hAnsi="Arial" w:cs="Arial"/>
          <w:iCs/>
        </w:rPr>
        <w:t>24, 1, 35-52.</w:t>
      </w:r>
    </w:p>
    <w:p w14:paraId="7224EEE0" w14:textId="77777777" w:rsidR="00E93523" w:rsidRDefault="00E93523" w:rsidP="00DB2198">
      <w:pPr>
        <w:rPr>
          <w:rFonts w:ascii="Arial" w:hAnsi="Arial" w:cs="Arial"/>
          <w:iCs/>
          <w:lang w:val="en"/>
        </w:rPr>
      </w:pPr>
      <w:r w:rsidRPr="00261EEA">
        <w:rPr>
          <w:rFonts w:ascii="Arial" w:hAnsi="Arial" w:cs="Arial"/>
          <w:iCs/>
          <w:lang w:val="en"/>
        </w:rPr>
        <w:t>White, P. R. (2010). Factors behind recent bus patronage trends in Britain and their implications for future policy</w:t>
      </w:r>
      <w:r w:rsidRPr="00261EEA">
        <w:rPr>
          <w:rFonts w:ascii="Arial" w:hAnsi="Arial" w:cs="Arial"/>
          <w:i/>
          <w:lang w:val="en"/>
        </w:rPr>
        <w:t>. International Journal of Transport Economics</w:t>
      </w:r>
      <w:r w:rsidRPr="00261EEA">
        <w:rPr>
          <w:rFonts w:ascii="Arial" w:hAnsi="Arial" w:cs="Arial"/>
          <w:iCs/>
          <w:lang w:val="en"/>
        </w:rPr>
        <w:t>, 36, 13-31.</w:t>
      </w:r>
    </w:p>
    <w:p w14:paraId="6231B6E1" w14:textId="3FE93F0F" w:rsidR="00DB2198" w:rsidRPr="00DB2198" w:rsidRDefault="00DB2198" w:rsidP="00DB2198">
      <w:pPr>
        <w:rPr>
          <w:rFonts w:ascii="Arial" w:hAnsi="Arial" w:cs="Arial"/>
        </w:rPr>
      </w:pPr>
      <w:r w:rsidRPr="00DB2198">
        <w:rPr>
          <w:rFonts w:ascii="Arial" w:hAnsi="Arial" w:cs="Arial"/>
        </w:rPr>
        <w:t xml:space="preserve">White, P.R. (2017) Prospects in Britain in the Light of the Bus Services Act 2017. </w:t>
      </w:r>
      <w:r w:rsidRPr="00DB2198">
        <w:rPr>
          <w:rFonts w:ascii="Arial" w:hAnsi="Arial" w:cs="Arial"/>
          <w:i/>
          <w:iCs/>
        </w:rPr>
        <w:t>15</w:t>
      </w:r>
      <w:r w:rsidRPr="00DB2198">
        <w:rPr>
          <w:rFonts w:ascii="Arial" w:hAnsi="Arial" w:cs="Arial"/>
          <w:i/>
          <w:iCs/>
          <w:vertAlign w:val="superscript"/>
        </w:rPr>
        <w:t>th</w:t>
      </w:r>
      <w:r w:rsidRPr="00DB2198">
        <w:rPr>
          <w:rFonts w:ascii="Arial" w:hAnsi="Arial" w:cs="Arial"/>
          <w:i/>
          <w:iCs/>
        </w:rPr>
        <w:t xml:space="preserve"> International Conference on Competition and Ownership in Passenger Transport. </w:t>
      </w:r>
      <w:r w:rsidRPr="00DB2198">
        <w:rPr>
          <w:rFonts w:ascii="Arial" w:hAnsi="Arial" w:cs="Arial"/>
        </w:rPr>
        <w:t>Stockholm.</w:t>
      </w:r>
    </w:p>
    <w:p w14:paraId="7077A673" w14:textId="3DF65821" w:rsidR="007C2647" w:rsidRDefault="007C2647" w:rsidP="00D245A5">
      <w:pPr>
        <w:rPr>
          <w:rFonts w:ascii="Arial" w:hAnsi="Arial" w:cs="Arial"/>
          <w:b/>
          <w:bCs/>
        </w:rPr>
      </w:pPr>
      <w:r>
        <w:rPr>
          <w:rFonts w:ascii="Arial" w:hAnsi="Arial" w:cs="Arial"/>
          <w:b/>
          <w:bCs/>
        </w:rPr>
        <w:t>Annex</w:t>
      </w:r>
      <w:r w:rsidRPr="007C2647">
        <w:rPr>
          <w:rFonts w:ascii="Arial" w:hAnsi="Arial" w:cs="Arial"/>
          <w:b/>
          <w:bCs/>
          <w:noProof/>
        </w:rPr>
        <w:drawing>
          <wp:inline distT="0" distB="0" distL="0" distR="0" wp14:anchorId="5245812A" wp14:editId="5D651F21">
            <wp:extent cx="5493923" cy="817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7352" cy="8183905"/>
                    </a:xfrm>
                    <a:prstGeom prst="rect">
                      <a:avLst/>
                    </a:prstGeom>
                    <a:noFill/>
                    <a:ln>
                      <a:noFill/>
                    </a:ln>
                  </pic:spPr>
                </pic:pic>
              </a:graphicData>
            </a:graphic>
          </wp:inline>
        </w:drawing>
      </w:r>
      <w:r w:rsidRPr="007C2647">
        <w:rPr>
          <w:rFonts w:ascii="Arial" w:hAnsi="Arial" w:cs="Arial"/>
          <w:b/>
          <w:bCs/>
          <w:noProof/>
        </w:rPr>
        <w:drawing>
          <wp:inline distT="0" distB="0" distL="0" distR="0" wp14:anchorId="2EB3E37B" wp14:editId="1F5B22B4">
            <wp:extent cx="1828800" cy="2270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8063" cy="240587"/>
                    </a:xfrm>
                    <a:prstGeom prst="rect">
                      <a:avLst/>
                    </a:prstGeom>
                    <a:noFill/>
                    <a:ln>
                      <a:noFill/>
                    </a:ln>
                  </pic:spPr>
                </pic:pic>
              </a:graphicData>
            </a:graphic>
          </wp:inline>
        </w:drawing>
      </w:r>
      <w:r>
        <w:rPr>
          <w:rFonts w:ascii="Arial" w:hAnsi="Arial" w:cs="Arial"/>
          <w:b/>
          <w:bCs/>
        </w:rPr>
        <w:br w:type="page"/>
      </w:r>
    </w:p>
    <w:p w14:paraId="3017146A" w14:textId="0A93C828" w:rsidR="007C2647" w:rsidRPr="007C2647" w:rsidRDefault="007C2647" w:rsidP="003901F7">
      <w:pPr>
        <w:rPr>
          <w:rFonts w:ascii="Arial" w:hAnsi="Arial" w:cs="Arial"/>
          <w:b/>
          <w:bCs/>
        </w:rPr>
      </w:pPr>
      <w:r w:rsidRPr="007C2647">
        <w:rPr>
          <w:rFonts w:ascii="Arial" w:hAnsi="Arial" w:cs="Arial"/>
          <w:b/>
          <w:bCs/>
          <w:noProof/>
        </w:rPr>
        <w:drawing>
          <wp:inline distT="0" distB="0" distL="0" distR="0" wp14:anchorId="325DDAB9" wp14:editId="089A292A">
            <wp:extent cx="5731510" cy="83572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357235"/>
                    </a:xfrm>
                    <a:prstGeom prst="rect">
                      <a:avLst/>
                    </a:prstGeom>
                    <a:noFill/>
                    <a:ln>
                      <a:noFill/>
                    </a:ln>
                  </pic:spPr>
                </pic:pic>
              </a:graphicData>
            </a:graphic>
          </wp:inline>
        </w:drawing>
      </w:r>
    </w:p>
    <w:p w14:paraId="750CCD70" w14:textId="77777777" w:rsidR="007C2647" w:rsidRPr="00833DB3" w:rsidRDefault="007C2647" w:rsidP="003901F7">
      <w:pPr>
        <w:rPr>
          <w:rFonts w:ascii="Arial" w:hAnsi="Arial" w:cs="Arial"/>
        </w:rPr>
      </w:pPr>
    </w:p>
    <w:sectPr w:rsidR="007C2647" w:rsidRPr="00833DB3" w:rsidSect="002A0B36">
      <w:headerReference w:type="even" r:id="rId16"/>
      <w:headerReference w:type="default" r:id="rId17"/>
      <w:footerReference w:type="even" r:id="rId18"/>
      <w:footerReference w:type="defaul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ABFCC" w14:textId="77777777" w:rsidR="00DF0EDC" w:rsidRDefault="00DF0EDC" w:rsidP="00DF0EDC">
      <w:pPr>
        <w:spacing w:after="0" w:line="240" w:lineRule="auto"/>
      </w:pPr>
      <w:r>
        <w:separator/>
      </w:r>
    </w:p>
  </w:endnote>
  <w:endnote w:type="continuationSeparator" w:id="0">
    <w:p w14:paraId="591D3D34" w14:textId="77777777" w:rsidR="00DF0EDC" w:rsidRDefault="00DF0EDC" w:rsidP="00DF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586450"/>
      <w:docPartObj>
        <w:docPartGallery w:val="Page Numbers (Bottom of Page)"/>
        <w:docPartUnique/>
      </w:docPartObj>
    </w:sdtPr>
    <w:sdtEndPr/>
    <w:sdtContent>
      <w:sdt>
        <w:sdtPr>
          <w:id w:val="-968202438"/>
          <w:docPartObj>
            <w:docPartGallery w:val="Page Numbers (Top of Page)"/>
            <w:docPartUnique/>
          </w:docPartObj>
        </w:sdtPr>
        <w:sdtEndPr/>
        <w:sdtContent>
          <w:p w14:paraId="36611410" w14:textId="2EB0B188" w:rsidR="00B1441B" w:rsidRDefault="00B1441B" w:rsidP="00B144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57C8B0" w14:textId="77777777" w:rsidR="00A6163B" w:rsidRDefault="00A61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299867"/>
      <w:docPartObj>
        <w:docPartGallery w:val="Page Numbers (Bottom of Page)"/>
        <w:docPartUnique/>
      </w:docPartObj>
    </w:sdtPr>
    <w:sdtEndPr/>
    <w:sdtContent>
      <w:sdt>
        <w:sdtPr>
          <w:id w:val="-1769616900"/>
          <w:docPartObj>
            <w:docPartGallery w:val="Page Numbers (Top of Page)"/>
            <w:docPartUnique/>
          </w:docPartObj>
        </w:sdtPr>
        <w:sdtEndPr/>
        <w:sdtContent>
          <w:p w14:paraId="6287ED2C" w14:textId="055801A2" w:rsidR="002A0B36" w:rsidRDefault="002A0B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B3F524" w14:textId="77777777" w:rsidR="00A6163B" w:rsidRDefault="00A616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977456"/>
      <w:docPartObj>
        <w:docPartGallery w:val="Page Numbers (Bottom of Page)"/>
        <w:docPartUnique/>
      </w:docPartObj>
    </w:sdtPr>
    <w:sdtEndPr/>
    <w:sdtContent>
      <w:sdt>
        <w:sdtPr>
          <w:id w:val="-1705238520"/>
          <w:docPartObj>
            <w:docPartGallery w:val="Page Numbers (Top of Page)"/>
            <w:docPartUnique/>
          </w:docPartObj>
        </w:sdtPr>
        <w:sdtEndPr/>
        <w:sdtContent>
          <w:p w14:paraId="293095F0" w14:textId="47F4A3FC" w:rsidR="00B1441B" w:rsidRDefault="00B1441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D1E58D4" w14:textId="77777777" w:rsidR="00A6163B" w:rsidRDefault="00A6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9E648" w14:textId="77777777" w:rsidR="00DF0EDC" w:rsidRDefault="00DF0EDC" w:rsidP="00DF0EDC">
      <w:pPr>
        <w:spacing w:after="0" w:line="240" w:lineRule="auto"/>
      </w:pPr>
      <w:r>
        <w:separator/>
      </w:r>
    </w:p>
  </w:footnote>
  <w:footnote w:type="continuationSeparator" w:id="0">
    <w:p w14:paraId="7732D473" w14:textId="77777777" w:rsidR="00DF0EDC" w:rsidRDefault="00DF0EDC" w:rsidP="00DF0EDC">
      <w:pPr>
        <w:spacing w:after="0" w:line="240" w:lineRule="auto"/>
      </w:pPr>
      <w:r>
        <w:continuationSeparator/>
      </w:r>
    </w:p>
  </w:footnote>
  <w:footnote w:id="1">
    <w:p w14:paraId="06BDA495" w14:textId="5A8E3769" w:rsidR="00734B5D" w:rsidRDefault="00734B5D">
      <w:pPr>
        <w:pStyle w:val="FootnoteText"/>
      </w:pPr>
      <w:r>
        <w:rPr>
          <w:rStyle w:val="FootnoteReference"/>
        </w:rPr>
        <w:footnoteRef/>
      </w:r>
      <w:r>
        <w:t xml:space="preserve"> See </w:t>
      </w:r>
      <w:hyperlink r:id="rId1" w:history="1">
        <w:r w:rsidRPr="00D27FAB">
          <w:rPr>
            <w:rStyle w:val="Hyperlink"/>
          </w:rPr>
          <w:t>https://greatermanchester-ca.gov.uk/what-we-do/transport/bus-franchising</w:t>
        </w:r>
      </w:hyperlink>
      <w:r>
        <w:t xml:space="preserve"> &lt;Accessed 19 June 2025&gt;</w:t>
      </w:r>
    </w:p>
  </w:footnote>
  <w:footnote w:id="2">
    <w:p w14:paraId="67C2C5D7" w14:textId="228296B8" w:rsidR="00067F3E" w:rsidRDefault="00067F3E">
      <w:pPr>
        <w:pStyle w:val="FootnoteText"/>
      </w:pPr>
      <w:r>
        <w:rPr>
          <w:rStyle w:val="FootnoteReference"/>
        </w:rPr>
        <w:footnoteRef/>
      </w:r>
      <w:r>
        <w:t xml:space="preserve"> See:</w:t>
      </w:r>
      <w:r w:rsidRPr="00067F3E">
        <w:t xml:space="preserve"> </w:t>
      </w:r>
      <w:hyperlink r:id="rId2" w:history="1">
        <w:r w:rsidRPr="0009011E">
          <w:rPr>
            <w:rStyle w:val="Hyperlink"/>
          </w:rPr>
          <w:t>https://www.centreforcities.org/blog/where-are-we-with-bus-franchising/</w:t>
        </w:r>
      </w:hyperlink>
      <w:r>
        <w:t xml:space="preserve"> &lt;Accessed 23 June 2024&gt;</w:t>
      </w:r>
    </w:p>
  </w:footnote>
  <w:footnote w:id="3">
    <w:p w14:paraId="32E2DB06" w14:textId="7CE367B0" w:rsidR="00493982" w:rsidRDefault="00493982">
      <w:pPr>
        <w:pStyle w:val="FootnoteText"/>
      </w:pPr>
      <w:r>
        <w:rPr>
          <w:rStyle w:val="FootnoteReference"/>
        </w:rPr>
        <w:footnoteRef/>
      </w:r>
      <w:r>
        <w:t xml:space="preserve"> </w:t>
      </w:r>
      <w:r w:rsidR="00315635">
        <w:t xml:space="preserve">See: </w:t>
      </w:r>
      <w:hyperlink r:id="rId3" w:history="1">
        <w:r w:rsidR="00315635" w:rsidRPr="00686E13">
          <w:rPr>
            <w:rStyle w:val="Hyperlink"/>
          </w:rPr>
          <w:t>https://www.gov.uk/government/publications/bus-service-improvement-plans-local-transport-authority-allocations/bus-service-improvement-plans-local-transport-authority-final-allocations</w:t>
        </w:r>
      </w:hyperlink>
      <w:r w:rsidR="00315635">
        <w:t xml:space="preserve"> &lt;Accessed 23 June 2024&gt;</w:t>
      </w:r>
    </w:p>
  </w:footnote>
  <w:footnote w:id="4">
    <w:p w14:paraId="527E9A32" w14:textId="3299516C" w:rsidR="00FC762D" w:rsidRDefault="00FC762D">
      <w:pPr>
        <w:pStyle w:val="FootnoteText"/>
      </w:pPr>
      <w:r>
        <w:rPr>
          <w:rStyle w:val="FootnoteReference"/>
        </w:rPr>
        <w:footnoteRef/>
      </w:r>
      <w:r>
        <w:t xml:space="preserve"> Formal difference in differences approaches can be traced back to Ashenfelter and Card (1985) that involve, amongst other things, statistical testing of parallel trends between the control and treatment </w:t>
      </w:r>
      <w:r w:rsidR="00F24A59">
        <w:t xml:space="preserve">groups </w:t>
      </w:r>
      <w:r>
        <w:t>prior to the intervention. We do not have access to consistent time-series data to permit such formal testing.</w:t>
      </w:r>
    </w:p>
  </w:footnote>
  <w:footnote w:id="5">
    <w:p w14:paraId="06285DDD" w14:textId="11B27D7A" w:rsidR="00DF0EDC" w:rsidRDefault="00DF0EDC">
      <w:pPr>
        <w:pStyle w:val="FootnoteText"/>
      </w:pPr>
      <w:r>
        <w:rPr>
          <w:rStyle w:val="FootnoteReference"/>
        </w:rPr>
        <w:footnoteRef/>
      </w:r>
      <w:r>
        <w:t xml:space="preserve"> As given in </w:t>
      </w:r>
      <w:hyperlink r:id="rId4" w:history="1">
        <w:r w:rsidRPr="00A50650">
          <w:rPr>
            <w:rStyle w:val="Hyperlink"/>
          </w:rPr>
          <w:t>https://www.infrastructure-ni.gov.uk/publications/northern-ireland-transport-statistics-1999-2000</w:t>
        </w:r>
      </w:hyperlink>
      <w:r>
        <w:t xml:space="preserve"> &lt;Accessed 18 June 2024&gt;</w:t>
      </w:r>
      <w:r w:rsidR="00567CF5">
        <w:t xml:space="preserve">. Bus demand in </w:t>
      </w:r>
      <w:r w:rsidR="002D25B7">
        <w:t>1996/7 was 78.2 million, which given Table 2 implies 84.1 million in 1985/6. Bus usage was 70.5 million in 2008/9 and 68.3 million in in 2019/20.</w:t>
      </w:r>
    </w:p>
  </w:footnote>
  <w:footnote w:id="6">
    <w:p w14:paraId="517936BD" w14:textId="3B3F3130" w:rsidR="00F65F06" w:rsidRDefault="00F65F06">
      <w:pPr>
        <w:pStyle w:val="FootnoteText"/>
      </w:pPr>
      <w:r>
        <w:rPr>
          <w:rStyle w:val="FootnoteReference"/>
        </w:rPr>
        <w:footnoteRef/>
      </w:r>
      <w:r>
        <w:t xml:space="preserve"> For example, the result for Jersey is computed from (0.1</w:t>
      </w:r>
      <w:r w:rsidR="00B8370D">
        <w:t>4</w:t>
      </w:r>
      <w:r>
        <w:t>/0.28)^-0.4*(6</w:t>
      </w:r>
      <w:r w:rsidR="00B8370D">
        <w:t>73</w:t>
      </w:r>
      <w:r>
        <w:t>/860)^-0.4*41.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BB9C" w14:textId="77777777" w:rsidR="002A0B36" w:rsidRPr="002A0B36" w:rsidRDefault="002A0B36" w:rsidP="002A0B36">
    <w:pPr>
      <w:pStyle w:val="Header"/>
      <w:rPr>
        <w:rFonts w:ascii="Arial" w:hAnsi="Arial" w:cs="Arial"/>
      </w:rPr>
    </w:pPr>
    <w:r w:rsidRPr="002A0B36">
      <w:rPr>
        <w:rFonts w:ascii="Arial" w:hAnsi="Arial" w:cs="Arial"/>
      </w:rPr>
      <w:t>Notes from a Small Island</w:t>
    </w:r>
  </w:p>
  <w:p w14:paraId="54C91686" w14:textId="77777777" w:rsidR="00A6163B" w:rsidRDefault="00A61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77D9" w14:textId="7DD4D2F0" w:rsidR="00A6163B" w:rsidRPr="002A0B36" w:rsidRDefault="00A6163B" w:rsidP="002A0B36">
    <w:pPr>
      <w:pStyle w:val="Header"/>
      <w:jc w:val="right"/>
      <w:rPr>
        <w:rFonts w:ascii="Arial" w:hAnsi="Arial" w:cs="Arial"/>
      </w:rPr>
    </w:pPr>
    <w:r w:rsidRPr="002A0B36">
      <w:rPr>
        <w:rFonts w:ascii="Arial" w:hAnsi="Arial" w:cs="Arial"/>
      </w:rPr>
      <w:t>Notes from a Small Island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DD2FC3"/>
    <w:multiLevelType w:val="hybridMultilevel"/>
    <w:tmpl w:val="60762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921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8"/>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68"/>
    <w:rsid w:val="000249EE"/>
    <w:rsid w:val="00026180"/>
    <w:rsid w:val="00032F30"/>
    <w:rsid w:val="00057E6A"/>
    <w:rsid w:val="00061971"/>
    <w:rsid w:val="00067F3E"/>
    <w:rsid w:val="00073B03"/>
    <w:rsid w:val="000834F5"/>
    <w:rsid w:val="000A0987"/>
    <w:rsid w:val="000E1E81"/>
    <w:rsid w:val="001019D5"/>
    <w:rsid w:val="00110F00"/>
    <w:rsid w:val="00123849"/>
    <w:rsid w:val="001472B7"/>
    <w:rsid w:val="00185B7C"/>
    <w:rsid w:val="001A3201"/>
    <w:rsid w:val="001C1EBA"/>
    <w:rsid w:val="00212A98"/>
    <w:rsid w:val="00230399"/>
    <w:rsid w:val="002461E1"/>
    <w:rsid w:val="00257FFE"/>
    <w:rsid w:val="00280A15"/>
    <w:rsid w:val="00281F87"/>
    <w:rsid w:val="00295745"/>
    <w:rsid w:val="002A0397"/>
    <w:rsid w:val="002A0B36"/>
    <w:rsid w:val="002A7AE0"/>
    <w:rsid w:val="002B33CC"/>
    <w:rsid w:val="002C1729"/>
    <w:rsid w:val="002D25B7"/>
    <w:rsid w:val="002D2652"/>
    <w:rsid w:val="002F4913"/>
    <w:rsid w:val="0031069D"/>
    <w:rsid w:val="0031377A"/>
    <w:rsid w:val="00315635"/>
    <w:rsid w:val="003223A2"/>
    <w:rsid w:val="00327D17"/>
    <w:rsid w:val="0035342F"/>
    <w:rsid w:val="00373DCB"/>
    <w:rsid w:val="00375578"/>
    <w:rsid w:val="003761CC"/>
    <w:rsid w:val="00377C87"/>
    <w:rsid w:val="003901F7"/>
    <w:rsid w:val="003A2211"/>
    <w:rsid w:val="003A7EAA"/>
    <w:rsid w:val="003E6968"/>
    <w:rsid w:val="003F3F2B"/>
    <w:rsid w:val="00404757"/>
    <w:rsid w:val="0042743B"/>
    <w:rsid w:val="00451668"/>
    <w:rsid w:val="00476AAE"/>
    <w:rsid w:val="00491FD4"/>
    <w:rsid w:val="00493982"/>
    <w:rsid w:val="00495910"/>
    <w:rsid w:val="004A6DB6"/>
    <w:rsid w:val="004D32F3"/>
    <w:rsid w:val="004E22CF"/>
    <w:rsid w:val="004E4023"/>
    <w:rsid w:val="004F2229"/>
    <w:rsid w:val="00520127"/>
    <w:rsid w:val="005324CB"/>
    <w:rsid w:val="005416E3"/>
    <w:rsid w:val="00553E55"/>
    <w:rsid w:val="005630CD"/>
    <w:rsid w:val="00567CF5"/>
    <w:rsid w:val="0057479D"/>
    <w:rsid w:val="005821D8"/>
    <w:rsid w:val="00586ABD"/>
    <w:rsid w:val="00596803"/>
    <w:rsid w:val="005A7781"/>
    <w:rsid w:val="005B1590"/>
    <w:rsid w:val="005C5BEA"/>
    <w:rsid w:val="00650F73"/>
    <w:rsid w:val="006655F6"/>
    <w:rsid w:val="006758D2"/>
    <w:rsid w:val="006957C6"/>
    <w:rsid w:val="00695E16"/>
    <w:rsid w:val="006A4E4D"/>
    <w:rsid w:val="006C791A"/>
    <w:rsid w:val="0070425D"/>
    <w:rsid w:val="007170F9"/>
    <w:rsid w:val="00734B5D"/>
    <w:rsid w:val="00771278"/>
    <w:rsid w:val="007967DB"/>
    <w:rsid w:val="007A0E09"/>
    <w:rsid w:val="007A3EBC"/>
    <w:rsid w:val="007C2647"/>
    <w:rsid w:val="007C7D46"/>
    <w:rsid w:val="007E63FF"/>
    <w:rsid w:val="00803F18"/>
    <w:rsid w:val="008062AA"/>
    <w:rsid w:val="00820802"/>
    <w:rsid w:val="00827331"/>
    <w:rsid w:val="00833DB3"/>
    <w:rsid w:val="0085158D"/>
    <w:rsid w:val="00860751"/>
    <w:rsid w:val="00895026"/>
    <w:rsid w:val="008B59EC"/>
    <w:rsid w:val="008D74D0"/>
    <w:rsid w:val="008E750C"/>
    <w:rsid w:val="00903B2F"/>
    <w:rsid w:val="00933535"/>
    <w:rsid w:val="00940649"/>
    <w:rsid w:val="00942D59"/>
    <w:rsid w:val="00947B57"/>
    <w:rsid w:val="009532DC"/>
    <w:rsid w:val="00955B23"/>
    <w:rsid w:val="00987F31"/>
    <w:rsid w:val="009D21B1"/>
    <w:rsid w:val="009E0521"/>
    <w:rsid w:val="00A133E3"/>
    <w:rsid w:val="00A40660"/>
    <w:rsid w:val="00A53F15"/>
    <w:rsid w:val="00A6163B"/>
    <w:rsid w:val="00A72D51"/>
    <w:rsid w:val="00A875C3"/>
    <w:rsid w:val="00AA51E4"/>
    <w:rsid w:val="00AB7F01"/>
    <w:rsid w:val="00B1441B"/>
    <w:rsid w:val="00B3161F"/>
    <w:rsid w:val="00B35DE2"/>
    <w:rsid w:val="00B5486A"/>
    <w:rsid w:val="00B5570A"/>
    <w:rsid w:val="00B62C23"/>
    <w:rsid w:val="00B70D82"/>
    <w:rsid w:val="00B8370D"/>
    <w:rsid w:val="00BC0776"/>
    <w:rsid w:val="00BF490C"/>
    <w:rsid w:val="00C10AEC"/>
    <w:rsid w:val="00C13D75"/>
    <w:rsid w:val="00C824F2"/>
    <w:rsid w:val="00C92AD5"/>
    <w:rsid w:val="00C930E7"/>
    <w:rsid w:val="00CA4B74"/>
    <w:rsid w:val="00CB2416"/>
    <w:rsid w:val="00CD0DBE"/>
    <w:rsid w:val="00CE7F4E"/>
    <w:rsid w:val="00CF202B"/>
    <w:rsid w:val="00CF20AA"/>
    <w:rsid w:val="00D13B75"/>
    <w:rsid w:val="00D15230"/>
    <w:rsid w:val="00D21D9A"/>
    <w:rsid w:val="00D245A5"/>
    <w:rsid w:val="00D444D1"/>
    <w:rsid w:val="00D54501"/>
    <w:rsid w:val="00D628FC"/>
    <w:rsid w:val="00D66C4A"/>
    <w:rsid w:val="00D91EE5"/>
    <w:rsid w:val="00D94EC9"/>
    <w:rsid w:val="00DB2198"/>
    <w:rsid w:val="00DB2B02"/>
    <w:rsid w:val="00DE0CCD"/>
    <w:rsid w:val="00DF0EDC"/>
    <w:rsid w:val="00DF26FA"/>
    <w:rsid w:val="00DF4526"/>
    <w:rsid w:val="00E438BE"/>
    <w:rsid w:val="00E60213"/>
    <w:rsid w:val="00E81DFB"/>
    <w:rsid w:val="00E91886"/>
    <w:rsid w:val="00E93523"/>
    <w:rsid w:val="00E9490D"/>
    <w:rsid w:val="00EB433C"/>
    <w:rsid w:val="00ED7790"/>
    <w:rsid w:val="00EE3F46"/>
    <w:rsid w:val="00F05EF3"/>
    <w:rsid w:val="00F11C57"/>
    <w:rsid w:val="00F1561B"/>
    <w:rsid w:val="00F2165C"/>
    <w:rsid w:val="00F21836"/>
    <w:rsid w:val="00F24A59"/>
    <w:rsid w:val="00F46478"/>
    <w:rsid w:val="00F52492"/>
    <w:rsid w:val="00F65F06"/>
    <w:rsid w:val="00F718F9"/>
    <w:rsid w:val="00F84DE0"/>
    <w:rsid w:val="00FC762D"/>
    <w:rsid w:val="00FC7952"/>
    <w:rsid w:val="00FE2C8C"/>
    <w:rsid w:val="00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93546"/>
  <w15:chartTrackingRefBased/>
  <w15:docId w15:val="{42E9BEE2-18F4-4BB4-8FC9-F053D552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DB3"/>
    <w:pPr>
      <w:ind w:left="720"/>
      <w:contextualSpacing/>
    </w:pPr>
  </w:style>
  <w:style w:type="character" w:styleId="Hyperlink">
    <w:name w:val="Hyperlink"/>
    <w:basedOn w:val="DefaultParagraphFont"/>
    <w:uiPriority w:val="99"/>
    <w:unhideWhenUsed/>
    <w:rsid w:val="00DB2198"/>
    <w:rPr>
      <w:color w:val="0563C1" w:themeColor="hyperlink"/>
      <w:u w:val="single"/>
    </w:rPr>
  </w:style>
  <w:style w:type="table" w:styleId="TableGrid">
    <w:name w:val="Table Grid"/>
    <w:basedOn w:val="TableNormal"/>
    <w:uiPriority w:val="39"/>
    <w:rsid w:val="00DE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0E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0EDC"/>
    <w:rPr>
      <w:sz w:val="20"/>
      <w:szCs w:val="20"/>
    </w:rPr>
  </w:style>
  <w:style w:type="character" w:styleId="FootnoteReference">
    <w:name w:val="footnote reference"/>
    <w:basedOn w:val="DefaultParagraphFont"/>
    <w:uiPriority w:val="99"/>
    <w:semiHidden/>
    <w:unhideWhenUsed/>
    <w:rsid w:val="00DF0EDC"/>
    <w:rPr>
      <w:vertAlign w:val="superscript"/>
    </w:rPr>
  </w:style>
  <w:style w:type="character" w:styleId="UnresolvedMention">
    <w:name w:val="Unresolved Mention"/>
    <w:basedOn w:val="DefaultParagraphFont"/>
    <w:uiPriority w:val="99"/>
    <w:semiHidden/>
    <w:unhideWhenUsed/>
    <w:rsid w:val="00DF0EDC"/>
    <w:rPr>
      <w:color w:val="605E5C"/>
      <w:shd w:val="clear" w:color="auto" w:fill="E1DFDD"/>
    </w:rPr>
  </w:style>
  <w:style w:type="paragraph" w:styleId="Header">
    <w:name w:val="header"/>
    <w:basedOn w:val="Normal"/>
    <w:link w:val="HeaderChar"/>
    <w:uiPriority w:val="99"/>
    <w:unhideWhenUsed/>
    <w:rsid w:val="00A61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B"/>
  </w:style>
  <w:style w:type="paragraph" w:styleId="Footer">
    <w:name w:val="footer"/>
    <w:basedOn w:val="Normal"/>
    <w:link w:val="FooterChar"/>
    <w:uiPriority w:val="99"/>
    <w:unhideWhenUsed/>
    <w:rsid w:val="00A61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B"/>
  </w:style>
  <w:style w:type="paragraph" w:styleId="NormalWeb">
    <w:name w:val="Normal (Web)"/>
    <w:basedOn w:val="Normal"/>
    <w:uiPriority w:val="99"/>
    <w:semiHidden/>
    <w:unhideWhenUsed/>
    <w:rsid w:val="008062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1377A"/>
    <w:pPr>
      <w:spacing w:after="0" w:line="240" w:lineRule="auto"/>
    </w:pPr>
  </w:style>
  <w:style w:type="character" w:styleId="FollowedHyperlink">
    <w:name w:val="FollowedHyperlink"/>
    <w:basedOn w:val="DefaultParagraphFont"/>
    <w:uiPriority w:val="99"/>
    <w:semiHidden/>
    <w:unhideWhenUsed/>
    <w:rsid w:val="00F24A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982191">
      <w:bodyDiv w:val="1"/>
      <w:marLeft w:val="0"/>
      <w:marRight w:val="0"/>
      <w:marTop w:val="0"/>
      <w:marBottom w:val="0"/>
      <w:divBdr>
        <w:top w:val="none" w:sz="0" w:space="0" w:color="auto"/>
        <w:left w:val="none" w:sz="0" w:space="0" w:color="auto"/>
        <w:bottom w:val="none" w:sz="0" w:space="0" w:color="auto"/>
        <w:right w:val="none" w:sz="0" w:space="0" w:color="auto"/>
      </w:divBdr>
    </w:div>
    <w:div w:id="194572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bus-back-bette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gov.uk/government/statistics/annual-bus-statistics-year-ending-march-202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uk/government/statistics/transport-use-during-the-coronavirus-covid-19-pandemic"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bus-service-improvement-plans-local-transport-authority-allocations/bus-service-improvement-plans-local-transport-authority-final-allocations" TargetMode="External"/><Relationship Id="rId2" Type="http://schemas.openxmlformats.org/officeDocument/2006/relationships/hyperlink" Target="https://www.centreforcities.org/blog/where-are-we-with-bus-franchising/" TargetMode="External"/><Relationship Id="rId1" Type="http://schemas.openxmlformats.org/officeDocument/2006/relationships/hyperlink" Target="https://greatermanchester-ca.gov.uk/what-we-do/transport/bus-franchising" TargetMode="External"/><Relationship Id="rId4" Type="http://schemas.openxmlformats.org/officeDocument/2006/relationships/hyperlink" Target="https://www.infrastructure-ni.gov.uk/publications/northern-ireland-transport-statistics-1999-2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B539C-EBF6-436F-BC02-DE5669F4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6729</Words>
  <Characters>38356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Preston</dc:creator>
  <cp:keywords/>
  <dc:description/>
  <cp:lastModifiedBy>John Preston</cp:lastModifiedBy>
  <cp:revision>3</cp:revision>
  <cp:lastPrinted>2025-06-19T07:15:00Z</cp:lastPrinted>
  <dcterms:created xsi:type="dcterms:W3CDTF">2025-06-19T09:39:00Z</dcterms:created>
  <dcterms:modified xsi:type="dcterms:W3CDTF">2025-06-19T09:39:00Z</dcterms:modified>
</cp:coreProperties>
</file>