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ACFA6" w14:textId="3A2808F2" w:rsidR="00BC499C" w:rsidRDefault="00BC499C" w:rsidP="00D10D72">
      <w:pPr>
        <w:spacing w:line="360" w:lineRule="auto"/>
        <w:rPr>
          <w:b/>
          <w:bCs/>
          <w:sz w:val="24"/>
          <w:szCs w:val="24"/>
        </w:rPr>
      </w:pPr>
      <w:bookmarkStart w:id="0" w:name="_heading=h.c36kix7pgs6g"/>
      <w:bookmarkEnd w:id="0"/>
      <w:r>
        <w:rPr>
          <w:b/>
          <w:bCs/>
          <w:sz w:val="24"/>
          <w:szCs w:val="24"/>
        </w:rPr>
        <w:t>JOURNAL OF FAMILY RESEARCH Accepted 18.3.26</w:t>
      </w:r>
    </w:p>
    <w:p w14:paraId="216519FF" w14:textId="77777777" w:rsidR="00BC499C" w:rsidRDefault="00BC499C" w:rsidP="00D10D72">
      <w:pPr>
        <w:spacing w:line="360" w:lineRule="auto"/>
        <w:rPr>
          <w:b/>
          <w:bCs/>
          <w:sz w:val="24"/>
          <w:szCs w:val="24"/>
        </w:rPr>
      </w:pPr>
    </w:p>
    <w:p w14:paraId="61AC72CB" w14:textId="240CFD7B" w:rsidR="00D10D72" w:rsidRDefault="00D10D72" w:rsidP="00D10D72">
      <w:pPr>
        <w:spacing w:line="360" w:lineRule="auto"/>
        <w:rPr>
          <w:b/>
          <w:bCs/>
          <w:sz w:val="24"/>
          <w:szCs w:val="24"/>
        </w:rPr>
      </w:pPr>
      <w:r>
        <w:rPr>
          <w:b/>
          <w:bCs/>
          <w:sz w:val="24"/>
          <w:szCs w:val="24"/>
        </w:rPr>
        <w:t>Research Note:  The Sibling Postcard Exercise – Substance and Methodology</w:t>
      </w:r>
    </w:p>
    <w:p w14:paraId="765DCB81" w14:textId="77777777" w:rsidR="00D10D72" w:rsidRDefault="00D10D72" w:rsidP="00D10D72">
      <w:pPr>
        <w:rPr>
          <w:sz w:val="24"/>
          <w:szCs w:val="24"/>
        </w:rPr>
      </w:pPr>
      <w:bookmarkStart w:id="1" w:name="_heading=h.gjdgxs"/>
      <w:bookmarkEnd w:id="1"/>
    </w:p>
    <w:p w14:paraId="4147C21E" w14:textId="62FBADC5" w:rsidR="00D10D72" w:rsidRPr="00D10D72" w:rsidRDefault="00D10D72" w:rsidP="00D10D72">
      <w:pPr>
        <w:pStyle w:val="ListParagraph"/>
        <w:numPr>
          <w:ilvl w:val="0"/>
          <w:numId w:val="2"/>
        </w:numPr>
        <w:rPr>
          <w:sz w:val="24"/>
          <w:szCs w:val="24"/>
        </w:rPr>
      </w:pPr>
      <w:r w:rsidRPr="00D10D72">
        <w:rPr>
          <w:sz w:val="24"/>
          <w:szCs w:val="24"/>
        </w:rPr>
        <w:t>Rosalind Edwards is Professor of Sociology in the department of Sociology, Social Policy and Criminology at the University of Southampton, UK.</w:t>
      </w:r>
      <w:r w:rsidRPr="00D10D72">
        <w:rPr>
          <w:sz w:val="24"/>
          <w:szCs w:val="24"/>
        </w:rPr>
        <w:t xml:space="preserve"> </w:t>
      </w:r>
      <w:r w:rsidRPr="00D10D72">
        <w:rPr>
          <w:sz w:val="24"/>
          <w:szCs w:val="24"/>
        </w:rPr>
        <w:t xml:space="preserve">ORCID ID </w:t>
      </w:r>
      <w:hyperlink r:id="rId8" w:history="1">
        <w:r w:rsidRPr="00D10D72">
          <w:rPr>
            <w:rStyle w:val="Hyperlink"/>
            <w:color w:val="467886"/>
            <w:sz w:val="24"/>
            <w:szCs w:val="24"/>
          </w:rPr>
          <w:t>https://orcid.org/0000-0002-3512-9029</w:t>
        </w:r>
      </w:hyperlink>
      <w:r w:rsidRPr="00D10D72">
        <w:rPr>
          <w:sz w:val="24"/>
          <w:szCs w:val="24"/>
        </w:rPr>
        <w:t xml:space="preserve"> </w:t>
      </w:r>
      <w:r w:rsidRPr="00D10D72">
        <w:rPr>
          <w:sz w:val="24"/>
          <w:szCs w:val="24"/>
        </w:rPr>
        <w:t xml:space="preserve">  </w:t>
      </w:r>
      <w:r w:rsidRPr="00D10D72">
        <w:rPr>
          <w:sz w:val="24"/>
          <w:szCs w:val="24"/>
        </w:rPr>
        <w:t xml:space="preserve">Address for correspondence to: Professor Rosalind Edwards, SSPC, University of Southampton, University Road, Southampton SO17 1BJ.  Email: </w:t>
      </w:r>
      <w:hyperlink r:id="rId9" w:history="1">
        <w:r w:rsidRPr="00D10D72">
          <w:rPr>
            <w:rStyle w:val="Hyperlink"/>
            <w:color w:val="467886"/>
            <w:sz w:val="24"/>
            <w:szCs w:val="24"/>
          </w:rPr>
          <w:t>r.s.edwards@soton.ac.uk</w:t>
        </w:r>
      </w:hyperlink>
    </w:p>
    <w:p w14:paraId="6789628A" w14:textId="160BD9F2" w:rsidR="00D10D72" w:rsidRPr="00D10D72" w:rsidRDefault="00D10D72" w:rsidP="00D10D72">
      <w:pPr>
        <w:pStyle w:val="ListParagraph"/>
        <w:numPr>
          <w:ilvl w:val="0"/>
          <w:numId w:val="2"/>
        </w:numPr>
        <w:rPr>
          <w:sz w:val="24"/>
          <w:szCs w:val="24"/>
        </w:rPr>
      </w:pPr>
      <w:r w:rsidRPr="00D10D72">
        <w:rPr>
          <w:sz w:val="24"/>
          <w:szCs w:val="24"/>
        </w:rPr>
        <w:t xml:space="preserve">Susie Weller is a Senior Research Fellow in the Clinical Ethics, Law and Society Research </w:t>
      </w:r>
      <w:proofErr w:type="gramStart"/>
      <w:r w:rsidRPr="00D10D72">
        <w:rPr>
          <w:sz w:val="24"/>
          <w:szCs w:val="24"/>
        </w:rPr>
        <w:t>Group,Centre</w:t>
      </w:r>
      <w:proofErr w:type="gramEnd"/>
      <w:r w:rsidRPr="00D10D72">
        <w:rPr>
          <w:sz w:val="24"/>
          <w:szCs w:val="24"/>
        </w:rPr>
        <w:t xml:space="preserve"> for Human Genetics, University of Oxford, UK.  Email: </w:t>
      </w:r>
      <w:hyperlink r:id="rId10" w:history="1">
        <w:r w:rsidRPr="00D10D72">
          <w:rPr>
            <w:rStyle w:val="Hyperlink"/>
            <w:color w:val="1155CC"/>
            <w:sz w:val="24"/>
            <w:szCs w:val="24"/>
          </w:rPr>
          <w:t>susie.weller@well.ox.ac.uk</w:t>
        </w:r>
      </w:hyperlink>
      <w:r w:rsidRPr="00D10D72">
        <w:rPr>
          <w:sz w:val="24"/>
          <w:szCs w:val="24"/>
        </w:rPr>
        <w:t xml:space="preserve"> </w:t>
      </w:r>
      <w:r w:rsidRPr="00D10D72">
        <w:rPr>
          <w:sz w:val="24"/>
          <w:szCs w:val="24"/>
        </w:rPr>
        <w:t xml:space="preserve"> </w:t>
      </w:r>
      <w:r w:rsidRPr="00D10D72">
        <w:rPr>
          <w:sz w:val="24"/>
          <w:szCs w:val="24"/>
        </w:rPr>
        <w:t xml:space="preserve">ORCID ID </w:t>
      </w:r>
      <w:hyperlink r:id="rId11" w:history="1">
        <w:r w:rsidRPr="00D10D72">
          <w:rPr>
            <w:rStyle w:val="Hyperlink"/>
            <w:color w:val="467886"/>
            <w:sz w:val="24"/>
            <w:szCs w:val="24"/>
          </w:rPr>
          <w:t>https://orcid.org/0000-0002-6839-876X</w:t>
        </w:r>
      </w:hyperlink>
    </w:p>
    <w:p w14:paraId="0D2E4184" w14:textId="310BCC52" w:rsidR="00D10D72" w:rsidRPr="00D10D72" w:rsidRDefault="00D10D72" w:rsidP="00D10D72">
      <w:pPr>
        <w:pStyle w:val="ListParagraph"/>
        <w:numPr>
          <w:ilvl w:val="0"/>
          <w:numId w:val="2"/>
        </w:numPr>
        <w:rPr>
          <w:sz w:val="24"/>
          <w:szCs w:val="24"/>
        </w:rPr>
      </w:pPr>
      <w:r w:rsidRPr="00D10D72">
        <w:rPr>
          <w:sz w:val="24"/>
          <w:szCs w:val="24"/>
        </w:rPr>
        <w:t xml:space="preserve">Luisa Weissenberg is a Teaching and Research Assistant in the Institute of Education at the University of Zurich, Switzerland. Email: </w:t>
      </w:r>
      <w:hyperlink r:id="rId12" w:history="1">
        <w:r w:rsidRPr="00D10D72">
          <w:rPr>
            <w:rStyle w:val="Hyperlink"/>
            <w:color w:val="1155CC"/>
            <w:sz w:val="24"/>
            <w:szCs w:val="24"/>
          </w:rPr>
          <w:t>luisa.weissberg@ife.uzh.ch</w:t>
        </w:r>
      </w:hyperlink>
      <w:r w:rsidRPr="00D10D72">
        <w:rPr>
          <w:sz w:val="24"/>
          <w:szCs w:val="24"/>
        </w:rPr>
        <w:t xml:space="preserve"> </w:t>
      </w:r>
      <w:r w:rsidRPr="00D10D72">
        <w:rPr>
          <w:sz w:val="24"/>
          <w:szCs w:val="24"/>
        </w:rPr>
        <w:t xml:space="preserve"> </w:t>
      </w:r>
      <w:r w:rsidRPr="00D10D72">
        <w:rPr>
          <w:sz w:val="24"/>
          <w:szCs w:val="24"/>
        </w:rPr>
        <w:t xml:space="preserve">ORCID ID </w:t>
      </w:r>
      <w:hyperlink r:id="rId13" w:history="1">
        <w:r w:rsidRPr="00D10D72">
          <w:rPr>
            <w:rStyle w:val="Hyperlink"/>
            <w:color w:val="467886"/>
            <w:sz w:val="24"/>
            <w:szCs w:val="24"/>
          </w:rPr>
          <w:t>https://orcid.org/0009-0000-7847-1441</w:t>
        </w:r>
      </w:hyperlink>
    </w:p>
    <w:p w14:paraId="3CAFC0D4" w14:textId="77777777" w:rsidR="00D10D72" w:rsidRDefault="00D10D72">
      <w:pPr>
        <w:spacing w:line="360" w:lineRule="auto"/>
        <w:rPr>
          <w:b/>
          <w:bCs/>
          <w:sz w:val="24"/>
          <w:szCs w:val="24"/>
        </w:rPr>
      </w:pPr>
    </w:p>
    <w:p w14:paraId="09D9126D" w14:textId="77777777" w:rsidR="00326E59" w:rsidRDefault="00326E59" w:rsidP="00326E59">
      <w:pPr>
        <w:spacing w:line="240" w:lineRule="auto"/>
        <w:rPr>
          <w:b/>
          <w:bCs/>
          <w:sz w:val="24"/>
          <w:szCs w:val="24"/>
        </w:rPr>
      </w:pPr>
      <w:bookmarkStart w:id="2" w:name="_heading=h.b8s36m2j20w"/>
      <w:bookmarkEnd w:id="2"/>
      <w:r>
        <w:rPr>
          <w:b/>
          <w:bCs/>
          <w:sz w:val="24"/>
          <w:szCs w:val="24"/>
        </w:rPr>
        <w:t>Abstract</w:t>
      </w:r>
    </w:p>
    <w:p w14:paraId="67A49B2A" w14:textId="77777777" w:rsidR="00326E59" w:rsidRDefault="00326E59" w:rsidP="00326E59">
      <w:pPr>
        <w:spacing w:line="240" w:lineRule="auto"/>
        <w:rPr>
          <w:sz w:val="24"/>
          <w:szCs w:val="24"/>
        </w:rPr>
      </w:pPr>
      <w:r>
        <w:rPr>
          <w:b/>
          <w:bCs/>
          <w:sz w:val="24"/>
          <w:szCs w:val="24"/>
        </w:rPr>
        <w:t>Objective</w:t>
      </w:r>
      <w:r>
        <w:rPr>
          <w:sz w:val="24"/>
          <w:szCs w:val="24"/>
        </w:rPr>
        <w:t>:   This research note has both substantive and methodological objectives.  It presents an account of undertaking a surface thematic analysis of a data sub-set from a repurposed public engagement written postcard exercise, to consider: (i) the significant non-relationally framed (i.e. factual and not related to the quality of the sibling relationship) information that people across gender and generation think that researchers should know about their siblings, and (ii) the written postcard exercise as a potential research method in family research.</w:t>
      </w:r>
    </w:p>
    <w:p w14:paraId="30E1839C" w14:textId="77777777" w:rsidR="00326E59" w:rsidRDefault="00326E59" w:rsidP="00326E59">
      <w:pPr>
        <w:spacing w:line="240" w:lineRule="auto"/>
        <w:rPr>
          <w:sz w:val="24"/>
          <w:szCs w:val="24"/>
        </w:rPr>
      </w:pPr>
      <w:r>
        <w:rPr>
          <w:b/>
          <w:bCs/>
          <w:sz w:val="24"/>
          <w:szCs w:val="24"/>
        </w:rPr>
        <w:t>Background</w:t>
      </w:r>
      <w:r>
        <w:rPr>
          <w:sz w:val="24"/>
          <w:szCs w:val="24"/>
        </w:rPr>
        <w:t xml:space="preserve">:   Much research on siblings is concerned with outcomes or everyday relational processes.  There is less attention to what people themselves regard as significant features of their siblings’ circumstances that is not shaped by researcher agendas and interactions. </w:t>
      </w:r>
    </w:p>
    <w:p w14:paraId="5682B9FB" w14:textId="77777777" w:rsidR="00326E59" w:rsidRDefault="00326E59" w:rsidP="00326E59">
      <w:pPr>
        <w:spacing w:line="240" w:lineRule="auto"/>
        <w:rPr>
          <w:sz w:val="24"/>
          <w:szCs w:val="24"/>
        </w:rPr>
      </w:pPr>
      <w:r>
        <w:rPr>
          <w:b/>
          <w:bCs/>
          <w:sz w:val="24"/>
          <w:szCs w:val="24"/>
        </w:rPr>
        <w:t>Method</w:t>
      </w:r>
      <w:r>
        <w:rPr>
          <w:sz w:val="24"/>
          <w:szCs w:val="24"/>
        </w:rPr>
        <w:t xml:space="preserve">:   The research note draws on electronic and hard copy written postcard data, submitted in response to the open prompt ‘Please tell us about your brothers and sisters’, submitted by 795 children and adults.  The majority were aged 29-58 and were female.  A surface thematic analysis was undertaken to identify the factual, non-relationally framed information provided by postcard writers in a data sub-set </w:t>
      </w:r>
      <w:proofErr w:type="gramStart"/>
      <w:r>
        <w:rPr>
          <w:sz w:val="24"/>
          <w:szCs w:val="24"/>
        </w:rPr>
        <w:t>in order to</w:t>
      </w:r>
      <w:proofErr w:type="gramEnd"/>
      <w:r>
        <w:rPr>
          <w:sz w:val="24"/>
          <w:szCs w:val="24"/>
        </w:rPr>
        <w:t xml:space="preserve"> identify the issues that they regarded as important.</w:t>
      </w:r>
    </w:p>
    <w:p w14:paraId="7025C8DE" w14:textId="77777777" w:rsidR="00326E59" w:rsidRDefault="00326E59" w:rsidP="00326E59">
      <w:pPr>
        <w:spacing w:line="240" w:lineRule="auto"/>
        <w:rPr>
          <w:sz w:val="24"/>
          <w:szCs w:val="24"/>
        </w:rPr>
      </w:pPr>
      <w:r>
        <w:rPr>
          <w:b/>
          <w:bCs/>
          <w:sz w:val="24"/>
          <w:szCs w:val="24"/>
        </w:rPr>
        <w:t>Results</w:t>
      </w:r>
      <w:r>
        <w:rPr>
          <w:sz w:val="24"/>
          <w:szCs w:val="24"/>
        </w:rPr>
        <w:t xml:space="preserve">:   Postcard writers providing </w:t>
      </w:r>
      <w:proofErr w:type="gramStart"/>
      <w:r>
        <w:rPr>
          <w:sz w:val="24"/>
          <w:szCs w:val="24"/>
        </w:rPr>
        <w:t>factual information</w:t>
      </w:r>
      <w:proofErr w:type="gramEnd"/>
      <w:r>
        <w:rPr>
          <w:sz w:val="24"/>
          <w:szCs w:val="24"/>
        </w:rPr>
        <w:t xml:space="preserve"> about their siblings’ circumstances did so largely in the here-and-now of their siblings’ lives.  They addressed family form, geographical location, and age at which siblings left home, framing this non-relationally as information about their siblings.</w:t>
      </w:r>
    </w:p>
    <w:p w14:paraId="7497E20F" w14:textId="77777777" w:rsidR="00326E59" w:rsidRDefault="00326E59" w:rsidP="00326E59">
      <w:pPr>
        <w:spacing w:line="240" w:lineRule="auto"/>
        <w:rPr>
          <w:sz w:val="24"/>
          <w:szCs w:val="24"/>
        </w:rPr>
      </w:pPr>
      <w:r>
        <w:rPr>
          <w:b/>
          <w:bCs/>
          <w:sz w:val="24"/>
          <w:szCs w:val="24"/>
        </w:rPr>
        <w:t>Conclusion</w:t>
      </w:r>
      <w:r>
        <w:rPr>
          <w:sz w:val="24"/>
          <w:szCs w:val="24"/>
        </w:rPr>
        <w:t xml:space="preserve">:   The analysis of sibling-provided information that is not relationally framed provides an alternative or additional perspective to both developmental outcomes research </w:t>
      </w:r>
      <w:r>
        <w:rPr>
          <w:sz w:val="24"/>
          <w:szCs w:val="24"/>
        </w:rPr>
        <w:lastRenderedPageBreak/>
        <w:t xml:space="preserve">and studies of sibling perspectives.  The postcard exercise offers possibilities as a data generation method that enables an initial co-production design. </w:t>
      </w:r>
    </w:p>
    <w:p w14:paraId="01C84B92" w14:textId="77777777" w:rsidR="00326E59" w:rsidRDefault="00326E59" w:rsidP="00326E59">
      <w:pPr>
        <w:spacing w:line="240" w:lineRule="auto"/>
        <w:rPr>
          <w:sz w:val="24"/>
          <w:szCs w:val="24"/>
        </w:rPr>
      </w:pPr>
    </w:p>
    <w:p w14:paraId="7C07C5BA" w14:textId="77777777" w:rsidR="00326E59" w:rsidRDefault="00326E59" w:rsidP="00326E59">
      <w:pPr>
        <w:spacing w:line="240" w:lineRule="auto"/>
        <w:rPr>
          <w:b/>
          <w:bCs/>
          <w:sz w:val="24"/>
          <w:szCs w:val="24"/>
        </w:rPr>
      </w:pPr>
      <w:r>
        <w:rPr>
          <w:b/>
          <w:bCs/>
          <w:sz w:val="24"/>
          <w:szCs w:val="24"/>
        </w:rPr>
        <w:t>Keywords</w:t>
      </w:r>
    </w:p>
    <w:p w14:paraId="5139586C" w14:textId="77777777" w:rsidR="00326E59" w:rsidRDefault="00326E59" w:rsidP="00326E59">
      <w:pPr>
        <w:spacing w:line="240" w:lineRule="auto"/>
        <w:rPr>
          <w:sz w:val="24"/>
          <w:szCs w:val="24"/>
        </w:rPr>
      </w:pPr>
      <w:r>
        <w:rPr>
          <w:sz w:val="24"/>
          <w:szCs w:val="24"/>
        </w:rPr>
        <w:t>Written accounts, gender and age cohort, surface thematic analysis, family structure, geographical location, leaving home, work, postcard research method</w:t>
      </w:r>
    </w:p>
    <w:p w14:paraId="3F613712" w14:textId="77777777" w:rsidR="00D10D72" w:rsidRDefault="00D10D72">
      <w:pPr>
        <w:spacing w:line="360" w:lineRule="auto"/>
        <w:rPr>
          <w:b/>
          <w:bCs/>
          <w:sz w:val="24"/>
          <w:szCs w:val="24"/>
        </w:rPr>
      </w:pPr>
    </w:p>
    <w:p w14:paraId="4D7EA82E" w14:textId="77777777" w:rsidR="00D10D72" w:rsidRDefault="00D10D72">
      <w:pPr>
        <w:spacing w:line="360" w:lineRule="auto"/>
        <w:rPr>
          <w:b/>
          <w:bCs/>
          <w:sz w:val="24"/>
          <w:szCs w:val="24"/>
        </w:rPr>
      </w:pPr>
    </w:p>
    <w:p w14:paraId="1499A2C4" w14:textId="77777777" w:rsidR="00D10D72" w:rsidRDefault="00D10D72">
      <w:pPr>
        <w:spacing w:line="360" w:lineRule="auto"/>
        <w:rPr>
          <w:b/>
          <w:bCs/>
          <w:sz w:val="24"/>
          <w:szCs w:val="24"/>
        </w:rPr>
      </w:pPr>
    </w:p>
    <w:p w14:paraId="2F19439A" w14:textId="77777777" w:rsidR="00D10D72" w:rsidRDefault="00D10D72">
      <w:pPr>
        <w:spacing w:line="360" w:lineRule="auto"/>
        <w:rPr>
          <w:b/>
          <w:bCs/>
          <w:sz w:val="24"/>
          <w:szCs w:val="24"/>
        </w:rPr>
      </w:pPr>
    </w:p>
    <w:p w14:paraId="665A36BD" w14:textId="77777777" w:rsidR="00D10D72" w:rsidRDefault="00D10D72">
      <w:pPr>
        <w:spacing w:line="360" w:lineRule="auto"/>
        <w:rPr>
          <w:b/>
          <w:bCs/>
          <w:sz w:val="24"/>
          <w:szCs w:val="24"/>
        </w:rPr>
      </w:pPr>
    </w:p>
    <w:p w14:paraId="00000001" w14:textId="774327C9" w:rsidR="00D272B2" w:rsidRDefault="00153B32">
      <w:pPr>
        <w:spacing w:line="360" w:lineRule="auto"/>
        <w:rPr>
          <w:b/>
          <w:bCs/>
          <w:sz w:val="24"/>
          <w:szCs w:val="24"/>
        </w:rPr>
      </w:pPr>
      <w:r>
        <w:rPr>
          <w:b/>
          <w:bCs/>
          <w:sz w:val="24"/>
          <w:szCs w:val="24"/>
        </w:rPr>
        <w:t>Introduction</w:t>
      </w:r>
    </w:p>
    <w:p w14:paraId="00000002" w14:textId="77777777" w:rsidR="00D272B2" w:rsidRDefault="00153B32">
      <w:pPr>
        <w:spacing w:line="360" w:lineRule="auto"/>
        <w:rPr>
          <w:sz w:val="24"/>
          <w:szCs w:val="24"/>
        </w:rPr>
      </w:pPr>
      <w:r>
        <w:rPr>
          <w:sz w:val="24"/>
          <w:szCs w:val="24"/>
        </w:rPr>
        <w:t>What do people, across gender and generation, think it is important for researchers to know about their siblings?  And how might family researchers establish some sense of this?  In this research note we draw on our repurposing of a public engagement written ‘postcard’ exercise, to identify the basic topics postcard writers mention, even if minimally, in response to the open prompt ‘Please tell us about your brothers and sisters’, and where they are able to respond in writing without any direct research presence in the elicitation of accounts.  We also describe the written postcard exercise as a potential research method in family research.</w:t>
      </w:r>
    </w:p>
    <w:p w14:paraId="00000003" w14:textId="77777777" w:rsidR="00D272B2" w:rsidRDefault="00153B32">
      <w:pPr>
        <w:spacing w:line="360" w:lineRule="auto"/>
        <w:rPr>
          <w:sz w:val="24"/>
          <w:szCs w:val="24"/>
        </w:rPr>
      </w:pPr>
      <w:r>
        <w:rPr>
          <w:sz w:val="24"/>
          <w:szCs w:val="24"/>
        </w:rPr>
        <w:tab/>
        <w:t xml:space="preserve">Much of the research on sibling relationships is undertaken from a perspective concerned with outcomes, adjustment and which variables cause individualised difficulties (e.g. Azmitia &amp; Hesser, 1993; McHale et al., 2012; van den Broek &amp; Dykstra, 2017) or </w:t>
      </w:r>
      <w:r>
        <w:rPr>
          <w:color w:val="000000"/>
          <w:sz w:val="24"/>
          <w:szCs w:val="24"/>
        </w:rPr>
        <w:t xml:space="preserve">work with interpretive perspectives on everyday processes and relationality in context (e.g. Brannen et al., 2000; Edwards et al., 2006; Gulløv &amp; Winther, 2021; Punch 2018; Sẏkorová 2024).  </w:t>
      </w:r>
      <w:proofErr w:type="gramStart"/>
      <w:r>
        <w:rPr>
          <w:sz w:val="24"/>
          <w:szCs w:val="24"/>
        </w:rPr>
        <w:t>Both of these</w:t>
      </w:r>
      <w:proofErr w:type="gramEnd"/>
      <w:r>
        <w:rPr>
          <w:sz w:val="24"/>
          <w:szCs w:val="24"/>
        </w:rPr>
        <w:t xml:space="preserve"> research endeavours tend to look at discrete phases of the lifecourse – siblings in childhood, siblings in adulthood, siblings in older age – although there are exceptions such as Davies (2023).  All make valuable contributions to the research literature.  But equally, in terms of our focus in this article on what people across genders and generations themselves regard as a significant feature of their siblings’ circumstances, these accounts are shaped by interaction with researchers.  In surveys, it is researchers who pre-determine the questions about self and </w:t>
      </w:r>
      <w:r>
        <w:rPr>
          <w:sz w:val="24"/>
          <w:szCs w:val="24"/>
        </w:rPr>
        <w:lastRenderedPageBreak/>
        <w:t xml:space="preserve">siblings, and even in in-depth interview research that focuses on sibling perspectives, relationally framed discussions about interdependencies, conflicts, etc. are elicited from participants through interaction with the researcher.  In contrast, the written postcard material and thus the </w:t>
      </w:r>
      <w:proofErr w:type="gramStart"/>
      <w:r>
        <w:rPr>
          <w:sz w:val="24"/>
          <w:szCs w:val="24"/>
        </w:rPr>
        <w:t>particular substantive</w:t>
      </w:r>
      <w:proofErr w:type="gramEnd"/>
      <w:r>
        <w:rPr>
          <w:sz w:val="24"/>
          <w:szCs w:val="24"/>
        </w:rPr>
        <w:t xml:space="preserve"> aspect of it we discuss here was not shaped by ongoing interaction with researchers beyond the initial posed written question.</w:t>
      </w:r>
    </w:p>
    <w:p w14:paraId="00000004" w14:textId="77777777" w:rsidR="00D272B2" w:rsidRDefault="00153B32">
      <w:pPr>
        <w:spacing w:line="360" w:lineRule="auto"/>
        <w:rPr>
          <w:sz w:val="24"/>
          <w:szCs w:val="24"/>
        </w:rPr>
      </w:pPr>
      <w:r>
        <w:rPr>
          <w:sz w:val="24"/>
          <w:szCs w:val="24"/>
        </w:rPr>
        <w:tab/>
        <w:t>Below we introduce the public engagement written postcard exercise and our repurposing and analysis of this material as research data.  We discuss findings from a specific sub-set of this data that was conveying something descriptively factual about the writers’ siblings as individuals rather than referring to the sibling relationship itself – that is, the postcard entry was not relationally framed.  It also tended to focus on the sibling in the ‘here-and-now’.  We conclude with the methodological possibilities of postcard exercises as an intentional research practice in family research.</w:t>
      </w:r>
    </w:p>
    <w:p w14:paraId="00000005" w14:textId="77777777" w:rsidR="00D272B2" w:rsidRDefault="00D272B2">
      <w:pPr>
        <w:spacing w:line="360" w:lineRule="auto"/>
        <w:rPr>
          <w:sz w:val="24"/>
          <w:szCs w:val="24"/>
        </w:rPr>
      </w:pPr>
    </w:p>
    <w:p w14:paraId="00000006" w14:textId="77777777" w:rsidR="00D272B2" w:rsidRDefault="00153B32">
      <w:pPr>
        <w:spacing w:line="360" w:lineRule="auto"/>
        <w:rPr>
          <w:b/>
          <w:bCs/>
          <w:sz w:val="24"/>
          <w:szCs w:val="24"/>
        </w:rPr>
      </w:pPr>
      <w:r>
        <w:rPr>
          <w:b/>
          <w:bCs/>
          <w:sz w:val="24"/>
          <w:szCs w:val="24"/>
        </w:rPr>
        <w:t>The Sibling Postcard analysis project</w:t>
      </w:r>
    </w:p>
    <w:p w14:paraId="00000007" w14:textId="77777777" w:rsidR="00D272B2" w:rsidRDefault="00153B32">
      <w:pPr>
        <w:spacing w:line="360" w:lineRule="auto"/>
        <w:rPr>
          <w:sz w:val="24"/>
          <w:szCs w:val="24"/>
        </w:rPr>
      </w:pPr>
      <w:r>
        <w:rPr>
          <w:sz w:val="24"/>
          <w:szCs w:val="24"/>
        </w:rPr>
        <w:t>Our discussion here draws on the written text of ‘postcards’ submitted by the public as part of an annual week-long UK-based ‘Festival of Social Science’</w:t>
      </w:r>
      <w:r>
        <w:rPr>
          <w:sz w:val="24"/>
          <w:szCs w:val="24"/>
          <w:vertAlign w:val="superscript"/>
        </w:rPr>
        <w:footnoteReference w:id="1"/>
      </w:r>
      <w:r>
        <w:rPr>
          <w:sz w:val="24"/>
          <w:szCs w:val="24"/>
        </w:rPr>
        <w:t xml:space="preserve"> public engagement series of events.  The postcard exercise ran in March 2008, where people were invited to write about their sisters and brothers.  They could either complete an electronic postcard via a website (advertised through leaflets, email lists, chat groups, on our email </w:t>
      </w:r>
      <w:proofErr w:type="gramStart"/>
      <w:r>
        <w:rPr>
          <w:sz w:val="24"/>
          <w:szCs w:val="24"/>
        </w:rPr>
        <w:t>sign-offs</w:t>
      </w:r>
      <w:proofErr w:type="gramEnd"/>
      <w:r>
        <w:rPr>
          <w:sz w:val="24"/>
          <w:szCs w:val="24"/>
        </w:rPr>
        <w:t xml:space="preserve">, etc.) or a paper postcard (at displays in offices, schools, libraries, care homes).  </w:t>
      </w:r>
    </w:p>
    <w:p w14:paraId="00000008" w14:textId="77777777" w:rsidR="00D272B2" w:rsidRDefault="00153B32">
      <w:pPr>
        <w:spacing w:line="360" w:lineRule="auto"/>
        <w:ind w:firstLine="720"/>
        <w:rPr>
          <w:sz w:val="24"/>
          <w:szCs w:val="24"/>
        </w:rPr>
      </w:pPr>
      <w:r>
        <w:rPr>
          <w:sz w:val="24"/>
          <w:szCs w:val="24"/>
        </w:rPr>
        <w:t>Both the hard copy and online versions of the postcard had three entry fields: tickbox gender, dates of birth and death, and a free text box for information (see Figure 1).  795 postcard responses were received from both children and adults (see Table 1 below), two-thirds of them via the online portal.  The hard copy postcard writers were constrained by space, although a few circumvented this by attaching an additional sheet to their hard copy postcards.  Even with unlimited comment space however, online postcard writers might provide minimal information. Other online writers submitted longer descriptions of their siblings, up to 1220 words (No. 577).  All hard copy postcards were transcribed.</w:t>
      </w:r>
    </w:p>
    <w:p w14:paraId="00000009" w14:textId="77777777" w:rsidR="00D272B2" w:rsidRDefault="00D272B2">
      <w:pPr>
        <w:spacing w:line="360" w:lineRule="auto"/>
        <w:ind w:firstLine="720"/>
        <w:rPr>
          <w:sz w:val="24"/>
          <w:szCs w:val="24"/>
        </w:rPr>
      </w:pPr>
    </w:p>
    <w:p w14:paraId="0000000A" w14:textId="0AA2B652" w:rsidR="00D272B2" w:rsidRDefault="00153B32">
      <w:pPr>
        <w:spacing w:line="360" w:lineRule="auto"/>
        <w:rPr>
          <w:i/>
          <w:iCs/>
          <w:sz w:val="24"/>
          <w:szCs w:val="24"/>
        </w:rPr>
      </w:pPr>
      <w:r>
        <w:rPr>
          <w:sz w:val="24"/>
          <w:szCs w:val="24"/>
        </w:rPr>
        <w:t xml:space="preserve">Figure 1: </w:t>
      </w:r>
      <w:r>
        <w:rPr>
          <w:i/>
          <w:iCs/>
          <w:sz w:val="24"/>
          <w:szCs w:val="24"/>
        </w:rPr>
        <w:t>Example of a completed hard copy postcard</w:t>
      </w:r>
    </w:p>
    <w:p w14:paraId="2A843A48" w14:textId="2DBCB70C" w:rsidR="00742A43" w:rsidRDefault="00742A43">
      <w:pPr>
        <w:spacing w:line="360" w:lineRule="auto"/>
        <w:rPr>
          <w:i/>
          <w:iCs/>
          <w:sz w:val="24"/>
          <w:szCs w:val="24"/>
        </w:rPr>
      </w:pPr>
      <w:r w:rsidRPr="00134E63">
        <w:rPr>
          <w:rFonts w:ascii="Times New Roman" w:eastAsia="Times New Roman" w:hAnsi="Times New Roman" w:cs="Times New Roman"/>
          <w:noProof/>
          <w:color w:val="000000"/>
          <w:sz w:val="24"/>
          <w:szCs w:val="24"/>
        </w:rPr>
        <w:drawing>
          <wp:inline distT="0" distB="0" distL="0" distR="0" wp14:anchorId="3BC70780" wp14:editId="5D777F8E">
            <wp:extent cx="3738906" cy="2644568"/>
            <wp:effectExtent l="0" t="0" r="0" b="0"/>
            <wp:docPr id="4" name="image2.jpg" descr="A close-up of a surve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close-up of a survey&#10;&#10;AI-generated content may be incorrect."/>
                    <pic:cNvPicPr preferRelativeResize="0"/>
                  </pic:nvPicPr>
                  <pic:blipFill>
                    <a:blip r:embed="rId14"/>
                    <a:srcRect/>
                    <a:stretch>
                      <a:fillRect/>
                    </a:stretch>
                  </pic:blipFill>
                  <pic:spPr>
                    <a:xfrm>
                      <a:off x="0" y="0"/>
                      <a:ext cx="3738906" cy="2644568"/>
                    </a:xfrm>
                    <a:prstGeom prst="rect">
                      <a:avLst/>
                    </a:prstGeom>
                    <a:ln/>
                  </pic:spPr>
                </pic:pic>
              </a:graphicData>
            </a:graphic>
          </wp:inline>
        </w:drawing>
      </w:r>
    </w:p>
    <w:p w14:paraId="0000000B" w14:textId="77777777" w:rsidR="00D272B2" w:rsidRDefault="00D272B2">
      <w:pPr>
        <w:spacing w:line="360" w:lineRule="auto"/>
        <w:rPr>
          <w:sz w:val="24"/>
          <w:szCs w:val="24"/>
        </w:rPr>
      </w:pPr>
    </w:p>
    <w:p w14:paraId="0000000C" w14:textId="77777777" w:rsidR="00D272B2" w:rsidRDefault="00153B32">
      <w:pPr>
        <w:spacing w:line="360" w:lineRule="auto"/>
        <w:ind w:firstLine="720"/>
        <w:rPr>
          <w:sz w:val="24"/>
          <w:szCs w:val="24"/>
        </w:rPr>
      </w:pPr>
      <w:r>
        <w:rPr>
          <w:sz w:val="24"/>
          <w:szCs w:val="24"/>
        </w:rPr>
        <w:t>The postcard public engagement exercise was not intended as a research project, albeit writers knew they were sending material to a research team.  The postcard exercise writers consented to future research.  The text inviting participation stated: ‘We will anonymise your emails and place them in an Archive to be used for research and educational purposes … in emailing us you are assigning copyright to the researchers as part of the Sibling Postcard research project’.</w:t>
      </w:r>
      <w:r>
        <w:rPr>
          <w:sz w:val="24"/>
          <w:szCs w:val="24"/>
          <w:vertAlign w:val="superscript"/>
        </w:rPr>
        <w:footnoteReference w:id="2"/>
      </w:r>
      <w:r>
        <w:rPr>
          <w:sz w:val="24"/>
          <w:szCs w:val="24"/>
        </w:rPr>
        <w:t xml:space="preserve">  The Sibling Postcard exercise team wrote up a cursory overview of the postcard material (Bytheway et al., 2008).  We have subsequently repurposed the postcard exercise submissions for research analysis, aiming to explore and compare the discourses that people of different genders and ages draw on to convey the quality of their sibling relationships.  A large proportion of the postcards did indeed contain discursive material about sibling relationships, but some writers provided only </w:t>
      </w:r>
      <w:proofErr w:type="gramStart"/>
      <w:r>
        <w:rPr>
          <w:sz w:val="24"/>
          <w:szCs w:val="24"/>
        </w:rPr>
        <w:t>factual information</w:t>
      </w:r>
      <w:proofErr w:type="gramEnd"/>
      <w:r>
        <w:rPr>
          <w:sz w:val="24"/>
          <w:szCs w:val="24"/>
        </w:rPr>
        <w:t xml:space="preserve"> about their siblings’ circumstances.  It is this latter non-relationally framed data sub-set that is the subject of this article.</w:t>
      </w:r>
    </w:p>
    <w:p w14:paraId="0000000D" w14:textId="77777777" w:rsidR="00D272B2" w:rsidRDefault="00D272B2">
      <w:pPr>
        <w:spacing w:line="360" w:lineRule="auto"/>
        <w:rPr>
          <w:sz w:val="24"/>
          <w:szCs w:val="24"/>
        </w:rPr>
      </w:pPr>
    </w:p>
    <w:p w14:paraId="0000000E" w14:textId="77777777" w:rsidR="00D272B2" w:rsidRDefault="00153B32">
      <w:pPr>
        <w:spacing w:line="360" w:lineRule="auto"/>
        <w:rPr>
          <w:b/>
          <w:bCs/>
          <w:sz w:val="24"/>
          <w:szCs w:val="24"/>
        </w:rPr>
      </w:pPr>
      <w:r>
        <w:rPr>
          <w:b/>
          <w:bCs/>
          <w:sz w:val="24"/>
          <w:szCs w:val="24"/>
        </w:rPr>
        <w:t xml:space="preserve">Working with the Sibling Postcard data </w:t>
      </w:r>
    </w:p>
    <w:p w14:paraId="0000000F" w14:textId="77777777" w:rsidR="00D272B2" w:rsidRDefault="00153B32">
      <w:pPr>
        <w:spacing w:line="360" w:lineRule="auto"/>
        <w:rPr>
          <w:sz w:val="24"/>
          <w:szCs w:val="24"/>
        </w:rPr>
      </w:pPr>
      <w:r>
        <w:rPr>
          <w:sz w:val="24"/>
          <w:szCs w:val="24"/>
        </w:rPr>
        <w:lastRenderedPageBreak/>
        <w:t xml:space="preserve">We conducted an initial review of the contents of the entire postcard data set.  While a large proportion of the submissions contained discursive material about relationships, in the review we also identified postcards where writers had provided only </w:t>
      </w:r>
      <w:proofErr w:type="gramStart"/>
      <w:r>
        <w:rPr>
          <w:sz w:val="24"/>
          <w:szCs w:val="24"/>
        </w:rPr>
        <w:t>factual information</w:t>
      </w:r>
      <w:proofErr w:type="gramEnd"/>
      <w:r>
        <w:rPr>
          <w:sz w:val="24"/>
          <w:szCs w:val="24"/>
        </w:rPr>
        <w:t xml:space="preserve"> about their siblings that did not relate to the quality of their relationship.  What comprises that non-relational information, however, is of interest because it indicates the minimum of knowledge about their siblings as people, whether child or adult, that postcard writers felt was meaningful enough to mention.  </w:t>
      </w:r>
    </w:p>
    <w:p w14:paraId="00000010" w14:textId="77777777" w:rsidR="00D272B2" w:rsidRDefault="00153B32">
      <w:pPr>
        <w:spacing w:line="360" w:lineRule="auto"/>
        <w:ind w:firstLine="360"/>
        <w:rPr>
          <w:sz w:val="24"/>
          <w:szCs w:val="24"/>
        </w:rPr>
      </w:pPr>
      <w:r>
        <w:rPr>
          <w:sz w:val="24"/>
          <w:szCs w:val="24"/>
        </w:rPr>
        <w:t>In the following sub-</w:t>
      </w:r>
      <w:proofErr w:type="gramStart"/>
      <w:r>
        <w:rPr>
          <w:sz w:val="24"/>
          <w:szCs w:val="24"/>
        </w:rPr>
        <w:t>sections</w:t>
      </w:r>
      <w:proofErr w:type="gramEnd"/>
      <w:r>
        <w:rPr>
          <w:sz w:val="24"/>
          <w:szCs w:val="24"/>
        </w:rPr>
        <w:t xml:space="preserve"> we present the process of organising the postcard entries into age cohorts and gender </w:t>
      </w:r>
      <w:proofErr w:type="gramStart"/>
      <w:r>
        <w:rPr>
          <w:sz w:val="24"/>
          <w:szCs w:val="24"/>
        </w:rPr>
        <w:t>categories, and</w:t>
      </w:r>
      <w:proofErr w:type="gramEnd"/>
      <w:r>
        <w:rPr>
          <w:sz w:val="24"/>
          <w:szCs w:val="24"/>
        </w:rPr>
        <w:t xml:space="preserve"> subsequently identifying and analysing those submissions that did not contain relevant discursive material, before moving on to the substantive features of the surface thematic analysis we conducted on the postcards that were not relationally framed.  </w:t>
      </w:r>
    </w:p>
    <w:p w14:paraId="00000011" w14:textId="77777777" w:rsidR="00D272B2" w:rsidRDefault="00153B32">
      <w:pPr>
        <w:numPr>
          <w:ilvl w:val="0"/>
          <w:numId w:val="1"/>
        </w:numPr>
        <w:pBdr>
          <w:top w:val="nil"/>
          <w:left w:val="nil"/>
          <w:bottom w:val="nil"/>
          <w:right w:val="nil"/>
          <w:between w:val="nil"/>
        </w:pBdr>
        <w:spacing w:line="360" w:lineRule="auto"/>
        <w:rPr>
          <w:i/>
          <w:iCs/>
          <w:color w:val="000000"/>
          <w:sz w:val="24"/>
          <w:szCs w:val="24"/>
        </w:rPr>
      </w:pPr>
      <w:r>
        <w:rPr>
          <w:i/>
          <w:iCs/>
          <w:color w:val="000000"/>
          <w:sz w:val="24"/>
          <w:szCs w:val="24"/>
        </w:rPr>
        <w:t>Age cohorts and gender</w:t>
      </w:r>
    </w:p>
    <w:p w14:paraId="00000012" w14:textId="77777777" w:rsidR="00D272B2" w:rsidRDefault="00153B32">
      <w:pPr>
        <w:spacing w:line="360" w:lineRule="auto"/>
        <w:rPr>
          <w:sz w:val="24"/>
          <w:szCs w:val="24"/>
        </w:rPr>
      </w:pPr>
      <w:bookmarkStart w:id="3" w:name="_heading=h.lxuqeg2shtz7" w:colFirst="0" w:colLast="0"/>
      <w:bookmarkEnd w:id="3"/>
      <w:r>
        <w:rPr>
          <w:sz w:val="24"/>
          <w:szCs w:val="24"/>
        </w:rPr>
        <w:t>We organized the Sibling Postcard exercise corpus into four age cohort categories as well as by gender.  Our choice of age cohort categories was theoretically informed by a Mannheimian notion of collective time-based experience of social change (Gutierrez Mu</w:t>
      </w:r>
      <w:r>
        <w:rPr>
          <w:color w:val="333333"/>
          <w:sz w:val="24"/>
          <w:szCs w:val="24"/>
          <w:highlight w:val="white"/>
        </w:rPr>
        <w:t>ñoz &amp; Brannen, 2021),</w:t>
      </w:r>
      <w:r>
        <w:rPr>
          <w:sz w:val="24"/>
          <w:szCs w:val="24"/>
        </w:rPr>
        <w:t xml:space="preserve"> broadly representing key generational childhood experiences of intensifying social processes over historical time: familialisation, institutionalization and individualization (Brannen &amp; O’Brien, 1995; British Academy, 2019).  Only binary choice male/female tickbox categories were provided for gender on the postcards unfortunately, which was common practice at the time.  This data management enabled us to take a comparative approach between age cohorts and gender.  As Table 1 shows, the Sibling Postcard exercise writers </w:t>
      </w:r>
      <w:proofErr w:type="gramStart"/>
      <w:r>
        <w:rPr>
          <w:sz w:val="24"/>
          <w:szCs w:val="24"/>
        </w:rPr>
        <w:t>as a whole were</w:t>
      </w:r>
      <w:proofErr w:type="gramEnd"/>
      <w:r>
        <w:rPr>
          <w:sz w:val="24"/>
          <w:szCs w:val="24"/>
        </w:rPr>
        <w:t xml:space="preserve"> likely to be in the 1950-79 cohort (age 29-58) and the majority were female.  As others have found, women are far more likely than men to participate in studies concerned with family and intimacy issues (Butera, 2006; Kristensen &amp; Ravn, 2015; Sopcak et al., 2015).</w:t>
      </w:r>
    </w:p>
    <w:p w14:paraId="00000013" w14:textId="77777777" w:rsidR="00D272B2" w:rsidRDefault="00153B32">
      <w:pPr>
        <w:spacing w:line="360" w:lineRule="auto"/>
        <w:ind w:firstLine="720"/>
        <w:rPr>
          <w:sz w:val="24"/>
          <w:szCs w:val="24"/>
        </w:rPr>
      </w:pPr>
      <w:r>
        <w:rPr>
          <w:sz w:val="24"/>
          <w:szCs w:val="24"/>
        </w:rPr>
        <w:t xml:space="preserve">Writers were not asked to provide their race or ethnicity, but 6 percent thought to mention a minority ethnicity or non-UK nationality, with another 4 percent referring to being White or born in the UK.  The 6 percent of self-reported cases is only slightly lower than the 7.9 percent minority ethnicity of the UK population in the 2001 census (Owen, undated), shortly before the year in which the postcards were written and indicating a relatively ethnically diverse set of writers.  In contrast, where writers mentioned their employment, there was a </w:t>
      </w:r>
      <w:r>
        <w:rPr>
          <w:sz w:val="24"/>
          <w:szCs w:val="24"/>
        </w:rPr>
        <w:lastRenderedPageBreak/>
        <w:t xml:space="preserve">high proportion of academics, at 9 percent of the writers, while academics comprised approximately 5 percent of the UK workforce in 2008 (HESA, 2010).  This is likely related to email sign-off and academic discussion group routes used to publicise the Sibling Postcard exercise.  Also at a higher proportion were postcard writers mentioning being a twin or having sibling twins, at 3 percent as against 1.5 percent of the UK general population being twins in 2008 (ONS, 2019).  This may be linked to a </w:t>
      </w:r>
      <w:proofErr w:type="gramStart"/>
      <w:r>
        <w:rPr>
          <w:sz w:val="24"/>
          <w:szCs w:val="24"/>
        </w:rPr>
        <w:t>twins</w:t>
      </w:r>
      <w:proofErr w:type="gramEnd"/>
      <w:r>
        <w:rPr>
          <w:sz w:val="24"/>
          <w:szCs w:val="24"/>
        </w:rPr>
        <w:t xml:space="preserve"> study that was taking place at a hospital located near to one of the research teams involved in the exercise.</w:t>
      </w:r>
    </w:p>
    <w:p w14:paraId="4C1F05B6" w14:textId="77777777" w:rsidR="0028473A" w:rsidRPr="0028473A" w:rsidRDefault="0028473A" w:rsidP="0028473A">
      <w:pPr>
        <w:rPr>
          <w:lang w:val="en"/>
        </w:rPr>
      </w:pPr>
      <w:r w:rsidRPr="0028473A">
        <w:rPr>
          <w:lang w:val="en"/>
        </w:rPr>
        <w:t>Table 1</w:t>
      </w:r>
      <w:proofErr w:type="gramStart"/>
      <w:r w:rsidRPr="0028473A">
        <w:rPr>
          <w:lang w:val="en"/>
        </w:rPr>
        <w:t xml:space="preserve">:  </w:t>
      </w:r>
      <w:r w:rsidRPr="0028473A">
        <w:rPr>
          <w:i/>
          <w:lang w:val="en"/>
        </w:rPr>
        <w:t>Age</w:t>
      </w:r>
      <w:proofErr w:type="gramEnd"/>
      <w:r w:rsidRPr="0028473A">
        <w:rPr>
          <w:i/>
          <w:lang w:val="en"/>
        </w:rPr>
        <w:t xml:space="preserve"> cohort generation and gender: complete postcard dataset</w:t>
      </w:r>
    </w:p>
    <w:tbl>
      <w:tblPr>
        <w:tblW w:w="822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4"/>
        <w:gridCol w:w="1738"/>
        <w:gridCol w:w="1355"/>
        <w:gridCol w:w="1560"/>
        <w:gridCol w:w="1984"/>
      </w:tblGrid>
      <w:tr w:rsidR="0028473A" w:rsidRPr="0028473A" w14:paraId="1D4607C5" w14:textId="77777777" w:rsidTr="00910061">
        <w:tc>
          <w:tcPr>
            <w:tcW w:w="1584" w:type="dxa"/>
          </w:tcPr>
          <w:p w14:paraId="5D2AE51E" w14:textId="77777777" w:rsidR="0028473A" w:rsidRPr="0028473A" w:rsidRDefault="0028473A" w:rsidP="0028473A">
            <w:pPr>
              <w:rPr>
                <w:i/>
                <w:lang w:val="en"/>
              </w:rPr>
            </w:pPr>
            <w:r w:rsidRPr="0028473A">
              <w:rPr>
                <w:i/>
                <w:lang w:val="en"/>
              </w:rPr>
              <w:t>Year of birth</w:t>
            </w:r>
          </w:p>
        </w:tc>
        <w:tc>
          <w:tcPr>
            <w:tcW w:w="1738" w:type="dxa"/>
          </w:tcPr>
          <w:p w14:paraId="51A48D1C" w14:textId="77777777" w:rsidR="0028473A" w:rsidRPr="0028473A" w:rsidRDefault="0028473A" w:rsidP="0028473A">
            <w:pPr>
              <w:rPr>
                <w:i/>
                <w:lang w:val="en"/>
              </w:rPr>
            </w:pPr>
            <w:r w:rsidRPr="0028473A">
              <w:rPr>
                <w:i/>
                <w:lang w:val="en"/>
              </w:rPr>
              <w:t>Postcard writers age</w:t>
            </w:r>
          </w:p>
        </w:tc>
        <w:tc>
          <w:tcPr>
            <w:tcW w:w="2915" w:type="dxa"/>
            <w:gridSpan w:val="2"/>
          </w:tcPr>
          <w:p w14:paraId="30C64383" w14:textId="77777777" w:rsidR="0028473A" w:rsidRPr="0028473A" w:rsidRDefault="0028473A" w:rsidP="0028473A">
            <w:pPr>
              <w:rPr>
                <w:i/>
                <w:lang w:val="en"/>
              </w:rPr>
            </w:pPr>
            <w:r w:rsidRPr="0028473A">
              <w:rPr>
                <w:i/>
                <w:lang w:val="en"/>
              </w:rPr>
              <w:t>Postcard writers (total 795)</w:t>
            </w:r>
          </w:p>
          <w:p w14:paraId="4118D859" w14:textId="77777777" w:rsidR="0028473A" w:rsidRPr="0028473A" w:rsidRDefault="0028473A" w:rsidP="0028473A">
            <w:pPr>
              <w:rPr>
                <w:i/>
                <w:lang w:val="en"/>
              </w:rPr>
            </w:pPr>
            <w:r w:rsidRPr="0028473A">
              <w:rPr>
                <w:i/>
                <w:lang w:val="en"/>
              </w:rPr>
              <w:t xml:space="preserve">         No.                 %</w:t>
            </w:r>
            <w:r w:rsidRPr="0028473A">
              <w:rPr>
                <w:b/>
                <w:i/>
                <w:lang w:val="en"/>
              </w:rPr>
              <w:t>**</w:t>
            </w:r>
          </w:p>
        </w:tc>
        <w:tc>
          <w:tcPr>
            <w:tcW w:w="1984" w:type="dxa"/>
          </w:tcPr>
          <w:p w14:paraId="7130AD6A" w14:textId="77777777" w:rsidR="0028473A" w:rsidRPr="0028473A" w:rsidRDefault="0028473A" w:rsidP="0028473A">
            <w:pPr>
              <w:rPr>
                <w:i/>
                <w:lang w:val="en"/>
              </w:rPr>
            </w:pPr>
            <w:r w:rsidRPr="0028473A">
              <w:rPr>
                <w:i/>
                <w:lang w:val="en"/>
              </w:rPr>
              <w:t>% total by gender</w:t>
            </w:r>
          </w:p>
          <w:p w14:paraId="7379A89A" w14:textId="77777777" w:rsidR="0028473A" w:rsidRPr="0028473A" w:rsidRDefault="0028473A" w:rsidP="0028473A">
            <w:pPr>
              <w:rPr>
                <w:i/>
                <w:lang w:val="en"/>
              </w:rPr>
            </w:pPr>
            <w:proofErr w:type="gramStart"/>
            <w:r w:rsidRPr="0028473A">
              <w:rPr>
                <w:i/>
                <w:lang w:val="en"/>
              </w:rPr>
              <w:t>male :</w:t>
            </w:r>
            <w:proofErr w:type="gramEnd"/>
            <w:r w:rsidRPr="0028473A">
              <w:rPr>
                <w:i/>
                <w:lang w:val="en"/>
              </w:rPr>
              <w:t xml:space="preserve"> female</w:t>
            </w:r>
            <w:r w:rsidRPr="0028473A">
              <w:rPr>
                <w:b/>
                <w:i/>
                <w:lang w:val="en"/>
              </w:rPr>
              <w:t>***</w:t>
            </w:r>
          </w:p>
        </w:tc>
      </w:tr>
      <w:tr w:rsidR="0028473A" w:rsidRPr="0028473A" w14:paraId="4A740C3C" w14:textId="77777777" w:rsidTr="00910061">
        <w:tc>
          <w:tcPr>
            <w:tcW w:w="1584" w:type="dxa"/>
          </w:tcPr>
          <w:p w14:paraId="22A4D2BB" w14:textId="77777777" w:rsidR="0028473A" w:rsidRPr="0028473A" w:rsidRDefault="0028473A" w:rsidP="0028473A">
            <w:pPr>
              <w:rPr>
                <w:lang w:val="en"/>
              </w:rPr>
            </w:pPr>
            <w:r w:rsidRPr="0028473A">
              <w:rPr>
                <w:lang w:val="en"/>
              </w:rPr>
              <w:t>1900 – 1920</w:t>
            </w:r>
          </w:p>
        </w:tc>
        <w:tc>
          <w:tcPr>
            <w:tcW w:w="1738" w:type="dxa"/>
          </w:tcPr>
          <w:p w14:paraId="28351252" w14:textId="77777777" w:rsidR="0028473A" w:rsidRPr="0028473A" w:rsidRDefault="0028473A" w:rsidP="0028473A">
            <w:pPr>
              <w:rPr>
                <w:lang w:val="en"/>
              </w:rPr>
            </w:pPr>
            <w:r w:rsidRPr="0028473A">
              <w:rPr>
                <w:lang w:val="en"/>
              </w:rPr>
              <w:t>88 – 108</w:t>
            </w:r>
          </w:p>
        </w:tc>
        <w:tc>
          <w:tcPr>
            <w:tcW w:w="1355" w:type="dxa"/>
          </w:tcPr>
          <w:p w14:paraId="170CAB15" w14:textId="77777777" w:rsidR="0028473A" w:rsidRPr="0028473A" w:rsidRDefault="0028473A" w:rsidP="0028473A">
            <w:pPr>
              <w:rPr>
                <w:lang w:val="en"/>
              </w:rPr>
            </w:pPr>
            <w:r w:rsidRPr="0028473A">
              <w:rPr>
                <w:lang w:val="en"/>
              </w:rPr>
              <w:t>5</w:t>
            </w:r>
          </w:p>
        </w:tc>
        <w:tc>
          <w:tcPr>
            <w:tcW w:w="1560" w:type="dxa"/>
          </w:tcPr>
          <w:p w14:paraId="5C0C0F8E" w14:textId="77777777" w:rsidR="0028473A" w:rsidRPr="0028473A" w:rsidRDefault="0028473A" w:rsidP="0028473A">
            <w:pPr>
              <w:rPr>
                <w:lang w:val="en"/>
              </w:rPr>
            </w:pPr>
            <w:r w:rsidRPr="0028473A">
              <w:rPr>
                <w:lang w:val="en"/>
              </w:rPr>
              <w:t>0.6</w:t>
            </w:r>
          </w:p>
        </w:tc>
        <w:tc>
          <w:tcPr>
            <w:tcW w:w="1984" w:type="dxa"/>
            <w:vMerge w:val="restart"/>
          </w:tcPr>
          <w:p w14:paraId="55BDAD00" w14:textId="77777777" w:rsidR="0028473A" w:rsidRPr="0028473A" w:rsidRDefault="0028473A" w:rsidP="0028473A">
            <w:pPr>
              <w:rPr>
                <w:lang w:val="en"/>
              </w:rPr>
            </w:pPr>
          </w:p>
          <w:p w14:paraId="68A2C0D9" w14:textId="77777777" w:rsidR="0028473A" w:rsidRPr="0028473A" w:rsidRDefault="0028473A" w:rsidP="0028473A">
            <w:pPr>
              <w:rPr>
                <w:lang w:val="en"/>
              </w:rPr>
            </w:pPr>
          </w:p>
          <w:p w14:paraId="46CD3B98" w14:textId="77777777" w:rsidR="0028473A" w:rsidRPr="0028473A" w:rsidRDefault="0028473A" w:rsidP="0028473A">
            <w:pPr>
              <w:rPr>
                <w:lang w:val="en"/>
              </w:rPr>
            </w:pPr>
            <w:proofErr w:type="gramStart"/>
            <w:r w:rsidRPr="0028473A">
              <w:rPr>
                <w:lang w:val="en"/>
              </w:rPr>
              <w:t>17.1  :</w:t>
            </w:r>
            <w:proofErr w:type="gramEnd"/>
            <w:r w:rsidRPr="0028473A">
              <w:rPr>
                <w:lang w:val="en"/>
              </w:rPr>
              <w:t xml:space="preserve">  82.1</w:t>
            </w:r>
          </w:p>
        </w:tc>
      </w:tr>
      <w:tr w:rsidR="0028473A" w:rsidRPr="0028473A" w14:paraId="04DD81D6" w14:textId="77777777" w:rsidTr="00910061">
        <w:tc>
          <w:tcPr>
            <w:tcW w:w="1584" w:type="dxa"/>
          </w:tcPr>
          <w:p w14:paraId="610647B7" w14:textId="77777777" w:rsidR="0028473A" w:rsidRPr="0028473A" w:rsidRDefault="0028473A" w:rsidP="0028473A">
            <w:pPr>
              <w:rPr>
                <w:lang w:val="en"/>
              </w:rPr>
            </w:pPr>
            <w:r w:rsidRPr="0028473A">
              <w:rPr>
                <w:lang w:val="en"/>
              </w:rPr>
              <w:t xml:space="preserve">1921 – 1949 </w:t>
            </w:r>
          </w:p>
        </w:tc>
        <w:tc>
          <w:tcPr>
            <w:tcW w:w="1738" w:type="dxa"/>
          </w:tcPr>
          <w:p w14:paraId="48FA233A" w14:textId="77777777" w:rsidR="0028473A" w:rsidRPr="0028473A" w:rsidRDefault="0028473A" w:rsidP="0028473A">
            <w:pPr>
              <w:rPr>
                <w:lang w:val="en"/>
              </w:rPr>
            </w:pPr>
            <w:r w:rsidRPr="0028473A">
              <w:rPr>
                <w:lang w:val="en"/>
              </w:rPr>
              <w:t>58 – 87</w:t>
            </w:r>
          </w:p>
        </w:tc>
        <w:tc>
          <w:tcPr>
            <w:tcW w:w="1355" w:type="dxa"/>
          </w:tcPr>
          <w:p w14:paraId="3F26498D" w14:textId="77777777" w:rsidR="0028473A" w:rsidRPr="0028473A" w:rsidRDefault="0028473A" w:rsidP="0028473A">
            <w:pPr>
              <w:rPr>
                <w:lang w:val="en"/>
              </w:rPr>
            </w:pPr>
            <w:r w:rsidRPr="0028473A">
              <w:rPr>
                <w:lang w:val="en"/>
              </w:rPr>
              <w:t>105</w:t>
            </w:r>
          </w:p>
        </w:tc>
        <w:tc>
          <w:tcPr>
            <w:tcW w:w="1560" w:type="dxa"/>
          </w:tcPr>
          <w:p w14:paraId="3AE08C20" w14:textId="77777777" w:rsidR="0028473A" w:rsidRPr="0028473A" w:rsidRDefault="0028473A" w:rsidP="0028473A">
            <w:pPr>
              <w:rPr>
                <w:lang w:val="en"/>
              </w:rPr>
            </w:pPr>
            <w:r w:rsidRPr="0028473A">
              <w:rPr>
                <w:lang w:val="en"/>
              </w:rPr>
              <w:t>13.2</w:t>
            </w:r>
          </w:p>
        </w:tc>
        <w:tc>
          <w:tcPr>
            <w:tcW w:w="1984" w:type="dxa"/>
            <w:vMerge/>
          </w:tcPr>
          <w:p w14:paraId="536C82A9" w14:textId="77777777" w:rsidR="0028473A" w:rsidRPr="0028473A" w:rsidRDefault="0028473A" w:rsidP="0028473A">
            <w:pPr>
              <w:rPr>
                <w:lang w:val="en"/>
              </w:rPr>
            </w:pPr>
          </w:p>
        </w:tc>
      </w:tr>
      <w:tr w:rsidR="0028473A" w:rsidRPr="0028473A" w14:paraId="294553F0" w14:textId="77777777" w:rsidTr="00910061">
        <w:tc>
          <w:tcPr>
            <w:tcW w:w="1584" w:type="dxa"/>
          </w:tcPr>
          <w:p w14:paraId="40CAAC8F" w14:textId="77777777" w:rsidR="0028473A" w:rsidRPr="0028473A" w:rsidRDefault="0028473A" w:rsidP="0028473A">
            <w:pPr>
              <w:rPr>
                <w:lang w:val="en"/>
              </w:rPr>
            </w:pPr>
            <w:r w:rsidRPr="0028473A">
              <w:rPr>
                <w:lang w:val="en"/>
              </w:rPr>
              <w:t xml:space="preserve">1950 – 1979 </w:t>
            </w:r>
          </w:p>
        </w:tc>
        <w:tc>
          <w:tcPr>
            <w:tcW w:w="1738" w:type="dxa"/>
          </w:tcPr>
          <w:p w14:paraId="3A4ABE2B" w14:textId="77777777" w:rsidR="0028473A" w:rsidRPr="0028473A" w:rsidRDefault="0028473A" w:rsidP="0028473A">
            <w:pPr>
              <w:rPr>
                <w:lang w:val="en"/>
              </w:rPr>
            </w:pPr>
            <w:r w:rsidRPr="0028473A">
              <w:rPr>
                <w:lang w:val="en"/>
              </w:rPr>
              <w:t>29 – 58</w:t>
            </w:r>
          </w:p>
        </w:tc>
        <w:tc>
          <w:tcPr>
            <w:tcW w:w="1355" w:type="dxa"/>
          </w:tcPr>
          <w:p w14:paraId="606E57C1" w14:textId="77777777" w:rsidR="0028473A" w:rsidRPr="0028473A" w:rsidRDefault="0028473A" w:rsidP="0028473A">
            <w:pPr>
              <w:rPr>
                <w:lang w:val="en"/>
              </w:rPr>
            </w:pPr>
            <w:r w:rsidRPr="0028473A">
              <w:rPr>
                <w:lang w:val="en"/>
              </w:rPr>
              <w:t>438</w:t>
            </w:r>
          </w:p>
        </w:tc>
        <w:tc>
          <w:tcPr>
            <w:tcW w:w="1560" w:type="dxa"/>
          </w:tcPr>
          <w:p w14:paraId="042962AE" w14:textId="77777777" w:rsidR="0028473A" w:rsidRPr="0028473A" w:rsidRDefault="0028473A" w:rsidP="0028473A">
            <w:pPr>
              <w:rPr>
                <w:lang w:val="en"/>
              </w:rPr>
            </w:pPr>
            <w:r w:rsidRPr="0028473A">
              <w:rPr>
                <w:lang w:val="en"/>
              </w:rPr>
              <w:t>55.1</w:t>
            </w:r>
          </w:p>
        </w:tc>
        <w:tc>
          <w:tcPr>
            <w:tcW w:w="1984" w:type="dxa"/>
            <w:vMerge/>
          </w:tcPr>
          <w:p w14:paraId="42BB5F57" w14:textId="77777777" w:rsidR="0028473A" w:rsidRPr="0028473A" w:rsidRDefault="0028473A" w:rsidP="0028473A">
            <w:pPr>
              <w:rPr>
                <w:lang w:val="en"/>
              </w:rPr>
            </w:pPr>
          </w:p>
        </w:tc>
      </w:tr>
      <w:tr w:rsidR="0028473A" w:rsidRPr="0028473A" w14:paraId="670B433A" w14:textId="77777777" w:rsidTr="00910061">
        <w:tc>
          <w:tcPr>
            <w:tcW w:w="1584" w:type="dxa"/>
          </w:tcPr>
          <w:p w14:paraId="63B1F507" w14:textId="77777777" w:rsidR="0028473A" w:rsidRPr="0028473A" w:rsidRDefault="0028473A" w:rsidP="0028473A">
            <w:pPr>
              <w:rPr>
                <w:lang w:val="en"/>
              </w:rPr>
            </w:pPr>
            <w:r w:rsidRPr="0028473A">
              <w:rPr>
                <w:lang w:val="en"/>
              </w:rPr>
              <w:t xml:space="preserve">1980 – 2005 </w:t>
            </w:r>
          </w:p>
        </w:tc>
        <w:tc>
          <w:tcPr>
            <w:tcW w:w="1738" w:type="dxa"/>
          </w:tcPr>
          <w:p w14:paraId="3D11FB63" w14:textId="77777777" w:rsidR="0028473A" w:rsidRPr="0028473A" w:rsidRDefault="0028473A" w:rsidP="0028473A">
            <w:pPr>
              <w:rPr>
                <w:lang w:val="en"/>
              </w:rPr>
            </w:pPr>
            <w:r w:rsidRPr="0028473A">
              <w:rPr>
                <w:lang w:val="en"/>
              </w:rPr>
              <w:t xml:space="preserve">28 – 3 </w:t>
            </w:r>
            <w:r w:rsidRPr="0028473A">
              <w:rPr>
                <w:b/>
                <w:lang w:val="en"/>
              </w:rPr>
              <w:t>*</w:t>
            </w:r>
          </w:p>
        </w:tc>
        <w:tc>
          <w:tcPr>
            <w:tcW w:w="1355" w:type="dxa"/>
          </w:tcPr>
          <w:p w14:paraId="75E5E9BE" w14:textId="77777777" w:rsidR="0028473A" w:rsidRPr="0028473A" w:rsidRDefault="0028473A" w:rsidP="0028473A">
            <w:pPr>
              <w:rPr>
                <w:lang w:val="en"/>
              </w:rPr>
            </w:pPr>
            <w:r w:rsidRPr="0028473A">
              <w:rPr>
                <w:lang w:val="en"/>
              </w:rPr>
              <w:t>240</w:t>
            </w:r>
          </w:p>
        </w:tc>
        <w:tc>
          <w:tcPr>
            <w:tcW w:w="1560" w:type="dxa"/>
          </w:tcPr>
          <w:p w14:paraId="104503A1" w14:textId="77777777" w:rsidR="0028473A" w:rsidRPr="0028473A" w:rsidRDefault="0028473A" w:rsidP="0028473A">
            <w:pPr>
              <w:rPr>
                <w:lang w:val="en"/>
              </w:rPr>
            </w:pPr>
            <w:r w:rsidRPr="0028473A">
              <w:rPr>
                <w:lang w:val="en"/>
              </w:rPr>
              <w:t>30.1</w:t>
            </w:r>
          </w:p>
        </w:tc>
        <w:tc>
          <w:tcPr>
            <w:tcW w:w="1984" w:type="dxa"/>
            <w:vMerge/>
          </w:tcPr>
          <w:p w14:paraId="42A8F6A7" w14:textId="77777777" w:rsidR="0028473A" w:rsidRPr="0028473A" w:rsidRDefault="0028473A" w:rsidP="0028473A">
            <w:pPr>
              <w:rPr>
                <w:lang w:val="en"/>
              </w:rPr>
            </w:pPr>
          </w:p>
        </w:tc>
      </w:tr>
    </w:tbl>
    <w:p w14:paraId="361EEAC0" w14:textId="77777777" w:rsidR="0028473A" w:rsidRPr="0028473A" w:rsidRDefault="0028473A" w:rsidP="0028473A">
      <w:pPr>
        <w:ind w:left="720"/>
        <w:rPr>
          <w:i/>
          <w:lang w:val="en"/>
        </w:rPr>
      </w:pPr>
      <w:r w:rsidRPr="0028473A">
        <w:rPr>
          <w:b/>
          <w:i/>
          <w:lang w:val="en"/>
        </w:rPr>
        <w:t>*</w:t>
      </w:r>
      <w:r w:rsidRPr="0028473A">
        <w:rPr>
          <w:i/>
          <w:lang w:val="en"/>
        </w:rPr>
        <w:t xml:space="preserve"> For </w:t>
      </w:r>
      <w:proofErr w:type="gramStart"/>
      <w:r w:rsidRPr="0028473A">
        <w:rPr>
          <w:i/>
          <w:lang w:val="en"/>
        </w:rPr>
        <w:t>the very</w:t>
      </w:r>
      <w:proofErr w:type="gramEnd"/>
      <w:r w:rsidRPr="0028473A">
        <w:rPr>
          <w:i/>
          <w:lang w:val="en"/>
        </w:rPr>
        <w:t xml:space="preserve"> youngest, it was apparent that a parent or older sibling had completed the postcard on their behalf.</w:t>
      </w:r>
      <w:r w:rsidRPr="0028473A">
        <w:rPr>
          <w:i/>
          <w:lang w:val="en"/>
        </w:rPr>
        <w:br/>
      </w:r>
      <w:r w:rsidRPr="0028473A">
        <w:rPr>
          <w:b/>
          <w:i/>
          <w:lang w:val="en"/>
        </w:rPr>
        <w:t>**</w:t>
      </w:r>
      <w:r w:rsidRPr="0028473A">
        <w:rPr>
          <w:i/>
          <w:lang w:val="en"/>
        </w:rPr>
        <w:t xml:space="preserve"> Year of birth or age not provided for 7 postcards</w:t>
      </w:r>
      <w:r w:rsidRPr="0028473A">
        <w:rPr>
          <w:i/>
          <w:lang w:val="en"/>
        </w:rPr>
        <w:br/>
      </w:r>
      <w:r w:rsidRPr="0028473A">
        <w:rPr>
          <w:b/>
          <w:i/>
          <w:lang w:val="en"/>
        </w:rPr>
        <w:t xml:space="preserve">*** </w:t>
      </w:r>
      <w:r w:rsidRPr="0028473A">
        <w:rPr>
          <w:i/>
          <w:lang w:val="en"/>
        </w:rPr>
        <w:t>Gender not provided for 6 postcards</w:t>
      </w:r>
    </w:p>
    <w:p w14:paraId="3DD5EFF6" w14:textId="77777777" w:rsidR="002A4050" w:rsidRDefault="002A4050"/>
    <w:p w14:paraId="00000017" w14:textId="77777777" w:rsidR="00D272B2" w:rsidRDefault="00153B32">
      <w:pPr>
        <w:numPr>
          <w:ilvl w:val="0"/>
          <w:numId w:val="1"/>
        </w:numPr>
        <w:pBdr>
          <w:top w:val="nil"/>
          <w:left w:val="nil"/>
          <w:bottom w:val="nil"/>
          <w:right w:val="nil"/>
          <w:between w:val="nil"/>
        </w:pBdr>
        <w:spacing w:line="360" w:lineRule="auto"/>
        <w:rPr>
          <w:i/>
          <w:iCs/>
          <w:color w:val="000000"/>
          <w:sz w:val="24"/>
          <w:szCs w:val="24"/>
        </w:rPr>
      </w:pPr>
      <w:r>
        <w:rPr>
          <w:i/>
          <w:iCs/>
          <w:color w:val="000000"/>
          <w:sz w:val="24"/>
          <w:szCs w:val="24"/>
        </w:rPr>
        <w:t>Surface thematic analysis of the non-relational, factual postcards</w:t>
      </w:r>
    </w:p>
    <w:p w14:paraId="00000018" w14:textId="77777777" w:rsidR="00D272B2" w:rsidRDefault="00153B32">
      <w:pPr>
        <w:spacing w:line="360" w:lineRule="auto"/>
        <w:rPr>
          <w:color w:val="000000"/>
          <w:sz w:val="24"/>
          <w:szCs w:val="24"/>
        </w:rPr>
      </w:pPr>
      <w:r>
        <w:rPr>
          <w:color w:val="000000"/>
          <w:sz w:val="24"/>
          <w:szCs w:val="24"/>
        </w:rPr>
        <w:t xml:space="preserve">We adopted a rotational and negotiated process for identifying and analysing the postcards.  We split the whole corpus described above into three and rotated the tranches between us to identify and agree the postcards that (i) would later form the subject of a discourse analysis (not addressed here), and (ii) those that comprised the data sub-set of non-relational postcard submissions that we discuss here.  </w:t>
      </w:r>
    </w:p>
    <w:p w14:paraId="00000019" w14:textId="77777777" w:rsidR="00D272B2" w:rsidRDefault="00153B32">
      <w:pPr>
        <w:spacing w:line="360" w:lineRule="auto"/>
        <w:rPr>
          <w:sz w:val="24"/>
          <w:szCs w:val="24"/>
        </w:rPr>
      </w:pPr>
      <w:r>
        <w:rPr>
          <w:color w:val="000000"/>
          <w:sz w:val="24"/>
          <w:szCs w:val="24"/>
        </w:rPr>
        <w:tab/>
      </w:r>
      <w:r>
        <w:rPr>
          <w:sz w:val="24"/>
          <w:szCs w:val="24"/>
        </w:rPr>
        <w:t>The sub-set of non-relational and factual postcard entries amounted to 271 (34.1 per cent of the corpus) and reflected the gender and age cohort profile of the main corpus.  Table 2 shows however, that where they did write a postcard, men were more likely to provide non-</w:t>
      </w:r>
      <w:proofErr w:type="gramStart"/>
      <w:r>
        <w:rPr>
          <w:sz w:val="24"/>
          <w:szCs w:val="24"/>
        </w:rPr>
        <w:t>relationally-framed</w:t>
      </w:r>
      <w:proofErr w:type="gramEnd"/>
      <w:r>
        <w:rPr>
          <w:sz w:val="24"/>
          <w:szCs w:val="24"/>
        </w:rPr>
        <w:t xml:space="preserve"> information.  Of 136 writers in the main corpus who ticked the male box, 46 percent submitted minimal and factual postcards, as against 32 percent of female writers.</w:t>
      </w:r>
    </w:p>
    <w:p w14:paraId="29BDD640" w14:textId="77777777" w:rsidR="00890404" w:rsidRPr="00890404" w:rsidRDefault="00890404" w:rsidP="00890404">
      <w:pPr>
        <w:spacing w:line="240" w:lineRule="auto"/>
        <w:ind w:firstLine="720"/>
        <w:rPr>
          <w:sz w:val="24"/>
          <w:szCs w:val="24"/>
          <w:lang w:val="en"/>
        </w:rPr>
      </w:pPr>
      <w:r w:rsidRPr="00890404">
        <w:rPr>
          <w:sz w:val="24"/>
          <w:szCs w:val="24"/>
          <w:lang w:val="en"/>
        </w:rPr>
        <w:t>Table 2</w:t>
      </w:r>
      <w:proofErr w:type="gramStart"/>
      <w:r w:rsidRPr="00890404">
        <w:rPr>
          <w:sz w:val="24"/>
          <w:szCs w:val="24"/>
          <w:lang w:val="en"/>
        </w:rPr>
        <w:t xml:space="preserve">:  </w:t>
      </w:r>
      <w:r w:rsidRPr="00890404">
        <w:rPr>
          <w:i/>
          <w:sz w:val="24"/>
          <w:szCs w:val="24"/>
          <w:lang w:val="en"/>
        </w:rPr>
        <w:t>Age</w:t>
      </w:r>
      <w:proofErr w:type="gramEnd"/>
      <w:r w:rsidRPr="00890404">
        <w:rPr>
          <w:i/>
          <w:sz w:val="24"/>
          <w:szCs w:val="24"/>
          <w:lang w:val="en"/>
        </w:rPr>
        <w:t xml:space="preserve"> cohort generation and gender: minimal and factual postcard dataset</w:t>
      </w:r>
    </w:p>
    <w:tbl>
      <w:tblPr>
        <w:tblW w:w="836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4"/>
        <w:gridCol w:w="1738"/>
        <w:gridCol w:w="1355"/>
        <w:gridCol w:w="1701"/>
        <w:gridCol w:w="1985"/>
      </w:tblGrid>
      <w:tr w:rsidR="00890404" w:rsidRPr="00890404" w14:paraId="6DDAFEF9" w14:textId="77777777" w:rsidTr="00910061">
        <w:tc>
          <w:tcPr>
            <w:tcW w:w="1584" w:type="dxa"/>
          </w:tcPr>
          <w:p w14:paraId="72D1263F" w14:textId="77777777" w:rsidR="00890404" w:rsidRPr="00890404" w:rsidRDefault="00890404" w:rsidP="00890404">
            <w:pPr>
              <w:spacing w:after="0" w:line="240" w:lineRule="auto"/>
              <w:jc w:val="center"/>
              <w:rPr>
                <w:i/>
                <w:sz w:val="24"/>
                <w:szCs w:val="24"/>
                <w:lang w:val="en"/>
              </w:rPr>
            </w:pPr>
            <w:r w:rsidRPr="00890404">
              <w:rPr>
                <w:i/>
                <w:sz w:val="24"/>
                <w:szCs w:val="24"/>
                <w:lang w:val="en"/>
              </w:rPr>
              <w:lastRenderedPageBreak/>
              <w:t>Year of birth</w:t>
            </w:r>
          </w:p>
        </w:tc>
        <w:tc>
          <w:tcPr>
            <w:tcW w:w="1738" w:type="dxa"/>
          </w:tcPr>
          <w:p w14:paraId="5CB533EC" w14:textId="77777777" w:rsidR="00890404" w:rsidRPr="00890404" w:rsidRDefault="00890404" w:rsidP="00890404">
            <w:pPr>
              <w:spacing w:after="0" w:line="240" w:lineRule="auto"/>
              <w:jc w:val="center"/>
              <w:rPr>
                <w:i/>
                <w:sz w:val="24"/>
                <w:szCs w:val="24"/>
                <w:lang w:val="en"/>
              </w:rPr>
            </w:pPr>
            <w:r w:rsidRPr="00890404">
              <w:rPr>
                <w:i/>
                <w:sz w:val="24"/>
                <w:szCs w:val="24"/>
                <w:lang w:val="en"/>
              </w:rPr>
              <w:t>Postcard writers age</w:t>
            </w:r>
          </w:p>
        </w:tc>
        <w:tc>
          <w:tcPr>
            <w:tcW w:w="3056" w:type="dxa"/>
            <w:gridSpan w:val="2"/>
          </w:tcPr>
          <w:p w14:paraId="2E95DA73" w14:textId="77777777" w:rsidR="00890404" w:rsidRPr="00890404" w:rsidRDefault="00890404" w:rsidP="00890404">
            <w:pPr>
              <w:spacing w:after="0" w:line="240" w:lineRule="auto"/>
              <w:jc w:val="center"/>
              <w:rPr>
                <w:i/>
                <w:sz w:val="24"/>
                <w:szCs w:val="24"/>
                <w:lang w:val="en"/>
              </w:rPr>
            </w:pPr>
            <w:r w:rsidRPr="00890404">
              <w:rPr>
                <w:i/>
                <w:sz w:val="24"/>
                <w:szCs w:val="24"/>
                <w:lang w:val="en"/>
              </w:rPr>
              <w:t>Postcard writers (total 271)</w:t>
            </w:r>
          </w:p>
          <w:p w14:paraId="45EA2EF7" w14:textId="77777777" w:rsidR="00890404" w:rsidRPr="00890404" w:rsidRDefault="00890404" w:rsidP="00890404">
            <w:pPr>
              <w:spacing w:after="0" w:line="240" w:lineRule="auto"/>
              <w:rPr>
                <w:i/>
                <w:sz w:val="24"/>
                <w:szCs w:val="24"/>
                <w:lang w:val="en"/>
              </w:rPr>
            </w:pPr>
            <w:r w:rsidRPr="00890404">
              <w:rPr>
                <w:i/>
                <w:sz w:val="24"/>
                <w:szCs w:val="24"/>
                <w:lang w:val="en"/>
              </w:rPr>
              <w:t xml:space="preserve">         No.                      %</w:t>
            </w:r>
            <w:r w:rsidRPr="00890404">
              <w:rPr>
                <w:b/>
                <w:i/>
                <w:sz w:val="24"/>
                <w:szCs w:val="24"/>
                <w:lang w:val="en"/>
              </w:rPr>
              <w:t>*</w:t>
            </w:r>
          </w:p>
        </w:tc>
        <w:tc>
          <w:tcPr>
            <w:tcW w:w="1985" w:type="dxa"/>
          </w:tcPr>
          <w:p w14:paraId="4418949E" w14:textId="77777777" w:rsidR="00890404" w:rsidRPr="00890404" w:rsidRDefault="00890404" w:rsidP="00890404">
            <w:pPr>
              <w:spacing w:after="0" w:line="240" w:lineRule="auto"/>
              <w:jc w:val="center"/>
              <w:rPr>
                <w:i/>
                <w:sz w:val="24"/>
                <w:szCs w:val="24"/>
                <w:lang w:val="en"/>
              </w:rPr>
            </w:pPr>
            <w:r w:rsidRPr="00890404">
              <w:rPr>
                <w:i/>
                <w:sz w:val="24"/>
                <w:szCs w:val="24"/>
                <w:lang w:val="en"/>
              </w:rPr>
              <w:t>% total by gender</w:t>
            </w:r>
          </w:p>
          <w:p w14:paraId="7E0A57E6" w14:textId="77777777" w:rsidR="00890404" w:rsidRPr="00890404" w:rsidRDefault="00890404" w:rsidP="00890404">
            <w:pPr>
              <w:spacing w:after="0" w:line="240" w:lineRule="auto"/>
              <w:jc w:val="center"/>
              <w:rPr>
                <w:i/>
                <w:sz w:val="24"/>
                <w:szCs w:val="24"/>
                <w:lang w:val="en"/>
              </w:rPr>
            </w:pPr>
            <w:proofErr w:type="gramStart"/>
            <w:r w:rsidRPr="00890404">
              <w:rPr>
                <w:i/>
                <w:sz w:val="24"/>
                <w:szCs w:val="24"/>
                <w:lang w:val="en"/>
              </w:rPr>
              <w:t>male :</w:t>
            </w:r>
            <w:proofErr w:type="gramEnd"/>
            <w:r w:rsidRPr="00890404">
              <w:rPr>
                <w:i/>
                <w:sz w:val="24"/>
                <w:szCs w:val="24"/>
                <w:lang w:val="en"/>
              </w:rPr>
              <w:t xml:space="preserve"> female</w:t>
            </w:r>
            <w:r w:rsidRPr="00890404">
              <w:rPr>
                <w:b/>
                <w:i/>
                <w:sz w:val="24"/>
                <w:szCs w:val="24"/>
                <w:lang w:val="en"/>
              </w:rPr>
              <w:t>**</w:t>
            </w:r>
          </w:p>
        </w:tc>
      </w:tr>
      <w:tr w:rsidR="00890404" w:rsidRPr="00890404" w14:paraId="066EB2E3" w14:textId="77777777" w:rsidTr="00910061">
        <w:tc>
          <w:tcPr>
            <w:tcW w:w="1584" w:type="dxa"/>
          </w:tcPr>
          <w:p w14:paraId="0574905F" w14:textId="77777777" w:rsidR="00890404" w:rsidRPr="00890404" w:rsidRDefault="00890404" w:rsidP="00890404">
            <w:pPr>
              <w:spacing w:after="0" w:line="240" w:lineRule="auto"/>
              <w:rPr>
                <w:sz w:val="24"/>
                <w:szCs w:val="24"/>
                <w:lang w:val="en"/>
              </w:rPr>
            </w:pPr>
            <w:r w:rsidRPr="00890404">
              <w:rPr>
                <w:sz w:val="24"/>
                <w:szCs w:val="24"/>
                <w:lang w:val="en"/>
              </w:rPr>
              <w:t>1900 – 1920</w:t>
            </w:r>
          </w:p>
        </w:tc>
        <w:tc>
          <w:tcPr>
            <w:tcW w:w="1738" w:type="dxa"/>
          </w:tcPr>
          <w:p w14:paraId="63D32E01" w14:textId="77777777" w:rsidR="00890404" w:rsidRPr="00890404" w:rsidRDefault="00890404" w:rsidP="00890404">
            <w:pPr>
              <w:spacing w:after="0" w:line="240" w:lineRule="auto"/>
              <w:jc w:val="center"/>
              <w:rPr>
                <w:sz w:val="24"/>
                <w:szCs w:val="24"/>
                <w:lang w:val="en"/>
              </w:rPr>
            </w:pPr>
            <w:r w:rsidRPr="00890404">
              <w:rPr>
                <w:sz w:val="24"/>
                <w:szCs w:val="24"/>
                <w:lang w:val="en"/>
              </w:rPr>
              <w:t>88 – 108</w:t>
            </w:r>
          </w:p>
        </w:tc>
        <w:tc>
          <w:tcPr>
            <w:tcW w:w="1355" w:type="dxa"/>
          </w:tcPr>
          <w:p w14:paraId="3798BD9F" w14:textId="77777777" w:rsidR="00890404" w:rsidRPr="00890404" w:rsidRDefault="00890404" w:rsidP="00890404">
            <w:pPr>
              <w:spacing w:after="0" w:line="240" w:lineRule="auto"/>
              <w:jc w:val="center"/>
              <w:rPr>
                <w:sz w:val="24"/>
                <w:szCs w:val="24"/>
                <w:lang w:val="en"/>
              </w:rPr>
            </w:pPr>
            <w:r w:rsidRPr="00890404">
              <w:rPr>
                <w:sz w:val="24"/>
                <w:szCs w:val="24"/>
                <w:lang w:val="en"/>
              </w:rPr>
              <w:t>2</w:t>
            </w:r>
          </w:p>
        </w:tc>
        <w:tc>
          <w:tcPr>
            <w:tcW w:w="1701" w:type="dxa"/>
          </w:tcPr>
          <w:p w14:paraId="79AF4DC2" w14:textId="77777777" w:rsidR="00890404" w:rsidRPr="00890404" w:rsidRDefault="00890404" w:rsidP="00890404">
            <w:pPr>
              <w:spacing w:after="0" w:line="240" w:lineRule="auto"/>
              <w:jc w:val="center"/>
              <w:rPr>
                <w:sz w:val="24"/>
                <w:szCs w:val="24"/>
                <w:lang w:val="en"/>
              </w:rPr>
            </w:pPr>
            <w:r w:rsidRPr="00890404">
              <w:rPr>
                <w:sz w:val="24"/>
                <w:szCs w:val="24"/>
                <w:lang w:val="en"/>
              </w:rPr>
              <w:t>0.7</w:t>
            </w:r>
          </w:p>
        </w:tc>
        <w:tc>
          <w:tcPr>
            <w:tcW w:w="1985" w:type="dxa"/>
            <w:vMerge w:val="restart"/>
          </w:tcPr>
          <w:p w14:paraId="5546F2E0" w14:textId="77777777" w:rsidR="00890404" w:rsidRPr="00890404" w:rsidRDefault="00890404" w:rsidP="00890404">
            <w:pPr>
              <w:spacing w:after="0" w:line="240" w:lineRule="auto"/>
              <w:jc w:val="center"/>
              <w:rPr>
                <w:sz w:val="24"/>
                <w:szCs w:val="24"/>
                <w:lang w:val="en"/>
              </w:rPr>
            </w:pPr>
          </w:p>
          <w:p w14:paraId="1DE06EB1" w14:textId="77777777" w:rsidR="00890404" w:rsidRPr="00890404" w:rsidRDefault="00890404" w:rsidP="00890404">
            <w:pPr>
              <w:spacing w:after="0" w:line="240" w:lineRule="auto"/>
              <w:jc w:val="center"/>
              <w:rPr>
                <w:sz w:val="24"/>
                <w:szCs w:val="24"/>
                <w:lang w:val="en"/>
              </w:rPr>
            </w:pPr>
          </w:p>
          <w:p w14:paraId="460344AE" w14:textId="77777777" w:rsidR="00890404" w:rsidRPr="00890404" w:rsidRDefault="00890404" w:rsidP="00890404">
            <w:pPr>
              <w:spacing w:after="0" w:line="240" w:lineRule="auto"/>
              <w:jc w:val="center"/>
              <w:rPr>
                <w:sz w:val="24"/>
                <w:szCs w:val="24"/>
                <w:lang w:val="en"/>
              </w:rPr>
            </w:pPr>
            <w:proofErr w:type="gramStart"/>
            <w:r w:rsidRPr="00890404">
              <w:rPr>
                <w:sz w:val="24"/>
                <w:szCs w:val="24"/>
                <w:lang w:val="en"/>
              </w:rPr>
              <w:t>23.2  :</w:t>
            </w:r>
            <w:proofErr w:type="gramEnd"/>
            <w:r w:rsidRPr="00890404">
              <w:rPr>
                <w:sz w:val="24"/>
                <w:szCs w:val="24"/>
                <w:lang w:val="en"/>
              </w:rPr>
              <w:t xml:space="preserve">  76.3</w:t>
            </w:r>
          </w:p>
        </w:tc>
      </w:tr>
      <w:tr w:rsidR="00890404" w:rsidRPr="00890404" w14:paraId="0113CB36" w14:textId="77777777" w:rsidTr="00910061">
        <w:tc>
          <w:tcPr>
            <w:tcW w:w="1584" w:type="dxa"/>
          </w:tcPr>
          <w:p w14:paraId="5FD1629D" w14:textId="77777777" w:rsidR="00890404" w:rsidRPr="00890404" w:rsidRDefault="00890404" w:rsidP="00890404">
            <w:pPr>
              <w:spacing w:after="0" w:line="240" w:lineRule="auto"/>
              <w:rPr>
                <w:sz w:val="24"/>
                <w:szCs w:val="24"/>
                <w:lang w:val="en"/>
              </w:rPr>
            </w:pPr>
            <w:r w:rsidRPr="00890404">
              <w:rPr>
                <w:sz w:val="24"/>
                <w:szCs w:val="24"/>
                <w:lang w:val="en"/>
              </w:rPr>
              <w:t xml:space="preserve">1921 – 1949 </w:t>
            </w:r>
          </w:p>
        </w:tc>
        <w:tc>
          <w:tcPr>
            <w:tcW w:w="1738" w:type="dxa"/>
          </w:tcPr>
          <w:p w14:paraId="7EC10B0E" w14:textId="77777777" w:rsidR="00890404" w:rsidRPr="00890404" w:rsidRDefault="00890404" w:rsidP="00890404">
            <w:pPr>
              <w:spacing w:after="0" w:line="240" w:lineRule="auto"/>
              <w:jc w:val="center"/>
              <w:rPr>
                <w:sz w:val="24"/>
                <w:szCs w:val="24"/>
                <w:lang w:val="en"/>
              </w:rPr>
            </w:pPr>
            <w:r w:rsidRPr="00890404">
              <w:rPr>
                <w:sz w:val="24"/>
                <w:szCs w:val="24"/>
                <w:lang w:val="en"/>
              </w:rPr>
              <w:t>58 – 87</w:t>
            </w:r>
          </w:p>
        </w:tc>
        <w:tc>
          <w:tcPr>
            <w:tcW w:w="1355" w:type="dxa"/>
          </w:tcPr>
          <w:p w14:paraId="4ED2191D" w14:textId="77777777" w:rsidR="00890404" w:rsidRPr="00890404" w:rsidRDefault="00890404" w:rsidP="00890404">
            <w:pPr>
              <w:spacing w:after="0" w:line="240" w:lineRule="auto"/>
              <w:jc w:val="center"/>
              <w:rPr>
                <w:sz w:val="24"/>
                <w:szCs w:val="24"/>
                <w:lang w:val="en"/>
              </w:rPr>
            </w:pPr>
            <w:r w:rsidRPr="00890404">
              <w:rPr>
                <w:sz w:val="24"/>
                <w:szCs w:val="24"/>
                <w:lang w:val="en"/>
              </w:rPr>
              <w:t>28</w:t>
            </w:r>
          </w:p>
        </w:tc>
        <w:tc>
          <w:tcPr>
            <w:tcW w:w="1701" w:type="dxa"/>
          </w:tcPr>
          <w:p w14:paraId="6D1A3F48" w14:textId="77777777" w:rsidR="00890404" w:rsidRPr="00890404" w:rsidRDefault="00890404" w:rsidP="00890404">
            <w:pPr>
              <w:spacing w:after="0" w:line="240" w:lineRule="auto"/>
              <w:jc w:val="center"/>
              <w:rPr>
                <w:sz w:val="24"/>
                <w:szCs w:val="24"/>
                <w:lang w:val="en"/>
              </w:rPr>
            </w:pPr>
            <w:r w:rsidRPr="00890404">
              <w:rPr>
                <w:sz w:val="24"/>
                <w:szCs w:val="24"/>
                <w:lang w:val="en"/>
              </w:rPr>
              <w:t>10.3</w:t>
            </w:r>
          </w:p>
        </w:tc>
        <w:tc>
          <w:tcPr>
            <w:tcW w:w="1985" w:type="dxa"/>
            <w:vMerge/>
          </w:tcPr>
          <w:p w14:paraId="22FA8D84" w14:textId="77777777" w:rsidR="00890404" w:rsidRPr="00890404" w:rsidRDefault="00890404" w:rsidP="00890404">
            <w:pPr>
              <w:widowControl w:val="0"/>
              <w:pBdr>
                <w:top w:val="nil"/>
                <w:left w:val="nil"/>
                <w:bottom w:val="nil"/>
                <w:right w:val="nil"/>
                <w:between w:val="nil"/>
              </w:pBdr>
              <w:spacing w:after="0" w:line="240" w:lineRule="auto"/>
              <w:rPr>
                <w:sz w:val="24"/>
                <w:szCs w:val="24"/>
                <w:lang w:val="en"/>
              </w:rPr>
            </w:pPr>
          </w:p>
        </w:tc>
      </w:tr>
      <w:tr w:rsidR="00890404" w:rsidRPr="00890404" w14:paraId="449E2F43" w14:textId="77777777" w:rsidTr="00910061">
        <w:tc>
          <w:tcPr>
            <w:tcW w:w="1584" w:type="dxa"/>
          </w:tcPr>
          <w:p w14:paraId="6F678A51" w14:textId="77777777" w:rsidR="00890404" w:rsidRPr="00890404" w:rsidRDefault="00890404" w:rsidP="00890404">
            <w:pPr>
              <w:spacing w:after="0" w:line="240" w:lineRule="auto"/>
              <w:rPr>
                <w:sz w:val="24"/>
                <w:szCs w:val="24"/>
                <w:lang w:val="en"/>
              </w:rPr>
            </w:pPr>
            <w:r w:rsidRPr="00890404">
              <w:rPr>
                <w:sz w:val="24"/>
                <w:szCs w:val="24"/>
                <w:lang w:val="en"/>
              </w:rPr>
              <w:t xml:space="preserve">1950 – 1979 </w:t>
            </w:r>
          </w:p>
        </w:tc>
        <w:tc>
          <w:tcPr>
            <w:tcW w:w="1738" w:type="dxa"/>
          </w:tcPr>
          <w:p w14:paraId="72322C00" w14:textId="77777777" w:rsidR="00890404" w:rsidRPr="00890404" w:rsidRDefault="00890404" w:rsidP="00890404">
            <w:pPr>
              <w:spacing w:after="0" w:line="240" w:lineRule="auto"/>
              <w:jc w:val="center"/>
              <w:rPr>
                <w:sz w:val="24"/>
                <w:szCs w:val="24"/>
                <w:lang w:val="en"/>
              </w:rPr>
            </w:pPr>
            <w:r w:rsidRPr="00890404">
              <w:rPr>
                <w:sz w:val="24"/>
                <w:szCs w:val="24"/>
                <w:lang w:val="en"/>
              </w:rPr>
              <w:t>29 – 58</w:t>
            </w:r>
          </w:p>
        </w:tc>
        <w:tc>
          <w:tcPr>
            <w:tcW w:w="1355" w:type="dxa"/>
          </w:tcPr>
          <w:p w14:paraId="09CEFB02" w14:textId="77777777" w:rsidR="00890404" w:rsidRPr="00890404" w:rsidRDefault="00890404" w:rsidP="00890404">
            <w:pPr>
              <w:spacing w:after="0" w:line="240" w:lineRule="auto"/>
              <w:jc w:val="center"/>
              <w:rPr>
                <w:sz w:val="24"/>
                <w:szCs w:val="24"/>
                <w:lang w:val="en"/>
              </w:rPr>
            </w:pPr>
            <w:r w:rsidRPr="00890404">
              <w:rPr>
                <w:sz w:val="24"/>
                <w:szCs w:val="24"/>
                <w:lang w:val="en"/>
              </w:rPr>
              <w:t>160</w:t>
            </w:r>
          </w:p>
        </w:tc>
        <w:tc>
          <w:tcPr>
            <w:tcW w:w="1701" w:type="dxa"/>
          </w:tcPr>
          <w:p w14:paraId="64802AB4" w14:textId="77777777" w:rsidR="00890404" w:rsidRPr="00890404" w:rsidRDefault="00890404" w:rsidP="00890404">
            <w:pPr>
              <w:spacing w:after="0" w:line="240" w:lineRule="auto"/>
              <w:jc w:val="center"/>
              <w:rPr>
                <w:sz w:val="24"/>
                <w:szCs w:val="24"/>
                <w:lang w:val="en"/>
              </w:rPr>
            </w:pPr>
            <w:r w:rsidRPr="00890404">
              <w:rPr>
                <w:sz w:val="24"/>
                <w:szCs w:val="24"/>
                <w:lang w:val="en"/>
              </w:rPr>
              <w:t>59.0</w:t>
            </w:r>
          </w:p>
        </w:tc>
        <w:tc>
          <w:tcPr>
            <w:tcW w:w="1985" w:type="dxa"/>
            <w:vMerge/>
          </w:tcPr>
          <w:p w14:paraId="23F33753" w14:textId="77777777" w:rsidR="00890404" w:rsidRPr="00890404" w:rsidRDefault="00890404" w:rsidP="00890404">
            <w:pPr>
              <w:widowControl w:val="0"/>
              <w:pBdr>
                <w:top w:val="nil"/>
                <w:left w:val="nil"/>
                <w:bottom w:val="nil"/>
                <w:right w:val="nil"/>
                <w:between w:val="nil"/>
              </w:pBdr>
              <w:spacing w:after="0" w:line="240" w:lineRule="auto"/>
              <w:rPr>
                <w:sz w:val="24"/>
                <w:szCs w:val="24"/>
                <w:lang w:val="en"/>
              </w:rPr>
            </w:pPr>
          </w:p>
        </w:tc>
      </w:tr>
      <w:tr w:rsidR="00890404" w:rsidRPr="00890404" w14:paraId="49CA7842" w14:textId="77777777" w:rsidTr="00910061">
        <w:tc>
          <w:tcPr>
            <w:tcW w:w="1584" w:type="dxa"/>
          </w:tcPr>
          <w:p w14:paraId="0387FB74" w14:textId="77777777" w:rsidR="00890404" w:rsidRPr="00890404" w:rsidRDefault="00890404" w:rsidP="00890404">
            <w:pPr>
              <w:spacing w:after="0" w:line="240" w:lineRule="auto"/>
              <w:rPr>
                <w:sz w:val="24"/>
                <w:szCs w:val="24"/>
                <w:lang w:val="en"/>
              </w:rPr>
            </w:pPr>
            <w:r w:rsidRPr="00890404">
              <w:rPr>
                <w:sz w:val="24"/>
                <w:szCs w:val="24"/>
                <w:lang w:val="en"/>
              </w:rPr>
              <w:t xml:space="preserve">1980 – 2005 </w:t>
            </w:r>
          </w:p>
        </w:tc>
        <w:tc>
          <w:tcPr>
            <w:tcW w:w="1738" w:type="dxa"/>
          </w:tcPr>
          <w:p w14:paraId="12C64A04" w14:textId="77777777" w:rsidR="00890404" w:rsidRPr="00890404" w:rsidRDefault="00890404" w:rsidP="00890404">
            <w:pPr>
              <w:spacing w:after="0" w:line="240" w:lineRule="auto"/>
              <w:jc w:val="center"/>
              <w:rPr>
                <w:sz w:val="24"/>
                <w:szCs w:val="24"/>
                <w:lang w:val="en"/>
              </w:rPr>
            </w:pPr>
            <w:r w:rsidRPr="00890404">
              <w:rPr>
                <w:sz w:val="24"/>
                <w:szCs w:val="24"/>
                <w:lang w:val="en"/>
              </w:rPr>
              <w:t>28 – 3</w:t>
            </w:r>
          </w:p>
        </w:tc>
        <w:tc>
          <w:tcPr>
            <w:tcW w:w="1355" w:type="dxa"/>
          </w:tcPr>
          <w:p w14:paraId="5C1229C2" w14:textId="77777777" w:rsidR="00890404" w:rsidRPr="00890404" w:rsidRDefault="00890404" w:rsidP="00890404">
            <w:pPr>
              <w:spacing w:after="0" w:line="240" w:lineRule="auto"/>
              <w:jc w:val="center"/>
              <w:rPr>
                <w:sz w:val="24"/>
                <w:szCs w:val="24"/>
                <w:lang w:val="en"/>
              </w:rPr>
            </w:pPr>
            <w:r w:rsidRPr="00890404">
              <w:rPr>
                <w:sz w:val="24"/>
                <w:szCs w:val="24"/>
                <w:lang w:val="en"/>
              </w:rPr>
              <w:t>76</w:t>
            </w:r>
          </w:p>
        </w:tc>
        <w:tc>
          <w:tcPr>
            <w:tcW w:w="1701" w:type="dxa"/>
          </w:tcPr>
          <w:p w14:paraId="3FD8DB0E" w14:textId="77777777" w:rsidR="00890404" w:rsidRPr="00890404" w:rsidRDefault="00890404" w:rsidP="00890404">
            <w:pPr>
              <w:spacing w:after="0" w:line="240" w:lineRule="auto"/>
              <w:jc w:val="center"/>
              <w:rPr>
                <w:sz w:val="24"/>
                <w:szCs w:val="24"/>
                <w:lang w:val="en"/>
              </w:rPr>
            </w:pPr>
            <w:r w:rsidRPr="00890404">
              <w:rPr>
                <w:sz w:val="24"/>
                <w:szCs w:val="24"/>
                <w:lang w:val="en"/>
              </w:rPr>
              <w:t>28.0</w:t>
            </w:r>
          </w:p>
        </w:tc>
        <w:tc>
          <w:tcPr>
            <w:tcW w:w="1985" w:type="dxa"/>
            <w:vMerge/>
          </w:tcPr>
          <w:p w14:paraId="7D589148" w14:textId="77777777" w:rsidR="00890404" w:rsidRPr="00890404" w:rsidRDefault="00890404" w:rsidP="00890404">
            <w:pPr>
              <w:widowControl w:val="0"/>
              <w:pBdr>
                <w:top w:val="nil"/>
                <w:left w:val="nil"/>
                <w:bottom w:val="nil"/>
                <w:right w:val="nil"/>
                <w:between w:val="nil"/>
              </w:pBdr>
              <w:spacing w:after="0" w:line="240" w:lineRule="auto"/>
              <w:rPr>
                <w:sz w:val="24"/>
                <w:szCs w:val="24"/>
                <w:lang w:val="en"/>
              </w:rPr>
            </w:pPr>
          </w:p>
        </w:tc>
      </w:tr>
    </w:tbl>
    <w:p w14:paraId="7774549D" w14:textId="77777777" w:rsidR="00890404" w:rsidRPr="00890404" w:rsidRDefault="00890404" w:rsidP="00890404">
      <w:pPr>
        <w:spacing w:line="240" w:lineRule="auto"/>
        <w:ind w:left="720"/>
        <w:rPr>
          <w:i/>
          <w:sz w:val="20"/>
          <w:szCs w:val="20"/>
          <w:lang w:val="en"/>
        </w:rPr>
      </w:pPr>
      <w:r w:rsidRPr="00890404">
        <w:rPr>
          <w:b/>
          <w:i/>
          <w:sz w:val="20"/>
          <w:szCs w:val="20"/>
          <w:lang w:val="en"/>
        </w:rPr>
        <w:t>*</w:t>
      </w:r>
      <w:r w:rsidRPr="00890404">
        <w:rPr>
          <w:i/>
          <w:sz w:val="20"/>
          <w:szCs w:val="20"/>
          <w:lang w:val="en"/>
        </w:rPr>
        <w:t xml:space="preserve"> Year of birth or age not provided for 5 postcards</w:t>
      </w:r>
      <w:r w:rsidRPr="00890404">
        <w:rPr>
          <w:i/>
          <w:sz w:val="20"/>
          <w:szCs w:val="20"/>
          <w:lang w:val="en"/>
        </w:rPr>
        <w:br/>
      </w:r>
      <w:r w:rsidRPr="00890404">
        <w:rPr>
          <w:b/>
          <w:i/>
          <w:sz w:val="20"/>
          <w:szCs w:val="20"/>
          <w:lang w:val="en"/>
        </w:rPr>
        <w:t xml:space="preserve">** </w:t>
      </w:r>
      <w:r w:rsidRPr="00890404">
        <w:rPr>
          <w:i/>
          <w:sz w:val="20"/>
          <w:szCs w:val="20"/>
          <w:lang w:val="en"/>
        </w:rPr>
        <w:t>Gender not provided for 1 postcard</w:t>
      </w:r>
    </w:p>
    <w:p w14:paraId="69DE4350" w14:textId="77777777" w:rsidR="0028473A" w:rsidRDefault="0028473A">
      <w:pPr>
        <w:spacing w:line="360" w:lineRule="auto"/>
        <w:rPr>
          <w:sz w:val="24"/>
          <w:szCs w:val="24"/>
        </w:rPr>
      </w:pPr>
    </w:p>
    <w:p w14:paraId="0000001D" w14:textId="77777777" w:rsidR="00D272B2" w:rsidRDefault="00153B32">
      <w:pPr>
        <w:spacing w:line="360" w:lineRule="auto"/>
        <w:ind w:firstLine="720"/>
        <w:rPr>
          <w:sz w:val="24"/>
          <w:szCs w:val="24"/>
        </w:rPr>
      </w:pPr>
      <w:r>
        <w:rPr>
          <w:sz w:val="24"/>
          <w:szCs w:val="24"/>
        </w:rPr>
        <w:t xml:space="preserve">We divided the 271 non-relational postcards between us, and each conducted a surface thematic analysis of the topics covered in our tranche.  Surface thematic analysis (also called semantic thematic analysis) is concerned with identifying themes that are readily apparent in the data rather than interpretation of meaning (e.g. Goddard, 2011).  This analytic approach is </w:t>
      </w:r>
      <w:proofErr w:type="gramStart"/>
      <w:r>
        <w:rPr>
          <w:sz w:val="24"/>
          <w:szCs w:val="24"/>
        </w:rPr>
        <w:t>all the more</w:t>
      </w:r>
      <w:proofErr w:type="gramEnd"/>
      <w:r>
        <w:rPr>
          <w:sz w:val="24"/>
          <w:szCs w:val="24"/>
        </w:rPr>
        <w:t xml:space="preserve"> appropriate where relational meaning should not be assumed and extrapolated because the information provided is basic, factual and not embedded in contextual interaction with researchers beyond the initial written question.  </w:t>
      </w:r>
      <w:r>
        <w:rPr>
          <w:color w:val="000000"/>
          <w:sz w:val="24"/>
          <w:szCs w:val="24"/>
        </w:rPr>
        <w:t xml:space="preserve">We compared and merged our three separate topic-based thematic analyses, generating one final set of codes through consensual construction, and then each recoded another tranche using our agreed scheme.  </w:t>
      </w:r>
    </w:p>
    <w:p w14:paraId="0000001E" w14:textId="77777777" w:rsidR="00D272B2" w:rsidRDefault="00153B32">
      <w:pPr>
        <w:spacing w:line="360" w:lineRule="auto"/>
        <w:ind w:firstLine="720"/>
        <w:rPr>
          <w:sz w:val="24"/>
          <w:szCs w:val="24"/>
        </w:rPr>
      </w:pPr>
      <w:r>
        <w:rPr>
          <w:sz w:val="24"/>
          <w:szCs w:val="24"/>
        </w:rPr>
        <w:t xml:space="preserve">While the coded minimal and factual data sub-set contained material about the writer’s siblings, it was distinctive in not being </w:t>
      </w:r>
      <w:proofErr w:type="gramStart"/>
      <w:r>
        <w:rPr>
          <w:sz w:val="24"/>
          <w:szCs w:val="24"/>
        </w:rPr>
        <w:t>relationally-framed</w:t>
      </w:r>
      <w:proofErr w:type="gramEnd"/>
      <w:r>
        <w:rPr>
          <w:sz w:val="24"/>
          <w:szCs w:val="24"/>
        </w:rPr>
        <w:t>.  For example, No. 355 (male, age 18) wrote of one older brother ‘</w:t>
      </w:r>
      <w:r>
        <w:rPr>
          <w:i/>
          <w:iCs/>
          <w:sz w:val="24"/>
          <w:szCs w:val="24"/>
        </w:rPr>
        <w:t>Gone to university this year</w:t>
      </w:r>
      <w:r>
        <w:rPr>
          <w:sz w:val="24"/>
          <w:szCs w:val="24"/>
        </w:rPr>
        <w:t>’, of another ‘</w:t>
      </w:r>
      <w:r>
        <w:rPr>
          <w:i/>
          <w:iCs/>
          <w:sz w:val="24"/>
          <w:szCs w:val="24"/>
        </w:rPr>
        <w:t>Starting work after graduation 2 years ago. currently at home</w:t>
      </w:r>
      <w:r>
        <w:rPr>
          <w:sz w:val="24"/>
          <w:szCs w:val="24"/>
        </w:rPr>
        <w:t>’, and of his sister ‘</w:t>
      </w:r>
      <w:r>
        <w:rPr>
          <w:i/>
          <w:iCs/>
          <w:sz w:val="24"/>
          <w:szCs w:val="24"/>
        </w:rPr>
        <w:t>Been working for 6 years, gettin married in summer and moving out</w:t>
      </w:r>
      <w:r>
        <w:rPr>
          <w:sz w:val="24"/>
          <w:szCs w:val="24"/>
        </w:rPr>
        <w:t>’ [</w:t>
      </w:r>
      <w:r>
        <w:rPr>
          <w:i/>
          <w:iCs/>
          <w:sz w:val="24"/>
          <w:szCs w:val="24"/>
        </w:rPr>
        <w:t>sic</w:t>
      </w:r>
      <w:r>
        <w:rPr>
          <w:sz w:val="24"/>
          <w:szCs w:val="24"/>
        </w:rPr>
        <w:t xml:space="preserve">].  These postcards show the basic information that writers – whether children or adults, thought it was important to convey to researchers about their siblings as people, rather than issues about the relationship with their siblings that family researchers might wish to ask about and elicit from research participants.  </w:t>
      </w:r>
    </w:p>
    <w:p w14:paraId="0000001F" w14:textId="77777777" w:rsidR="00D272B2" w:rsidRDefault="00D272B2">
      <w:pPr>
        <w:spacing w:line="360" w:lineRule="auto"/>
        <w:rPr>
          <w:sz w:val="24"/>
          <w:szCs w:val="24"/>
        </w:rPr>
      </w:pPr>
    </w:p>
    <w:p w14:paraId="00000020" w14:textId="77777777" w:rsidR="00D272B2" w:rsidRDefault="00153B32">
      <w:r>
        <w:rPr>
          <w:b/>
          <w:bCs/>
          <w:sz w:val="24"/>
          <w:szCs w:val="24"/>
        </w:rPr>
        <w:t>The substantive postcard information</w:t>
      </w:r>
    </w:p>
    <w:p w14:paraId="00000021" w14:textId="77777777" w:rsidR="00D272B2" w:rsidRDefault="00D272B2">
      <w:pPr>
        <w:spacing w:line="360" w:lineRule="auto"/>
        <w:rPr>
          <w:sz w:val="24"/>
          <w:szCs w:val="24"/>
        </w:rPr>
      </w:pPr>
    </w:p>
    <w:p w14:paraId="00000022" w14:textId="77777777" w:rsidR="00D272B2" w:rsidRDefault="00153B32">
      <w:pPr>
        <w:spacing w:line="360" w:lineRule="auto"/>
        <w:rPr>
          <w:sz w:val="24"/>
          <w:szCs w:val="24"/>
        </w:rPr>
      </w:pPr>
      <w:bookmarkStart w:id="4" w:name="_heading=h.ccw56fsjpvxn" w:colFirst="0" w:colLast="0"/>
      <w:bookmarkEnd w:id="4"/>
      <w:r>
        <w:rPr>
          <w:sz w:val="24"/>
          <w:szCs w:val="24"/>
        </w:rPr>
        <w:t xml:space="preserve">So, where postcard writers provided minimal information and factual accounts rather than relational quality discourse in response to the ‘tell us about your siblings’ prompt, what did they regard as significant information that researchers should know about their siblings or would be interested in?  </w:t>
      </w:r>
    </w:p>
    <w:p w14:paraId="00000023" w14:textId="77777777" w:rsidR="00D272B2" w:rsidRDefault="00153B32">
      <w:pPr>
        <w:spacing w:line="360" w:lineRule="auto"/>
        <w:ind w:firstLine="720"/>
        <w:rPr>
          <w:sz w:val="24"/>
          <w:szCs w:val="24"/>
        </w:rPr>
      </w:pPr>
      <w:r>
        <w:rPr>
          <w:sz w:val="24"/>
          <w:szCs w:val="24"/>
        </w:rPr>
        <w:lastRenderedPageBreak/>
        <w:t>Unsurprisingly information about family was a key feature of the non-relationally framed postcards, with 89.7 percent of writers referring to family structure, form of sibling relatedness (e.g. biological, step, half, social), and/or sibling birth order.  The information about family structure was the greater proportion of the broad category of family information (77.3 percent). This information was not necessarily about the siblings’ childhood family type (raised by the same parents, their parents separating, etc.).  Rather, where postcard writers had adult siblings, 69.3 percent thought it important to provide information about the family form in which their siblings now lived (partnership status and any children), as against 41.4 percent referring to shared or different upbringing.  For example No. 66 (female, age 12) confined her description of her older sister to a basic: ‘</w:t>
      </w:r>
      <w:r>
        <w:rPr>
          <w:i/>
          <w:iCs/>
          <w:sz w:val="24"/>
          <w:szCs w:val="24"/>
        </w:rPr>
        <w:t>She is mother to a little girl</w:t>
      </w:r>
      <w:r>
        <w:rPr>
          <w:sz w:val="24"/>
          <w:szCs w:val="24"/>
        </w:rPr>
        <w:t>’, while No. 234 (male, age 58) fleshed out the picture of his two younger sisters in a similarly here-and-now descriptive framing focused on the sibling rather than the writer’s relationship with them: ‘</w:t>
      </w:r>
      <w:r>
        <w:rPr>
          <w:i/>
          <w:iCs/>
          <w:sz w:val="24"/>
          <w:szCs w:val="24"/>
        </w:rPr>
        <w:t>Married and has been living in Australia since 1977, with two grown up children and three grandchildren. Will celebrate her ruby wedding anniversary next year and has recently retired</w:t>
      </w:r>
      <w:r>
        <w:rPr>
          <w:sz w:val="24"/>
          <w:szCs w:val="24"/>
        </w:rPr>
        <w:t>’ and ‘</w:t>
      </w:r>
      <w:r>
        <w:rPr>
          <w:i/>
          <w:iCs/>
          <w:sz w:val="24"/>
          <w:szCs w:val="24"/>
        </w:rPr>
        <w:t>Single and living in Australia since 1979, emigrated with my mother, following the death of my father in 1970. She is an accountant</w:t>
      </w:r>
      <w:r>
        <w:rPr>
          <w:sz w:val="24"/>
          <w:szCs w:val="24"/>
        </w:rPr>
        <w:t xml:space="preserve">’. </w:t>
      </w:r>
    </w:p>
    <w:p w14:paraId="00000024" w14:textId="77777777" w:rsidR="00D272B2" w:rsidRDefault="00153B32">
      <w:pPr>
        <w:spacing w:line="360" w:lineRule="auto"/>
        <w:ind w:firstLine="720"/>
        <w:rPr>
          <w:sz w:val="24"/>
          <w:szCs w:val="24"/>
        </w:rPr>
      </w:pPr>
      <w:r>
        <w:rPr>
          <w:sz w:val="24"/>
          <w:szCs w:val="24"/>
        </w:rPr>
        <w:t xml:space="preserve">The higher percentage mentioning family structure in the here-and-now for their siblings rather than referring to the past was consistent across the age cohorts and gender.  This subject, as one that writers judged important for researchers to know about their siblings’ circumstances, provides an interesting counterpoint to the sibling literature which rarely address this topic beyond its meaning in the context of the sibling relationship.  It is in some contrast with the prominence given to the immediate or </w:t>
      </w:r>
      <w:proofErr w:type="gramStart"/>
      <w:r>
        <w:rPr>
          <w:sz w:val="24"/>
          <w:szCs w:val="24"/>
        </w:rPr>
        <w:t>longer term</w:t>
      </w:r>
      <w:proofErr w:type="gramEnd"/>
      <w:r>
        <w:rPr>
          <w:sz w:val="24"/>
          <w:szCs w:val="24"/>
        </w:rPr>
        <w:t xml:space="preserve"> effects of family structures in childhood, or alternatively to a focus on parental care relationships in adulthood (e.g. Mostafa et al., 2018; Savell et al., 2022; Stuifbergen et al., 2008).  A focus on the here-and-now for their siblings was also evident in the next most common feature of the minimal and factual topics conveyed by postcard writers.</w:t>
      </w:r>
    </w:p>
    <w:p w14:paraId="00000025" w14:textId="77777777" w:rsidR="00D272B2" w:rsidRDefault="00153B32">
      <w:pPr>
        <w:spacing w:line="360" w:lineRule="auto"/>
        <w:rPr>
          <w:sz w:val="24"/>
          <w:szCs w:val="24"/>
        </w:rPr>
      </w:pPr>
      <w:r>
        <w:rPr>
          <w:color w:val="0070C0"/>
          <w:sz w:val="24"/>
          <w:szCs w:val="24"/>
        </w:rPr>
        <w:tab/>
      </w:r>
      <w:r>
        <w:rPr>
          <w:sz w:val="24"/>
          <w:szCs w:val="24"/>
        </w:rPr>
        <w:t xml:space="preserve">Postcard writer No. 234, quoted above, also thought that his sisters’ geographical location was noteworthy.  Where siblings were born and raised in childhood, where they have lived and are living in adulthood, was regarded as significant across all the cohorts, with the gender distribution reflecting the minimal and factual postcard data sub-set as a whole.  As with family structure, this information largely focused on the here-and-now.  Adult postcard </w:t>
      </w:r>
      <w:r>
        <w:rPr>
          <w:sz w:val="24"/>
          <w:szCs w:val="24"/>
        </w:rPr>
        <w:lastRenderedPageBreak/>
        <w:t xml:space="preserve">writers who mentioned geographical location were far more attentive to providing this information for adulthood than in childhood (72 percent or higher) as a feature of their siblings’ circumstances.  Again, this is as distinct from sibling research focusing on relationally framed outcomes and everyday processes.  Writer No. 239 (female, age 59) covered both childhood and adulthood outside of a relational framing, noting about her older brother: </w:t>
      </w:r>
    </w:p>
    <w:p w14:paraId="00000026" w14:textId="77777777" w:rsidR="00D272B2" w:rsidRDefault="00153B32">
      <w:pPr>
        <w:spacing w:line="360" w:lineRule="auto"/>
        <w:ind w:left="720"/>
        <w:rPr>
          <w:i/>
          <w:iCs/>
          <w:sz w:val="24"/>
          <w:szCs w:val="24"/>
        </w:rPr>
      </w:pPr>
      <w:r>
        <w:rPr>
          <w:i/>
          <w:iCs/>
          <w:sz w:val="24"/>
          <w:szCs w:val="24"/>
        </w:rPr>
        <w:t xml:space="preserve">My brother was brought up with me by both our parents in London. He failed his 11+ but later managed to go to </w:t>
      </w:r>
      <w:proofErr w:type="gramStart"/>
      <w:r>
        <w:rPr>
          <w:i/>
          <w:iCs/>
          <w:sz w:val="24"/>
          <w:szCs w:val="24"/>
        </w:rPr>
        <w:t>University</w:t>
      </w:r>
      <w:proofErr w:type="gramEnd"/>
      <w:r>
        <w:rPr>
          <w:i/>
          <w:iCs/>
          <w:sz w:val="24"/>
          <w:szCs w:val="24"/>
        </w:rPr>
        <w:t xml:space="preserve"> and became an electrical engineer. He left home at 18 and did a few jobs before deciding he would get a degree. At approx 25 he married and emigrated first to Canada and then to the USA. He started his own business and had 4 children. </w:t>
      </w:r>
      <w:proofErr w:type="gramStart"/>
      <w:r>
        <w:rPr>
          <w:i/>
          <w:iCs/>
          <w:sz w:val="24"/>
          <w:szCs w:val="24"/>
        </w:rPr>
        <w:t>Sadly</w:t>
      </w:r>
      <w:proofErr w:type="gramEnd"/>
      <w:r>
        <w:rPr>
          <w:i/>
          <w:iCs/>
          <w:sz w:val="24"/>
          <w:szCs w:val="24"/>
        </w:rPr>
        <w:t xml:space="preserve"> he died at the age of 50 from a malignant brain tumour.</w:t>
      </w:r>
    </w:p>
    <w:p w14:paraId="00000027" w14:textId="77777777" w:rsidR="00D272B2" w:rsidRDefault="00153B32">
      <w:pPr>
        <w:spacing w:line="360" w:lineRule="auto"/>
        <w:rPr>
          <w:sz w:val="24"/>
          <w:szCs w:val="24"/>
        </w:rPr>
      </w:pPr>
      <w:r>
        <w:rPr>
          <w:sz w:val="24"/>
          <w:szCs w:val="24"/>
        </w:rPr>
        <w:tab/>
        <w:t>Resonating with geographical location, leaving or remaining in the parental home was a third significant topic for postcard writers.  This predominantly involved recording the age at which a sibling left home (72.7 percent</w:t>
      </w:r>
      <w:proofErr w:type="gramStart"/>
      <w:r>
        <w:rPr>
          <w:sz w:val="24"/>
          <w:szCs w:val="24"/>
        </w:rPr>
        <w:t>), but</w:t>
      </w:r>
      <w:proofErr w:type="gramEnd"/>
      <w:r>
        <w:rPr>
          <w:sz w:val="24"/>
          <w:szCs w:val="24"/>
        </w:rPr>
        <w:t xml:space="preserve"> also mentioned was a sibling returning home again having left (17.3 percent) or having never left home (10 percent).  While age is a feature of the much analysed implications of sibling status birth order, and while postcard writers overwhelmingly listed their siblings in age order (see Writer No. 6 below for an exception), the postcard accounts indicate a pivotal significance for siblings’ age of leaving or still staying at home that deserves further investigation in terms of what is being conveyed about the sibling as a person.  Writer No. 525 (female, age 26) had five older siblings, all of whom bar one she would likely have experienced leaving home before her.  She provided a factual account of this that was not relationally framed:</w:t>
      </w:r>
    </w:p>
    <w:p w14:paraId="00000028" w14:textId="77777777" w:rsidR="00D272B2" w:rsidRDefault="00153B32">
      <w:pPr>
        <w:spacing w:line="360" w:lineRule="auto"/>
        <w:ind w:left="720"/>
        <w:rPr>
          <w:i/>
          <w:iCs/>
          <w:sz w:val="24"/>
          <w:szCs w:val="24"/>
        </w:rPr>
      </w:pPr>
      <w:r>
        <w:rPr>
          <w:i/>
          <w:iCs/>
          <w:sz w:val="24"/>
          <w:szCs w:val="24"/>
        </w:rPr>
        <w:t xml:space="preserve">[Oldest sister] Left home at the age of 26. Has 2 </w:t>
      </w:r>
      <w:proofErr w:type="gramStart"/>
      <w:r>
        <w:rPr>
          <w:i/>
          <w:iCs/>
          <w:sz w:val="24"/>
          <w:szCs w:val="24"/>
        </w:rPr>
        <w:t>children, and</w:t>
      </w:r>
      <w:proofErr w:type="gramEnd"/>
      <w:r>
        <w:rPr>
          <w:i/>
          <w:iCs/>
          <w:sz w:val="24"/>
          <w:szCs w:val="24"/>
        </w:rPr>
        <w:t xml:space="preserve"> has recently returned to education and is doing a degree in fashion design. Lives in B'ham {Birmingham}.  [Older sister] Left home at the age of 27. Is a housewife and has three children. Lives in Leicester.  [Older brother] Is a business consultant and left home at the age of 18. Lives in Worcester.  [Older sister] Is a Primary school teacher. Left Home at the age of 28. Has two children and lives in B'ham.  [Older sister] Is still living at home. Is a Health Psychologist. Lives in B'ham.</w:t>
      </w:r>
    </w:p>
    <w:p w14:paraId="00000029" w14:textId="77777777" w:rsidR="00D272B2" w:rsidRDefault="00153B32">
      <w:pPr>
        <w:spacing w:line="360" w:lineRule="auto"/>
        <w:ind w:firstLine="720"/>
        <w:rPr>
          <w:sz w:val="24"/>
          <w:szCs w:val="24"/>
        </w:rPr>
      </w:pPr>
      <w:r>
        <w:rPr>
          <w:sz w:val="24"/>
          <w:szCs w:val="24"/>
        </w:rPr>
        <w:t xml:space="preserve">A geography of sibship and how where brothers and sisters live can be significant for each other is a muted feature of sibling research.  Where it is addressed, it tends to be preoccupied with sibling conflict or with provision of care to ageing parents (e.g. Hamwey et al., </w:t>
      </w:r>
      <w:r>
        <w:rPr>
          <w:sz w:val="24"/>
          <w:szCs w:val="24"/>
        </w:rPr>
        <w:lastRenderedPageBreak/>
        <w:t xml:space="preserve">2019; van den Broek &amp; Dykstra, 2017), albeit some in-depth sociological work has explored place and community as an element in sibling relationships (e.g. Edwards et al., 2006).  Why siblings’ geographical movements over time and the age of movement </w:t>
      </w:r>
      <w:proofErr w:type="gramStart"/>
      <w:r>
        <w:rPr>
          <w:sz w:val="24"/>
          <w:szCs w:val="24"/>
        </w:rPr>
        <w:t>is</w:t>
      </w:r>
      <w:proofErr w:type="gramEnd"/>
      <w:r>
        <w:rPr>
          <w:sz w:val="24"/>
          <w:szCs w:val="24"/>
        </w:rPr>
        <w:t xml:space="preserve"> a topic that postcard writers feel should be conveyed to researchers as an important non-relationally framed part of their ‘temporal convoy’ (Gillis, 1997) requires investigation. </w:t>
      </w:r>
    </w:p>
    <w:p w14:paraId="0000002A" w14:textId="77777777" w:rsidR="00D272B2" w:rsidRDefault="00153B32">
      <w:pPr>
        <w:spacing w:line="360" w:lineRule="auto"/>
        <w:ind w:firstLine="720"/>
        <w:rPr>
          <w:sz w:val="24"/>
          <w:szCs w:val="24"/>
        </w:rPr>
      </w:pPr>
      <w:r>
        <w:rPr>
          <w:sz w:val="24"/>
          <w:szCs w:val="24"/>
        </w:rPr>
        <w:t>A less significant feature of the postcard writers’ ideas about what researchers should know about their siblings concerns the category of ‘work’.  The information provided by the 45 percent of writers that we gathered into this broad grouping encompassed a sibling being: self-employed or employed, often referencing the job, profession or service; retired; a housewife and caring for children; unemployed; and aspirations for employment.  Postcard writers addressing this subject largely reflect the age cohort and gender profile of the data sub-set.  Examples are Writers No. 275 (male, age 28) and No. 6 (female, age 86) respectively, each of whom provided basic and minimal ‘here-and-now’ sibling descriptions:</w:t>
      </w:r>
    </w:p>
    <w:p w14:paraId="0000002B" w14:textId="77777777" w:rsidR="00D272B2" w:rsidRDefault="00153B32">
      <w:pPr>
        <w:spacing w:line="360" w:lineRule="auto"/>
        <w:ind w:left="720"/>
        <w:rPr>
          <w:i/>
          <w:iCs/>
          <w:sz w:val="24"/>
          <w:szCs w:val="24"/>
        </w:rPr>
      </w:pPr>
      <w:r>
        <w:rPr>
          <w:i/>
          <w:iCs/>
          <w:sz w:val="24"/>
          <w:szCs w:val="24"/>
        </w:rPr>
        <w:t xml:space="preserve">[Younger </w:t>
      </w:r>
      <w:proofErr w:type="gramStart"/>
      <w:r>
        <w:rPr>
          <w:i/>
          <w:iCs/>
          <w:sz w:val="24"/>
          <w:szCs w:val="24"/>
        </w:rPr>
        <w:t>brother]  Married</w:t>
      </w:r>
      <w:proofErr w:type="gramEnd"/>
      <w:r>
        <w:rPr>
          <w:i/>
          <w:iCs/>
          <w:sz w:val="24"/>
          <w:szCs w:val="24"/>
        </w:rPr>
        <w:t>, 1 Son. Live in Sheffield. Work as steelwork maintenance manager. Enjoy football &amp; music.</w:t>
      </w:r>
    </w:p>
    <w:p w14:paraId="0000002C" w14:textId="77777777" w:rsidR="00D272B2" w:rsidRDefault="00153B32">
      <w:pPr>
        <w:spacing w:line="360" w:lineRule="auto"/>
        <w:ind w:left="720"/>
        <w:rPr>
          <w:i/>
          <w:iCs/>
          <w:sz w:val="24"/>
          <w:szCs w:val="24"/>
        </w:rPr>
      </w:pPr>
      <w:r>
        <w:rPr>
          <w:i/>
          <w:iCs/>
          <w:sz w:val="24"/>
          <w:szCs w:val="24"/>
        </w:rPr>
        <w:t xml:space="preserve">[Oldest </w:t>
      </w:r>
      <w:proofErr w:type="gramStart"/>
      <w:r>
        <w:rPr>
          <w:i/>
          <w:iCs/>
          <w:sz w:val="24"/>
          <w:szCs w:val="24"/>
        </w:rPr>
        <w:t>brother]  Worked</w:t>
      </w:r>
      <w:proofErr w:type="gramEnd"/>
      <w:r>
        <w:rPr>
          <w:i/>
          <w:iCs/>
          <w:sz w:val="24"/>
          <w:szCs w:val="24"/>
        </w:rPr>
        <w:t xml:space="preserve"> on a </w:t>
      </w:r>
      <w:proofErr w:type="gramStart"/>
      <w:r>
        <w:rPr>
          <w:i/>
          <w:iCs/>
          <w:sz w:val="24"/>
          <w:szCs w:val="24"/>
        </w:rPr>
        <w:t>farm  [</w:t>
      </w:r>
      <w:proofErr w:type="gramEnd"/>
      <w:r>
        <w:rPr>
          <w:i/>
          <w:iCs/>
          <w:sz w:val="24"/>
          <w:szCs w:val="24"/>
        </w:rPr>
        <w:t xml:space="preserve">Older </w:t>
      </w:r>
      <w:proofErr w:type="gramStart"/>
      <w:r>
        <w:rPr>
          <w:i/>
          <w:iCs/>
          <w:sz w:val="24"/>
          <w:szCs w:val="24"/>
        </w:rPr>
        <w:t>brother]  Army</w:t>
      </w:r>
      <w:proofErr w:type="gramEnd"/>
      <w:r>
        <w:rPr>
          <w:i/>
          <w:iCs/>
          <w:sz w:val="24"/>
          <w:szCs w:val="24"/>
        </w:rPr>
        <w:t xml:space="preserve">  [Older </w:t>
      </w:r>
      <w:proofErr w:type="gramStart"/>
      <w:r>
        <w:rPr>
          <w:i/>
          <w:iCs/>
          <w:sz w:val="24"/>
          <w:szCs w:val="24"/>
        </w:rPr>
        <w:t>brother]  Worked</w:t>
      </w:r>
      <w:proofErr w:type="gramEnd"/>
      <w:r>
        <w:rPr>
          <w:i/>
          <w:iCs/>
          <w:sz w:val="24"/>
          <w:szCs w:val="24"/>
        </w:rPr>
        <w:t xml:space="preserve"> on a farm/</w:t>
      </w:r>
      <w:proofErr w:type="gramStart"/>
      <w:r>
        <w:rPr>
          <w:i/>
          <w:iCs/>
          <w:sz w:val="24"/>
          <w:szCs w:val="24"/>
        </w:rPr>
        <w:t>Army  [</w:t>
      </w:r>
      <w:proofErr w:type="gramEnd"/>
      <w:r>
        <w:rPr>
          <w:i/>
          <w:iCs/>
          <w:sz w:val="24"/>
          <w:szCs w:val="24"/>
        </w:rPr>
        <w:t xml:space="preserve">Younger </w:t>
      </w:r>
      <w:proofErr w:type="gramStart"/>
      <w:r>
        <w:rPr>
          <w:i/>
          <w:iCs/>
          <w:sz w:val="24"/>
          <w:szCs w:val="24"/>
        </w:rPr>
        <w:t>brother]  Killed</w:t>
      </w:r>
      <w:proofErr w:type="gramEnd"/>
      <w:r>
        <w:rPr>
          <w:i/>
          <w:iCs/>
          <w:sz w:val="24"/>
          <w:szCs w:val="24"/>
        </w:rPr>
        <w:t xml:space="preserve"> in the Second World </w:t>
      </w:r>
      <w:proofErr w:type="gramStart"/>
      <w:r>
        <w:rPr>
          <w:i/>
          <w:iCs/>
          <w:sz w:val="24"/>
          <w:szCs w:val="24"/>
        </w:rPr>
        <w:t>War  [</w:t>
      </w:r>
      <w:proofErr w:type="gramEnd"/>
      <w:r>
        <w:rPr>
          <w:i/>
          <w:iCs/>
          <w:sz w:val="24"/>
          <w:szCs w:val="24"/>
        </w:rPr>
        <w:t xml:space="preserve">Younger </w:t>
      </w:r>
      <w:proofErr w:type="gramStart"/>
      <w:r>
        <w:rPr>
          <w:i/>
          <w:iCs/>
          <w:sz w:val="24"/>
          <w:szCs w:val="24"/>
        </w:rPr>
        <w:t>brother]  Labourer</w:t>
      </w:r>
      <w:proofErr w:type="gramEnd"/>
      <w:r>
        <w:rPr>
          <w:i/>
          <w:iCs/>
          <w:sz w:val="24"/>
          <w:szCs w:val="24"/>
        </w:rPr>
        <w:t xml:space="preserve">  [Older </w:t>
      </w:r>
      <w:proofErr w:type="gramStart"/>
      <w:r>
        <w:rPr>
          <w:i/>
          <w:iCs/>
          <w:sz w:val="24"/>
          <w:szCs w:val="24"/>
        </w:rPr>
        <w:t>sister]  Housewife</w:t>
      </w:r>
      <w:proofErr w:type="gramEnd"/>
    </w:p>
    <w:p w14:paraId="0000002D" w14:textId="77777777" w:rsidR="00D272B2" w:rsidRDefault="00153B32">
      <w:pPr>
        <w:spacing w:line="360" w:lineRule="auto"/>
        <w:rPr>
          <w:sz w:val="24"/>
          <w:szCs w:val="24"/>
        </w:rPr>
      </w:pPr>
      <w:r>
        <w:rPr>
          <w:sz w:val="24"/>
          <w:szCs w:val="24"/>
        </w:rPr>
        <w:t xml:space="preserve">Mention of education and qualifications (36.9 percent) often did relate to siblings’ childhood of course, but again, where postcard writers and their siblings were adults, this was more often about their adulthood.  Sibling education-related circumstances covered types of school, exams, subjects being studied, level of studies, as well as being uneducated.  </w:t>
      </w:r>
    </w:p>
    <w:p w14:paraId="0000002E" w14:textId="77777777" w:rsidR="00D272B2" w:rsidRDefault="00153B32">
      <w:pPr>
        <w:spacing w:line="360" w:lineRule="auto"/>
        <w:ind w:firstLine="720"/>
        <w:rPr>
          <w:sz w:val="24"/>
          <w:szCs w:val="24"/>
        </w:rPr>
      </w:pPr>
      <w:r>
        <w:rPr>
          <w:sz w:val="24"/>
          <w:szCs w:val="24"/>
        </w:rPr>
        <w:t xml:space="preserve">Other topics were mentioned in around a tenth or less of the postcards.  Death of a sibling or in the sibling’s own family (11.8 percent) might refer to childhood or adulthood of both the postcard writer and the relevant sibling.  Physical and personality characteristics and interests (10.3 per cent) were mainly mentioned by the two younger generations, and ranged from body height to artistic traits, hobbies and sport.  This may reflect generational concerns about peer evaluation either as age or as cohort, or simply the setting for postcard completion (e.g. school).  Lesser topics included housing tenure and standard of accommodation, especially in the younger two cohorts’ accounts (6.3 percent); siblings’ good health or illness (5.1 </w:t>
      </w:r>
      <w:r>
        <w:rPr>
          <w:sz w:val="24"/>
          <w:szCs w:val="24"/>
        </w:rPr>
        <w:lastRenderedPageBreak/>
        <w:t>percent); and the sibling’s pets (1.1 percent).  A few postcard writers named their siblings (1.8 percent) and where this was the case it was only women who did so, perhaps reflecting gendered intimacy norms.</w:t>
      </w:r>
    </w:p>
    <w:p w14:paraId="0000002F" w14:textId="77777777" w:rsidR="00D272B2" w:rsidRDefault="00153B32">
      <w:pPr>
        <w:spacing w:line="360" w:lineRule="auto"/>
        <w:ind w:firstLine="720"/>
        <w:rPr>
          <w:sz w:val="24"/>
          <w:szCs w:val="24"/>
        </w:rPr>
      </w:pPr>
      <w:r>
        <w:rPr>
          <w:sz w:val="24"/>
          <w:szCs w:val="24"/>
        </w:rPr>
        <w:t xml:space="preserve">In our Conclusion below, we reflect on the sort of contribution that this data sub-set and its analysis </w:t>
      </w:r>
      <w:proofErr w:type="gramStart"/>
      <w:r>
        <w:rPr>
          <w:sz w:val="24"/>
          <w:szCs w:val="24"/>
        </w:rPr>
        <w:t>makes</w:t>
      </w:r>
      <w:proofErr w:type="gramEnd"/>
      <w:r>
        <w:rPr>
          <w:sz w:val="24"/>
          <w:szCs w:val="24"/>
        </w:rPr>
        <w:t xml:space="preserve"> to research on </w:t>
      </w:r>
      <w:proofErr w:type="gramStart"/>
      <w:r>
        <w:rPr>
          <w:sz w:val="24"/>
          <w:szCs w:val="24"/>
        </w:rPr>
        <w:t>siblings, and</w:t>
      </w:r>
      <w:proofErr w:type="gramEnd"/>
      <w:r>
        <w:rPr>
          <w:sz w:val="24"/>
          <w:szCs w:val="24"/>
        </w:rPr>
        <w:t xml:space="preserve"> consider the possibilities of utilising postcard exercises as an intentional data generation method in family research.</w:t>
      </w:r>
    </w:p>
    <w:p w14:paraId="00000030" w14:textId="77777777" w:rsidR="00D272B2" w:rsidRDefault="00D272B2">
      <w:pPr>
        <w:spacing w:line="360" w:lineRule="auto"/>
        <w:rPr>
          <w:sz w:val="24"/>
          <w:szCs w:val="24"/>
        </w:rPr>
      </w:pPr>
    </w:p>
    <w:p w14:paraId="00000031" w14:textId="77777777" w:rsidR="00D272B2" w:rsidRDefault="00153B32">
      <w:pPr>
        <w:spacing w:line="360" w:lineRule="auto"/>
        <w:rPr>
          <w:b/>
          <w:bCs/>
          <w:sz w:val="24"/>
          <w:szCs w:val="24"/>
        </w:rPr>
      </w:pPr>
      <w:r>
        <w:rPr>
          <w:b/>
          <w:bCs/>
          <w:sz w:val="24"/>
          <w:szCs w:val="24"/>
        </w:rPr>
        <w:t>Conclusion</w:t>
      </w:r>
    </w:p>
    <w:p w14:paraId="00000032" w14:textId="77777777" w:rsidR="00D272B2" w:rsidRDefault="00D272B2">
      <w:pPr>
        <w:spacing w:line="360" w:lineRule="auto"/>
        <w:rPr>
          <w:b/>
          <w:bCs/>
          <w:sz w:val="24"/>
          <w:szCs w:val="24"/>
        </w:rPr>
      </w:pPr>
    </w:p>
    <w:p w14:paraId="00000033" w14:textId="77777777" w:rsidR="00D272B2" w:rsidRDefault="00153B32">
      <w:pPr>
        <w:spacing w:line="360" w:lineRule="auto"/>
        <w:rPr>
          <w:sz w:val="24"/>
          <w:szCs w:val="24"/>
        </w:rPr>
      </w:pPr>
      <w:r>
        <w:rPr>
          <w:sz w:val="24"/>
          <w:szCs w:val="24"/>
        </w:rPr>
        <w:t>Our discussion above has drawn on our repurposing of postcard entries written about siblings that were submitted to a public engagement exercise.  We organised the sibling postcard data by age cohort and gender.  We identified two framings of responses in the data set as a whole: the relational and the non-relational.  We undertook a surface thematic analysis of the latter, minimal and factual postcard submissions, which is the basis for this research note.</w:t>
      </w:r>
    </w:p>
    <w:p w14:paraId="00000034" w14:textId="77777777" w:rsidR="00D272B2" w:rsidRDefault="00153B32">
      <w:pPr>
        <w:spacing w:line="360" w:lineRule="auto"/>
        <w:ind w:firstLine="720"/>
        <w:rPr>
          <w:sz w:val="24"/>
          <w:szCs w:val="24"/>
        </w:rPr>
      </w:pPr>
      <w:proofErr w:type="gramStart"/>
      <w:r>
        <w:rPr>
          <w:sz w:val="24"/>
          <w:szCs w:val="24"/>
        </w:rPr>
        <w:t>All of</w:t>
      </w:r>
      <w:proofErr w:type="gramEnd"/>
      <w:r>
        <w:rPr>
          <w:sz w:val="24"/>
          <w:szCs w:val="24"/>
        </w:rPr>
        <w:t xml:space="preserve"> the substantive topics in the minimal and factual data sub-set of postcards – those mentioned by large majorities as well as the minority appearances; those by children and adult writers and written about child and adult siblings – were responses to an open written question to ‘tell us about your brothers and sisters’.  While </w:t>
      </w:r>
      <w:proofErr w:type="gramStart"/>
      <w:r>
        <w:rPr>
          <w:sz w:val="24"/>
          <w:szCs w:val="24"/>
        </w:rPr>
        <w:t>the majority of</w:t>
      </w:r>
      <w:proofErr w:type="gramEnd"/>
      <w:r>
        <w:rPr>
          <w:sz w:val="24"/>
          <w:szCs w:val="24"/>
        </w:rPr>
        <w:t xml:space="preserve"> postcard writers in the public engagement exercise interpreted their responses to the question as requiring an explanation of the quality of their relationship with their siblings (not addressed here), the non-relationally framed written responses did not.  Rather, these latter writers focused on </w:t>
      </w:r>
      <w:proofErr w:type="gramStart"/>
      <w:r>
        <w:rPr>
          <w:sz w:val="24"/>
          <w:szCs w:val="24"/>
        </w:rPr>
        <w:t>factual information</w:t>
      </w:r>
      <w:proofErr w:type="gramEnd"/>
      <w:r>
        <w:rPr>
          <w:sz w:val="24"/>
          <w:szCs w:val="24"/>
        </w:rPr>
        <w:t xml:space="preserve"> about their siblings’ circumstances, largely in the here-and-now of their siblings’ lives.  This framing of the basic minimum that people think is significant for researchers to know about their siblings as individuals is distinct from the existing sibling literature.</w:t>
      </w:r>
    </w:p>
    <w:p w14:paraId="00000035" w14:textId="77777777" w:rsidR="00D272B2" w:rsidRDefault="00153B32">
      <w:pPr>
        <w:spacing w:after="0" w:line="360" w:lineRule="auto"/>
        <w:ind w:firstLine="720"/>
        <w:rPr>
          <w:sz w:val="24"/>
          <w:szCs w:val="24"/>
        </w:rPr>
      </w:pPr>
      <w:r>
        <w:rPr>
          <w:sz w:val="24"/>
          <w:szCs w:val="24"/>
        </w:rPr>
        <w:t xml:space="preserve">It is a framing that was unshaped by ongoing interaction with researchers beyond the initial, open, written question.  This is its strength and contribution to the existing sibling literature, providing an alternative or additional perspective to both developmental outcomes research and studies of sibling views.  The contribution is not only substantive; there is also the possibilities of the postcard exercise as an intentional data generation method.  This is a distinct approach and one of potential benefit for family research.  In our experience, the online </w:t>
      </w:r>
      <w:r>
        <w:rPr>
          <w:sz w:val="24"/>
          <w:szCs w:val="24"/>
        </w:rPr>
        <w:lastRenderedPageBreak/>
        <w:t>postcards facility in particular enables speedy reach and response – even more so with the growth in social media outlets than was available to us in 2008.  We can envisage the use of online postcard submission as an initial ‘co-productive’ phase in both outcome-based and relational process research projects, bringing people’s own ideas of significant knowledge into the research endeavour.  Entries to the postcard exercise could inform research perspectives on the substantive topics and framings before designing data generation methods and entry into the field.  In our own ongoing research studies, the minimal and factual sibling postcard data sub-set reminds us that research participants may wish to convey to researchers a sense of their siblings and family members as people outside of relationally framed perspectives alone.</w:t>
      </w:r>
    </w:p>
    <w:p w14:paraId="00000036" w14:textId="77777777" w:rsidR="00D272B2" w:rsidRDefault="00D272B2">
      <w:pPr>
        <w:spacing w:after="0" w:line="360" w:lineRule="auto"/>
        <w:rPr>
          <w:sz w:val="24"/>
          <w:szCs w:val="24"/>
        </w:rPr>
      </w:pPr>
    </w:p>
    <w:p w14:paraId="00000037" w14:textId="77777777" w:rsidR="00D272B2" w:rsidRDefault="00153B32">
      <w:pPr>
        <w:spacing w:after="0" w:line="360" w:lineRule="auto"/>
        <w:rPr>
          <w:b/>
          <w:bCs/>
          <w:sz w:val="24"/>
          <w:szCs w:val="24"/>
        </w:rPr>
      </w:pPr>
      <w:r>
        <w:rPr>
          <w:b/>
          <w:bCs/>
          <w:sz w:val="24"/>
          <w:szCs w:val="24"/>
        </w:rPr>
        <w:t>Data Availability</w:t>
      </w:r>
    </w:p>
    <w:p w14:paraId="00000038" w14:textId="77777777" w:rsidR="00D272B2" w:rsidRDefault="00153B32">
      <w:pPr>
        <w:spacing w:after="0" w:line="360" w:lineRule="auto"/>
        <w:rPr>
          <w:sz w:val="24"/>
          <w:szCs w:val="24"/>
        </w:rPr>
      </w:pPr>
      <w:r>
        <w:rPr>
          <w:sz w:val="24"/>
          <w:szCs w:val="24"/>
        </w:rPr>
        <w:t xml:space="preserve">The postcard data is available at: </w:t>
      </w:r>
      <w:r>
        <w:rPr>
          <w:i/>
          <w:iCs/>
          <w:sz w:val="24"/>
          <w:szCs w:val="24"/>
        </w:rPr>
        <w:t xml:space="preserve">Bill Bytheway, Susie Weller, Joanna Bornat, Rosalind Edwards (2026): The Sibling Postcard Exercise. University of Leeds. [Dataset] </w:t>
      </w:r>
      <w:hyperlink r:id="rId15">
        <w:r>
          <w:rPr>
            <w:i/>
            <w:iCs/>
            <w:color w:val="000000"/>
            <w:sz w:val="24"/>
            <w:szCs w:val="24"/>
            <w:u w:val="single"/>
          </w:rPr>
          <w:t>https://doi.org/10.23635/17</w:t>
        </w:r>
      </w:hyperlink>
    </w:p>
    <w:p w14:paraId="00000039" w14:textId="77777777" w:rsidR="00D272B2" w:rsidRDefault="00D272B2">
      <w:pPr>
        <w:spacing w:after="0" w:line="360" w:lineRule="auto"/>
        <w:rPr>
          <w:sz w:val="24"/>
          <w:szCs w:val="24"/>
        </w:rPr>
      </w:pPr>
    </w:p>
    <w:p w14:paraId="0000003A" w14:textId="77777777" w:rsidR="00D272B2" w:rsidRDefault="00D272B2">
      <w:pPr>
        <w:spacing w:after="0" w:line="360" w:lineRule="auto"/>
        <w:rPr>
          <w:sz w:val="24"/>
          <w:szCs w:val="24"/>
        </w:rPr>
      </w:pPr>
    </w:p>
    <w:p w14:paraId="0000003B" w14:textId="77777777" w:rsidR="00D272B2" w:rsidRDefault="00153B32">
      <w:pPr>
        <w:spacing w:after="0" w:line="360" w:lineRule="auto"/>
        <w:rPr>
          <w:b/>
          <w:bCs/>
          <w:sz w:val="24"/>
          <w:szCs w:val="24"/>
        </w:rPr>
      </w:pPr>
      <w:r>
        <w:rPr>
          <w:b/>
          <w:bCs/>
          <w:sz w:val="24"/>
          <w:szCs w:val="24"/>
        </w:rPr>
        <w:t>Acknowledgements</w:t>
      </w:r>
    </w:p>
    <w:p w14:paraId="0000003C" w14:textId="77777777" w:rsidR="00D272B2" w:rsidRDefault="00153B32">
      <w:pPr>
        <w:spacing w:after="0" w:line="360" w:lineRule="auto"/>
        <w:rPr>
          <w:sz w:val="24"/>
          <w:szCs w:val="24"/>
        </w:rPr>
      </w:pPr>
      <w:r>
        <w:rPr>
          <w:sz w:val="24"/>
          <w:szCs w:val="24"/>
        </w:rPr>
        <w:t xml:space="preserve">The original postcard public engagement exercise was funded by the UK’s Economic and Social Research Council’s Timescapes Initiative, under grant number RES 437 25 0003.  The authors received no funding for the Sibling Postcard analytic exercise reported here.  Our thanks to the editor and reviewers for their valuable comments, and to Andrea Riepl for help with the German version of our abstract.  The authors declare no conflict of interest.  </w:t>
      </w:r>
    </w:p>
    <w:p w14:paraId="0000003D" w14:textId="77777777" w:rsidR="00D272B2" w:rsidRDefault="00D272B2">
      <w:pPr>
        <w:spacing w:after="0" w:line="360" w:lineRule="auto"/>
        <w:rPr>
          <w:sz w:val="24"/>
          <w:szCs w:val="24"/>
        </w:rPr>
      </w:pPr>
    </w:p>
    <w:p w14:paraId="0000003E" w14:textId="77777777" w:rsidR="00D272B2" w:rsidRDefault="00D272B2">
      <w:pPr>
        <w:spacing w:line="360" w:lineRule="auto"/>
        <w:rPr>
          <w:sz w:val="24"/>
          <w:szCs w:val="24"/>
        </w:rPr>
      </w:pPr>
    </w:p>
    <w:p w14:paraId="0000003F" w14:textId="77777777" w:rsidR="00D272B2" w:rsidRDefault="00153B32">
      <w:pPr>
        <w:spacing w:line="360" w:lineRule="auto"/>
        <w:rPr>
          <w:b/>
          <w:bCs/>
          <w:sz w:val="24"/>
          <w:szCs w:val="24"/>
        </w:rPr>
      </w:pPr>
      <w:r>
        <w:rPr>
          <w:b/>
          <w:bCs/>
          <w:sz w:val="24"/>
          <w:szCs w:val="24"/>
        </w:rPr>
        <w:t>References</w:t>
      </w:r>
    </w:p>
    <w:p w14:paraId="39D66B09"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Azmitia, M. &amp; Hesser, J. (1993). Why siblings are important agents of cognitive development: a comparison of siblings and peers. </w:t>
      </w:r>
      <w:r w:rsidRPr="00A85BA6">
        <w:rPr>
          <w:rFonts w:eastAsia="Times New Roman"/>
          <w:i/>
          <w:iCs/>
          <w:color w:val="000000"/>
          <w:sz w:val="24"/>
          <w:szCs w:val="24"/>
        </w:rPr>
        <w:t xml:space="preserve">Child </w:t>
      </w:r>
      <w:r>
        <w:rPr>
          <w:rFonts w:eastAsia="Times New Roman"/>
          <w:i/>
          <w:iCs/>
          <w:color w:val="000000"/>
          <w:sz w:val="24"/>
          <w:szCs w:val="24"/>
        </w:rPr>
        <w:t>D</w:t>
      </w:r>
      <w:r w:rsidRPr="00A85BA6">
        <w:rPr>
          <w:rFonts w:eastAsia="Times New Roman"/>
          <w:i/>
          <w:iCs/>
          <w:color w:val="000000"/>
          <w:sz w:val="24"/>
          <w:szCs w:val="24"/>
        </w:rPr>
        <w:t>evelopment</w:t>
      </w:r>
      <w:r w:rsidRPr="00A85BA6">
        <w:rPr>
          <w:rFonts w:eastAsia="Times New Roman"/>
          <w:color w:val="000000"/>
          <w:sz w:val="24"/>
          <w:szCs w:val="24"/>
        </w:rPr>
        <w:t xml:space="preserve"> 64(2), 430-444.</w:t>
      </w:r>
      <w:r>
        <w:rPr>
          <w:rFonts w:eastAsia="Times New Roman"/>
          <w:color w:val="000000"/>
          <w:sz w:val="24"/>
          <w:szCs w:val="24"/>
        </w:rPr>
        <w:t xml:space="preserve"> </w:t>
      </w:r>
      <w:r w:rsidRPr="00DF5532">
        <w:rPr>
          <w:rFonts w:eastAsia="Times New Roman"/>
          <w:color w:val="000000"/>
          <w:sz w:val="24"/>
          <w:szCs w:val="24"/>
        </w:rPr>
        <w:t>https://doi.org/10.1111/j.1467-8624.1993.tb02919.x</w:t>
      </w:r>
    </w:p>
    <w:p w14:paraId="71D51C72"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Brannen, J. &amp; O’Brien, M. (1995). </w:t>
      </w:r>
      <w:r w:rsidRPr="00A85BA6">
        <w:rPr>
          <w:rFonts w:eastAsia="Times New Roman"/>
          <w:color w:val="333333"/>
          <w:sz w:val="24"/>
          <w:szCs w:val="24"/>
          <w:shd w:val="clear" w:color="auto" w:fill="FFFFFF"/>
        </w:rPr>
        <w:t xml:space="preserve">Childhood and the sociological gaze: paradigms and paradoxes. </w:t>
      </w:r>
      <w:r w:rsidRPr="00A85BA6">
        <w:rPr>
          <w:rFonts w:eastAsia="Times New Roman"/>
          <w:i/>
          <w:iCs/>
          <w:color w:val="333333"/>
          <w:sz w:val="24"/>
          <w:szCs w:val="24"/>
          <w:shd w:val="clear" w:color="auto" w:fill="FFFFFF"/>
        </w:rPr>
        <w:t>Sociology 29</w:t>
      </w:r>
      <w:r w:rsidRPr="00A85BA6">
        <w:rPr>
          <w:rFonts w:eastAsia="Times New Roman"/>
          <w:color w:val="333333"/>
          <w:sz w:val="24"/>
          <w:szCs w:val="24"/>
          <w:shd w:val="clear" w:color="auto" w:fill="FFFFFF"/>
        </w:rPr>
        <w:t xml:space="preserve">(4), 729-737. </w:t>
      </w:r>
      <w:hyperlink r:id="rId16" w:history="1">
        <w:r w:rsidRPr="00A85BA6">
          <w:rPr>
            <w:rFonts w:eastAsia="Times New Roman"/>
            <w:color w:val="046FF8"/>
            <w:sz w:val="24"/>
            <w:szCs w:val="24"/>
            <w:u w:val="single"/>
            <w:shd w:val="clear" w:color="auto" w:fill="FFFFFF"/>
          </w:rPr>
          <w:t>https://doi.org/10.1177/0038038595029004011</w:t>
        </w:r>
      </w:hyperlink>
    </w:p>
    <w:p w14:paraId="17B13C00"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lastRenderedPageBreak/>
        <w:t xml:space="preserve">Brannen, J., Bhopal, K. &amp; Heptinstall, E. (2000). </w:t>
      </w:r>
      <w:r w:rsidRPr="00A85BA6">
        <w:rPr>
          <w:rFonts w:eastAsia="Times New Roman"/>
          <w:i/>
          <w:iCs/>
          <w:color w:val="000000"/>
          <w:sz w:val="24"/>
          <w:szCs w:val="24"/>
        </w:rPr>
        <w:t xml:space="preserve">Connecting </w:t>
      </w:r>
      <w:r w:rsidRPr="00C20BE0">
        <w:rPr>
          <w:rFonts w:eastAsia="Times New Roman"/>
          <w:i/>
          <w:iCs/>
          <w:color w:val="000000"/>
          <w:sz w:val="24"/>
          <w:szCs w:val="24"/>
        </w:rPr>
        <w:t>c</w:t>
      </w:r>
      <w:r w:rsidRPr="00A85BA6">
        <w:rPr>
          <w:rFonts w:eastAsia="Times New Roman"/>
          <w:i/>
          <w:iCs/>
          <w:color w:val="000000"/>
          <w:sz w:val="24"/>
          <w:szCs w:val="24"/>
        </w:rPr>
        <w:t xml:space="preserve">hildren: Care and </w:t>
      </w:r>
      <w:r w:rsidRPr="00C20BE0">
        <w:rPr>
          <w:rFonts w:eastAsia="Times New Roman"/>
          <w:i/>
          <w:iCs/>
          <w:color w:val="000000"/>
          <w:sz w:val="24"/>
          <w:szCs w:val="24"/>
        </w:rPr>
        <w:t>f</w:t>
      </w:r>
      <w:r w:rsidRPr="00A85BA6">
        <w:rPr>
          <w:rFonts w:eastAsia="Times New Roman"/>
          <w:i/>
          <w:iCs/>
          <w:color w:val="000000"/>
          <w:sz w:val="24"/>
          <w:szCs w:val="24"/>
        </w:rPr>
        <w:t xml:space="preserve">amily </w:t>
      </w:r>
      <w:r w:rsidRPr="00C20BE0">
        <w:rPr>
          <w:rFonts w:eastAsia="Times New Roman"/>
          <w:i/>
          <w:iCs/>
          <w:color w:val="000000"/>
          <w:sz w:val="24"/>
          <w:szCs w:val="24"/>
        </w:rPr>
        <w:t>l</w:t>
      </w:r>
      <w:r w:rsidRPr="00A85BA6">
        <w:rPr>
          <w:rFonts w:eastAsia="Times New Roman"/>
          <w:i/>
          <w:iCs/>
          <w:color w:val="000000"/>
          <w:sz w:val="24"/>
          <w:szCs w:val="24"/>
        </w:rPr>
        <w:t xml:space="preserve">ife in </w:t>
      </w:r>
      <w:r>
        <w:rPr>
          <w:rFonts w:eastAsia="Times New Roman"/>
          <w:i/>
          <w:iCs/>
          <w:color w:val="000000"/>
          <w:sz w:val="24"/>
          <w:szCs w:val="24"/>
        </w:rPr>
        <w:t>l</w:t>
      </w:r>
      <w:r w:rsidRPr="00A85BA6">
        <w:rPr>
          <w:rFonts w:eastAsia="Times New Roman"/>
          <w:i/>
          <w:iCs/>
          <w:color w:val="000000"/>
          <w:sz w:val="24"/>
          <w:szCs w:val="24"/>
        </w:rPr>
        <w:t xml:space="preserve">ater </w:t>
      </w:r>
      <w:r>
        <w:rPr>
          <w:rFonts w:eastAsia="Times New Roman"/>
          <w:i/>
          <w:iCs/>
          <w:color w:val="000000"/>
          <w:sz w:val="24"/>
          <w:szCs w:val="24"/>
        </w:rPr>
        <w:t>c</w:t>
      </w:r>
      <w:r w:rsidRPr="00A85BA6">
        <w:rPr>
          <w:rFonts w:eastAsia="Times New Roman"/>
          <w:i/>
          <w:iCs/>
          <w:color w:val="000000"/>
          <w:sz w:val="24"/>
          <w:szCs w:val="24"/>
        </w:rPr>
        <w:t>hildhood.</w:t>
      </w:r>
      <w:r w:rsidRPr="00A85BA6">
        <w:rPr>
          <w:rFonts w:eastAsia="Times New Roman"/>
          <w:color w:val="000000"/>
          <w:sz w:val="24"/>
          <w:szCs w:val="24"/>
        </w:rPr>
        <w:t xml:space="preserve"> Routledge/Falmer.</w:t>
      </w:r>
      <w:r>
        <w:rPr>
          <w:rFonts w:eastAsia="Times New Roman"/>
          <w:color w:val="000000"/>
          <w:sz w:val="24"/>
          <w:szCs w:val="24"/>
        </w:rPr>
        <w:t xml:space="preserve"> </w:t>
      </w:r>
      <w:hyperlink r:id="rId17" w:history="1">
        <w:r w:rsidRPr="00560F6A">
          <w:rPr>
            <w:rStyle w:val="Hyperlink"/>
            <w:rFonts w:ascii="Arial" w:hAnsi="Arial" w:cs="Arial"/>
            <w:sz w:val="21"/>
            <w:szCs w:val="21"/>
            <w:shd w:val="clear" w:color="auto" w:fill="FFFFFF"/>
          </w:rPr>
          <w:t>https://doi.org/10.4324/9780203996355</w:t>
        </w:r>
      </w:hyperlink>
      <w:r>
        <w:rPr>
          <w:rFonts w:ascii="Arial" w:hAnsi="Arial" w:cs="Arial"/>
          <w:color w:val="474747"/>
          <w:sz w:val="21"/>
          <w:szCs w:val="21"/>
          <w:shd w:val="clear" w:color="auto" w:fill="FFFFFF"/>
        </w:rPr>
        <w:t xml:space="preserve"> </w:t>
      </w:r>
    </w:p>
    <w:p w14:paraId="055785C6"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British Academy (2019). </w:t>
      </w:r>
      <w:r w:rsidRPr="00A85BA6">
        <w:rPr>
          <w:rFonts w:eastAsia="Times New Roman"/>
          <w:i/>
          <w:iCs/>
          <w:color w:val="000000"/>
          <w:sz w:val="24"/>
          <w:szCs w:val="24"/>
        </w:rPr>
        <w:t xml:space="preserve">Reframing </w:t>
      </w:r>
      <w:r w:rsidRPr="00F5116F">
        <w:rPr>
          <w:rFonts w:eastAsia="Times New Roman"/>
          <w:i/>
          <w:iCs/>
          <w:color w:val="000000"/>
          <w:sz w:val="24"/>
          <w:szCs w:val="24"/>
        </w:rPr>
        <w:t>c</w:t>
      </w:r>
      <w:r w:rsidRPr="00A85BA6">
        <w:rPr>
          <w:rFonts w:eastAsia="Times New Roman"/>
          <w:i/>
          <w:iCs/>
          <w:color w:val="000000"/>
          <w:sz w:val="24"/>
          <w:szCs w:val="24"/>
        </w:rPr>
        <w:t xml:space="preserve">hildhood </w:t>
      </w:r>
      <w:r w:rsidRPr="00F5116F">
        <w:rPr>
          <w:rFonts w:eastAsia="Times New Roman"/>
          <w:i/>
          <w:iCs/>
          <w:color w:val="000000"/>
          <w:sz w:val="24"/>
          <w:szCs w:val="24"/>
        </w:rPr>
        <w:t>p</w:t>
      </w:r>
      <w:r w:rsidRPr="00A85BA6">
        <w:rPr>
          <w:rFonts w:eastAsia="Times New Roman"/>
          <w:i/>
          <w:iCs/>
          <w:color w:val="000000"/>
          <w:sz w:val="24"/>
          <w:szCs w:val="24"/>
        </w:rPr>
        <w:t xml:space="preserve">ast and </w:t>
      </w:r>
      <w:r w:rsidRPr="00F5116F">
        <w:rPr>
          <w:rFonts w:eastAsia="Times New Roman"/>
          <w:i/>
          <w:iCs/>
          <w:color w:val="000000"/>
          <w:sz w:val="24"/>
          <w:szCs w:val="24"/>
        </w:rPr>
        <w:t>pres</w:t>
      </w:r>
      <w:r w:rsidRPr="00A85BA6">
        <w:rPr>
          <w:rFonts w:eastAsia="Times New Roman"/>
          <w:i/>
          <w:iCs/>
          <w:color w:val="000000"/>
          <w:sz w:val="24"/>
          <w:szCs w:val="24"/>
        </w:rPr>
        <w:t>ent: Chronologies</w:t>
      </w:r>
      <w:r w:rsidRPr="00A85BA6">
        <w:rPr>
          <w:rFonts w:eastAsia="Times New Roman"/>
          <w:color w:val="000000"/>
          <w:sz w:val="24"/>
          <w:szCs w:val="24"/>
        </w:rPr>
        <w:t xml:space="preserve">. </w:t>
      </w:r>
      <w:hyperlink r:id="rId18" w:anchor=":~:text=The%20chronologies%20cover%20the%20following,and%20culture%2C%20media%20and%20technology" w:history="1">
        <w:r w:rsidRPr="00A85BA6">
          <w:rPr>
            <w:rFonts w:eastAsia="Times New Roman"/>
            <w:color w:val="000000"/>
            <w:sz w:val="24"/>
            <w:szCs w:val="24"/>
            <w:u w:val="single"/>
          </w:rPr>
          <w:t>https://www.thebritishacademy.ac.uk/publications/childhood-reframing-past-and-present-chronologies/#:~:text=The%20chronologies%20cover%20the%20following,and%20culture%2C%20media%20and%20technology</w:t>
        </w:r>
      </w:hyperlink>
      <w:r w:rsidRPr="00A85BA6">
        <w:rPr>
          <w:rFonts w:eastAsia="Times New Roman"/>
          <w:color w:val="000000"/>
          <w:sz w:val="24"/>
          <w:szCs w:val="24"/>
        </w:rPr>
        <w:t>. </w:t>
      </w:r>
    </w:p>
    <w:p w14:paraId="09B3B222"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Butera, K.J. (2016). Manhunt: the challenge of enticing men to participate in a study on friendship. </w:t>
      </w:r>
      <w:r w:rsidRPr="00A85BA6">
        <w:rPr>
          <w:rFonts w:eastAsia="Times New Roman"/>
          <w:i/>
          <w:iCs/>
          <w:color w:val="000000"/>
          <w:sz w:val="24"/>
          <w:szCs w:val="24"/>
        </w:rPr>
        <w:t>Qualitative Enquiry</w:t>
      </w:r>
      <w:r w:rsidRPr="00A85BA6">
        <w:rPr>
          <w:rFonts w:eastAsia="Times New Roman"/>
          <w:color w:val="000000"/>
          <w:sz w:val="24"/>
          <w:szCs w:val="24"/>
        </w:rPr>
        <w:t xml:space="preserve"> 12(6), 1262-1282.</w:t>
      </w:r>
      <w:r>
        <w:rPr>
          <w:rFonts w:eastAsia="Times New Roman"/>
          <w:color w:val="000000"/>
          <w:sz w:val="24"/>
          <w:szCs w:val="24"/>
        </w:rPr>
        <w:t xml:space="preserve"> </w:t>
      </w:r>
      <w:hyperlink r:id="rId19" w:history="1">
        <w:r w:rsidRPr="00560F6A">
          <w:rPr>
            <w:rStyle w:val="Hyperlink"/>
            <w:rFonts w:eastAsia="Times New Roman"/>
            <w:sz w:val="24"/>
            <w:szCs w:val="24"/>
          </w:rPr>
          <w:t>https://doi.org/10.1177/1077800406288634</w:t>
        </w:r>
      </w:hyperlink>
      <w:r>
        <w:rPr>
          <w:rFonts w:eastAsia="Times New Roman"/>
          <w:color w:val="000000"/>
          <w:sz w:val="24"/>
          <w:szCs w:val="24"/>
        </w:rPr>
        <w:t xml:space="preserve"> </w:t>
      </w:r>
    </w:p>
    <w:p w14:paraId="4DC5747A"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Bytheway, B., Weller, S., Bornat, J. &amp; Edwards, R. (2008). </w:t>
      </w:r>
      <w:r w:rsidRPr="00A85BA6">
        <w:rPr>
          <w:rFonts w:eastAsia="Times New Roman"/>
          <w:i/>
          <w:iCs/>
          <w:color w:val="000000"/>
          <w:sz w:val="24"/>
          <w:szCs w:val="24"/>
        </w:rPr>
        <w:t xml:space="preserve">Sisters and </w:t>
      </w:r>
      <w:r>
        <w:rPr>
          <w:rFonts w:eastAsia="Times New Roman"/>
          <w:i/>
          <w:iCs/>
          <w:color w:val="000000"/>
          <w:sz w:val="24"/>
          <w:szCs w:val="24"/>
        </w:rPr>
        <w:t>b</w:t>
      </w:r>
      <w:r w:rsidRPr="00A85BA6">
        <w:rPr>
          <w:rFonts w:eastAsia="Times New Roman"/>
          <w:i/>
          <w:iCs/>
          <w:color w:val="000000"/>
          <w:sz w:val="24"/>
          <w:szCs w:val="24"/>
        </w:rPr>
        <w:t>rothers: Results of a UK-</w:t>
      </w:r>
      <w:r>
        <w:rPr>
          <w:rFonts w:eastAsia="Times New Roman"/>
          <w:i/>
          <w:iCs/>
          <w:color w:val="000000"/>
          <w:sz w:val="24"/>
          <w:szCs w:val="24"/>
        </w:rPr>
        <w:t>w</w:t>
      </w:r>
      <w:r w:rsidRPr="00A85BA6">
        <w:rPr>
          <w:rFonts w:eastAsia="Times New Roman"/>
          <w:i/>
          <w:iCs/>
          <w:color w:val="000000"/>
          <w:sz w:val="24"/>
          <w:szCs w:val="24"/>
        </w:rPr>
        <w:t xml:space="preserve">ide </w:t>
      </w:r>
      <w:r>
        <w:rPr>
          <w:rFonts w:eastAsia="Times New Roman"/>
          <w:i/>
          <w:iCs/>
          <w:color w:val="000000"/>
          <w:sz w:val="24"/>
          <w:szCs w:val="24"/>
        </w:rPr>
        <w:t>p</w:t>
      </w:r>
      <w:r w:rsidRPr="00A85BA6">
        <w:rPr>
          <w:rFonts w:eastAsia="Times New Roman"/>
          <w:i/>
          <w:iCs/>
          <w:color w:val="000000"/>
          <w:sz w:val="24"/>
          <w:szCs w:val="24"/>
        </w:rPr>
        <w:t xml:space="preserve">ostcard </w:t>
      </w:r>
      <w:r>
        <w:rPr>
          <w:rFonts w:eastAsia="Times New Roman"/>
          <w:i/>
          <w:iCs/>
          <w:color w:val="000000"/>
          <w:sz w:val="24"/>
          <w:szCs w:val="24"/>
        </w:rPr>
        <w:t>e</w:t>
      </w:r>
      <w:r w:rsidRPr="00A85BA6">
        <w:rPr>
          <w:rFonts w:eastAsia="Times New Roman"/>
          <w:i/>
          <w:iCs/>
          <w:color w:val="000000"/>
          <w:sz w:val="24"/>
          <w:szCs w:val="24"/>
        </w:rPr>
        <w:t>xercise: ESRC Festival of Social Science 2008.</w:t>
      </w:r>
      <w:r w:rsidRPr="00A85BA6">
        <w:rPr>
          <w:rFonts w:eastAsia="Times New Roman"/>
          <w:color w:val="000000"/>
          <w:sz w:val="24"/>
          <w:szCs w:val="24"/>
        </w:rPr>
        <w:t xml:space="preserve"> </w:t>
      </w:r>
      <w:hyperlink r:id="rId20" w:history="1">
        <w:r w:rsidRPr="00A85BA6">
          <w:rPr>
            <w:rFonts w:eastAsia="Times New Roman"/>
            <w:color w:val="467886"/>
            <w:sz w:val="24"/>
            <w:szCs w:val="24"/>
            <w:u w:val="single"/>
          </w:rPr>
          <w:t>https://timescapes-archive.leeds.ac.uk/wp-content/uploads/sites/47/2020/07/Sister-and-Brothers-Report.pdf</w:t>
        </w:r>
      </w:hyperlink>
    </w:p>
    <w:p w14:paraId="2B125A04"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Davies, K. (2023). </w:t>
      </w:r>
      <w:r w:rsidRPr="00A85BA6">
        <w:rPr>
          <w:rFonts w:eastAsia="Times New Roman"/>
          <w:i/>
          <w:iCs/>
          <w:color w:val="000000"/>
          <w:sz w:val="24"/>
          <w:szCs w:val="24"/>
        </w:rPr>
        <w:t xml:space="preserve">Siblings and </w:t>
      </w:r>
      <w:r w:rsidRPr="00AF528E">
        <w:rPr>
          <w:rFonts w:eastAsia="Times New Roman"/>
          <w:i/>
          <w:iCs/>
          <w:color w:val="000000"/>
          <w:sz w:val="24"/>
          <w:szCs w:val="24"/>
        </w:rPr>
        <w:t>s</w:t>
      </w:r>
      <w:r w:rsidRPr="00A85BA6">
        <w:rPr>
          <w:rFonts w:eastAsia="Times New Roman"/>
          <w:i/>
          <w:iCs/>
          <w:color w:val="000000"/>
          <w:sz w:val="24"/>
          <w:szCs w:val="24"/>
        </w:rPr>
        <w:t xml:space="preserve">ociology. </w:t>
      </w:r>
      <w:r w:rsidRPr="00A85BA6">
        <w:rPr>
          <w:rFonts w:eastAsia="Times New Roman"/>
          <w:color w:val="000000"/>
          <w:sz w:val="24"/>
          <w:szCs w:val="24"/>
        </w:rPr>
        <w:t>Manchester University Press.</w:t>
      </w:r>
      <w:r>
        <w:rPr>
          <w:rFonts w:eastAsia="Times New Roman"/>
          <w:color w:val="000000"/>
          <w:sz w:val="24"/>
          <w:szCs w:val="24"/>
        </w:rPr>
        <w:t xml:space="preserve"> </w:t>
      </w:r>
      <w:hyperlink r:id="rId21" w:history="1">
        <w:r w:rsidRPr="00560F6A">
          <w:rPr>
            <w:rStyle w:val="Hyperlink"/>
            <w:rFonts w:ascii="Arial" w:hAnsi="Arial" w:cs="Arial"/>
            <w:sz w:val="21"/>
            <w:szCs w:val="21"/>
            <w:shd w:val="clear" w:color="auto" w:fill="FFFFFF"/>
          </w:rPr>
          <w:t>https://</w:t>
        </w:r>
        <w:r w:rsidRPr="00560F6A">
          <w:rPr>
            <w:rStyle w:val="Hyperlink"/>
            <w:rFonts w:ascii="Arial" w:hAnsi="Arial" w:cs="Arial"/>
            <w:b/>
            <w:bCs/>
            <w:sz w:val="21"/>
            <w:szCs w:val="21"/>
            <w:shd w:val="clear" w:color="auto" w:fill="FFFFFF"/>
          </w:rPr>
          <w:t>doi</w:t>
        </w:r>
        <w:r w:rsidRPr="00560F6A">
          <w:rPr>
            <w:rStyle w:val="Hyperlink"/>
            <w:rFonts w:ascii="Arial" w:hAnsi="Arial" w:cs="Arial"/>
            <w:sz w:val="21"/>
            <w:szCs w:val="21"/>
            <w:shd w:val="clear" w:color="auto" w:fill="FFFFFF"/>
          </w:rPr>
          <w:t>.org/10.7765/9781526142184</w:t>
        </w:r>
      </w:hyperlink>
      <w:r>
        <w:rPr>
          <w:rFonts w:ascii="Arial" w:hAnsi="Arial" w:cs="Arial"/>
          <w:color w:val="474747"/>
          <w:sz w:val="21"/>
          <w:szCs w:val="21"/>
          <w:shd w:val="clear" w:color="auto" w:fill="FFFFFF"/>
        </w:rPr>
        <w:t xml:space="preserve"> </w:t>
      </w:r>
    </w:p>
    <w:p w14:paraId="7A14224B"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Edwards, R., Hadfield, L., Lucey, H. &amp; Mauthner, M. (2006). </w:t>
      </w:r>
      <w:r w:rsidRPr="00A85BA6">
        <w:rPr>
          <w:rFonts w:eastAsia="Times New Roman"/>
          <w:i/>
          <w:iCs/>
          <w:color w:val="000000"/>
          <w:sz w:val="24"/>
          <w:szCs w:val="24"/>
        </w:rPr>
        <w:t xml:space="preserve">Sibling </w:t>
      </w:r>
      <w:r w:rsidRPr="000568D7">
        <w:rPr>
          <w:rFonts w:eastAsia="Times New Roman"/>
          <w:i/>
          <w:iCs/>
          <w:color w:val="000000"/>
          <w:sz w:val="24"/>
          <w:szCs w:val="24"/>
        </w:rPr>
        <w:t>i</w:t>
      </w:r>
      <w:r w:rsidRPr="00A85BA6">
        <w:rPr>
          <w:rFonts w:eastAsia="Times New Roman"/>
          <w:i/>
          <w:iCs/>
          <w:color w:val="000000"/>
          <w:sz w:val="24"/>
          <w:szCs w:val="24"/>
        </w:rPr>
        <w:t xml:space="preserve">dentity and </w:t>
      </w:r>
      <w:r w:rsidRPr="000568D7">
        <w:rPr>
          <w:rFonts w:eastAsia="Times New Roman"/>
          <w:i/>
          <w:iCs/>
          <w:color w:val="000000"/>
          <w:sz w:val="24"/>
          <w:szCs w:val="24"/>
        </w:rPr>
        <w:t>r</w:t>
      </w:r>
      <w:r w:rsidRPr="00A85BA6">
        <w:rPr>
          <w:rFonts w:eastAsia="Times New Roman"/>
          <w:i/>
          <w:iCs/>
          <w:color w:val="000000"/>
          <w:sz w:val="24"/>
          <w:szCs w:val="24"/>
        </w:rPr>
        <w:t xml:space="preserve">elationships: Sisters and </w:t>
      </w:r>
      <w:r>
        <w:rPr>
          <w:rFonts w:eastAsia="Times New Roman"/>
          <w:i/>
          <w:iCs/>
          <w:color w:val="000000"/>
          <w:sz w:val="24"/>
          <w:szCs w:val="24"/>
        </w:rPr>
        <w:t>b</w:t>
      </w:r>
      <w:r w:rsidRPr="00A85BA6">
        <w:rPr>
          <w:rFonts w:eastAsia="Times New Roman"/>
          <w:i/>
          <w:iCs/>
          <w:color w:val="000000"/>
          <w:sz w:val="24"/>
          <w:szCs w:val="24"/>
        </w:rPr>
        <w:t>rothers.</w:t>
      </w:r>
      <w:r w:rsidRPr="00A85BA6">
        <w:rPr>
          <w:rFonts w:eastAsia="Times New Roman"/>
          <w:color w:val="000000"/>
          <w:sz w:val="24"/>
          <w:szCs w:val="24"/>
        </w:rPr>
        <w:t xml:space="preserve"> Routledge.</w:t>
      </w:r>
      <w:r>
        <w:rPr>
          <w:rFonts w:eastAsia="Times New Roman"/>
          <w:color w:val="000000"/>
          <w:sz w:val="24"/>
          <w:szCs w:val="24"/>
        </w:rPr>
        <w:t xml:space="preserve"> </w:t>
      </w:r>
      <w:hyperlink r:id="rId22" w:history="1">
        <w:r w:rsidRPr="00560F6A">
          <w:rPr>
            <w:rStyle w:val="Hyperlink"/>
            <w:rFonts w:eastAsia="Times New Roman"/>
            <w:sz w:val="24"/>
            <w:szCs w:val="24"/>
          </w:rPr>
          <w:t>https://doi.org/10.4324/9780203448809</w:t>
        </w:r>
      </w:hyperlink>
      <w:r>
        <w:rPr>
          <w:rFonts w:eastAsia="Times New Roman"/>
          <w:color w:val="000000"/>
          <w:sz w:val="24"/>
          <w:szCs w:val="24"/>
        </w:rPr>
        <w:t xml:space="preserve"> </w:t>
      </w:r>
    </w:p>
    <w:p w14:paraId="71748517"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Gillis, J. (1997). </w:t>
      </w:r>
      <w:r w:rsidRPr="00A85BA6">
        <w:rPr>
          <w:rFonts w:eastAsia="Times New Roman"/>
          <w:i/>
          <w:iCs/>
          <w:color w:val="000000"/>
          <w:sz w:val="24"/>
          <w:szCs w:val="24"/>
        </w:rPr>
        <w:t xml:space="preserve">A </w:t>
      </w:r>
      <w:r w:rsidRPr="004A528C">
        <w:rPr>
          <w:rFonts w:eastAsia="Times New Roman"/>
          <w:i/>
          <w:iCs/>
          <w:color w:val="000000"/>
          <w:sz w:val="24"/>
          <w:szCs w:val="24"/>
        </w:rPr>
        <w:t>w</w:t>
      </w:r>
      <w:r w:rsidRPr="00A85BA6">
        <w:rPr>
          <w:rFonts w:eastAsia="Times New Roman"/>
          <w:i/>
          <w:iCs/>
          <w:color w:val="000000"/>
          <w:sz w:val="24"/>
          <w:szCs w:val="24"/>
        </w:rPr>
        <w:t xml:space="preserve">orld of </w:t>
      </w:r>
      <w:r w:rsidRPr="004A528C">
        <w:rPr>
          <w:rFonts w:eastAsia="Times New Roman"/>
          <w:i/>
          <w:iCs/>
          <w:color w:val="000000"/>
          <w:sz w:val="24"/>
          <w:szCs w:val="24"/>
        </w:rPr>
        <w:t>t</w:t>
      </w:r>
      <w:r w:rsidRPr="00A85BA6">
        <w:rPr>
          <w:rFonts w:eastAsia="Times New Roman"/>
          <w:i/>
          <w:iCs/>
          <w:color w:val="000000"/>
          <w:sz w:val="24"/>
          <w:szCs w:val="24"/>
        </w:rPr>
        <w:t xml:space="preserve">heir </w:t>
      </w:r>
      <w:r w:rsidRPr="004A528C">
        <w:rPr>
          <w:rFonts w:eastAsia="Times New Roman"/>
          <w:i/>
          <w:iCs/>
          <w:color w:val="000000"/>
          <w:sz w:val="24"/>
          <w:szCs w:val="24"/>
        </w:rPr>
        <w:t>o</w:t>
      </w:r>
      <w:r w:rsidRPr="00A85BA6">
        <w:rPr>
          <w:rFonts w:eastAsia="Times New Roman"/>
          <w:i/>
          <w:iCs/>
          <w:color w:val="000000"/>
          <w:sz w:val="24"/>
          <w:szCs w:val="24"/>
        </w:rPr>
        <w:t xml:space="preserve">wn </w:t>
      </w:r>
      <w:r w:rsidRPr="004A528C">
        <w:rPr>
          <w:rFonts w:eastAsia="Times New Roman"/>
          <w:i/>
          <w:iCs/>
          <w:color w:val="000000"/>
          <w:sz w:val="24"/>
          <w:szCs w:val="24"/>
        </w:rPr>
        <w:t>m</w:t>
      </w:r>
      <w:r w:rsidRPr="00A85BA6">
        <w:rPr>
          <w:rFonts w:eastAsia="Times New Roman"/>
          <w:i/>
          <w:iCs/>
          <w:color w:val="000000"/>
          <w:sz w:val="24"/>
          <w:szCs w:val="24"/>
        </w:rPr>
        <w:t>aking</w:t>
      </w:r>
      <w:r w:rsidRPr="00A85BA6">
        <w:rPr>
          <w:rFonts w:eastAsia="Times New Roman"/>
          <w:color w:val="000000"/>
          <w:sz w:val="24"/>
          <w:szCs w:val="24"/>
        </w:rPr>
        <w:t>. Harvard University Press.</w:t>
      </w:r>
    </w:p>
    <w:p w14:paraId="1E22A849"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Goddard, C. (2011, 2</w:t>
      </w:r>
      <w:r w:rsidRPr="00A85BA6">
        <w:rPr>
          <w:rFonts w:eastAsia="Times New Roman"/>
          <w:color w:val="000000"/>
          <w:sz w:val="14"/>
          <w:szCs w:val="14"/>
          <w:vertAlign w:val="superscript"/>
        </w:rPr>
        <w:t>nd</w:t>
      </w:r>
      <w:r w:rsidRPr="00A85BA6">
        <w:rPr>
          <w:rFonts w:eastAsia="Times New Roman"/>
          <w:color w:val="000000"/>
          <w:sz w:val="24"/>
          <w:szCs w:val="24"/>
        </w:rPr>
        <w:t xml:space="preserve"> edn) </w:t>
      </w:r>
      <w:r w:rsidRPr="00A85BA6">
        <w:rPr>
          <w:rFonts w:eastAsia="Times New Roman"/>
          <w:i/>
          <w:iCs/>
          <w:color w:val="000000"/>
          <w:sz w:val="24"/>
          <w:szCs w:val="24"/>
        </w:rPr>
        <w:t xml:space="preserve">Semantic </w:t>
      </w:r>
      <w:r w:rsidRPr="006B04F2">
        <w:rPr>
          <w:rFonts w:eastAsia="Times New Roman"/>
          <w:i/>
          <w:iCs/>
          <w:color w:val="000000"/>
          <w:sz w:val="24"/>
          <w:szCs w:val="24"/>
        </w:rPr>
        <w:t>a</w:t>
      </w:r>
      <w:r w:rsidRPr="00A85BA6">
        <w:rPr>
          <w:rFonts w:eastAsia="Times New Roman"/>
          <w:i/>
          <w:iCs/>
          <w:color w:val="000000"/>
          <w:sz w:val="24"/>
          <w:szCs w:val="24"/>
        </w:rPr>
        <w:t xml:space="preserve">nalysis: A </w:t>
      </w:r>
      <w:r w:rsidRPr="006B04F2">
        <w:rPr>
          <w:rFonts w:eastAsia="Times New Roman"/>
          <w:i/>
          <w:iCs/>
          <w:color w:val="000000"/>
          <w:sz w:val="24"/>
          <w:szCs w:val="24"/>
        </w:rPr>
        <w:t>p</w:t>
      </w:r>
      <w:r w:rsidRPr="00A85BA6">
        <w:rPr>
          <w:rFonts w:eastAsia="Times New Roman"/>
          <w:i/>
          <w:iCs/>
          <w:color w:val="000000"/>
          <w:sz w:val="24"/>
          <w:szCs w:val="24"/>
        </w:rPr>
        <w:t xml:space="preserve">ractical </w:t>
      </w:r>
      <w:r w:rsidRPr="006B04F2">
        <w:rPr>
          <w:rFonts w:eastAsia="Times New Roman"/>
          <w:i/>
          <w:iCs/>
          <w:color w:val="000000"/>
          <w:sz w:val="24"/>
          <w:szCs w:val="24"/>
        </w:rPr>
        <w:t>i</w:t>
      </w:r>
      <w:r w:rsidRPr="00A85BA6">
        <w:rPr>
          <w:rFonts w:eastAsia="Times New Roman"/>
          <w:i/>
          <w:iCs/>
          <w:color w:val="000000"/>
          <w:sz w:val="24"/>
          <w:szCs w:val="24"/>
        </w:rPr>
        <w:t>ntroduction</w:t>
      </w:r>
      <w:r w:rsidRPr="006B04F2">
        <w:rPr>
          <w:rFonts w:eastAsia="Times New Roman"/>
          <w:color w:val="000000"/>
          <w:sz w:val="24"/>
          <w:szCs w:val="24"/>
        </w:rPr>
        <w:t>.</w:t>
      </w:r>
      <w:r w:rsidRPr="00A85BA6">
        <w:rPr>
          <w:rFonts w:eastAsia="Times New Roman"/>
          <w:color w:val="000000"/>
          <w:sz w:val="24"/>
          <w:szCs w:val="24"/>
        </w:rPr>
        <w:t xml:space="preserve"> Oxford: Oxford University Press.</w:t>
      </w:r>
      <w:r>
        <w:rPr>
          <w:rFonts w:eastAsia="Times New Roman"/>
          <w:color w:val="000000"/>
          <w:sz w:val="24"/>
          <w:szCs w:val="24"/>
        </w:rPr>
        <w:t xml:space="preserve"> </w:t>
      </w:r>
      <w:hyperlink r:id="rId23" w:history="1">
        <w:r w:rsidRPr="00560F6A">
          <w:rPr>
            <w:rStyle w:val="Hyperlink"/>
            <w:rFonts w:eastAsia="Times New Roman"/>
            <w:sz w:val="24"/>
            <w:szCs w:val="24"/>
          </w:rPr>
          <w:t>https://doi.org/10.1075/sl.36.4.08nel?locatt=mode:legacy</w:t>
        </w:r>
      </w:hyperlink>
      <w:r>
        <w:rPr>
          <w:rFonts w:eastAsia="Times New Roman"/>
          <w:color w:val="000000"/>
          <w:sz w:val="24"/>
          <w:szCs w:val="24"/>
        </w:rPr>
        <w:t xml:space="preserve"> </w:t>
      </w:r>
    </w:p>
    <w:p w14:paraId="329EC5C6"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Gulløv, E. &amp; Winther, I.W. (2021). Sibling relationships: being connected and related.  In A-M. Castrén et al. (eds) </w:t>
      </w:r>
      <w:r w:rsidRPr="00A85BA6">
        <w:rPr>
          <w:rFonts w:eastAsia="Times New Roman"/>
          <w:i/>
          <w:iCs/>
          <w:color w:val="000000"/>
          <w:sz w:val="24"/>
          <w:szCs w:val="24"/>
        </w:rPr>
        <w:t xml:space="preserve">The Palgrave </w:t>
      </w:r>
      <w:r>
        <w:rPr>
          <w:rFonts w:eastAsia="Times New Roman"/>
          <w:i/>
          <w:iCs/>
          <w:color w:val="000000"/>
          <w:sz w:val="24"/>
          <w:szCs w:val="24"/>
        </w:rPr>
        <w:t>h</w:t>
      </w:r>
      <w:r w:rsidRPr="00A85BA6">
        <w:rPr>
          <w:rFonts w:eastAsia="Times New Roman"/>
          <w:i/>
          <w:iCs/>
          <w:color w:val="000000"/>
          <w:sz w:val="24"/>
          <w:szCs w:val="24"/>
        </w:rPr>
        <w:t xml:space="preserve">andbook of </w:t>
      </w:r>
      <w:r>
        <w:rPr>
          <w:rFonts w:eastAsia="Times New Roman"/>
          <w:i/>
          <w:iCs/>
          <w:color w:val="000000"/>
          <w:sz w:val="24"/>
          <w:szCs w:val="24"/>
        </w:rPr>
        <w:t>f</w:t>
      </w:r>
      <w:r w:rsidRPr="00A85BA6">
        <w:rPr>
          <w:rFonts w:eastAsia="Times New Roman"/>
          <w:i/>
          <w:iCs/>
          <w:color w:val="000000"/>
          <w:sz w:val="24"/>
          <w:szCs w:val="24"/>
        </w:rPr>
        <w:t xml:space="preserve">amily </w:t>
      </w:r>
      <w:r>
        <w:rPr>
          <w:rFonts w:eastAsia="Times New Roman"/>
          <w:i/>
          <w:iCs/>
          <w:color w:val="000000"/>
          <w:sz w:val="24"/>
          <w:szCs w:val="24"/>
        </w:rPr>
        <w:t>s</w:t>
      </w:r>
      <w:r w:rsidRPr="00A85BA6">
        <w:rPr>
          <w:rFonts w:eastAsia="Times New Roman"/>
          <w:i/>
          <w:iCs/>
          <w:color w:val="000000"/>
          <w:sz w:val="24"/>
          <w:szCs w:val="24"/>
        </w:rPr>
        <w:t>ociology in Europe</w:t>
      </w:r>
      <w:r w:rsidRPr="00A85BA6">
        <w:rPr>
          <w:rFonts w:eastAsia="Times New Roman"/>
          <w:color w:val="000000"/>
          <w:sz w:val="24"/>
          <w:szCs w:val="24"/>
        </w:rPr>
        <w:t xml:space="preserve"> (pp. 301-321). Palgrave Macmillan.</w:t>
      </w:r>
      <w:r>
        <w:rPr>
          <w:rFonts w:eastAsia="Times New Roman"/>
          <w:color w:val="000000"/>
          <w:sz w:val="24"/>
          <w:szCs w:val="24"/>
        </w:rPr>
        <w:t xml:space="preserve"> </w:t>
      </w:r>
      <w:hyperlink r:id="rId24" w:history="1">
        <w:r w:rsidRPr="00560F6A">
          <w:rPr>
            <w:rStyle w:val="Hyperlink"/>
            <w:rFonts w:eastAsia="Times New Roman"/>
            <w:sz w:val="24"/>
            <w:szCs w:val="24"/>
          </w:rPr>
          <w:t>https://doi.org/10.1007/978-3-030-73306-3</w:t>
        </w:r>
      </w:hyperlink>
      <w:r>
        <w:rPr>
          <w:rFonts w:eastAsia="Times New Roman"/>
          <w:color w:val="000000"/>
          <w:sz w:val="24"/>
          <w:szCs w:val="24"/>
        </w:rPr>
        <w:t xml:space="preserve"> </w:t>
      </w:r>
    </w:p>
    <w:p w14:paraId="1015FAD3" w14:textId="77777777" w:rsidR="00153B32" w:rsidRPr="00A85BA6" w:rsidRDefault="00153B32" w:rsidP="00153B32">
      <w:pPr>
        <w:spacing w:line="360" w:lineRule="auto"/>
        <w:ind w:left="720" w:hanging="720"/>
        <w:rPr>
          <w:rFonts w:eastAsia="Times New Roman"/>
          <w:sz w:val="24"/>
          <w:szCs w:val="24"/>
        </w:rPr>
      </w:pPr>
      <w:r w:rsidRPr="00A85BA6">
        <w:rPr>
          <w:rFonts w:eastAsia="Times New Roman"/>
          <w:color w:val="000000"/>
          <w:sz w:val="24"/>
          <w:szCs w:val="24"/>
        </w:rPr>
        <w:t>Gutierrez Mu</w:t>
      </w:r>
      <w:r w:rsidRPr="00A85BA6">
        <w:rPr>
          <w:rFonts w:eastAsia="Times New Roman"/>
          <w:color w:val="333333"/>
          <w:sz w:val="24"/>
          <w:szCs w:val="24"/>
          <w:shd w:val="clear" w:color="auto" w:fill="FFFFFF"/>
        </w:rPr>
        <w:t xml:space="preserve">ñoz, C. &amp; Brannen, J. (2021).  The concept of generations. </w:t>
      </w:r>
      <w:r w:rsidRPr="00A85BA6">
        <w:rPr>
          <w:rFonts w:eastAsia="Times New Roman"/>
          <w:i/>
          <w:iCs/>
          <w:color w:val="333333"/>
          <w:sz w:val="24"/>
          <w:szCs w:val="24"/>
          <w:shd w:val="clear" w:color="auto" w:fill="FFFFFF"/>
        </w:rPr>
        <w:t>Oxford Bibliographies Online</w:t>
      </w:r>
      <w:r w:rsidRPr="00A85BA6">
        <w:rPr>
          <w:rFonts w:eastAsia="Times New Roman"/>
          <w:color w:val="333333"/>
          <w:sz w:val="24"/>
          <w:szCs w:val="24"/>
          <w:shd w:val="clear" w:color="auto" w:fill="FFFFFF"/>
        </w:rPr>
        <w:t xml:space="preserve">: </w:t>
      </w:r>
      <w:hyperlink r:id="rId25" w:history="1">
        <w:r w:rsidRPr="00A85BA6">
          <w:rPr>
            <w:rFonts w:eastAsia="Times New Roman"/>
            <w:color w:val="467886"/>
            <w:sz w:val="24"/>
            <w:szCs w:val="24"/>
            <w:u w:val="single"/>
            <w:shd w:val="clear" w:color="auto" w:fill="FFFFFF"/>
          </w:rPr>
          <w:t>https://www.oxfordbibliographies.com/display/document/obo-9780199791231/obo-9780199791231-0237.xml</w:t>
        </w:r>
      </w:hyperlink>
      <w:r>
        <w:rPr>
          <w:rFonts w:eastAsia="Times New Roman"/>
          <w:color w:val="333333"/>
          <w:sz w:val="24"/>
          <w:szCs w:val="24"/>
          <w:shd w:val="clear" w:color="auto" w:fill="FFFFFF"/>
        </w:rPr>
        <w:t>.</w:t>
      </w:r>
      <w:r w:rsidRPr="00150B6C">
        <w:rPr>
          <w:rFonts w:eastAsia="Times New Roman"/>
          <w:color w:val="333333"/>
          <w:sz w:val="24"/>
          <w:szCs w:val="24"/>
          <w:shd w:val="clear" w:color="auto" w:fill="FFFFFF"/>
        </w:rPr>
        <w:t xml:space="preserve"> </w:t>
      </w:r>
      <w:hyperlink r:id="rId26" w:history="1">
        <w:r w:rsidRPr="00560F6A">
          <w:rPr>
            <w:rStyle w:val="Hyperlink"/>
            <w:rFonts w:eastAsia="Times New Roman"/>
            <w:sz w:val="24"/>
            <w:szCs w:val="24"/>
            <w:shd w:val="clear" w:color="auto" w:fill="FFFFFF"/>
          </w:rPr>
          <w:t>https://doi.org/</w:t>
        </w:r>
        <w:r w:rsidRPr="00560F6A">
          <w:rPr>
            <w:rStyle w:val="Hyperlink"/>
            <w:caps/>
            <w:sz w:val="24"/>
            <w:szCs w:val="24"/>
            <w:shd w:val="clear" w:color="auto" w:fill="FFFFFF"/>
          </w:rPr>
          <w:t>10.1093/obo/9780199791231-0237</w:t>
        </w:r>
      </w:hyperlink>
      <w:r>
        <w:rPr>
          <w:caps/>
          <w:color w:val="333333"/>
          <w:sz w:val="24"/>
          <w:szCs w:val="24"/>
          <w:shd w:val="clear" w:color="auto" w:fill="FFFFFF"/>
        </w:rPr>
        <w:t xml:space="preserve"> </w:t>
      </w:r>
    </w:p>
    <w:p w14:paraId="3644257A"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shd w:val="clear" w:color="auto" w:fill="FFFFFF"/>
        </w:rPr>
        <w:lastRenderedPageBreak/>
        <w:t xml:space="preserve">Hamwey, M.K., Rolan, E.P., Jensen, A.C., Whiteman, S.D. &amp; Jackson, H.M. (2019). “Absence makes the heart grow fonder”: A qualitative examination of sibling relationships during emerging adulthood. </w:t>
      </w:r>
      <w:r w:rsidRPr="00A85BA6">
        <w:rPr>
          <w:rFonts w:eastAsia="Times New Roman"/>
          <w:i/>
          <w:iCs/>
          <w:color w:val="000000"/>
          <w:sz w:val="24"/>
          <w:szCs w:val="24"/>
          <w:shd w:val="clear" w:color="auto" w:fill="FFFFFF"/>
        </w:rPr>
        <w:t>Journal of Social and Personal Relationships</w:t>
      </w:r>
      <w:r w:rsidRPr="00A85BA6">
        <w:rPr>
          <w:rFonts w:eastAsia="Times New Roman"/>
          <w:color w:val="000000"/>
          <w:sz w:val="24"/>
          <w:szCs w:val="24"/>
          <w:shd w:val="clear" w:color="auto" w:fill="FFFFFF"/>
        </w:rPr>
        <w:t>, 36(8), 2487–2506.</w:t>
      </w:r>
      <w:r>
        <w:rPr>
          <w:rFonts w:eastAsia="Times New Roman"/>
          <w:color w:val="000000"/>
          <w:sz w:val="24"/>
          <w:szCs w:val="24"/>
          <w:shd w:val="clear" w:color="auto" w:fill="FFFFFF"/>
        </w:rPr>
        <w:t xml:space="preserve"> </w:t>
      </w:r>
      <w:hyperlink r:id="rId27" w:history="1">
        <w:r w:rsidRPr="00560F6A">
          <w:rPr>
            <w:rStyle w:val="Hyperlink"/>
            <w:rFonts w:eastAsia="Times New Roman"/>
            <w:sz w:val="24"/>
            <w:szCs w:val="24"/>
            <w:shd w:val="clear" w:color="auto" w:fill="FFFFFF"/>
          </w:rPr>
          <w:t>https://doi.org/10.1177/0265407518789514</w:t>
        </w:r>
      </w:hyperlink>
      <w:r>
        <w:rPr>
          <w:rFonts w:eastAsia="Times New Roman"/>
          <w:color w:val="000000"/>
          <w:sz w:val="24"/>
          <w:szCs w:val="24"/>
          <w:shd w:val="clear" w:color="auto" w:fill="FFFFFF"/>
        </w:rPr>
        <w:t xml:space="preserve"> </w:t>
      </w:r>
    </w:p>
    <w:p w14:paraId="6F5E9554"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HESA (2010). Staff at Higher Education institutions in the United Kingdom 2008/09. </w:t>
      </w:r>
      <w:hyperlink r:id="rId28" w:history="1">
        <w:r w:rsidRPr="00A85BA6">
          <w:rPr>
            <w:rFonts w:eastAsia="Times New Roman"/>
            <w:color w:val="000000"/>
            <w:sz w:val="24"/>
            <w:szCs w:val="24"/>
            <w:u w:val="single"/>
          </w:rPr>
          <w:t>https://www.hesa.ac.uk/news/21-01-2010/sfr143-staff</w:t>
        </w:r>
      </w:hyperlink>
      <w:r w:rsidRPr="00A85BA6">
        <w:rPr>
          <w:rFonts w:eastAsia="Times New Roman"/>
          <w:color w:val="000000"/>
          <w:sz w:val="24"/>
          <w:szCs w:val="24"/>
        </w:rPr>
        <w:t> </w:t>
      </w:r>
    </w:p>
    <w:p w14:paraId="1A93B9D2"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Kristensen, G.K. &amp; Ravn, M.N. (2015). The voices heard and the voices silenced: recruitment processes in qualitative interview studies. </w:t>
      </w:r>
      <w:r w:rsidRPr="00A85BA6">
        <w:rPr>
          <w:rFonts w:eastAsia="Times New Roman"/>
          <w:i/>
          <w:iCs/>
          <w:color w:val="000000"/>
          <w:sz w:val="24"/>
          <w:szCs w:val="24"/>
        </w:rPr>
        <w:t>Qualitative Research,</w:t>
      </w:r>
      <w:r w:rsidRPr="00A85BA6">
        <w:rPr>
          <w:rFonts w:eastAsia="Times New Roman"/>
          <w:color w:val="000000"/>
          <w:sz w:val="24"/>
          <w:szCs w:val="24"/>
        </w:rPr>
        <w:t xml:space="preserve"> 15(6), 722-737.</w:t>
      </w:r>
      <w:r>
        <w:rPr>
          <w:rFonts w:eastAsia="Times New Roman"/>
          <w:color w:val="000000"/>
          <w:sz w:val="24"/>
          <w:szCs w:val="24"/>
        </w:rPr>
        <w:t xml:space="preserve"> </w:t>
      </w:r>
      <w:hyperlink r:id="rId29" w:history="1">
        <w:r w:rsidRPr="00560F6A">
          <w:rPr>
            <w:rStyle w:val="Hyperlink"/>
            <w:rFonts w:eastAsia="Times New Roman"/>
            <w:sz w:val="24"/>
            <w:szCs w:val="24"/>
          </w:rPr>
          <w:t>https://doi.org/10.1177/1468794114567496</w:t>
        </w:r>
      </w:hyperlink>
      <w:r>
        <w:rPr>
          <w:rFonts w:eastAsia="Times New Roman"/>
          <w:color w:val="000000"/>
          <w:sz w:val="24"/>
          <w:szCs w:val="24"/>
        </w:rPr>
        <w:t xml:space="preserve"> </w:t>
      </w:r>
    </w:p>
    <w:p w14:paraId="304C5BF8"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McHale, S.M., Updegraff, K.A. &amp; Whiteman, S.D. (2012). Sibling relationships and influences in childhood and adolescence. </w:t>
      </w:r>
      <w:r w:rsidRPr="00A85BA6">
        <w:rPr>
          <w:rFonts w:eastAsia="Times New Roman"/>
          <w:i/>
          <w:iCs/>
          <w:color w:val="000000"/>
          <w:sz w:val="24"/>
          <w:szCs w:val="24"/>
        </w:rPr>
        <w:t>Journal of Marriage and Family,</w:t>
      </w:r>
      <w:r w:rsidRPr="00A85BA6">
        <w:rPr>
          <w:rFonts w:eastAsia="Times New Roman"/>
          <w:color w:val="000000"/>
          <w:sz w:val="24"/>
          <w:szCs w:val="24"/>
        </w:rPr>
        <w:t xml:space="preserve"> 74(5), 913-930.</w:t>
      </w:r>
      <w:r>
        <w:rPr>
          <w:rFonts w:eastAsia="Times New Roman"/>
          <w:color w:val="000000"/>
          <w:sz w:val="24"/>
          <w:szCs w:val="24"/>
        </w:rPr>
        <w:t xml:space="preserve"> </w:t>
      </w:r>
      <w:hyperlink r:id="rId30" w:history="1">
        <w:r w:rsidRPr="00560F6A">
          <w:rPr>
            <w:rStyle w:val="Hyperlink"/>
            <w:rFonts w:eastAsia="Times New Roman"/>
            <w:sz w:val="24"/>
            <w:szCs w:val="24"/>
          </w:rPr>
          <w:t>https://doi.org/10.1111/j.1741-3737.2012.01011.x</w:t>
        </w:r>
      </w:hyperlink>
      <w:r>
        <w:rPr>
          <w:rFonts w:eastAsia="Times New Roman"/>
          <w:color w:val="000000"/>
          <w:sz w:val="24"/>
          <w:szCs w:val="24"/>
        </w:rPr>
        <w:t xml:space="preserve"> </w:t>
      </w:r>
    </w:p>
    <w:p w14:paraId="7C711926"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Mostafa, T., Gambara, L., &amp; Joshi, H. (2018). The impact of complex family structure on child well-being: evidence from siblings. </w:t>
      </w:r>
      <w:r w:rsidRPr="00A85BA6">
        <w:rPr>
          <w:rFonts w:eastAsia="Times New Roman"/>
          <w:i/>
          <w:iCs/>
          <w:color w:val="000000"/>
          <w:sz w:val="24"/>
          <w:szCs w:val="24"/>
        </w:rPr>
        <w:t>Journal of Marriage and Family,</w:t>
      </w:r>
      <w:r w:rsidRPr="00A85BA6">
        <w:rPr>
          <w:rFonts w:eastAsia="Times New Roman"/>
          <w:color w:val="000000"/>
          <w:sz w:val="24"/>
          <w:szCs w:val="24"/>
        </w:rPr>
        <w:t xml:space="preserve"> 80(4), 902-918.</w:t>
      </w:r>
      <w:r>
        <w:rPr>
          <w:rFonts w:eastAsia="Times New Roman"/>
          <w:color w:val="000000"/>
          <w:sz w:val="24"/>
          <w:szCs w:val="24"/>
        </w:rPr>
        <w:t xml:space="preserve"> </w:t>
      </w:r>
      <w:hyperlink r:id="rId31" w:history="1">
        <w:r w:rsidRPr="00560F6A">
          <w:rPr>
            <w:rStyle w:val="Hyperlink"/>
            <w:rFonts w:eastAsia="Times New Roman"/>
            <w:sz w:val="24"/>
            <w:szCs w:val="24"/>
          </w:rPr>
          <w:t>https://doi.org/10.1111/jomf.12456</w:t>
        </w:r>
      </w:hyperlink>
      <w:r>
        <w:rPr>
          <w:rFonts w:eastAsia="Times New Roman"/>
          <w:color w:val="000000"/>
          <w:sz w:val="24"/>
          <w:szCs w:val="24"/>
        </w:rPr>
        <w:t xml:space="preserve"> </w:t>
      </w:r>
    </w:p>
    <w:p w14:paraId="19DEC1C4"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Office for National Statistics (ONS) (2019). Birth characteristics in England and Wales: 2017. </w:t>
      </w:r>
      <w:hyperlink r:id="rId32" w:anchor=":~:text=In%202017%2C%20there%20were%2010%2C462,occur%20because%20of%20fertility%20treatment" w:history="1">
        <w:r w:rsidRPr="00A85BA6">
          <w:rPr>
            <w:rFonts w:eastAsia="Times New Roman"/>
            <w:color w:val="000000"/>
            <w:sz w:val="24"/>
            <w:szCs w:val="24"/>
            <w:u w:val="single"/>
          </w:rPr>
          <w:t>https://www.ons.gov.uk/peoplepopulationandcommunity/birthsdeathsandmarriages/livebirths/bulletins/birthcharacteristicsinenglandandwales/2017#:~:text=In%202017%2C%20there%20were%2010%2C462,occur%20because%20of%20fertility%20treatment</w:t>
        </w:r>
      </w:hyperlink>
      <w:r w:rsidRPr="00A85BA6">
        <w:rPr>
          <w:rFonts w:eastAsia="Times New Roman"/>
          <w:color w:val="000000"/>
          <w:sz w:val="24"/>
          <w:szCs w:val="24"/>
        </w:rPr>
        <w:t>. </w:t>
      </w:r>
    </w:p>
    <w:p w14:paraId="11BC3287"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Owen, D. (undated). Profile of Black and Minority ethnic groups in the UK. </w:t>
      </w:r>
      <w:hyperlink r:id="rId33" w:history="1">
        <w:r w:rsidRPr="00A85BA6">
          <w:rPr>
            <w:rFonts w:eastAsia="Times New Roman"/>
            <w:color w:val="000000"/>
            <w:sz w:val="24"/>
            <w:szCs w:val="24"/>
            <w:u w:val="single"/>
          </w:rPr>
          <w:t>https://warwick.ac.uk/fac/cross_fac/healthatwarwick/publications/occasional/ethnicprofile.pdf</w:t>
        </w:r>
      </w:hyperlink>
      <w:r w:rsidRPr="00A85BA6">
        <w:rPr>
          <w:rFonts w:eastAsia="Times New Roman"/>
          <w:color w:val="000000"/>
          <w:sz w:val="24"/>
          <w:szCs w:val="24"/>
        </w:rPr>
        <w:t> </w:t>
      </w:r>
    </w:p>
    <w:p w14:paraId="7BEB32F7"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Punch, S. (2018). Negotiating sibling relationships and birth order hierarchies.  In S. Punch, R. Vanderback &amp; T. Skelton (Eds), </w:t>
      </w:r>
      <w:r w:rsidRPr="00A85BA6">
        <w:rPr>
          <w:rFonts w:eastAsia="Times New Roman"/>
          <w:i/>
          <w:iCs/>
          <w:color w:val="000000"/>
          <w:sz w:val="24"/>
          <w:szCs w:val="24"/>
        </w:rPr>
        <w:t>Families, Intergenerationally and Peer Group Relations: Geographies of Children and Young People</w:t>
      </w:r>
      <w:r w:rsidRPr="00A85BA6">
        <w:rPr>
          <w:rFonts w:eastAsia="Times New Roman"/>
          <w:color w:val="000000"/>
          <w:sz w:val="24"/>
          <w:szCs w:val="24"/>
        </w:rPr>
        <w:t xml:space="preserve"> (pp. 107-128). Springer.</w:t>
      </w:r>
      <w:r>
        <w:rPr>
          <w:rFonts w:eastAsia="Times New Roman"/>
          <w:color w:val="000000"/>
          <w:sz w:val="24"/>
          <w:szCs w:val="24"/>
        </w:rPr>
        <w:t xml:space="preserve"> </w:t>
      </w:r>
      <w:hyperlink r:id="rId34" w:history="1">
        <w:r w:rsidRPr="00560F6A">
          <w:rPr>
            <w:rStyle w:val="Hyperlink"/>
            <w:rFonts w:eastAsia="Times New Roman"/>
            <w:sz w:val="24"/>
            <w:szCs w:val="24"/>
          </w:rPr>
          <w:t>https://doi.org/10.1007/978-981-287-026-1</w:t>
        </w:r>
      </w:hyperlink>
      <w:r>
        <w:rPr>
          <w:rFonts w:eastAsia="Times New Roman"/>
          <w:color w:val="000000"/>
          <w:sz w:val="24"/>
          <w:szCs w:val="24"/>
        </w:rPr>
        <w:t xml:space="preserve"> </w:t>
      </w:r>
    </w:p>
    <w:p w14:paraId="090F2A57"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Savell, S.M., Saini, R., Ramos, M., Wilson, M.N., Lemery-Chalfant, K. &amp; Shaw, D.S. (2022). Family processes and structure: longitudinal influences on adolescent disruptive and </w:t>
      </w:r>
      <w:r w:rsidRPr="00A85BA6">
        <w:rPr>
          <w:rFonts w:eastAsia="Times New Roman"/>
          <w:color w:val="000000"/>
          <w:sz w:val="24"/>
          <w:szCs w:val="24"/>
        </w:rPr>
        <w:lastRenderedPageBreak/>
        <w:t xml:space="preserve">internalising behaviours. </w:t>
      </w:r>
      <w:r w:rsidRPr="00A85BA6">
        <w:rPr>
          <w:rFonts w:eastAsia="Times New Roman"/>
          <w:i/>
          <w:iCs/>
          <w:color w:val="000000"/>
          <w:sz w:val="24"/>
          <w:szCs w:val="24"/>
        </w:rPr>
        <w:t>Family Relations: Interdisciplinary Journal of Applied Family Science,</w:t>
      </w:r>
      <w:r w:rsidRPr="00A85BA6">
        <w:rPr>
          <w:rFonts w:eastAsia="Times New Roman"/>
          <w:color w:val="000000"/>
          <w:sz w:val="24"/>
          <w:szCs w:val="24"/>
        </w:rPr>
        <w:t xml:space="preserve"> </w:t>
      </w:r>
      <w:r w:rsidRPr="00A85BA6">
        <w:rPr>
          <w:rFonts w:eastAsia="Times New Roman"/>
          <w:color w:val="000000"/>
          <w:sz w:val="24"/>
          <w:szCs w:val="24"/>
          <w:shd w:val="clear" w:color="auto" w:fill="FFFFFF"/>
        </w:rPr>
        <w:t>2(1), 361-382.</w:t>
      </w:r>
      <w:r>
        <w:rPr>
          <w:rFonts w:eastAsia="Times New Roman"/>
          <w:color w:val="000000"/>
          <w:sz w:val="24"/>
          <w:szCs w:val="24"/>
          <w:shd w:val="clear" w:color="auto" w:fill="FFFFFF"/>
        </w:rPr>
        <w:t xml:space="preserve"> </w:t>
      </w:r>
      <w:hyperlink r:id="rId35" w:history="1">
        <w:r w:rsidRPr="00560F6A">
          <w:rPr>
            <w:rStyle w:val="Hyperlink"/>
            <w:rFonts w:eastAsia="Times New Roman"/>
            <w:sz w:val="24"/>
            <w:szCs w:val="24"/>
            <w:shd w:val="clear" w:color="auto" w:fill="FFFFFF"/>
          </w:rPr>
          <w:t>https://doi.org/10.1111/fare.12728</w:t>
        </w:r>
      </w:hyperlink>
      <w:r>
        <w:rPr>
          <w:rFonts w:eastAsia="Times New Roman"/>
          <w:color w:val="000000"/>
          <w:sz w:val="24"/>
          <w:szCs w:val="24"/>
          <w:shd w:val="clear" w:color="auto" w:fill="FFFFFF"/>
        </w:rPr>
        <w:t xml:space="preserve"> </w:t>
      </w:r>
    </w:p>
    <w:p w14:paraId="25D801C8"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shd w:val="clear" w:color="auto" w:fill="FFFFFF"/>
        </w:rPr>
        <w:t xml:space="preserve">Sopcak, N., Mayan, M. &amp; Skrypnek, B.J. (2015). Engaging young fathers in research through photo-interviewing. </w:t>
      </w:r>
      <w:r w:rsidRPr="00A85BA6">
        <w:rPr>
          <w:rFonts w:eastAsia="Times New Roman"/>
          <w:i/>
          <w:iCs/>
          <w:color w:val="000000"/>
          <w:sz w:val="24"/>
          <w:szCs w:val="24"/>
          <w:shd w:val="clear" w:color="auto" w:fill="FFFFFF"/>
        </w:rPr>
        <w:t>The Qualitative Report</w:t>
      </w:r>
      <w:r w:rsidRPr="00A85BA6">
        <w:rPr>
          <w:rFonts w:eastAsia="Times New Roman"/>
          <w:color w:val="000000"/>
          <w:sz w:val="24"/>
          <w:szCs w:val="24"/>
          <w:shd w:val="clear" w:color="auto" w:fill="FFFFFF"/>
        </w:rPr>
        <w:t xml:space="preserve">, </w:t>
      </w:r>
      <w:r w:rsidRPr="00A85BA6">
        <w:rPr>
          <w:rFonts w:eastAsia="Times New Roman"/>
          <w:i/>
          <w:iCs/>
          <w:color w:val="000000"/>
          <w:sz w:val="24"/>
          <w:szCs w:val="24"/>
          <w:shd w:val="clear" w:color="auto" w:fill="FFFFFF"/>
        </w:rPr>
        <w:t>20</w:t>
      </w:r>
      <w:r w:rsidRPr="00A85BA6">
        <w:rPr>
          <w:rFonts w:eastAsia="Times New Roman"/>
          <w:color w:val="000000"/>
          <w:sz w:val="24"/>
          <w:szCs w:val="24"/>
          <w:shd w:val="clear" w:color="auto" w:fill="FFFFFF"/>
        </w:rPr>
        <w:t>(11), 1871-1880</w:t>
      </w:r>
      <w:r w:rsidRPr="00A85BA6">
        <w:rPr>
          <w:rFonts w:eastAsia="Times New Roman"/>
          <w:color w:val="000000"/>
          <w:sz w:val="24"/>
          <w:szCs w:val="24"/>
        </w:rPr>
        <w:t>.</w:t>
      </w:r>
      <w:r>
        <w:rPr>
          <w:rFonts w:eastAsia="Times New Roman"/>
          <w:color w:val="000000"/>
          <w:sz w:val="24"/>
          <w:szCs w:val="24"/>
        </w:rPr>
        <w:t xml:space="preserve"> </w:t>
      </w:r>
      <w:hyperlink r:id="rId36" w:history="1">
        <w:r w:rsidRPr="00560F6A">
          <w:rPr>
            <w:rStyle w:val="Hyperlink"/>
            <w:rFonts w:eastAsia="Times New Roman"/>
            <w:sz w:val="24"/>
            <w:szCs w:val="24"/>
          </w:rPr>
          <w:t>https://doi.org/10.46743/2160-3715/2015.2396</w:t>
        </w:r>
      </w:hyperlink>
      <w:r>
        <w:rPr>
          <w:rFonts w:eastAsia="Times New Roman"/>
          <w:color w:val="000000"/>
          <w:sz w:val="24"/>
          <w:szCs w:val="24"/>
        </w:rPr>
        <w:t xml:space="preserve"> </w:t>
      </w:r>
    </w:p>
    <w:p w14:paraId="6AC915A5"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Stuifbergen, M.C., van Delden, J.J.M. &amp; Dykstra, P.A. (2008). The implications of today’s family structures for support giving to older parents. </w:t>
      </w:r>
      <w:r w:rsidRPr="00A85BA6">
        <w:rPr>
          <w:rFonts w:eastAsia="Times New Roman"/>
          <w:i/>
          <w:iCs/>
          <w:color w:val="000000"/>
          <w:sz w:val="24"/>
          <w:szCs w:val="24"/>
        </w:rPr>
        <w:t>Ageing and Society,</w:t>
      </w:r>
      <w:r w:rsidRPr="00A85BA6">
        <w:rPr>
          <w:rFonts w:eastAsia="Times New Roman"/>
          <w:color w:val="000000"/>
          <w:sz w:val="24"/>
          <w:szCs w:val="24"/>
        </w:rPr>
        <w:t xml:space="preserve"> 28(3), 413-434.</w:t>
      </w:r>
      <w:r>
        <w:rPr>
          <w:rFonts w:eastAsia="Times New Roman"/>
          <w:color w:val="000000"/>
          <w:sz w:val="24"/>
          <w:szCs w:val="24"/>
        </w:rPr>
        <w:t xml:space="preserve"> </w:t>
      </w:r>
      <w:hyperlink r:id="rId37" w:history="1">
        <w:r w:rsidRPr="00560F6A">
          <w:rPr>
            <w:rStyle w:val="Hyperlink"/>
            <w:rFonts w:eastAsia="Times New Roman"/>
            <w:sz w:val="24"/>
            <w:szCs w:val="24"/>
          </w:rPr>
          <w:t>https://doi.org/10.1017/S0144686X07006666</w:t>
        </w:r>
      </w:hyperlink>
      <w:r>
        <w:rPr>
          <w:rFonts w:eastAsia="Times New Roman"/>
          <w:color w:val="000000"/>
          <w:sz w:val="24"/>
          <w:szCs w:val="24"/>
        </w:rPr>
        <w:t xml:space="preserve"> </w:t>
      </w:r>
    </w:p>
    <w:p w14:paraId="3F50396D" w14:textId="77777777" w:rsidR="00153B32" w:rsidRPr="00A85BA6" w:rsidRDefault="00153B32" w:rsidP="00153B32">
      <w:pPr>
        <w:spacing w:line="360" w:lineRule="auto"/>
        <w:ind w:left="720" w:hanging="720"/>
        <w:rPr>
          <w:rFonts w:ascii="Times New Roman" w:eastAsia="Times New Roman" w:hAnsi="Times New Roman" w:cs="Times New Roman"/>
          <w:sz w:val="24"/>
          <w:szCs w:val="24"/>
        </w:rPr>
      </w:pPr>
      <w:r w:rsidRPr="00A85BA6">
        <w:rPr>
          <w:rFonts w:eastAsia="Times New Roman"/>
          <w:color w:val="000000"/>
          <w:sz w:val="24"/>
          <w:szCs w:val="24"/>
        </w:rPr>
        <w:t xml:space="preserve">Sẏkorová, D. (2024). Siblinghood amongst older adults: what being a sibling or having siblings means. </w:t>
      </w:r>
      <w:r w:rsidRPr="00A85BA6">
        <w:rPr>
          <w:rFonts w:eastAsia="Times New Roman"/>
          <w:i/>
          <w:iCs/>
          <w:color w:val="000000"/>
          <w:sz w:val="24"/>
          <w:szCs w:val="24"/>
        </w:rPr>
        <w:t>Journal of Family Issues</w:t>
      </w:r>
      <w:r w:rsidRPr="00A85BA6">
        <w:rPr>
          <w:rFonts w:eastAsia="Times New Roman"/>
          <w:color w:val="000000"/>
          <w:sz w:val="24"/>
          <w:szCs w:val="24"/>
        </w:rPr>
        <w:t xml:space="preserve"> 45(2), 419-446.</w:t>
      </w:r>
      <w:r>
        <w:rPr>
          <w:rFonts w:eastAsia="Times New Roman"/>
          <w:color w:val="000000"/>
          <w:sz w:val="24"/>
          <w:szCs w:val="24"/>
        </w:rPr>
        <w:t xml:space="preserve"> </w:t>
      </w:r>
      <w:hyperlink r:id="rId38" w:history="1">
        <w:r w:rsidRPr="00560F6A">
          <w:rPr>
            <w:rStyle w:val="Hyperlink"/>
            <w:rFonts w:eastAsia="Times New Roman"/>
            <w:sz w:val="24"/>
            <w:szCs w:val="24"/>
          </w:rPr>
          <w:t>https://doi.org/10.1177/0192513X221150974</w:t>
        </w:r>
      </w:hyperlink>
      <w:r>
        <w:rPr>
          <w:rFonts w:eastAsia="Times New Roman"/>
          <w:color w:val="000000"/>
          <w:sz w:val="24"/>
          <w:szCs w:val="24"/>
        </w:rPr>
        <w:t xml:space="preserve"> </w:t>
      </w:r>
    </w:p>
    <w:p w14:paraId="03B7E664" w14:textId="77777777" w:rsidR="00153B32" w:rsidRDefault="00153B32" w:rsidP="00153B32">
      <w:pPr>
        <w:spacing w:line="360" w:lineRule="auto"/>
        <w:ind w:left="720" w:hanging="720"/>
      </w:pPr>
      <w:r w:rsidRPr="00AF0CC2">
        <w:rPr>
          <w:rFonts w:eastAsia="Times New Roman"/>
          <w:color w:val="000000"/>
          <w:sz w:val="24"/>
          <w:szCs w:val="24"/>
          <w:shd w:val="clear" w:color="auto" w:fill="FFFFFF"/>
        </w:rPr>
        <w:t>van den Broek, T. &amp; Dykstra, P.A. (2017). The impact of siblings on the geographic distance</w:t>
      </w:r>
      <w:r w:rsidRPr="00A85BA6">
        <w:rPr>
          <w:rFonts w:eastAsia="Times New Roman"/>
          <w:color w:val="000000"/>
          <w:sz w:val="24"/>
          <w:szCs w:val="24"/>
          <w:shd w:val="clear" w:color="auto" w:fill="FFFFFF"/>
        </w:rPr>
        <w:t xml:space="preserve"> between adult children and their ageing parents. Does parental need matter? </w:t>
      </w:r>
      <w:r w:rsidRPr="00A85BA6">
        <w:rPr>
          <w:rFonts w:eastAsia="Times New Roman"/>
          <w:i/>
          <w:iCs/>
          <w:color w:val="000000"/>
          <w:sz w:val="24"/>
          <w:szCs w:val="24"/>
          <w:shd w:val="clear" w:color="auto" w:fill="FFFFFF"/>
        </w:rPr>
        <w:t>Population, Space and Place</w:t>
      </w:r>
      <w:r w:rsidRPr="00A85BA6">
        <w:rPr>
          <w:rFonts w:eastAsia="Times New Roman"/>
          <w:color w:val="000000"/>
          <w:sz w:val="24"/>
          <w:szCs w:val="24"/>
          <w:shd w:val="clear" w:color="auto" w:fill="FFFFFF"/>
        </w:rPr>
        <w:t>, 23 (6), e2048.</w:t>
      </w:r>
      <w:r>
        <w:rPr>
          <w:rFonts w:eastAsia="Times New Roman"/>
          <w:color w:val="000000"/>
          <w:sz w:val="24"/>
          <w:szCs w:val="24"/>
          <w:shd w:val="clear" w:color="auto" w:fill="FFFFFF"/>
        </w:rPr>
        <w:t xml:space="preserve">  </w:t>
      </w:r>
      <w:hyperlink r:id="rId39" w:history="1">
        <w:r w:rsidRPr="00560F6A">
          <w:rPr>
            <w:rStyle w:val="Hyperlink"/>
            <w:rFonts w:eastAsia="Times New Roman"/>
            <w:sz w:val="24"/>
            <w:szCs w:val="24"/>
            <w:shd w:val="clear" w:color="auto" w:fill="FFFFFF"/>
          </w:rPr>
          <w:t>http://dx.doi.org/10.1002/psp.2048</w:t>
        </w:r>
      </w:hyperlink>
      <w:r>
        <w:rPr>
          <w:rFonts w:eastAsia="Times New Roman"/>
          <w:color w:val="000000"/>
          <w:sz w:val="24"/>
          <w:szCs w:val="24"/>
          <w:shd w:val="clear" w:color="auto" w:fill="FFFFFF"/>
        </w:rPr>
        <w:t xml:space="preserve"> </w:t>
      </w:r>
    </w:p>
    <w:p w14:paraId="410E2AFF" w14:textId="77777777" w:rsidR="00153B32" w:rsidRDefault="00153B32" w:rsidP="00153B32">
      <w:pPr>
        <w:spacing w:line="360" w:lineRule="auto"/>
        <w:ind w:left="720" w:hanging="720"/>
      </w:pPr>
    </w:p>
    <w:p w14:paraId="00000058" w14:textId="46870079" w:rsidR="00D272B2" w:rsidRDefault="00D272B2">
      <w:pPr>
        <w:spacing w:line="360" w:lineRule="auto"/>
        <w:rPr>
          <w:sz w:val="24"/>
          <w:szCs w:val="24"/>
        </w:rPr>
      </w:pPr>
    </w:p>
    <w:sectPr w:rsidR="00D272B2">
      <w:footerReference w:type="default" r:id="rId40"/>
      <w:pgSz w:w="11906" w:h="16838"/>
      <w:pgMar w:top="1418" w:right="1134"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43ECE" w14:textId="77777777" w:rsidR="00153B32" w:rsidRDefault="00153B32">
      <w:pPr>
        <w:spacing w:after="0" w:line="240" w:lineRule="auto"/>
      </w:pPr>
      <w:r>
        <w:separator/>
      </w:r>
    </w:p>
  </w:endnote>
  <w:endnote w:type="continuationSeparator" w:id="0">
    <w:p w14:paraId="3E71FA3C" w14:textId="77777777" w:rsidR="00153B32" w:rsidRDefault="00153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04F14B3-FF47-4DEC-96CA-A894098B7544}"/>
  </w:font>
  <w:font w:name="Calibri">
    <w:panose1 w:val="020F0502020204030204"/>
    <w:charset w:val="00"/>
    <w:family w:val="swiss"/>
    <w:pitch w:val="variable"/>
    <w:sig w:usb0="E4002EFF" w:usb1="C200247B" w:usb2="00000009" w:usb3="00000000" w:csb0="000001FF" w:csb1="00000000"/>
    <w:embedRegular r:id="rId2" w:fontKey="{42E2E3E2-4D5A-4542-A825-5AF017D3E578}"/>
    <w:embedBold r:id="rId3" w:fontKey="{6B1081B1-6553-43AC-AD27-8E058BA9A29E}"/>
    <w:embedItalic r:id="rId4" w:fontKey="{DF811013-193F-4103-8BC2-31CCD4A616F1}"/>
    <w:embedBoldItalic r:id="rId5" w:fontKey="{0E05B7FD-CFFE-4A18-AC5A-D1497205809D}"/>
  </w:font>
  <w:font w:name="Play">
    <w:charset w:val="00"/>
    <w:family w:val="auto"/>
    <w:pitch w:val="default"/>
    <w:embedRegular r:id="rId6" w:fontKey="{661347EE-7FEA-4E58-A145-6C75741B16F9}"/>
  </w:font>
  <w:font w:name="Aptos">
    <w:charset w:val="00"/>
    <w:family w:val="swiss"/>
    <w:pitch w:val="variable"/>
    <w:sig w:usb0="20000287" w:usb1="00000003" w:usb2="00000000" w:usb3="00000000" w:csb0="0000019F" w:csb1="00000000"/>
    <w:embedRegular r:id="rId7" w:fontKey="{2AE5FAEE-FB4A-4864-B997-EA143C3B0AAE}"/>
    <w:embedItalic r:id="rId8" w:fontKey="{4579792E-545B-4624-A98E-D44586903EC1}"/>
  </w:font>
  <w:font w:name="Aptos Display">
    <w:charset w:val="00"/>
    <w:family w:val="swiss"/>
    <w:pitch w:val="variable"/>
    <w:sig w:usb0="20000287" w:usb1="00000003" w:usb2="00000000" w:usb3="00000000" w:csb0="0000019F" w:csb1="00000000"/>
    <w:embedRegular r:id="rId9" w:fontKey="{04F2DCAA-4898-4870-9843-D1A6AE20F0C8}"/>
  </w:font>
  <w:font w:name=".SFUIText-Regular">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E71C9EC9-3712-43A6-BEC5-7026445A49F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22E3104D" w:rsidR="00D272B2" w:rsidRDefault="00153B3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5C" w14:textId="77777777" w:rsidR="00D272B2" w:rsidRDefault="00D272B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B4BA9" w14:textId="77777777" w:rsidR="00153B32" w:rsidRDefault="00153B32">
      <w:pPr>
        <w:spacing w:after="0" w:line="240" w:lineRule="auto"/>
      </w:pPr>
      <w:r>
        <w:separator/>
      </w:r>
    </w:p>
  </w:footnote>
  <w:footnote w:type="continuationSeparator" w:id="0">
    <w:p w14:paraId="35A52AEC" w14:textId="77777777" w:rsidR="00153B32" w:rsidRDefault="00153B32">
      <w:pPr>
        <w:spacing w:after="0" w:line="240" w:lineRule="auto"/>
      </w:pPr>
      <w:r>
        <w:continuationSeparator/>
      </w:r>
    </w:p>
  </w:footnote>
  <w:footnote w:id="1">
    <w:p w14:paraId="00000059" w14:textId="77777777" w:rsidR="00D272B2" w:rsidRDefault="00153B32">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https://www.ukri.org/what-we-do/public-engagement/public-engagement-esrc/festival-of-social-science/</w:t>
      </w:r>
    </w:p>
  </w:footnote>
  <w:footnote w:id="2">
    <w:p w14:paraId="0000005A" w14:textId="77777777" w:rsidR="00D272B2" w:rsidRDefault="00153B32">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24"/>
          <w:szCs w:val="24"/>
          <w:vertAlign w:val="superscript"/>
        </w:rPr>
        <w:t xml:space="preserve">  </w:t>
      </w:r>
      <w:r>
        <w:rPr>
          <w:color w:val="000000"/>
          <w:sz w:val="20"/>
          <w:szCs w:val="20"/>
        </w:rPr>
        <w:t>The current study received ethical approval from the University of Southampton: Ethics ID ERGO 103249.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C4A3D"/>
    <w:multiLevelType w:val="hybridMultilevel"/>
    <w:tmpl w:val="AF1EA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AF432F"/>
    <w:multiLevelType w:val="multilevel"/>
    <w:tmpl w:val="498A912E"/>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6635791">
    <w:abstractNumId w:val="1"/>
  </w:num>
  <w:num w:numId="2" w16cid:durableId="2077623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2B2"/>
    <w:rsid w:val="00153B32"/>
    <w:rsid w:val="0028473A"/>
    <w:rsid w:val="002A4050"/>
    <w:rsid w:val="002F3802"/>
    <w:rsid w:val="00326E59"/>
    <w:rsid w:val="0050147F"/>
    <w:rsid w:val="00742A43"/>
    <w:rsid w:val="00854D63"/>
    <w:rsid w:val="00870606"/>
    <w:rsid w:val="00890404"/>
    <w:rsid w:val="0095623B"/>
    <w:rsid w:val="009779C4"/>
    <w:rsid w:val="00981966"/>
    <w:rsid w:val="00AD3A59"/>
    <w:rsid w:val="00BC499C"/>
    <w:rsid w:val="00D10D72"/>
    <w:rsid w:val="00D272B2"/>
    <w:rsid w:val="00E96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8AE36"/>
  <w15:docId w15:val="{29F82E56-6586-4A06-A2D3-707F0920F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3309C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309C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309C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309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09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09C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09C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309C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309C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309C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309C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309C4"/>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3309C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309C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309C4"/>
    <w:pPr>
      <w:spacing w:before="160"/>
      <w:jc w:val="center"/>
    </w:pPr>
    <w:rPr>
      <w:i/>
      <w:iCs/>
      <w:color w:val="404040" w:themeColor="text1" w:themeTint="BF"/>
    </w:rPr>
  </w:style>
  <w:style w:type="character" w:customStyle="1" w:styleId="QuoteChar">
    <w:name w:val="Quote Char"/>
    <w:basedOn w:val="DefaultParagraphFont"/>
    <w:link w:val="Quote"/>
    <w:uiPriority w:val="29"/>
    <w:rsid w:val="003309C4"/>
    <w:rPr>
      <w:i/>
      <w:iCs/>
      <w:color w:val="404040" w:themeColor="text1" w:themeTint="BF"/>
    </w:rPr>
  </w:style>
  <w:style w:type="paragraph" w:styleId="ListParagraph">
    <w:name w:val="List Paragraph"/>
    <w:basedOn w:val="Normal"/>
    <w:uiPriority w:val="34"/>
    <w:qFormat/>
    <w:rsid w:val="003309C4"/>
    <w:pPr>
      <w:ind w:left="720"/>
      <w:contextualSpacing/>
    </w:pPr>
  </w:style>
  <w:style w:type="character" w:styleId="IntenseEmphasis">
    <w:name w:val="Intense Emphasis"/>
    <w:basedOn w:val="DefaultParagraphFont"/>
    <w:uiPriority w:val="21"/>
    <w:qFormat/>
    <w:rsid w:val="003309C4"/>
    <w:rPr>
      <w:i/>
      <w:iCs/>
      <w:color w:val="0F4761" w:themeColor="accent1" w:themeShade="BF"/>
    </w:rPr>
  </w:style>
  <w:style w:type="paragraph" w:styleId="IntenseQuote">
    <w:name w:val="Intense Quote"/>
    <w:basedOn w:val="Normal"/>
    <w:next w:val="Normal"/>
    <w:link w:val="IntenseQuoteChar"/>
    <w:uiPriority w:val="30"/>
    <w:qFormat/>
    <w:rsid w:val="003309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09C4"/>
    <w:rPr>
      <w:i/>
      <w:iCs/>
      <w:color w:val="0F4761" w:themeColor="accent1" w:themeShade="BF"/>
    </w:rPr>
  </w:style>
  <w:style w:type="character" w:styleId="IntenseReference">
    <w:name w:val="Intense Reference"/>
    <w:basedOn w:val="DefaultParagraphFont"/>
    <w:uiPriority w:val="32"/>
    <w:qFormat/>
    <w:rsid w:val="003309C4"/>
    <w:rPr>
      <w:b/>
      <w:bCs/>
      <w:smallCaps/>
      <w:color w:val="0F4761" w:themeColor="accent1" w:themeShade="BF"/>
      <w:spacing w:val="5"/>
    </w:rPr>
  </w:style>
  <w:style w:type="character" w:styleId="Hyperlink">
    <w:name w:val="Hyperlink"/>
    <w:basedOn w:val="DefaultParagraphFont"/>
    <w:uiPriority w:val="99"/>
    <w:unhideWhenUsed/>
    <w:rsid w:val="00F24856"/>
    <w:rPr>
      <w:color w:val="467886" w:themeColor="hyperlink"/>
      <w:u w:val="single"/>
    </w:rPr>
  </w:style>
  <w:style w:type="character" w:styleId="UnresolvedMention">
    <w:name w:val="Unresolved Mention"/>
    <w:basedOn w:val="DefaultParagraphFont"/>
    <w:uiPriority w:val="99"/>
    <w:semiHidden/>
    <w:unhideWhenUsed/>
    <w:rsid w:val="00F24856"/>
    <w:rPr>
      <w:color w:val="605E5C"/>
      <w:shd w:val="clear" w:color="auto" w:fill="E1DFDD"/>
    </w:rPr>
  </w:style>
  <w:style w:type="table" w:styleId="TableGrid">
    <w:name w:val="Table Grid"/>
    <w:basedOn w:val="TableNormal"/>
    <w:uiPriority w:val="39"/>
    <w:rsid w:val="00890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uiPriority w:val="99"/>
    <w:rsid w:val="002637B8"/>
    <w:rPr>
      <w:rFonts w:ascii=".SFUIText-Regular" w:hAnsi=".SFUIText-Regular" w:cs="Times New Roman"/>
      <w:sz w:val="34"/>
      <w:szCs w:val="34"/>
    </w:rPr>
  </w:style>
  <w:style w:type="paragraph" w:styleId="FootnoteText">
    <w:name w:val="footnote text"/>
    <w:basedOn w:val="Normal"/>
    <w:link w:val="FootnoteTextChar"/>
    <w:uiPriority w:val="99"/>
    <w:semiHidden/>
    <w:unhideWhenUsed/>
    <w:rsid w:val="00B77D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7D85"/>
    <w:rPr>
      <w:sz w:val="20"/>
      <w:szCs w:val="20"/>
    </w:rPr>
  </w:style>
  <w:style w:type="character" w:styleId="FootnoteReference">
    <w:name w:val="footnote reference"/>
    <w:basedOn w:val="DefaultParagraphFont"/>
    <w:uiPriority w:val="99"/>
    <w:semiHidden/>
    <w:unhideWhenUsed/>
    <w:rsid w:val="00B77D85"/>
    <w:rPr>
      <w:vertAlign w:val="superscript"/>
    </w:rPr>
  </w:style>
  <w:style w:type="paragraph" w:styleId="NormalWeb">
    <w:name w:val="Normal (Web)"/>
    <w:basedOn w:val="Normal"/>
    <w:uiPriority w:val="99"/>
    <w:unhideWhenUsed/>
    <w:rsid w:val="00E449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ersonname">
    <w:name w:val="person_name"/>
    <w:basedOn w:val="DefaultParagraphFont"/>
    <w:rsid w:val="00134BB9"/>
  </w:style>
  <w:style w:type="character" w:styleId="Emphasis">
    <w:name w:val="Emphasis"/>
    <w:basedOn w:val="DefaultParagraphFont"/>
    <w:uiPriority w:val="20"/>
    <w:qFormat/>
    <w:rsid w:val="00134BB9"/>
    <w:rPr>
      <w:i/>
      <w:iCs/>
    </w:rPr>
  </w:style>
  <w:style w:type="paragraph" w:styleId="Header">
    <w:name w:val="header"/>
    <w:basedOn w:val="Normal"/>
    <w:link w:val="HeaderChar"/>
    <w:uiPriority w:val="99"/>
    <w:unhideWhenUsed/>
    <w:rsid w:val="00FB19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9E8"/>
  </w:style>
  <w:style w:type="paragraph" w:styleId="Footer">
    <w:name w:val="footer"/>
    <w:basedOn w:val="Normal"/>
    <w:link w:val="FooterChar"/>
    <w:uiPriority w:val="99"/>
    <w:unhideWhenUsed/>
    <w:rsid w:val="00FB19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9E8"/>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846DD"/>
    <w:rPr>
      <w:b/>
      <w:bCs/>
    </w:rPr>
  </w:style>
  <w:style w:type="character" w:customStyle="1" w:styleId="CommentSubjectChar">
    <w:name w:val="Comment Subject Char"/>
    <w:basedOn w:val="CommentTextChar"/>
    <w:link w:val="CommentSubject"/>
    <w:uiPriority w:val="99"/>
    <w:semiHidden/>
    <w:rsid w:val="008846DD"/>
    <w:rPr>
      <w:b/>
      <w:bCs/>
      <w:sz w:val="20"/>
      <w:szCs w:val="20"/>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Revision">
    <w:name w:val="Revision"/>
    <w:hidden/>
    <w:uiPriority w:val="99"/>
    <w:semiHidden/>
    <w:rsid w:val="00760F66"/>
    <w:pPr>
      <w:spacing w:after="0" w:line="240" w:lineRule="auto"/>
    </w:pPr>
  </w:style>
  <w:style w:type="paragraph" w:styleId="BalloonText">
    <w:name w:val="Balloon Text"/>
    <w:basedOn w:val="Normal"/>
    <w:link w:val="BalloonTextChar"/>
    <w:uiPriority w:val="99"/>
    <w:semiHidden/>
    <w:unhideWhenUsed/>
    <w:rsid w:val="00BA29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94F"/>
    <w:rPr>
      <w:rFonts w:ascii="Segoe UI" w:hAnsi="Segoe UI" w:cs="Segoe UI"/>
      <w:sz w:val="18"/>
      <w:szCs w:val="18"/>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ur03.safelinks.protection.outlook.com/?url=https%3A%2F%2Forcid.org%2F0009-0000-7847-1441&amp;data=05%7C02%7CR.S.Edwards%40soton.ac.uk%7Cf04719036ab145fe7ae508ddc5fcdf3e%7C4a5378f929f44d3ebe89669d03ada9d8%7C0%7C0%7C638884412109665356%7CUnknown%7CTWFpbGZsb3d8eyJFbXB0eU1hcGkiOnRydWUsIlYiOiIwLjAuMDAwMCIsIlAiOiJXaW4zMiIsIkFOIjoiTWFpbCIsIldUIjoyfQ%3D%3D%7C0%7C%7C%7C&amp;sdata=byz%2BM1NPDqHcjNo%2Belwb%2FozLrg%2FmswDE4rfoEgHzKzk%3D&amp;reserved=0" TargetMode="External"/><Relationship Id="rId18" Type="http://schemas.openxmlformats.org/officeDocument/2006/relationships/hyperlink" Target="https://www.thebritishacademy.ac.uk/publications/childhood-reframing-past-and-present-chronologies/" TargetMode="External"/><Relationship Id="rId26" Type="http://schemas.openxmlformats.org/officeDocument/2006/relationships/hyperlink" Target="https://doi.org/10.1093/obo/9780199791231-0237" TargetMode="External"/><Relationship Id="rId39" Type="http://schemas.openxmlformats.org/officeDocument/2006/relationships/hyperlink" Target="http://dx.doi.org/10.1002/psp.2048" TargetMode="External"/><Relationship Id="rId21" Type="http://schemas.openxmlformats.org/officeDocument/2006/relationships/hyperlink" Target="https://doi.org/10.7765/9781526142184" TargetMode="External"/><Relationship Id="rId34" Type="http://schemas.openxmlformats.org/officeDocument/2006/relationships/hyperlink" Target="https://doi.org/10.1007/978-981-287-026-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77/0038038595029004011" TargetMode="External"/><Relationship Id="rId20" Type="http://schemas.openxmlformats.org/officeDocument/2006/relationships/hyperlink" Target="https://timescapes-archive.leeds.ac.uk/wp-content/uploads/sites/47/2020/07/Sister-and-Brothers-Report.pdf" TargetMode="External"/><Relationship Id="rId29" Type="http://schemas.openxmlformats.org/officeDocument/2006/relationships/hyperlink" Target="https://doi.org/10.1177/146879411456749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3.safelinks.protection.outlook.com/?url=https%3A%2F%2Forcid.org%2F0000-0002-6839-876X&amp;data=05%7C02%7CR.S.Edwards%40soton.ac.uk%7C6a51df52b4d14dbf2a2308ddc5ec5699%7C4a5378f929f44d3ebe89669d03ada9d8%7C0%7C0%7C638884341041663045%7CUnknown%7CTWFpbGZsb3d8eyJFbXB0eU1hcGkiOnRydWUsIlYiOiIwLjAuMDAwMCIsIlAiOiJXaW4zMiIsIkFOIjoiTWFpbCIsIldUIjoyfQ%3D%3D%7C0%7C%7C%7C&amp;sdata=Ad2SvFJaE2fp3M%2B9cNU6DQelH3W3pfh0K2MdQgWAVQM%3D&amp;reserved=0" TargetMode="External"/><Relationship Id="rId24" Type="http://schemas.openxmlformats.org/officeDocument/2006/relationships/hyperlink" Target="https://doi.org/10.1007/978-3-030-73306-3" TargetMode="External"/><Relationship Id="rId32" Type="http://schemas.openxmlformats.org/officeDocument/2006/relationships/hyperlink" Target="https://www.ons.gov.uk/peoplepopulationandcommunity/birthsdeathsandmarriages/livebirths/bulletins/birthcharacteristicsinenglandandwales/2017" TargetMode="External"/><Relationship Id="rId37" Type="http://schemas.openxmlformats.org/officeDocument/2006/relationships/hyperlink" Target="https://doi.org/10.1017/S0144686X07006666"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23635/17" TargetMode="External"/><Relationship Id="rId23" Type="http://schemas.openxmlformats.org/officeDocument/2006/relationships/hyperlink" Target="https://doi.org/10.1075/sl.36.4.08nel?locatt=mode:legacy" TargetMode="External"/><Relationship Id="rId28" Type="http://schemas.openxmlformats.org/officeDocument/2006/relationships/hyperlink" Target="https://www.hesa.ac.uk/news/21-01-2010/sfr143-staff" TargetMode="External"/><Relationship Id="rId36" Type="http://schemas.openxmlformats.org/officeDocument/2006/relationships/hyperlink" Target="https://doi.org/10.46743/2160-3715/2015.2396" TargetMode="External"/><Relationship Id="rId10" Type="http://schemas.openxmlformats.org/officeDocument/2006/relationships/hyperlink" Target="mailto:susie.weller@well.ox.ac.uk" TargetMode="External"/><Relationship Id="rId19" Type="http://schemas.openxmlformats.org/officeDocument/2006/relationships/hyperlink" Target="https://doi.org/10.1177/1077800406288634" TargetMode="External"/><Relationship Id="rId31" Type="http://schemas.openxmlformats.org/officeDocument/2006/relationships/hyperlink" Target="https://doi.org/10.1111/jomf.12456" TargetMode="External"/><Relationship Id="rId4" Type="http://schemas.openxmlformats.org/officeDocument/2006/relationships/settings" Target="settings.xml"/><Relationship Id="rId9" Type="http://schemas.openxmlformats.org/officeDocument/2006/relationships/hyperlink" Target="mailto:r.s.edwards@soton.ac.uk" TargetMode="External"/><Relationship Id="rId14" Type="http://schemas.openxmlformats.org/officeDocument/2006/relationships/image" Target="media/image1.jpg"/><Relationship Id="rId22" Type="http://schemas.openxmlformats.org/officeDocument/2006/relationships/hyperlink" Target="https://doi.org/10.4324/9780203448809" TargetMode="External"/><Relationship Id="rId27" Type="http://schemas.openxmlformats.org/officeDocument/2006/relationships/hyperlink" Target="https://doi.org/10.1177/0265407518789514" TargetMode="External"/><Relationship Id="rId30" Type="http://schemas.openxmlformats.org/officeDocument/2006/relationships/hyperlink" Target="https://doi.org/10.1111/j.1741-3737.2012.01011.x" TargetMode="External"/><Relationship Id="rId35" Type="http://schemas.openxmlformats.org/officeDocument/2006/relationships/hyperlink" Target="https://doi.org/10.1111/fare.12728" TargetMode="External"/><Relationship Id="rId8" Type="http://schemas.openxmlformats.org/officeDocument/2006/relationships/hyperlink" Target="https://orcid.org/0000-0002-3512-9029" TargetMode="External"/><Relationship Id="rId3" Type="http://schemas.openxmlformats.org/officeDocument/2006/relationships/styles" Target="styles.xml"/><Relationship Id="rId12" Type="http://schemas.openxmlformats.org/officeDocument/2006/relationships/hyperlink" Target="mailto:luisa.weissberg@ife.uzh.ch" TargetMode="External"/><Relationship Id="rId17" Type="http://schemas.openxmlformats.org/officeDocument/2006/relationships/hyperlink" Target="https://doi.org/10.4324/9780203996355" TargetMode="External"/><Relationship Id="rId25" Type="http://schemas.openxmlformats.org/officeDocument/2006/relationships/hyperlink" Target="https://www.oxfordbibliographies.com/display/document/obo-9780199791231/obo-9780199791231-0237.xml" TargetMode="External"/><Relationship Id="rId33" Type="http://schemas.openxmlformats.org/officeDocument/2006/relationships/hyperlink" Target="https://warwick.ac.uk/fac/cross_fac/healthatwarwick/publications/occasional/ethnicprofile.pdf" TargetMode="External"/><Relationship Id="rId38" Type="http://schemas.openxmlformats.org/officeDocument/2006/relationships/hyperlink" Target="https://doi.org/10.1177/0192513X22115097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CSN2ErTV/0iQqeGLSKhjtYm2mA==">CgMxLjAyDmgubHh1cWVnMnNodHo3Mg5oLm1weDAwODhkZzNveDIOaC5jY3c1NmZzanB2eG44AHIhMXRuaHhUbHlGSFdtaDVMa04tZ0RYMDhIZ1RtMmdtYUlW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5477</Words>
  <Characters>30293</Characters>
  <Application>Microsoft Office Word</Application>
  <DocSecurity>0</DocSecurity>
  <Lines>1121</Lines>
  <Paragraphs>851</Paragraphs>
  <ScaleCrop>false</ScaleCrop>
  <Company/>
  <LinksUpToDate>false</LinksUpToDate>
  <CharactersWithSpaces>34919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 2</dc:creator>
  <cp:lastModifiedBy>Reviewer 2</cp:lastModifiedBy>
  <cp:revision>15</cp:revision>
  <dcterms:created xsi:type="dcterms:W3CDTF">2026-03-19T08:18:00Z</dcterms:created>
  <dcterms:modified xsi:type="dcterms:W3CDTF">2026-03-19T08:26:00Z</dcterms:modified>
</cp:coreProperties>
</file>