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670C94E" w:rsidR="00C15823" w:rsidRPr="004D529E" w:rsidRDefault="00094F60">
      <w:pPr>
        <w:spacing w:line="276" w:lineRule="auto"/>
        <w:jc w:val="center"/>
        <w:rPr>
          <w:b/>
          <w:sz w:val="32"/>
        </w:rPr>
      </w:pPr>
      <w:r>
        <w:rPr>
          <w:b/>
          <w:sz w:val="32"/>
        </w:rPr>
        <w:t>E</w:t>
      </w:r>
      <w:r w:rsidR="00B63BA7" w:rsidRPr="004D529E">
        <w:rPr>
          <w:b/>
          <w:sz w:val="32"/>
        </w:rPr>
        <w:t xml:space="preserve">ffect of </w:t>
      </w:r>
      <w:r w:rsidR="00FD54EB">
        <w:rPr>
          <w:b/>
          <w:sz w:val="32"/>
        </w:rPr>
        <w:t>repeated</w:t>
      </w:r>
      <w:r w:rsidR="00FD54EB" w:rsidRPr="004D529E">
        <w:rPr>
          <w:b/>
          <w:sz w:val="32"/>
        </w:rPr>
        <w:t xml:space="preserve"> </w:t>
      </w:r>
      <w:r w:rsidR="00B63BA7" w:rsidRPr="004D529E">
        <w:rPr>
          <w:b/>
          <w:sz w:val="32"/>
        </w:rPr>
        <w:t>hot water immersion on</w:t>
      </w:r>
      <w:r w:rsidR="00010C1A">
        <w:rPr>
          <w:b/>
          <w:sz w:val="32"/>
        </w:rPr>
        <w:t xml:space="preserve"> </w:t>
      </w:r>
      <w:r w:rsidR="00E67481">
        <w:rPr>
          <w:b/>
          <w:sz w:val="32"/>
        </w:rPr>
        <w:t xml:space="preserve">muscle </w:t>
      </w:r>
      <w:r w:rsidR="00B63BA7" w:rsidRPr="004D529E">
        <w:rPr>
          <w:b/>
          <w:sz w:val="32"/>
        </w:rPr>
        <w:t xml:space="preserve">strength, </w:t>
      </w:r>
      <w:r w:rsidR="009979EB">
        <w:rPr>
          <w:b/>
          <w:sz w:val="32"/>
        </w:rPr>
        <w:t>power,</w:t>
      </w:r>
      <w:r w:rsidR="009979EB" w:rsidRPr="004D529E">
        <w:rPr>
          <w:b/>
          <w:sz w:val="32"/>
        </w:rPr>
        <w:t xml:space="preserve"> </w:t>
      </w:r>
      <w:r>
        <w:rPr>
          <w:b/>
          <w:sz w:val="32"/>
        </w:rPr>
        <w:t>function</w:t>
      </w:r>
      <w:r w:rsidR="00B8349C">
        <w:rPr>
          <w:b/>
          <w:sz w:val="32"/>
        </w:rPr>
        <w:t xml:space="preserve"> </w:t>
      </w:r>
      <w:r w:rsidR="00B63BA7" w:rsidRPr="004D529E">
        <w:rPr>
          <w:b/>
          <w:sz w:val="32"/>
        </w:rPr>
        <w:t xml:space="preserve">and physical activity in </w:t>
      </w:r>
      <w:r w:rsidR="00E67481">
        <w:rPr>
          <w:b/>
          <w:sz w:val="32"/>
        </w:rPr>
        <w:t xml:space="preserve">healthy </w:t>
      </w:r>
      <w:r w:rsidR="00B63BA7" w:rsidRPr="004D529E">
        <w:rPr>
          <w:b/>
          <w:sz w:val="32"/>
        </w:rPr>
        <w:t xml:space="preserve">older adults: A </w:t>
      </w:r>
      <w:proofErr w:type="spellStart"/>
      <w:r w:rsidR="00B63BA7" w:rsidRPr="004D529E">
        <w:rPr>
          <w:b/>
          <w:sz w:val="32"/>
        </w:rPr>
        <w:t>randomised</w:t>
      </w:r>
      <w:proofErr w:type="spellEnd"/>
      <w:r w:rsidR="00B63BA7" w:rsidRPr="004D529E">
        <w:rPr>
          <w:b/>
          <w:sz w:val="32"/>
        </w:rPr>
        <w:t xml:space="preserve"> crossover trial</w:t>
      </w:r>
    </w:p>
    <w:p w14:paraId="00000002" w14:textId="77777777" w:rsidR="00C15823" w:rsidRPr="003B3D6C" w:rsidRDefault="00C15823">
      <w:pPr>
        <w:spacing w:line="276" w:lineRule="auto"/>
        <w:jc w:val="center"/>
      </w:pPr>
    </w:p>
    <w:p w14:paraId="00000003" w14:textId="72C50C48" w:rsidR="00C15823" w:rsidRPr="003B3D6C" w:rsidRDefault="00B63BA7">
      <w:pPr>
        <w:spacing w:line="276" w:lineRule="auto"/>
        <w:jc w:val="center"/>
      </w:pPr>
      <w:r w:rsidRPr="003B3D6C">
        <w:t>Daniel D. Piccolo</w:t>
      </w:r>
      <w:r w:rsidRPr="003B3D6C">
        <w:rPr>
          <w:vertAlign w:val="superscript"/>
        </w:rPr>
        <w:t>(1, 2)</w:t>
      </w:r>
      <w:r w:rsidRPr="003B3D6C">
        <w:t>, Jo Corbett</w:t>
      </w:r>
      <w:r w:rsidRPr="003B3D6C">
        <w:rPr>
          <w:vertAlign w:val="superscript"/>
        </w:rPr>
        <w:t>(2)</w:t>
      </w:r>
      <w:r w:rsidRPr="003B3D6C">
        <w:t xml:space="preserve">, </w:t>
      </w:r>
      <w:r w:rsidR="00570FD4">
        <w:t>Tim</w:t>
      </w:r>
      <w:r w:rsidR="004D15CF">
        <w:t>othy A.</w:t>
      </w:r>
      <w:r w:rsidR="00570FD4">
        <w:t xml:space="preserve"> Exell</w:t>
      </w:r>
      <w:r w:rsidR="00570FD4" w:rsidRPr="00B33317">
        <w:rPr>
          <w:vertAlign w:val="superscript"/>
        </w:rPr>
        <w:t>(1)</w:t>
      </w:r>
      <w:r w:rsidR="00570FD4">
        <w:t xml:space="preserve">, </w:t>
      </w:r>
      <w:r w:rsidRPr="003B3D6C">
        <w:t>Joseph M. Moore</w:t>
      </w:r>
      <w:r w:rsidRPr="003B3D6C">
        <w:rPr>
          <w:vertAlign w:val="superscript"/>
        </w:rPr>
        <w:t>(1)</w:t>
      </w:r>
      <w:r w:rsidRPr="003B3D6C">
        <w:t>, Amy Wright</w:t>
      </w:r>
      <w:r w:rsidRPr="003B3D6C">
        <w:rPr>
          <w:vertAlign w:val="superscript"/>
        </w:rPr>
        <w:t>(1)</w:t>
      </w:r>
      <w:r w:rsidRPr="003B3D6C">
        <w:t>, Mohammad G. A. Alnajjar</w:t>
      </w:r>
      <w:r w:rsidRPr="003B3D6C">
        <w:rPr>
          <w:vertAlign w:val="superscript"/>
        </w:rPr>
        <w:t>(1)</w:t>
      </w:r>
      <w:r w:rsidRPr="003B3D6C">
        <w:t>,</w:t>
      </w:r>
      <w:r w:rsidR="00A700A9">
        <w:t xml:space="preserve"> Luke</w:t>
      </w:r>
      <w:r w:rsidR="005F19E8">
        <w:t xml:space="preserve"> C.</w:t>
      </w:r>
      <w:r w:rsidR="00A700A9">
        <w:t xml:space="preserve"> Hudson</w:t>
      </w:r>
      <w:r w:rsidR="00A700A9" w:rsidRPr="009046A9">
        <w:rPr>
          <w:vertAlign w:val="superscript"/>
        </w:rPr>
        <w:t>(</w:t>
      </w:r>
      <w:r w:rsidR="00A700A9">
        <w:rPr>
          <w:vertAlign w:val="superscript"/>
        </w:rPr>
        <w:t>2</w:t>
      </w:r>
      <w:r w:rsidR="00A700A9" w:rsidRPr="009046A9">
        <w:rPr>
          <w:vertAlign w:val="superscript"/>
        </w:rPr>
        <w:t>)</w:t>
      </w:r>
      <w:r w:rsidR="00A700A9">
        <w:t>,</w:t>
      </w:r>
      <w:r w:rsidRPr="003B3D6C">
        <w:t xml:space="preserve"> Poppy A. Marsh</w:t>
      </w:r>
      <w:r w:rsidRPr="003B3D6C">
        <w:rPr>
          <w:vertAlign w:val="superscript"/>
        </w:rPr>
        <w:t>(1)</w:t>
      </w:r>
      <w:r w:rsidRPr="003B3D6C">
        <w:t>,</w:t>
      </w:r>
      <w:r w:rsidR="00A700A9">
        <w:t xml:space="preserve"> Veronika </w:t>
      </w:r>
      <w:proofErr w:type="spellStart"/>
      <w:r w:rsidR="00A700A9">
        <w:t>Praskacova</w:t>
      </w:r>
      <w:proofErr w:type="spellEnd"/>
      <w:r w:rsidR="00A700A9" w:rsidRPr="009046A9">
        <w:rPr>
          <w:vertAlign w:val="superscript"/>
        </w:rPr>
        <w:t>(1)</w:t>
      </w:r>
      <w:r w:rsidR="00A700A9">
        <w:t xml:space="preserve">, </w:t>
      </w:r>
      <w:r w:rsidR="00A700A9" w:rsidRPr="00477BB0">
        <w:t>Melitta A</w:t>
      </w:r>
      <w:r w:rsidR="00A700A9">
        <w:t>.</w:t>
      </w:r>
      <w:r w:rsidR="00A700A9" w:rsidRPr="00477BB0">
        <w:t xml:space="preserve"> </w:t>
      </w:r>
      <w:proofErr w:type="spellStart"/>
      <w:r w:rsidR="00A700A9" w:rsidRPr="00477BB0">
        <w:t>McNarry</w:t>
      </w:r>
      <w:proofErr w:type="spellEnd"/>
      <w:r w:rsidR="00A700A9">
        <w:rPr>
          <w:vertAlign w:val="superscript"/>
        </w:rPr>
        <w:t>(3)</w:t>
      </w:r>
      <w:r w:rsidR="00A700A9" w:rsidRPr="00477BB0">
        <w:t>, Kelly A</w:t>
      </w:r>
      <w:r w:rsidR="00A700A9">
        <w:t>.</w:t>
      </w:r>
      <w:r w:rsidR="00A700A9" w:rsidRPr="00477BB0">
        <w:t xml:space="preserve"> Mackintosh</w:t>
      </w:r>
      <w:r w:rsidR="00A700A9" w:rsidRPr="00477BB0">
        <w:rPr>
          <w:vertAlign w:val="superscript"/>
        </w:rPr>
        <w:t>(</w:t>
      </w:r>
      <w:r w:rsidR="00A700A9">
        <w:rPr>
          <w:vertAlign w:val="superscript"/>
        </w:rPr>
        <w:t>3)</w:t>
      </w:r>
      <w:r w:rsidR="00A700A9">
        <w:t>,</w:t>
      </w:r>
      <w:r w:rsidR="009A3333">
        <w:t xml:space="preserve"> </w:t>
      </w:r>
      <w:r w:rsidRPr="003B3D6C">
        <w:t>Zoe L. Saynor</w:t>
      </w:r>
      <w:r w:rsidRPr="003B3D6C">
        <w:rPr>
          <w:vertAlign w:val="superscript"/>
        </w:rPr>
        <w:t>(</w:t>
      </w:r>
      <w:r w:rsidR="0061158E">
        <w:rPr>
          <w:vertAlign w:val="superscript"/>
        </w:rPr>
        <w:t>4</w:t>
      </w:r>
      <w:r w:rsidR="00A700A9">
        <w:rPr>
          <w:vertAlign w:val="superscript"/>
        </w:rPr>
        <w:t>, 5</w:t>
      </w:r>
      <w:r w:rsidRPr="003B3D6C">
        <w:rPr>
          <w:vertAlign w:val="superscript"/>
        </w:rPr>
        <w:t>)</w:t>
      </w:r>
      <w:r w:rsidRPr="003B3D6C">
        <w:t>, Anthony I. Shepherd</w:t>
      </w:r>
      <w:r w:rsidRPr="003B3D6C">
        <w:rPr>
          <w:vertAlign w:val="superscript"/>
        </w:rPr>
        <w:t>(1, 2)*</w:t>
      </w:r>
    </w:p>
    <w:p w14:paraId="00000004" w14:textId="1CC1EB42" w:rsidR="00C15823" w:rsidRPr="003B3D6C" w:rsidRDefault="00B63BA7">
      <w:pPr>
        <w:spacing w:line="276" w:lineRule="auto"/>
        <w:jc w:val="center"/>
      </w:pPr>
      <w:r w:rsidRPr="003B3D6C">
        <w:rPr>
          <w:vertAlign w:val="superscript"/>
        </w:rPr>
        <w:t>1</w:t>
      </w:r>
      <w:r w:rsidRPr="003B3D6C">
        <w:t xml:space="preserve"> </w:t>
      </w:r>
      <w:r w:rsidR="00004807">
        <w:t>Clinical</w:t>
      </w:r>
      <w:r w:rsidRPr="003B3D6C">
        <w:t>, Health and Rehabilitation Te</w:t>
      </w:r>
      <w:r w:rsidR="00004807">
        <w:t>a</w:t>
      </w:r>
      <w:r w:rsidRPr="003B3D6C">
        <w:t xml:space="preserve">m, </w:t>
      </w:r>
      <w:r w:rsidR="00234B9A">
        <w:t xml:space="preserve">Centre for Integrated Health and Wellbeing, </w:t>
      </w:r>
      <w:r w:rsidRPr="003B3D6C">
        <w:t xml:space="preserve">School of </w:t>
      </w:r>
      <w:r w:rsidR="007D1CE7">
        <w:t xml:space="preserve">Psychology, </w:t>
      </w:r>
      <w:r w:rsidRPr="003B3D6C">
        <w:t>Sport</w:t>
      </w:r>
      <w:r w:rsidR="007D1CE7">
        <w:t xml:space="preserve"> and</w:t>
      </w:r>
      <w:r w:rsidRPr="003B3D6C">
        <w:t xml:space="preserve"> Health Science</w:t>
      </w:r>
      <w:r w:rsidR="007D1CE7">
        <w:t>s</w:t>
      </w:r>
      <w:r w:rsidRPr="003B3D6C">
        <w:t>, Faculty of Science and Health, University of Portsmouth, UK</w:t>
      </w:r>
    </w:p>
    <w:p w14:paraId="00000005" w14:textId="20CB8724" w:rsidR="00C15823" w:rsidRDefault="00B63BA7">
      <w:pPr>
        <w:spacing w:line="276" w:lineRule="auto"/>
        <w:jc w:val="center"/>
      </w:pPr>
      <w:r w:rsidRPr="003B3D6C">
        <w:rPr>
          <w:vertAlign w:val="superscript"/>
        </w:rPr>
        <w:t>2</w:t>
      </w:r>
      <w:r w:rsidRPr="003B3D6C">
        <w:t xml:space="preserve"> Extreme Environments </w:t>
      </w:r>
      <w:r w:rsidR="00B732CC">
        <w:t>and Occupational Performance Group</w:t>
      </w:r>
      <w:r w:rsidRPr="003B3D6C">
        <w:t xml:space="preserve">, School of </w:t>
      </w:r>
      <w:r w:rsidR="007D1CE7">
        <w:t xml:space="preserve">Psychology, </w:t>
      </w:r>
      <w:r w:rsidR="007D1CE7" w:rsidRPr="003B3D6C">
        <w:t>Sport</w:t>
      </w:r>
      <w:r w:rsidR="007D1CE7">
        <w:t xml:space="preserve"> and</w:t>
      </w:r>
      <w:r w:rsidR="007D1CE7" w:rsidRPr="003B3D6C">
        <w:t xml:space="preserve"> Health Science</w:t>
      </w:r>
      <w:r w:rsidR="007D1CE7">
        <w:t>s</w:t>
      </w:r>
      <w:r w:rsidRPr="003B3D6C">
        <w:t>, Faculty of Science and Health, University of Portsmouth, UK</w:t>
      </w:r>
    </w:p>
    <w:p w14:paraId="2E0E7022" w14:textId="7C7C2FC4" w:rsidR="00A700A9" w:rsidRDefault="00A700A9" w:rsidP="00A700A9">
      <w:pPr>
        <w:spacing w:line="276" w:lineRule="auto"/>
        <w:jc w:val="center"/>
      </w:pPr>
      <w:r>
        <w:rPr>
          <w:vertAlign w:val="superscript"/>
        </w:rPr>
        <w:t>3</w:t>
      </w:r>
      <w:r w:rsidRPr="00477BB0">
        <w:t>Applied Sports, Technology, Exercise and Medicine (A-STEM) Research Centre, School of Sport and Exercise Sciences, Swansea University, UK.</w:t>
      </w:r>
    </w:p>
    <w:p w14:paraId="00000006" w14:textId="01713F4C" w:rsidR="00C15823" w:rsidRDefault="00A700A9">
      <w:pPr>
        <w:spacing w:line="276" w:lineRule="auto"/>
        <w:jc w:val="center"/>
      </w:pPr>
      <w:bookmarkStart w:id="0" w:name="_heading=h.gjdgxs" w:colFirst="0" w:colLast="0"/>
      <w:bookmarkEnd w:id="0"/>
      <w:r>
        <w:rPr>
          <w:vertAlign w:val="superscript"/>
        </w:rPr>
        <w:t>4</w:t>
      </w:r>
      <w:r w:rsidR="00B63BA7" w:rsidRPr="003B3D6C">
        <w:t xml:space="preserve"> School of Health Sciences, Faculty of Environmental and Life Sciences, University of Southampton, Southampton, UK</w:t>
      </w:r>
    </w:p>
    <w:p w14:paraId="24A26627" w14:textId="01458201" w:rsidR="0061158E" w:rsidRPr="007D32EE" w:rsidRDefault="00A700A9" w:rsidP="0061158E">
      <w:pPr>
        <w:spacing w:line="276" w:lineRule="auto"/>
        <w:jc w:val="center"/>
      </w:pPr>
      <w:r>
        <w:rPr>
          <w:vertAlign w:val="superscript"/>
        </w:rPr>
        <w:t>5</w:t>
      </w:r>
      <w:r w:rsidR="0061158E">
        <w:rPr>
          <w:vertAlign w:val="superscript"/>
        </w:rPr>
        <w:t xml:space="preserve"> </w:t>
      </w:r>
      <w:r w:rsidR="0061158E" w:rsidRPr="000C7376">
        <w:t xml:space="preserve">National Institute for Health </w:t>
      </w:r>
      <w:r w:rsidR="002F2FAD">
        <w:t xml:space="preserve">and Care </w:t>
      </w:r>
      <w:r w:rsidR="0061158E" w:rsidRPr="000C7376">
        <w:t>Research Southampton Biomedical Research Centre, Southampton, UK</w:t>
      </w:r>
    </w:p>
    <w:p w14:paraId="00000009" w14:textId="77777777" w:rsidR="00C15823" w:rsidRPr="003B3D6C" w:rsidRDefault="00C15823">
      <w:pPr>
        <w:spacing w:after="0"/>
        <w:jc w:val="both"/>
        <w:rPr>
          <w:b/>
        </w:rPr>
      </w:pPr>
    </w:p>
    <w:p w14:paraId="7EDDF4D5" w14:textId="7C62955A" w:rsidR="0031215C" w:rsidRDefault="0031215C">
      <w:pPr>
        <w:spacing w:after="0"/>
        <w:jc w:val="both"/>
        <w:rPr>
          <w:b/>
        </w:rPr>
      </w:pPr>
    </w:p>
    <w:p w14:paraId="6D08A730" w14:textId="1407B638" w:rsidR="0031215C" w:rsidRDefault="0031215C">
      <w:pPr>
        <w:spacing w:after="0"/>
        <w:jc w:val="both"/>
        <w:rPr>
          <w:b/>
        </w:rPr>
      </w:pPr>
    </w:p>
    <w:p w14:paraId="00000012" w14:textId="68FEDDE4" w:rsidR="00C15823" w:rsidRPr="003B3D6C" w:rsidRDefault="0013532B">
      <w:pPr>
        <w:spacing w:after="0" w:line="276" w:lineRule="auto"/>
        <w:jc w:val="both"/>
        <w:rPr>
          <w:b/>
        </w:rPr>
      </w:pPr>
      <w:r>
        <w:rPr>
          <w:b/>
        </w:rPr>
        <w:t>*</w:t>
      </w:r>
      <w:r w:rsidR="00B63BA7" w:rsidRPr="003B3D6C">
        <w:rPr>
          <w:b/>
        </w:rPr>
        <w:t xml:space="preserve">Corresponding author:  </w:t>
      </w:r>
    </w:p>
    <w:p w14:paraId="2E91CC5F" w14:textId="77777777" w:rsidR="00A700A9" w:rsidRPr="00724BDF" w:rsidRDefault="00A700A9" w:rsidP="00A700A9">
      <w:pPr>
        <w:spacing w:after="0" w:line="276" w:lineRule="auto"/>
      </w:pPr>
      <w:r w:rsidRPr="00724BDF">
        <w:t xml:space="preserve">Dr Anthony </w:t>
      </w:r>
      <w:r>
        <w:t xml:space="preserve">I. </w:t>
      </w:r>
      <w:r w:rsidRPr="00724BDF">
        <w:t>Shepherd</w:t>
      </w:r>
    </w:p>
    <w:p w14:paraId="2A5A126F" w14:textId="77777777" w:rsidR="00A700A9" w:rsidRPr="00724BDF" w:rsidRDefault="00A700A9" w:rsidP="00A700A9">
      <w:pPr>
        <w:spacing w:after="0" w:line="276" w:lineRule="auto"/>
      </w:pPr>
      <w:r>
        <w:t>Associate Professor</w:t>
      </w:r>
      <w:r w:rsidRPr="00724BDF">
        <w:t xml:space="preserve"> in </w:t>
      </w:r>
      <w:r>
        <w:t xml:space="preserve">Clinical Exercise Physiology </w:t>
      </w:r>
    </w:p>
    <w:p w14:paraId="5C81EF75" w14:textId="77777777" w:rsidR="00A700A9" w:rsidRPr="00A4127E" w:rsidRDefault="00A700A9" w:rsidP="00A700A9">
      <w:pPr>
        <w:spacing w:after="0" w:line="276" w:lineRule="auto"/>
        <w:rPr>
          <w:lang w:val="en-GB"/>
        </w:rPr>
      </w:pPr>
      <w:r w:rsidRPr="00A4127E">
        <w:rPr>
          <w:lang w:val="en-GB"/>
        </w:rPr>
        <w:t>Centre for Integrated Health and Wellbeing (</w:t>
      </w:r>
      <w:proofErr w:type="spellStart"/>
      <w:r>
        <w:fldChar w:fldCharType="begin"/>
      </w:r>
      <w:r>
        <w:instrText>HYPERLINK "https://www.port.ac.uk/research/research-centres-and-institutes/centre-for-integrated-health-and-wellbeing" \o "https://www.port.ac.uk/research/research-centres-and-institutes/centre-for-integrated-health-and-wellbeing"</w:instrText>
      </w:r>
      <w:r>
        <w:fldChar w:fldCharType="separate"/>
      </w:r>
      <w:r w:rsidRPr="00A4127E">
        <w:rPr>
          <w:rStyle w:val="Hyperlink"/>
          <w:lang w:val="en-GB"/>
        </w:rPr>
        <w:t>CiH</w:t>
      </w:r>
      <w:proofErr w:type="spellEnd"/>
      <w:r w:rsidRPr="00A4127E">
        <w:rPr>
          <w:rStyle w:val="Hyperlink"/>
          <w:lang w:val="en-GB"/>
        </w:rPr>
        <w:t>-Well</w:t>
      </w:r>
      <w:r>
        <w:fldChar w:fldCharType="end"/>
      </w:r>
      <w:r w:rsidRPr="00A4127E">
        <w:rPr>
          <w:lang w:val="en-GB"/>
        </w:rPr>
        <w:t>)</w:t>
      </w:r>
    </w:p>
    <w:p w14:paraId="7FCC521D" w14:textId="77777777" w:rsidR="00A700A9" w:rsidRPr="00724BDF" w:rsidRDefault="00A700A9" w:rsidP="00A700A9">
      <w:pPr>
        <w:spacing w:after="0" w:line="276" w:lineRule="auto"/>
      </w:pPr>
      <w:r w:rsidRPr="00724BDF">
        <w:t>Clinical, Health and Rehabilitation Team (</w:t>
      </w:r>
      <w:proofErr w:type="spellStart"/>
      <w:r w:rsidRPr="00724BDF">
        <w:t>CHaRT</w:t>
      </w:r>
      <w:proofErr w:type="spellEnd"/>
      <w:r w:rsidRPr="00724BDF">
        <w:t xml:space="preserve">) </w:t>
      </w:r>
    </w:p>
    <w:p w14:paraId="00000017" w14:textId="6BC81236" w:rsidR="00C15823" w:rsidRPr="003B3D6C" w:rsidRDefault="00A700A9">
      <w:pPr>
        <w:spacing w:after="0" w:line="276" w:lineRule="auto"/>
        <w:jc w:val="both"/>
      </w:pPr>
      <w:r w:rsidRPr="00724BDF">
        <w:t xml:space="preserve">School of </w:t>
      </w:r>
      <w:r>
        <w:t xml:space="preserve">Psychology, </w:t>
      </w:r>
      <w:r w:rsidRPr="00724BDF">
        <w:t>Sport</w:t>
      </w:r>
      <w:r>
        <w:t xml:space="preserve"> &amp;</w:t>
      </w:r>
      <w:r w:rsidRPr="00724BDF">
        <w:t xml:space="preserve"> Health Science</w:t>
      </w:r>
      <w:r>
        <w:t>s</w:t>
      </w:r>
      <w:r w:rsidRPr="00724BDF">
        <w:t xml:space="preserve"> </w:t>
      </w:r>
    </w:p>
    <w:p w14:paraId="00000018" w14:textId="77777777" w:rsidR="00C15823" w:rsidRPr="003B3D6C" w:rsidRDefault="00B63BA7">
      <w:pPr>
        <w:spacing w:after="0" w:line="276" w:lineRule="auto"/>
        <w:jc w:val="both"/>
      </w:pPr>
      <w:r w:rsidRPr="003B3D6C">
        <w:t xml:space="preserve">Faculty of Science and Health, University of Portsmouth </w:t>
      </w:r>
    </w:p>
    <w:p w14:paraId="00000019" w14:textId="77777777" w:rsidR="00C15823" w:rsidRPr="003B3D6C" w:rsidRDefault="00B63BA7">
      <w:pPr>
        <w:spacing w:after="0" w:line="276" w:lineRule="auto"/>
        <w:jc w:val="both"/>
      </w:pPr>
      <w:r w:rsidRPr="003B3D6C">
        <w:t xml:space="preserve">Spinnaker Building </w:t>
      </w:r>
    </w:p>
    <w:p w14:paraId="0000001A" w14:textId="77777777" w:rsidR="00C15823" w:rsidRPr="003B3D6C" w:rsidRDefault="00B63BA7">
      <w:pPr>
        <w:spacing w:after="0" w:line="276" w:lineRule="auto"/>
        <w:jc w:val="both"/>
      </w:pPr>
      <w:r w:rsidRPr="003B3D6C">
        <w:t xml:space="preserve">Cambridge Road </w:t>
      </w:r>
    </w:p>
    <w:p w14:paraId="0000001B" w14:textId="77777777" w:rsidR="00C15823" w:rsidRPr="003B3D6C" w:rsidRDefault="00B63BA7">
      <w:pPr>
        <w:spacing w:after="0" w:line="276" w:lineRule="auto"/>
        <w:jc w:val="both"/>
      </w:pPr>
      <w:r w:rsidRPr="003B3D6C">
        <w:t>Portsmouth, UK</w:t>
      </w:r>
    </w:p>
    <w:p w14:paraId="0000001C" w14:textId="77777777" w:rsidR="00C15823" w:rsidRPr="003B3D6C" w:rsidRDefault="00B63BA7">
      <w:pPr>
        <w:spacing w:after="0" w:line="276" w:lineRule="auto"/>
        <w:jc w:val="both"/>
      </w:pPr>
      <w:r w:rsidRPr="003B3D6C">
        <w:t xml:space="preserve">PO1 2ER </w:t>
      </w:r>
    </w:p>
    <w:p w14:paraId="0000001D" w14:textId="77777777" w:rsidR="00C15823" w:rsidRPr="003B3D6C" w:rsidRDefault="00B63BA7">
      <w:pPr>
        <w:spacing w:after="0" w:line="276" w:lineRule="auto"/>
        <w:jc w:val="both"/>
      </w:pPr>
      <w:r w:rsidRPr="003B3D6C">
        <w:t xml:space="preserve">Email address: ant.shepherd@port.ac.uk </w:t>
      </w:r>
    </w:p>
    <w:p w14:paraId="0000001E" w14:textId="77777777" w:rsidR="00C15823" w:rsidRPr="003B3D6C" w:rsidRDefault="00B63BA7">
      <w:pPr>
        <w:spacing w:after="0" w:line="276" w:lineRule="auto"/>
        <w:jc w:val="both"/>
      </w:pPr>
      <w:r w:rsidRPr="003B3D6C">
        <w:t xml:space="preserve">Phone number: +44 (0)2392 84 5289 </w:t>
      </w:r>
    </w:p>
    <w:p w14:paraId="5A9616DA" w14:textId="4C12143B" w:rsidR="00833D29" w:rsidRDefault="00B63BA7">
      <w:pPr>
        <w:spacing w:line="276" w:lineRule="auto"/>
        <w:jc w:val="both"/>
      </w:pPr>
      <w:r w:rsidRPr="00403512">
        <w:rPr>
          <w:b/>
        </w:rPr>
        <w:t>Key words</w:t>
      </w:r>
      <w:r w:rsidRPr="003B3D6C">
        <w:t xml:space="preserve">: ageing, </w:t>
      </w:r>
      <w:r w:rsidR="00B8349C" w:rsidRPr="003B3D6C">
        <w:t>grip strength</w:t>
      </w:r>
      <w:r w:rsidRPr="003B3D6C">
        <w:t xml:space="preserve">, lower body kinetics, </w:t>
      </w:r>
      <w:r w:rsidR="005438DF">
        <w:t xml:space="preserve">lower extremity function, </w:t>
      </w:r>
      <w:r w:rsidR="00B8349C">
        <w:t>passive heating</w:t>
      </w:r>
      <w:r w:rsidR="00B8349C" w:rsidRPr="003B3D6C">
        <w:t xml:space="preserve"> </w:t>
      </w:r>
    </w:p>
    <w:p w14:paraId="4DAA11E9" w14:textId="77777777" w:rsidR="00833D29" w:rsidRPr="00C26412" w:rsidRDefault="00833D29" w:rsidP="00833D29">
      <w:pPr>
        <w:spacing w:line="360" w:lineRule="auto"/>
        <w:jc w:val="both"/>
        <w:rPr>
          <w:b/>
          <w:bCs/>
        </w:rPr>
      </w:pPr>
      <w:r w:rsidRPr="00C26412">
        <w:rPr>
          <w:b/>
          <w:bCs/>
        </w:rPr>
        <w:lastRenderedPageBreak/>
        <w:t>What is the central question of this study?</w:t>
      </w:r>
    </w:p>
    <w:p w14:paraId="107DF47C" w14:textId="77777777" w:rsidR="00833D29" w:rsidRDefault="00833D29" w:rsidP="00833D29">
      <w:pPr>
        <w:spacing w:line="360" w:lineRule="auto"/>
        <w:jc w:val="both"/>
      </w:pPr>
      <w:r>
        <w:t>Can six weeks of two to three hot water immersions per week improve strength, power, lower extremity function, and physical activity in healthy older adults?</w:t>
      </w:r>
    </w:p>
    <w:p w14:paraId="4B18EE8C" w14:textId="77777777" w:rsidR="00833D29" w:rsidRDefault="00833D29" w:rsidP="00833D29">
      <w:pPr>
        <w:spacing w:line="360" w:lineRule="auto"/>
        <w:jc w:val="both"/>
      </w:pPr>
    </w:p>
    <w:p w14:paraId="16843EDD" w14:textId="77777777" w:rsidR="00833D29" w:rsidRDefault="00833D29" w:rsidP="00833D29">
      <w:pPr>
        <w:spacing w:line="360" w:lineRule="auto"/>
        <w:jc w:val="both"/>
        <w:rPr>
          <w:b/>
          <w:bCs/>
        </w:rPr>
      </w:pPr>
      <w:r w:rsidRPr="00C26412">
        <w:rPr>
          <w:b/>
          <w:bCs/>
        </w:rPr>
        <w:t xml:space="preserve">What is the main finding and its importance? </w:t>
      </w:r>
    </w:p>
    <w:p w14:paraId="6A6C5B21" w14:textId="4EEA5F1B" w:rsidR="00833D29" w:rsidRDefault="00833D29" w:rsidP="00833D29">
      <w:pPr>
        <w:spacing w:line="360" w:lineRule="auto"/>
        <w:jc w:val="both"/>
        <w:rPr>
          <w:b/>
          <w:bCs/>
        </w:rPr>
      </w:pPr>
      <w:r>
        <w:t xml:space="preserve">Repeated hot water immersion had no effect on strength, </w:t>
      </w:r>
      <w:r w:rsidR="00642EB1">
        <w:t>power</w:t>
      </w:r>
      <w:r w:rsidR="00943441">
        <w:t xml:space="preserve">, </w:t>
      </w:r>
      <w:r>
        <w:t xml:space="preserve">lower extremity function, or physical activity in healthy older adults. </w:t>
      </w:r>
      <w:r w:rsidR="00E30CBA" w:rsidRPr="00E30CBA">
        <w:t xml:space="preserve">Six weeks of up to thrice-weekly </w:t>
      </w:r>
      <w:r w:rsidR="009D3381">
        <w:t>h</w:t>
      </w:r>
      <w:r>
        <w:t xml:space="preserve">ot water immersion </w:t>
      </w:r>
      <w:r w:rsidR="009773F5">
        <w:t xml:space="preserve">therefore </w:t>
      </w:r>
      <w:r w:rsidR="00903856">
        <w:t>does not appear to improve muscle function in healthy older adults,</w:t>
      </w:r>
      <w:r>
        <w:t xml:space="preserve"> however, larger trials focusing on individuals with low physical function or frailty are warranted to confirm these findings.</w:t>
      </w:r>
    </w:p>
    <w:p w14:paraId="00000020" w14:textId="4AF8FDB8" w:rsidR="00C15823" w:rsidRPr="003B3D6C" w:rsidRDefault="00B63BA7">
      <w:pPr>
        <w:spacing w:line="276" w:lineRule="auto"/>
        <w:jc w:val="both"/>
      </w:pPr>
      <w:r w:rsidRPr="003B3D6C">
        <w:br w:type="page"/>
      </w:r>
    </w:p>
    <w:p w14:paraId="00000026" w14:textId="1724C6F9" w:rsidR="00C15823" w:rsidRPr="002E3D62" w:rsidRDefault="006E07CE">
      <w:pPr>
        <w:spacing w:line="480" w:lineRule="auto"/>
        <w:jc w:val="both"/>
        <w:rPr>
          <w:b/>
        </w:rPr>
      </w:pPr>
      <w:r w:rsidRPr="006E07CE">
        <w:rPr>
          <w:b/>
        </w:rPr>
        <w:lastRenderedPageBreak/>
        <w:t>ABSTRACT</w:t>
      </w:r>
    </w:p>
    <w:p w14:paraId="4D002EA9" w14:textId="35084318" w:rsidR="00B063DA" w:rsidRDefault="004A6A59">
      <w:pPr>
        <w:spacing w:line="480" w:lineRule="auto"/>
        <w:jc w:val="both"/>
        <w:rPr>
          <w:b/>
        </w:rPr>
      </w:pPr>
      <w:bookmarkStart w:id="1" w:name="_Hlk212795444"/>
      <w:r w:rsidRPr="004A6A59">
        <w:rPr>
          <w:lang w:val="en-GB"/>
        </w:rPr>
        <w:t>Ageing leads to an increased prevalence of sarcopenia and frailty, characteri</w:t>
      </w:r>
      <w:r w:rsidR="00924E6D">
        <w:rPr>
          <w:lang w:val="en-GB"/>
        </w:rPr>
        <w:t>s</w:t>
      </w:r>
      <w:r w:rsidRPr="004A6A59">
        <w:rPr>
          <w:lang w:val="en-GB"/>
        </w:rPr>
        <w:t>ed by progressive declines in muscle strength, power</w:t>
      </w:r>
      <w:r w:rsidR="00AE28F0">
        <w:rPr>
          <w:lang w:val="en-GB"/>
        </w:rPr>
        <w:t>,</w:t>
      </w:r>
      <w:r w:rsidRPr="004A6A59">
        <w:rPr>
          <w:lang w:val="en-GB"/>
        </w:rPr>
        <w:t xml:space="preserve"> function</w:t>
      </w:r>
      <w:r w:rsidR="00AE28F0">
        <w:rPr>
          <w:lang w:val="en-GB"/>
        </w:rPr>
        <w:t xml:space="preserve"> and reduced physical activity</w:t>
      </w:r>
      <w:r w:rsidRPr="004A6A59">
        <w:rPr>
          <w:lang w:val="en-GB"/>
        </w:rPr>
        <w:t>.</w:t>
      </w:r>
      <w:r w:rsidR="00A258CB">
        <w:rPr>
          <w:lang w:val="en-GB"/>
        </w:rPr>
        <w:t xml:space="preserve"> </w:t>
      </w:r>
      <w:r w:rsidR="00815831">
        <w:rPr>
          <w:lang w:val="en-GB"/>
        </w:rPr>
        <w:t xml:space="preserve">Hot water immersion </w:t>
      </w:r>
      <w:r w:rsidR="00815831">
        <w:t xml:space="preserve">(HWI) </w:t>
      </w:r>
      <w:r w:rsidR="003D4010">
        <w:rPr>
          <w:lang w:val="en-GB"/>
        </w:rPr>
        <w:t>could</w:t>
      </w:r>
      <w:r w:rsidR="00815831">
        <w:rPr>
          <w:lang w:val="en-GB"/>
        </w:rPr>
        <w:t xml:space="preserve"> potential</w:t>
      </w:r>
      <w:r w:rsidR="003D4010">
        <w:rPr>
          <w:lang w:val="en-GB"/>
        </w:rPr>
        <w:t>ly</w:t>
      </w:r>
      <w:r w:rsidR="00815831">
        <w:rPr>
          <w:lang w:val="en-GB"/>
        </w:rPr>
        <w:t xml:space="preserve"> improve muscle function, but</w:t>
      </w:r>
      <w:r w:rsidR="00A94A0C">
        <w:rPr>
          <w:lang w:val="en-GB"/>
        </w:rPr>
        <w:t xml:space="preserve"> this</w:t>
      </w:r>
      <w:r w:rsidR="00815831">
        <w:rPr>
          <w:lang w:val="en-GB"/>
        </w:rPr>
        <w:t xml:space="preserve"> is yet to be explored in older adults</w:t>
      </w:r>
      <w:r w:rsidR="006E07CE">
        <w:t xml:space="preserve">. </w:t>
      </w:r>
      <w:bookmarkEnd w:id="1"/>
      <w:r w:rsidR="00D249EB">
        <w:t xml:space="preserve">Twelve </w:t>
      </w:r>
      <w:r w:rsidR="00796F18">
        <w:t xml:space="preserve">middle-aged to </w:t>
      </w:r>
      <w:r w:rsidR="006E07CE">
        <w:t xml:space="preserve">older adults completed a </w:t>
      </w:r>
      <w:proofErr w:type="spellStart"/>
      <w:r w:rsidR="006E07CE">
        <w:t>randomised</w:t>
      </w:r>
      <w:proofErr w:type="spellEnd"/>
      <w:r w:rsidR="006E07CE">
        <w:t xml:space="preserve">, </w:t>
      </w:r>
      <w:r w:rsidR="00FC7EE4">
        <w:t xml:space="preserve">controlled, </w:t>
      </w:r>
      <w:r w:rsidR="006E07CE">
        <w:t>crossover, trial</w:t>
      </w:r>
      <w:r w:rsidR="00A96764">
        <w:t xml:space="preserve"> (</w:t>
      </w:r>
      <w:r w:rsidR="00A96764" w:rsidRPr="003B3D6C">
        <w:t>ClinicalTrials.gov ID # NCT05618197</w:t>
      </w:r>
      <w:r w:rsidR="00A96764">
        <w:t>)</w:t>
      </w:r>
      <w:r w:rsidR="006E07CE">
        <w:t xml:space="preserve">, undergoing assessments before and after a </w:t>
      </w:r>
      <w:r w:rsidR="00451956">
        <w:t>six</w:t>
      </w:r>
      <w:r w:rsidR="006E07CE">
        <w:t xml:space="preserve">-week HWI </w:t>
      </w:r>
      <w:r w:rsidR="00E361B4">
        <w:t>intervention (</w:t>
      </w:r>
      <w:r w:rsidR="00451956">
        <w:t>two to three 60-minute</w:t>
      </w:r>
      <w:r w:rsidR="00E361B4">
        <w:t xml:space="preserve"> HWIs per week) </w:t>
      </w:r>
      <w:r w:rsidR="006E07CE">
        <w:t>or control</w:t>
      </w:r>
      <w:r w:rsidR="003E329A">
        <w:t xml:space="preserve"> </w:t>
      </w:r>
      <w:r w:rsidR="006E07CE">
        <w:t>condition</w:t>
      </w:r>
      <w:r w:rsidR="009F62CC">
        <w:t xml:space="preserve"> with a six-week washout</w:t>
      </w:r>
      <w:r w:rsidR="00AF3139">
        <w:t xml:space="preserve"> between study arms</w:t>
      </w:r>
      <w:r w:rsidR="006E07CE">
        <w:t xml:space="preserve">. </w:t>
      </w:r>
      <w:r w:rsidR="006E07CE" w:rsidRPr="00C421C7">
        <w:t xml:space="preserve">During HWIs, body position was adjusted to </w:t>
      </w:r>
      <w:r w:rsidR="006E07CE">
        <w:t xml:space="preserve">maintain </w:t>
      </w:r>
      <w:r w:rsidR="006E07CE" w:rsidRPr="00C421C7">
        <w:t>rectal temperature at 38.5-39.0°C</w:t>
      </w:r>
      <w:r w:rsidR="006E07CE">
        <w:t xml:space="preserve">. </w:t>
      </w:r>
      <w:r w:rsidR="001651DC">
        <w:t xml:space="preserve">Pre- and post-intervention and control measurements of </w:t>
      </w:r>
      <w:r w:rsidR="003C5566">
        <w:t xml:space="preserve">peripheral muscle </w:t>
      </w:r>
      <w:r w:rsidR="001651DC">
        <w:t>strength</w:t>
      </w:r>
      <w:r w:rsidR="005017B3">
        <w:t xml:space="preserve"> (isokinetic and handgrip dynamometry)</w:t>
      </w:r>
      <w:r w:rsidR="001651DC">
        <w:t>, lower body power</w:t>
      </w:r>
      <w:r w:rsidR="005017B3">
        <w:t xml:space="preserve"> and</w:t>
      </w:r>
      <w:r w:rsidR="001651DC">
        <w:t xml:space="preserve"> functional performance</w:t>
      </w:r>
      <w:r w:rsidR="005017B3">
        <w:t xml:space="preserve"> (Short Physical Performance Battery (SPPB) consisting of balance, walking and sit to stand tests with motion and external force capture)</w:t>
      </w:r>
      <w:r w:rsidR="003C5566">
        <w:t>,</w:t>
      </w:r>
      <w:r w:rsidR="001651DC">
        <w:t xml:space="preserve"> and physical activity</w:t>
      </w:r>
      <w:r w:rsidR="005017B3">
        <w:t xml:space="preserve"> (accelerometry)</w:t>
      </w:r>
      <w:r w:rsidR="003C5566">
        <w:t>,</w:t>
      </w:r>
      <w:r w:rsidR="001651DC">
        <w:t xml:space="preserve"> were </w:t>
      </w:r>
      <w:r w:rsidR="005017B3">
        <w:t>taken.</w:t>
      </w:r>
      <w:r w:rsidR="00B063DA">
        <w:t xml:space="preserve"> </w:t>
      </w:r>
      <w:r w:rsidR="001B3D17">
        <w:t xml:space="preserve">Repeated </w:t>
      </w:r>
      <w:r w:rsidR="008042A7">
        <w:t xml:space="preserve">HWI </w:t>
      </w:r>
      <w:r w:rsidR="00456A61">
        <w:t xml:space="preserve">had no effect on </w:t>
      </w:r>
      <w:r w:rsidR="00094F60">
        <w:t xml:space="preserve">the primary outcome </w:t>
      </w:r>
      <w:r w:rsidR="00456A61">
        <w:t>peak quadriceps torque (</w:t>
      </w:r>
      <w:r w:rsidR="00456A61">
        <w:rPr>
          <w:i/>
          <w:iCs/>
        </w:rPr>
        <w:t xml:space="preserve">P </w:t>
      </w:r>
      <w:r w:rsidR="00456A61">
        <w:t>= 0.</w:t>
      </w:r>
      <w:r w:rsidR="00A41368">
        <w:t>127</w:t>
      </w:r>
      <w:r w:rsidR="00451956">
        <w:t xml:space="preserve">, </w:t>
      </w:r>
      <w:r w:rsidR="00451956" w:rsidRPr="00B80E03">
        <w:t>η</w:t>
      </w:r>
      <w:r w:rsidR="00451956" w:rsidRPr="00A055A6">
        <w:rPr>
          <w:vertAlign w:val="superscript"/>
        </w:rPr>
        <w:t>2</w:t>
      </w:r>
      <w:r w:rsidR="00451956" w:rsidRPr="00E65854">
        <w:rPr>
          <w:vertAlign w:val="subscript"/>
        </w:rPr>
        <w:t>p</w:t>
      </w:r>
      <w:r w:rsidR="00451956" w:rsidRPr="00B80E03" w:rsidDel="00A318DC">
        <w:t xml:space="preserve"> </w:t>
      </w:r>
      <w:r w:rsidR="00451956">
        <w:t>= 0.</w:t>
      </w:r>
      <w:r w:rsidR="00A41368">
        <w:t>125</w:t>
      </w:r>
      <w:r w:rsidR="00516696">
        <w:t xml:space="preserve">; </w:t>
      </w:r>
      <w:r w:rsidR="0035154E">
        <w:rPr>
          <w:i/>
          <w:iCs/>
        </w:rPr>
        <w:t>n</w:t>
      </w:r>
      <w:r w:rsidR="0035154E">
        <w:t xml:space="preserve"> = 7</w:t>
      </w:r>
      <w:r w:rsidR="00456A61">
        <w:t>)</w:t>
      </w:r>
      <w:r w:rsidR="00647127">
        <w:t xml:space="preserve">, whilst </w:t>
      </w:r>
      <w:r w:rsidR="00FD5034">
        <w:t>grip strength increased</w:t>
      </w:r>
      <w:r w:rsidR="00B402D5">
        <w:t xml:space="preserve"> in the control arm</w:t>
      </w:r>
      <w:r w:rsidR="00FD5034">
        <w:t xml:space="preserve"> </w:t>
      </w:r>
      <w:r w:rsidR="00363573">
        <w:t>(</w:t>
      </w:r>
      <w:r w:rsidR="00363573" w:rsidRPr="00064581">
        <w:rPr>
          <w:i/>
        </w:rPr>
        <w:t>P</w:t>
      </w:r>
      <w:r w:rsidR="00363573">
        <w:t xml:space="preserve"> = 0.004) </w:t>
      </w:r>
      <w:r w:rsidR="00FD5034">
        <w:t>and</w:t>
      </w:r>
      <w:r w:rsidR="00DA419C">
        <w:t xml:space="preserve"> </w:t>
      </w:r>
      <w:r w:rsidR="00B402D5">
        <w:t xml:space="preserve">decreased post-intervention compared to control </w:t>
      </w:r>
      <w:r w:rsidR="00363573">
        <w:t>(</w:t>
      </w:r>
      <w:r w:rsidR="00363573" w:rsidRPr="00CA20D5">
        <w:rPr>
          <w:i/>
          <w:iCs/>
        </w:rPr>
        <w:t>P</w:t>
      </w:r>
      <w:r w:rsidR="00363573">
        <w:t xml:space="preserve"> = 0.039)</w:t>
      </w:r>
      <w:r w:rsidR="00442B22">
        <w:t>.</w:t>
      </w:r>
      <w:r w:rsidR="008042A7">
        <w:t xml:space="preserve"> </w:t>
      </w:r>
      <w:r w:rsidR="003D4010">
        <w:t xml:space="preserve">SPPB </w:t>
      </w:r>
      <w:r w:rsidR="00094F60">
        <w:t xml:space="preserve">total and </w:t>
      </w:r>
      <w:r w:rsidR="003D4010">
        <w:t xml:space="preserve">component </w:t>
      </w:r>
      <w:r w:rsidR="00094F60">
        <w:t>scores</w:t>
      </w:r>
      <w:r w:rsidR="00B8349C">
        <w:t>,</w:t>
      </w:r>
      <w:r w:rsidR="00094F60">
        <w:t xml:space="preserve"> </w:t>
      </w:r>
      <w:r w:rsidR="00452CAA">
        <w:t xml:space="preserve">lower </w:t>
      </w:r>
      <w:r w:rsidR="00C1566E">
        <w:t>body power</w:t>
      </w:r>
      <w:r w:rsidR="003D4010">
        <w:t xml:space="preserve">, gait </w:t>
      </w:r>
      <w:r w:rsidR="001B055E">
        <w:t xml:space="preserve">measures </w:t>
      </w:r>
      <w:r w:rsidR="002D6836">
        <w:t>and</w:t>
      </w:r>
      <w:r w:rsidR="008042A7">
        <w:t xml:space="preserve"> physical activity levels </w:t>
      </w:r>
      <w:r w:rsidR="002D6836">
        <w:t xml:space="preserve">were unchanged </w:t>
      </w:r>
      <w:r w:rsidR="008042A7">
        <w:t>(</w:t>
      </w:r>
      <w:r w:rsidR="001B055E">
        <w:t xml:space="preserve">all </w:t>
      </w:r>
      <w:r w:rsidR="008042A7">
        <w:rPr>
          <w:i/>
        </w:rPr>
        <w:t>P</w:t>
      </w:r>
      <w:r w:rsidR="008042A7">
        <w:t xml:space="preserve"> &gt; 0.05).</w:t>
      </w:r>
      <w:r w:rsidR="008F5412" w:rsidRPr="008F5412">
        <w:t xml:space="preserve"> </w:t>
      </w:r>
      <w:r w:rsidR="00833D29">
        <w:t xml:space="preserve">Repeated </w:t>
      </w:r>
      <w:r w:rsidR="00F9711D">
        <w:t xml:space="preserve">HWI </w:t>
      </w:r>
      <w:r w:rsidR="00DA5014">
        <w:t xml:space="preserve">under the conditions employed </w:t>
      </w:r>
      <w:r w:rsidR="006D49EB">
        <w:t xml:space="preserve">did not improve </w:t>
      </w:r>
      <w:r w:rsidR="00F9711D">
        <w:t xml:space="preserve">strength, </w:t>
      </w:r>
      <w:r w:rsidR="006D49EB">
        <w:t xml:space="preserve">power, </w:t>
      </w:r>
      <w:r w:rsidR="00F9711D">
        <w:t xml:space="preserve">lower extremity function, or physical activity levels in </w:t>
      </w:r>
      <w:r w:rsidR="00094F60">
        <w:t>this cohort</w:t>
      </w:r>
      <w:r w:rsidR="00830ACE">
        <w:t xml:space="preserve">, and </w:t>
      </w:r>
      <w:r w:rsidR="00011433">
        <w:t>does</w:t>
      </w:r>
      <w:r w:rsidR="00830ACE">
        <w:t xml:space="preserve"> not </w:t>
      </w:r>
      <w:r w:rsidR="00011433">
        <w:t xml:space="preserve">appear to </w:t>
      </w:r>
      <w:r w:rsidR="00830ACE">
        <w:t>be a</w:t>
      </w:r>
      <w:r w:rsidR="00F01554">
        <w:t xml:space="preserve">n effective </w:t>
      </w:r>
      <w:r w:rsidR="00830ACE">
        <w:t xml:space="preserve">method to improve indices of muscle function in </w:t>
      </w:r>
      <w:r w:rsidR="001F44BA">
        <w:t>healthy older adults</w:t>
      </w:r>
      <w:r w:rsidR="00F9711D">
        <w:t>.</w:t>
      </w:r>
      <w:r w:rsidR="00193D75">
        <w:t xml:space="preserve"> </w:t>
      </w:r>
      <w:r w:rsidR="00F9711D">
        <w:t xml:space="preserve"> </w:t>
      </w:r>
    </w:p>
    <w:p w14:paraId="278BABD1" w14:textId="77777777" w:rsidR="00894CCF" w:rsidRDefault="00894CCF">
      <w:pPr>
        <w:spacing w:line="480" w:lineRule="auto"/>
        <w:jc w:val="both"/>
        <w:rPr>
          <w:b/>
        </w:rPr>
        <w:sectPr w:rsidR="00894CCF">
          <w:pgSz w:w="12240" w:h="15840"/>
          <w:pgMar w:top="1440" w:right="1440" w:bottom="1440" w:left="1440" w:header="720" w:footer="720" w:gutter="0"/>
          <w:lnNumType w:countBy="1" w:restart="continuous"/>
          <w:cols w:space="720"/>
        </w:sectPr>
      </w:pPr>
    </w:p>
    <w:p w14:paraId="00000028" w14:textId="55B2C7A1" w:rsidR="00C15823" w:rsidRPr="003B3D6C" w:rsidRDefault="003C5566">
      <w:pPr>
        <w:spacing w:line="480" w:lineRule="auto"/>
        <w:jc w:val="both"/>
        <w:rPr>
          <w:b/>
        </w:rPr>
      </w:pPr>
      <w:r>
        <w:rPr>
          <w:b/>
        </w:rPr>
        <w:lastRenderedPageBreak/>
        <w:t>INTRODUCTION</w:t>
      </w:r>
    </w:p>
    <w:p w14:paraId="0E098EA5" w14:textId="477B8B1E" w:rsidR="007214B8" w:rsidRDefault="00B63BA7" w:rsidP="00597435">
      <w:pPr>
        <w:spacing w:line="480" w:lineRule="auto"/>
        <w:jc w:val="both"/>
      </w:pPr>
      <w:r w:rsidRPr="003B3D6C">
        <w:t>Ageing</w:t>
      </w:r>
      <w:r w:rsidR="00BE5831">
        <w:t xml:space="preserve"> leads to an increased prevalence of sarcopenia </w:t>
      </w:r>
      <w:r w:rsidR="00BE5831">
        <w:fldChar w:fldCharType="begin"/>
      </w:r>
      <w:r w:rsidR="00AA5A2F">
        <w:instrText xml:space="preserve"> ADDIN ZOTERO_ITEM CSL_CITATION {"citationID":"DKvhaTNy","properties":{"formattedCitation":"(Cruz-Jentoft {\\i{}et al.}, 2019)","plainCitation":"(Cruz-Jentoft et al., 2019)","noteIndex":0},"citationItems":[{"id":1363,"uris":["http://www.mendeley.com/documents/?uuid=46a43f4a-8e5f-32f3-af35-875cdebd6749","http://zotero.org/users/17561370/items/8M8D3KYV"],"itemData":{"id":1363,"type":"article-journal","abstract":"Background in 2010, the European Working Group on Sarcopenia in Older People (EWGSOP) published a sarcopenia definition that aimed to foster advances in identifying and caring for people with sarcopenia. In early 2018, the Working Group met again (EWGSOP2) to update the original definition in order to reflect scientific and clinical evidence that has built over the last decade. This paper presents our updated findings. Objectives to increase consistency of research design, clinical diagnoses and ultimately, care for people with sarcopenia. Recommendations sarcopenia is a muscle disease (muscle failure) rooted in adverse muscle changes that accrue across a lifetime; sarcopenia is common among adults of older age but can also occur earlier in life. In this updated consensus paper on sarcopenia, EWGSOP2: (1) focuses on low muscle strength as a key characteristic of sarcopenia, uses detection of low muscle quantity and quality to confirm the sarcopenia diagnosis, and identifies poor physical performance as indicative of severe sarcopenia; (2) updates the clinical algorithm that can be used for sarcopenia case-finding, diagnosis and confirmation, and severity determination and (3) provides clear cut-off points for measurements of variables that identify and characterise sarcopenia. Conclusions EWGSOP2's updated recommendations aim to increase awareness of sarcopenia and its risk. With these new recommendations, EWGSOP2 calls for healthcare professionals who treat patients at risk for sarcopenia to take actions that will promote early detection and treatment. We also encourage more research in the field of sarcopenia in order to prevent or delay adverse health outcomes that incur a heavy burden for patients and healthcare systems.","container-title":"Age and Ageing","DOI":"10.1093/AGEING/AFY169","ISSN":"0002-0729","issue":"1","page":"16-31","PMID":"30312372","publisher":"Oxford Academic","title":"Sarcopenia: revised European consensus on definition and diagnosis","volume":"48","author":[{"family":"Cruz-Jentoft","given":"Alfonso J."},{"family":"Bahat","given":"Gülistan"},{"family":"Bauer","given":"Jürgen"},{"family":"Boirie","given":"Yves"},{"family":"Bruyère","given":"Olivier"},{"family":"Cederholm","given":"Tommy"},{"family":"Cooper","given":"Cyrus"},{"family":"Landi","given":"Francesco"},{"family":"Rolland","given":"Yves"},{"family":"Sayer","given":"Avan Aihie"},{"family":"Schneider","given":"Stéphane M."},{"family":"Sieber","given":"Cornel C."},{"family":"Topinkova","given":"Eva"},{"family":"Vandewoude","given":"Maurits"},{"family":"Visser","given":"Marjolein"},{"family":"Zamboni","given":"Mauro"},{"family":"Bautmans","given":"Ivan"},{"family":"Baeyens","given":"Jean Pierre"},{"family":"Cesari","given":"Matteo"},{"family":"Cherubini","given":"Antonio"},{"family":"Kanis","given":"John"},{"family":"Maggio","given":"Marcello"},{"family":"Martin","given":"Finbarr"},{"family":"Michel","given":"Jean Pierre"},{"family":"Pitkala","given":"Kaisu"},{"family":"Reginster","given":"Jean Yves"},{"family":"Rizzoli","given":"René"},{"family":"Sánchez-Rodríguez","given":"Dolores"},{"family":"Schols","given":"Jos"}],"issued":{"date-parts":[["2019",1,1]]}}}],"schema":"https://github.com/citation-style-language/schema/raw/master/csl-citation.json"} </w:instrText>
      </w:r>
      <w:r w:rsidR="00BE5831">
        <w:fldChar w:fldCharType="separate"/>
      </w:r>
      <w:r w:rsidR="00BE5831" w:rsidRPr="00BE5831">
        <w:t xml:space="preserve">(Cruz-Jentoft </w:t>
      </w:r>
      <w:r w:rsidR="00BE5831" w:rsidRPr="00BE5831">
        <w:rPr>
          <w:i/>
          <w:iCs/>
        </w:rPr>
        <w:t>et al.</w:t>
      </w:r>
      <w:r w:rsidR="00BE5831" w:rsidRPr="00BE5831">
        <w:t>, 2019)</w:t>
      </w:r>
      <w:r w:rsidR="00BE5831">
        <w:fldChar w:fldCharType="end"/>
      </w:r>
      <w:r w:rsidR="00BE5831">
        <w:t xml:space="preserve"> and frailty </w:t>
      </w:r>
      <w:r w:rsidR="00BE5831">
        <w:fldChar w:fldCharType="begin"/>
      </w:r>
      <w:r w:rsidR="00AA5A2F">
        <w:instrText xml:space="preserve"> ADDIN ZOTERO_ITEM CSL_CITATION {"citationID":"loHinXJZ","properties":{"formattedCitation":"(Collard {\\i{}et al.}, 2012)","plainCitation":"(Collard et al., 2012)","noteIndex":0},"citationItems":[{"id":73,"uris":["http://zotero.org/users/17561370/items/TLSNMC79"],"itemData":{"id":73,"type":"article-journal","abstract":"Objectives To systematically compare and pool the prevalence of frailty, including prefrailty, reported in community-dwelling older people overall and according to sex, age, and definition of frailty used. Design Systematic review of the literature using the key words elderly, aged, frailty, prevalence, and epidemiology. Setting Cross-sectional data from community-based cohorts. Participants Community-dwelling adults aged 65 and older. Measurements In the studies that were found, frailty and prefrailty were measured according to physical phenotype and broad phenotype, the first defining frailty as a purely physical condition and the second also including psychosocial aspects. Results Reported prevalence in the community varies enormously (range 4.0–59.1%). The overall weighted prevalence of frailty was 10.7% (95% confidence interval (CI) = 10.5–10.9; 21 studies; 61,500 participants). The weighted prevalence was 9.9% for physical frailty (95% CI = 9.6–10.2; 15 studies; 44,894 participants) and 13.6% for the broad phenotype of frailty (95% CI = 13.2–14.0; 8 studies; 24,072 participants) (chi-square (χ2) = 217.7, degrees of freedom (df)=1, P &lt; .001). Prevalence increased with age (χ2 = 6067, df = 1, P &lt; .001) and was higher in women (9.6%, 95% CI = 9.2–10.0%) than in men (5.2%, 95% CI = 4.9–5.5%; χ2 = 298.9 df = 1, P &lt; .001). Conclusion Frailty is common in later life, but different operationalization of frailty status results in widely differing prevalence between studies. Improving the comparability of epidemiological and clinical studies constitutes an important step forward.","container-title":"Journal of the American Geriatrics Society","DOI":"10.1111/j.1532-5415.2012.04054.x","ISSN":"1532-5415","issue":"8","language":"en","license":"© 2012, Copyright the Authors Journal compilation © 2012, The American Geriatrics Society","note":"_eprint: https://agsjournals.onlinelibrary.wiley.com/doi/pdf/10.1111/j.1532-5415.2012.04054.x","page":"1487-1492","source":"Wiley Online Library","title":"Prevalence of Frailty in Community-Dwelling Older Persons: A Systematic Review","title-short":"Prevalence of Frailty in Community-Dwelling Older Persons","volume":"60","author":[{"family":"Collard","given":"Rose M."},{"family":"Boter","given":"Han"},{"family":"Schoevers","given":"Robert A."},{"family":"Oude Voshaar","given":"Richard C."}],"issued":{"date-parts":[["2012"]]}}}],"schema":"https://github.com/citation-style-language/schema/raw/master/csl-citation.json"} </w:instrText>
      </w:r>
      <w:r w:rsidR="00BE5831">
        <w:fldChar w:fldCharType="separate"/>
      </w:r>
      <w:r w:rsidR="00BE5831" w:rsidRPr="00BE5831">
        <w:t xml:space="preserve">(Collard </w:t>
      </w:r>
      <w:r w:rsidR="00BE5831" w:rsidRPr="00BE5831">
        <w:rPr>
          <w:i/>
          <w:iCs/>
        </w:rPr>
        <w:t>et al.</w:t>
      </w:r>
      <w:r w:rsidR="00BE5831" w:rsidRPr="00BE5831">
        <w:t>, 2012)</w:t>
      </w:r>
      <w:r w:rsidR="00BE5831">
        <w:fldChar w:fldCharType="end"/>
      </w:r>
      <w:r w:rsidR="00BE5831">
        <w:t>, which are</w:t>
      </w:r>
      <w:r w:rsidR="0065343B">
        <w:t xml:space="preserve"> </w:t>
      </w:r>
      <w:proofErr w:type="spellStart"/>
      <w:r w:rsidR="0065343B">
        <w:t>characterised</w:t>
      </w:r>
      <w:proofErr w:type="spellEnd"/>
      <w:r w:rsidR="003E7AD1" w:rsidRPr="003E7AD1">
        <w:t xml:space="preserve"> by progressive declines in </w:t>
      </w:r>
      <w:r w:rsidRPr="003B3D6C">
        <w:t>muscle</w:t>
      </w:r>
      <w:r w:rsidR="00D855CA">
        <w:t xml:space="preserve"> </w:t>
      </w:r>
      <w:r w:rsidR="005A6C6B" w:rsidRPr="003B3D6C">
        <w:t xml:space="preserve">strength </w:t>
      </w:r>
      <w:r w:rsidR="005A6C6B">
        <w:fldChar w:fldCharType="begin" w:fldLock="1"/>
      </w:r>
      <w:r w:rsidR="00AA5A2F">
        <w:instrText xml:space="preserve"> ADDIN ZOTERO_ITEM CSL_CITATION {"citationID":"5YINrgzj","properties":{"formattedCitation":"(Hughes {\\i{}et al.}, 2001)","plainCitation":"(Hughes et al., 2001)","noteIndex":0},"citationItems":[{"id":407,"uris":["http://www.mendeley.com/documents/?uuid=63ce3e66-9c9e-3c68-ab4c-948ba5f8a6d1","http://zotero.org/users/17561370/items/2FRP6IT8"],"itemData":{"id":407,"type":"article-journal","abstract":"The longitudinal changes in isokinetic strength of knee and elbow extensors and flexors, muscle mass, physical activity, and health were examined in 120 subjects initially 46 to 78 years old. Sixty-eight women and 52 men were reexamined after 9.7 ± 1.1 years. The rates of decline in isokinetic strength averaged 14% per decade for knee extensors and 16% per decade for knee flexors in men and women. Women demonstrated slower rates of decline in elbow extensors and flexors (2% per decade) than men (12% per decade). Older subjects demonstrated a greater rate of decline in strength. In men, longitudinal rates of decline of leg muscle strength were </w:instrText>
      </w:r>
      <w:r w:rsidR="00AA5A2F">
        <w:rPr>
          <w:rFonts w:ascii="Cambria Math" w:hAnsi="Cambria Math" w:cs="Cambria Math"/>
        </w:rPr>
        <w:instrText>∼</w:instrText>
      </w:r>
      <w:r w:rsidR="00AA5A2F">
        <w:instrText xml:space="preserve"> 60% greater than estimates from a cross-sectional analysis in the same population. The change in leg strength was directly related to the change in muscle mass in both men and women, and it was inversely related to the change in medication use in men. Physical activity declined yet was not directly associated with strength changes. Although muscle mass changes influenced the magnitude of the strength changes over time, strength declines in spite of muscle mass maintenance or even gain emphasize the need to explore the contribution of other cellular, neural, or metabolic mediators of strength changes.","container-title":"The Journals of Gerontology: Series A","DOI":"10.1093/GERONA/56.5.B209","ISSN":"1079-5006","issue":"5","page":"B209-B217","PMID":"11320101","publisher":"Oxford Academic","title":"Longitudinal Muscle Strength Changes in Older AdultsInfluence of Muscle Mass, Physical Activity, and Health","volume":"56","author":[{"family":"Hughes","given":"V. A."},{"family":"Frontera","given":"W. R."},{"family":"Wood","given":"M."},{"family":"Evans","given":"W. J."},{"family":"Dallal","given":"G. E."},{"family":"Roubenoff","given":"R."},{"family":"Fiatarone Singh","given":"M. A."}],"issued":{"date-parts":[["2001",5,1]]}}}],"schema":"https://github.com/citation-style-language/schema/raw/master/csl-citation.json"} </w:instrText>
      </w:r>
      <w:r w:rsidR="005A6C6B">
        <w:fldChar w:fldCharType="separate"/>
      </w:r>
      <w:r w:rsidR="005C33DC" w:rsidRPr="005C33DC">
        <w:t xml:space="preserve">(Hughes </w:t>
      </w:r>
      <w:r w:rsidR="005C33DC" w:rsidRPr="005C33DC">
        <w:rPr>
          <w:i/>
          <w:iCs/>
        </w:rPr>
        <w:t>et al.</w:t>
      </w:r>
      <w:r w:rsidR="005C33DC" w:rsidRPr="005C33DC">
        <w:t>, 2001)</w:t>
      </w:r>
      <w:r w:rsidR="005A6C6B">
        <w:fldChar w:fldCharType="end"/>
      </w:r>
      <w:r w:rsidR="005A6C6B">
        <w:t xml:space="preserve">, </w:t>
      </w:r>
      <w:r w:rsidR="00D950EC" w:rsidRPr="003B3D6C">
        <w:t xml:space="preserve">power </w:t>
      </w:r>
      <w:r w:rsidR="00D950EC">
        <w:fldChar w:fldCharType="begin" w:fldLock="1"/>
      </w:r>
      <w:r w:rsidR="00AA5A2F">
        <w:instrText xml:space="preserve"> ADDIN ZOTERO_ITEM CSL_CITATION {"citationID":"P5LUUqhY","properties":{"formattedCitation":"(Runge {\\i{}et al.}, 2004)","plainCitation":"(Runge et al., 2004)","noteIndex":0},"citationItems":[{"id":687,"uris":["http://www.mendeley.com/documents/?uuid=752e3d5f-5159-3771-be1a-fe132b06b5b0","http://zotero.org/users/17561370/items/P4CRLJM4"],"itemData":{"id":687,"type":"article-journal","abstract":"Ageing compromises locomotor capacity and is associated with an increased risk of falls. Several lines of evidence indicate that both changes in muscle mass and performance are causative. Most studies, however, do not discern between effects of ageing, sedentarism and comorbidity. The present study compares the age effects in muscle cross section, force and power in physically competent self-selected subjects of different age groups. A total of 169 women and 89 men between 18 and 88 years, without any disease, impairment or medication affecting the musculoskeletal system were enrolled in this study. Calf muscle cross-sectional area was assessed by computed tomography. Muscle force and power were assessed by jumping mechanography. No significant correlation between muscle cross section and age was found in the men. A weak correlation in the women disappeared after correction for height. Close correlations with age, however, were found for peak force and peak power. Correction for muscle cross section or body weight further increased these correlation coefficients, particularly for peak power specific to body weight (r = 0.81 in women and r = 0.86 in men). The non-sedentarian population investigated here depicted a reduction of &gt; 50% between the age of 20 and 80 without a reduction in muscle cross section. This suggests a crucial role for muscular power in the ageing process. Possibly, the jumping mechanography as a measurement of anti-gravitational power output is a promising extension of the chair-rising test, known to be predictive for immobilization and the risk of falls. © 2004 Blackwell Publishing Ltd.","container-title":"Clinical Physiology and Functional Imaging","DOI":"10.1111/J.1475-097X.2004.00567.X","ISSN":"1475-097X","issue":"6","page":"335-340","PMID":"15522042","publisher":"John Wiley &amp; Sons, Ltd","title":"Is muscle power output a key factor in the age-related decline in physical performance? A comparison of muscle cross section, chair-rising test and jumping power","volume":"24","author":[{"family":"Runge","given":"Martin"},{"family":"Rittweger","given":"Jörn"},{"family":"Russo","given":"Cosimo Roberto"},{"family":"Schiessl","given":"Hans"},{"family":"Felsenberg","given":"Dieter"}],"issued":{"date-parts":[["2004",11,1]]}}}],"schema":"https://github.com/citation-style-language/schema/raw/master/csl-citation.json"} </w:instrText>
      </w:r>
      <w:r w:rsidR="00D950EC">
        <w:fldChar w:fldCharType="separate"/>
      </w:r>
      <w:r w:rsidR="005C33DC" w:rsidRPr="005C33DC">
        <w:t xml:space="preserve">(Runge </w:t>
      </w:r>
      <w:r w:rsidR="005C33DC" w:rsidRPr="005C33DC">
        <w:rPr>
          <w:i/>
          <w:iCs/>
        </w:rPr>
        <w:t>et al.</w:t>
      </w:r>
      <w:r w:rsidR="005C33DC" w:rsidRPr="005C33DC">
        <w:t>, 2004)</w:t>
      </w:r>
      <w:r w:rsidR="00D950EC">
        <w:fldChar w:fldCharType="end"/>
      </w:r>
      <w:r w:rsidR="00D950EC">
        <w:t xml:space="preserve"> </w:t>
      </w:r>
      <w:r w:rsidR="00294F91">
        <w:t xml:space="preserve">and </w:t>
      </w:r>
      <w:r w:rsidR="007214B8">
        <w:t>function</w:t>
      </w:r>
      <w:r w:rsidR="00974E60">
        <w:t xml:space="preserve">al </w:t>
      </w:r>
      <w:r w:rsidR="006304C0">
        <w:t xml:space="preserve">capacity </w:t>
      </w:r>
      <w:r w:rsidR="007214B8">
        <w:fldChar w:fldCharType="begin" w:fldLock="1"/>
      </w:r>
      <w:r w:rsidR="00AA5A2F">
        <w:instrText xml:space="preserve"> ADDIN ZOTERO_ITEM CSL_CITATION {"citationID":"Xqre8glh","properties":{"formattedCitation":"(Larsson {\\i{}et al.}, 2019)","plainCitation":"(Larsson et al., 2019)","noteIndex":0},"citationItems":[{"id":1362,"uris":["http://www.mendeley.com/documents/?uuid=24f6e756-c76b-39d8-b075-9b1dfe8b6c3d","http://zotero.org/users/17561370/items/9SIG35JY"],"itemData":{"id":1362,"type":"article-journal","abstract":"Sarcopenia is a loss of muscle mass and function in the elderly that reduces mobility, diminishes quality of life, and can lead to fall-related injuries, which require costly hospitalization and extended rehabilitation. This review focuses on the aging-related structural changes and mechanisms at cellular and subcellular levels underlying changes in the individual motor unit: specifically, the perikaryon of the a-motoneuron, its neuromuscular junction(s), and the muscle fibers that it innervates. Loss of muscle mass with aging, which is largely due to the progressive loss of motoneurons, is associated with reduced muscle fiber number and size. Muscle function progressively declines because motoneuron loss is not adequately compensated by reinnervation of muscle fibers by the remaining motoneurons. At the intracellular level, key factors are qualitative changes in posttranslational modifications of muscle proteins and the loss of coordinated control between contractile, mitochondrial, and sarcoplasmic reticulum protein expression. Quantitative and qualitative changes in skeletal muscle during the process of aging also have been implicated in the pathogenesis of acquired and hereditary neuromuscular disorders. In experimental models, specific intervention strategies have shown encouraging results on limiting deterioration of motor unit structure and function under conditions of impaired innervation. Translated to the clinic, if these or similar interventions, by saving muscle and improving mobility, could help alleviate sarcopenia in the elderly, there would be both great humanitarian benefits and large cost savings for health care systems.","container-title":"Physiological Reviews","DOI":"10.1152/PHYSREV.00061.2017/ASSET/IMAGES/LARGE/Z9J0041828880019.JPEG","ISSN":"15221210","issue":"1","page":"427-511","PMID":"30427277","publisher":"American Physiological Society","title":"Sarcopenia: Aging-related loss of muscle mass and function","volume":"99","author":[{"family":"Larsson","given":"Lars"},{"family":"Degens","given":"Hans"},{"family":"Li","given":"Meishan"},{"family":"Salviati","given":"Leonardo"},{"family":"Lee","given":"Young Il"},{"family":"Thompson","given":"Wesley"},{"family":"Kirkland","given":"James L."},{"family":"Sandri","given":"Marco"}],"issued":{"date-parts":[["2019",1,1]]}}}],"schema":"https://github.com/citation-style-language/schema/raw/master/csl-citation.json"} </w:instrText>
      </w:r>
      <w:r w:rsidR="007214B8">
        <w:fldChar w:fldCharType="separate"/>
      </w:r>
      <w:r w:rsidR="005C33DC" w:rsidRPr="005C33DC">
        <w:t xml:space="preserve">(Larsson </w:t>
      </w:r>
      <w:r w:rsidR="005C33DC" w:rsidRPr="005C33DC">
        <w:rPr>
          <w:i/>
          <w:iCs/>
        </w:rPr>
        <w:t>et al.</w:t>
      </w:r>
      <w:r w:rsidR="005C33DC" w:rsidRPr="005C33DC">
        <w:t>, 2019)</w:t>
      </w:r>
      <w:r w:rsidR="007214B8">
        <w:fldChar w:fldCharType="end"/>
      </w:r>
      <w:r w:rsidR="00C66D8F">
        <w:t>.</w:t>
      </w:r>
      <w:r w:rsidR="007214B8">
        <w:t xml:space="preserve"> </w:t>
      </w:r>
      <w:r w:rsidR="005C7D49">
        <w:t xml:space="preserve">These changes can contribute </w:t>
      </w:r>
      <w:r w:rsidR="00867C3B">
        <w:t>to</w:t>
      </w:r>
      <w:r w:rsidR="002A57FB">
        <w:t xml:space="preserve"> low levels of physical activity </w:t>
      </w:r>
      <w:r w:rsidR="002A57FB">
        <w:fldChar w:fldCharType="begin"/>
      </w:r>
      <w:r w:rsidR="00AA5A2F">
        <w:instrText xml:space="preserve"> ADDIN ZOTERO_ITEM CSL_CITATION {"citationID":"OC7JCdiq","properties":{"formattedCitation":"(Davis &amp; Fox, 2007)","plainCitation":"(Davis &amp; Fox, 2007)","noteIndex":0},"citationItems":[{"id":70,"uris":["http://zotero.org/users/17561370/items/UP8FQXAE"],"itemData":{"id":70,"type":"article-journal","abstract":"Research into daily physical activity (PA) patterns of older adults (≥70 years) has primarily relied on self-report. This study used accelerometry, an objective measure of minute-by-minute movement, to assess PA volume and intensity performed by older adults recruited to the Better Ageing project. Results were used to estimate the degree to which current health recommendations for PA were met. Participants [91 older females (OF) aged 76.0 ± 4.0 years (mean ± SD), 70 older males (OM) 76.3 ± 3.9 years, 23 young females (YF) 26.8 ± 4.1 years and 22 young males (YM) 27.0 ± 4.2 years] wore an MTI actigraph model 7164 recording activity in 1-min epochs for 7 days. Only those with at least 5 days, and 10 h of actigraph data per day, were included in the analysis, using Caloric.Bas (CSA Inc. 1999) software and a tailored Microsoft Access 2000 macro. Mean counts min-1 day-1 were 37% lower for older adults than for young adults [OF 236.1 ± 84.4 vs. YF 370.0 ± 81.1 counts min-1 day-1t(114) = −6.86, P &lt; 0.001; OM 255.1 ± 103.0 vs. YM 404.3 ± 134.0 ct min-1 day-1, t(91) = −5.55, P &lt; 0.001]. Older adults were more restricted in activity intensity range performing significantly fewer minutes of moderate to vigorous (MV) PA day-1 than young adults [OF 16.7 ± 12.2 vs. YF 38.4 ± 18.4 MVPA min day-1, t(114) = −6.90, P &lt; 0.001; OM 23.8 ± 20.0 vs. YM 40.4 ± 19.2 MVPA min day-1, t(91) = −3.47, P = 0.001]. Nearly half of older adults did not perform any sustained 10-min MVPA bouts (OF 48.4% vs. YF 13.0%, χ2 = 8.10, P = 0.004; OM 44.3% vs. YM 4.5%, χ2 = 9.97, P = 0.002), and none met current PA recommendations for health. This study is the first to provide objective data on a large sample of adults aged 70 years and over and indicates low levels of daily movement that are likely to be inadequate for optimal health benefit.","container-title":"European Journal of Applied Physiology","DOI":"10.1007/s00421-006-0320-8","ISSN":"1439-6327","issue":"5","journalAbbreviation":"Eur J Appl Physiol","language":"en","page":"581-589","source":"Springer Link","title":"Physical activity patterns assessed by accelerometry in older people","volume":"100","author":[{"family":"Davis","given":"Mark G."},{"family":"Fox","given":"Kenneth R."}],"issued":{"date-parts":[["2007",7,1]]}}}],"schema":"https://github.com/citation-style-language/schema/raw/master/csl-citation.json"} </w:instrText>
      </w:r>
      <w:r w:rsidR="002A57FB">
        <w:fldChar w:fldCharType="separate"/>
      </w:r>
      <w:r w:rsidR="005C33DC" w:rsidRPr="005C33DC">
        <w:t>(Davis &amp; Fox, 2007)</w:t>
      </w:r>
      <w:r w:rsidR="002A57FB">
        <w:fldChar w:fldCharType="end"/>
      </w:r>
      <w:r w:rsidR="002A57FB">
        <w:t>,</w:t>
      </w:r>
      <w:r w:rsidR="00867C3B">
        <w:t xml:space="preserve"> </w:t>
      </w:r>
      <w:r w:rsidR="003F7EB9" w:rsidRPr="003B3D6C">
        <w:t>increase</w:t>
      </w:r>
      <w:r w:rsidR="003F7EB9">
        <w:t>d</w:t>
      </w:r>
      <w:r w:rsidR="003F7EB9" w:rsidRPr="003B3D6C">
        <w:t xml:space="preserve"> risk of falls </w:t>
      </w:r>
      <w:r w:rsidR="003F7EB9">
        <w:fldChar w:fldCharType="begin" w:fldLock="1"/>
      </w:r>
      <w:r w:rsidR="00AA5A2F">
        <w:instrText xml:space="preserve"> ADDIN ZOTERO_ITEM CSL_CITATION {"citationID":"DjqDuHky","properties":{"formattedCitation":"(Ambrose {\\i{}et al.}, 2013)","plainCitation":"(Ambrose et al., 2013)","noteIndex":0},"citationItems":[{"id":1257,"uris":["http://www.mendeley.com/documents/?uuid=99d52f1d-bc45-38fb-86f2-67041270c082","http://zotero.org/users/17561370/items/7VED5GW8"],"itemData":{"id":1257,"type":"article-journal","abstract":"Falls are one of the major causes of mortality and morbidity in older adults. Every year, an estimated 30-40% of patients over the age of 65 will fall at least once. Falls lead to moderate to severe injuries, fear of falling, loss of independence and death in a third of those patients. The direct costs alone from fall related injuries are a staggering 0.1% of all healthcare expenditures in the United States and up to 1.5% of healthcare costs in European countries. This figure does not include the indirect costs of loss of income both to the patient and caregiver, the intangible losses of mobility, confidence, and functional independence. Numerous studies have attempted to define the risk factors for falls in older adults. The present review provides a brief summary and update of the relevant literature, summarizing demographic and modifiable risk factors. The major risk factors identified are impaired balance and gait, polypharmacy, and history of previous falls. Other risk factors include advancing age, female gender, visual impairments, cognitive decline especially attention and executive dysfunction, and environmental factors. Recommendations for the clinician to manage falls in older patients are also summarized. © 2013 Elsevier Ireland Ltd.","container-title":"Maturitas","DOI":"10.1016/J.MATURITAS.2013.02.009","ISSN":"03785122","issue":"1","page":"51-61","PMID":"23523272","title":"Risk factors for falls among older adults: A review of the literature","volume":"75","author":[{"family":"Ambrose","given":"Anne Felicia"},{"family":"Paul","given":"Geet"},{"family":"Hausdorff","given":"Jeffrey M."}],"issued":{"date-parts":[["2013",5]]}}}],"schema":"https://github.com/citation-style-language/schema/raw/master/csl-citation.json"} </w:instrText>
      </w:r>
      <w:r w:rsidR="003F7EB9">
        <w:fldChar w:fldCharType="separate"/>
      </w:r>
      <w:r w:rsidR="005C33DC" w:rsidRPr="005C33DC">
        <w:t xml:space="preserve">(Ambrose </w:t>
      </w:r>
      <w:r w:rsidR="005C33DC" w:rsidRPr="005C33DC">
        <w:rPr>
          <w:i/>
          <w:iCs/>
        </w:rPr>
        <w:t>et al.</w:t>
      </w:r>
      <w:r w:rsidR="005C33DC" w:rsidRPr="005C33DC">
        <w:t>, 2013)</w:t>
      </w:r>
      <w:r w:rsidR="003F7EB9">
        <w:fldChar w:fldCharType="end"/>
      </w:r>
      <w:r w:rsidR="006304C0">
        <w:t xml:space="preserve"> and reduced</w:t>
      </w:r>
      <w:r w:rsidR="003F7EB9">
        <w:t xml:space="preserve"> </w:t>
      </w:r>
      <w:r w:rsidR="006304C0" w:rsidRPr="003B3D6C">
        <w:t xml:space="preserve">walking speed </w:t>
      </w:r>
      <w:r w:rsidR="006304C0">
        <w:fldChar w:fldCharType="begin" w:fldLock="1"/>
      </w:r>
      <w:r w:rsidR="00AA5A2F">
        <w:instrText xml:space="preserve"> ADDIN ZOTERO_ITEM CSL_CITATION {"citationID":"WVmqmndL","properties":{"formattedCitation":"(Dumurgier {\\i{}et al.}, 2009)","plainCitation":"(Dumurgier et al., 2009)","noteIndex":0},"citationItems":[{"id":1197,"uris":["http://www.mendeley.com/documents/?uuid=1ce526c3-3e2f-39d5-9de2-c8434b2cd1e2","http://zotero.org/users/17561370/items/EL2TA9TM"],"itemData":{"id":1197,"type":"article-journal","abstract":"Objective To study the relation between low walking speed and the risk of death in older people, both overall and with regard to the main causes of death.\n\nDesign Prospective cohort study.\n\nSetting Dijon centre (France) of the Three-City study.\n\nParticipants 3208 men and women aged ≥65 living in the community, recruited from 1999 to 2001, and followed for an average of 5.1 years.\n\nMain outcome measures Mortality, overall and according to the main causes of death, by thirds of baseline walking speed (measured at maximum speed over six metres), adjusted for several potential confounders; Kaplan-Meier survival curves by thirds of baseline walking speed. Vital status during follow-up. Causes of death.\n\nResults During 16 414 person years of follow-up, 209 participants died (99 from cancer, 59 from cardiovascular disease, 51 from other causes). Participants in the lowest third of baseline walking speed had an increased risk of death (hazard ratio 1.44, 95% confidence interval 1.03 to 1.99) compared with the upper thirds. Analyses for specific causes of death showed that participants with low walking speed had about a threefold increased risk of cardiovascular death (2.92, 1.46 to 5.84) compared with participants who walked faster. There was no relation with cancer mortality (1.03, 0.65 to 1.70). In stratified analyses, cardiovascular mortality was increased across various strata defined by sex, median age, median body mass index (BMI), and level of physical activity.\n\nConclusion Slow walking speed in older people is strongly associated with an increased risk of cardiovascular mortality.","container-title":"BMJ","DOI":"10.1136/BMJ.B4460","ISSN":"0959-8138","issue":"7731","page":"1187","PMID":"19903980","publisher":"British Medical Journal Publishing Group","title":"Slow walking speed and cardiovascular death in well functioning older adults: prospective cohort study","volume":"339","author":[{"family":"Dumurgier","given":"Julien"},{"family":"Elbaz","given":"Alexis"},{"family":"Ducimetière","given":"Pierre"},{"family":"Tavernier","given":"Béatrice"},{"family":"Alpérovitch","given":"Annick"},{"family":"Tzourio","given":"Christophe"}],"issued":{"date-parts":[["2009",11,11]]}}}],"schema":"https://github.com/citation-style-language/schema/raw/master/csl-citation.json"} </w:instrText>
      </w:r>
      <w:r w:rsidR="006304C0">
        <w:fldChar w:fldCharType="separate"/>
      </w:r>
      <w:r w:rsidR="005C33DC" w:rsidRPr="005C33DC">
        <w:t xml:space="preserve">(Dumurgier </w:t>
      </w:r>
      <w:r w:rsidR="005C33DC" w:rsidRPr="005C33DC">
        <w:rPr>
          <w:i/>
          <w:iCs/>
        </w:rPr>
        <w:t>et al.</w:t>
      </w:r>
      <w:r w:rsidR="005C33DC" w:rsidRPr="005C33DC">
        <w:t>, 2009)</w:t>
      </w:r>
      <w:r w:rsidR="006304C0">
        <w:fldChar w:fldCharType="end"/>
      </w:r>
      <w:r w:rsidR="006304C0">
        <w:t xml:space="preserve">, </w:t>
      </w:r>
      <w:r w:rsidR="004F6704">
        <w:t xml:space="preserve">which </w:t>
      </w:r>
      <w:r w:rsidR="003F7EB9" w:rsidRPr="003B3D6C">
        <w:t>are associated with increased</w:t>
      </w:r>
      <w:r w:rsidR="003F7EB9">
        <w:t xml:space="preserve"> morbidity </w:t>
      </w:r>
      <w:r w:rsidR="003F7EB9">
        <w:fldChar w:fldCharType="begin" w:fldLock="1"/>
      </w:r>
      <w:r w:rsidR="00AA5A2F">
        <w:instrText xml:space="preserve"> ADDIN ZOTERO_ITEM CSL_CITATION {"citationID":"SmgpzZ1U","properties":{"formattedCitation":"(Ambrose {\\i{}et al.}, 2013)","plainCitation":"(Ambrose et al., 2013)","noteIndex":0},"citationItems":[{"id":1257,"uris":["http://www.mendeley.com/documents/?uuid=99d52f1d-bc45-38fb-86f2-67041270c082","http://zotero.org/users/17561370/items/7VED5GW8"],"itemData":{"id":1257,"type":"article-journal","abstract":"Falls are one of the major causes of mortality and morbidity in older adults. Every year, an estimated 30-40% of patients over the age of 65 will fall at least once. Falls lead to moderate to severe injuries, fear of falling, loss of independence and death in a third of those patients. The direct costs alone from fall related injuries are a staggering 0.1% of all healthcare expenditures in the United States and up to 1.5% of healthcare costs in European countries. This figure does not include the indirect costs of loss of income both to the patient and caregiver, the intangible losses of mobility, confidence, and functional independence. Numerous studies have attempted to define the risk factors for falls in older adults. The present review provides a brief summary and update of the relevant literature, summarizing demographic and modifiable risk factors. The major risk factors identified are impaired balance and gait, polypharmacy, and history of previous falls. Other risk factors include advancing age, female gender, visual impairments, cognitive decline especially attention and executive dysfunction, and environmental factors. Recommendations for the clinician to manage falls in older patients are also summarized. © 2013 Elsevier Ireland Ltd.","container-title":"Maturitas","DOI":"10.1016/J.MATURITAS.2013.02.009","ISSN":"03785122","issue":"1","page":"51-61","PMID":"23523272","title":"Risk factors for falls among older adults: A review of the literature","volume":"75","author":[{"family":"Ambrose","given":"Anne Felicia"},{"family":"Paul","given":"Geet"},{"family":"Hausdorff","given":"Jeffrey M."}],"issued":{"date-parts":[["2013",5]]}}}],"schema":"https://github.com/citation-style-language/schema/raw/master/csl-citation.json"} </w:instrText>
      </w:r>
      <w:r w:rsidR="003F7EB9">
        <w:fldChar w:fldCharType="separate"/>
      </w:r>
      <w:r w:rsidR="003859B6" w:rsidRPr="003859B6">
        <w:t xml:space="preserve">(Ambrose </w:t>
      </w:r>
      <w:r w:rsidR="003859B6" w:rsidRPr="003859B6">
        <w:rPr>
          <w:i/>
          <w:iCs/>
        </w:rPr>
        <w:t>et al.</w:t>
      </w:r>
      <w:r w:rsidR="003859B6" w:rsidRPr="003859B6">
        <w:t>, 2013)</w:t>
      </w:r>
      <w:r w:rsidR="003F7EB9">
        <w:fldChar w:fldCharType="end"/>
      </w:r>
      <w:r w:rsidR="006304C0">
        <w:t xml:space="preserve"> and </w:t>
      </w:r>
      <w:r w:rsidR="003F7EB9" w:rsidRPr="003B3D6C">
        <w:t xml:space="preserve">mortality </w:t>
      </w:r>
      <w:r w:rsidR="003F7EB9">
        <w:fldChar w:fldCharType="begin" w:fldLock="1"/>
      </w:r>
      <w:r w:rsidR="00AA5A2F">
        <w:instrText xml:space="preserve"> ADDIN ZOTERO_ITEM CSL_CITATION {"citationID":"Y2s6yPr4","properties":{"formattedCitation":"(Dumurgier {\\i{}et al.}, 2009; Stanaway {\\i{}et al.}, 2011)","plainCitation":"(Dumurgier et al., 2009; Stanaway et al., 2011)","noteIndex":0},"citationItems":[{"id":1197,"uris":["http://www.mendeley.com/documents/?uuid=1ce526c3-3e2f-39d5-9de2-c8434b2cd1e2","http://zotero.org/users/17561370/items/EL2TA9TM"],"itemData":{"id":1197,"type":"article-journal","abstract":"Objective To study the relation between low walking speed and the risk of death in older people, both overall and with regard to the main causes of death.\n\nDesign Prospective cohort study.\n\nSetting Dijon centre (France) of the Three-City study.\n\nParticipants 3208 men and women aged ≥65 living in the community, recruited from 1999 to 2001, and followed for an average of 5.1 years.\n\nMain outcome measures Mortality, overall and according to the main causes of death, by thirds of baseline walking speed (measured at maximum speed over six metres), adjusted for several potential confounders; Kaplan-Meier survival curves by thirds of baseline walking speed. Vital status during follow-up. Causes of death.\n\nResults During 16 414 person years of follow-up, 209 participants died (99 from cancer, 59 from cardiovascular disease, 51 from other causes). Participants in the lowest third of baseline walking speed had an increased risk of death (hazard ratio 1.44, 95% confidence interval 1.03 to 1.99) compared with the upper thirds. Analyses for specific causes of death showed that participants with low walking speed had about a threefold increased risk of cardiovascular death (2.92, 1.46 to 5.84) compared with participants who walked faster. There was no relation with cancer mortality (1.03, 0.65 to 1.70). In stratified analyses, cardiovascular mortality was increased across various strata defined by sex, median age, median body mass index (BMI), and level of physical activity.\n\nConclusion Slow walking speed in older people is strongly associated with an increased risk of cardiovascular mortality.","container-title":"BMJ","DOI":"10.1136/BMJ.B4460","ISSN":"0959-8138","issue":"7731","page":"1187","PMID":"19903980","publisher":"British Medical Journal Publishing Group","title":"Slow walking speed and cardiovascular death in well functioning older adults: prospective cohort study","volume":"339","author":[{"family":"Dumurgier","given":"Julien"},{"family":"Elbaz","given":"Alexis"},{"family":"Ducimetière","given":"Pierre"},{"family":"Tavernier","given":"Béatrice"},{"family":"Alpérovitch","given":"Annick"},{"family":"Tzourio","given":"Christophe"}],"issued":{"date-parts":[["2009",11,11]]}}},{"id":425,"uris":["http://www.mendeley.com/documents/?uuid=7cbf3e6e-58a7-3062-91bf-bc4690e31cc9","http://zotero.org/users/17561370/items/4DXEHRCU"],"itemData":{"id":425,"type":"article-journal","abstract":"Objective To determine the speed at which the Grim Reaper (or Death) walks.\n\nDesign Population based prospective study.\n\nSetting Older community dwelling men living in Sydney, Australia.\n\nParticipants 1705 men aged 70 or more participating in CHAMP (Concord Health and Ageing in Men Project).\n\nMain outcome measures Walking speed (m/s) and mortality. Receiver operating characteristics curve analysis was used to calculate the area under the curve for walking speed and determine the walking speed of the Grim Reaper. The optimal walking speed was estimated using the Youden index (sensitivity+specificity−1), a common summary measure of the receiver operating characteristics curve, and represents the maximum potential effectiveness of a marker.\n\nResults The mean walking speed was 0.88 (range 0.15-1.60) m/s. The highest Youden index (0.293) was observed at a walking speed of 0.82 m/s (2 miles (about 3 km) per hour), corresponding to a sensitivity of 63% and a specificity of 70% for mortality. Survival analysis showed that older men who walked faster than 0.82 m/s were 1.23 times less likely to die (95% confidence interval 1.10 to 1.37) than those who walked slower (P=0.0003). A sensitivity of 1.0 was obtained when a walking speed of 1.36 m/s (3 miles (about 5 km) per hour) or greater was used, indicating that no men with walking speeds of 1.36 m/s or greater had contact with Death.\n\nConclusion The Grim Reaper’s preferred walking speed is 0.82 m/s (2 miles (about 3 km) per hour) under working conditions. As none of the men in the study with walking speeds of 1.36 m/s (3 miles (about 5 km) per hour) or greater had contact with Death, this seems to be the Grim Reaper’s most likely maximum speed; for those wishing to avoid their allotted fate, this would be the advised walking speed.","container-title":"BMJ","DOI":"10.1136/BMJ.D7679","ISSN":"0959-8138","issue":"7837","PMID":"22174324","publisher":"British Medical Journal Publishing Group","title":"How fast does the Grim Reaper walk? Receiver operating characteristics curve analysis in healthy men aged 70 and over","URL":"https://www.bmj.com/content/343/bmj.d7679","volume":"343","author":[{"family":"Stanaway","given":"Fiona F."},{"family":"Gnjidic","given":"Danijela"},{"family":"Blyth","given":"Fiona M."},{"family":"Le Couteur","given":"David G."},{"family":"Naganathan","given":"Vasi"},{"family":"Waite","given":"Louise"},{"family":"Seibel","given":"Markus J."},{"family":"Handelsman","given":"David J."},{"family":"Sambrook","given":"Philip N."},{"family":"Cumming","given":"Robert G."}],"accessed":{"date-parts":[["2024",9,24]]},"issued":{"date-parts":[["2011",12,15]]}}}],"schema":"https://github.com/citation-style-language/schema/raw/master/csl-citation.json"} </w:instrText>
      </w:r>
      <w:r w:rsidR="003F7EB9">
        <w:fldChar w:fldCharType="separate"/>
      </w:r>
      <w:r w:rsidR="005C33DC" w:rsidRPr="005C33DC">
        <w:t xml:space="preserve">(Dumurgier </w:t>
      </w:r>
      <w:r w:rsidR="005C33DC" w:rsidRPr="005C33DC">
        <w:rPr>
          <w:i/>
          <w:iCs/>
        </w:rPr>
        <w:t>et al.</w:t>
      </w:r>
      <w:r w:rsidR="005C33DC" w:rsidRPr="005C33DC">
        <w:t xml:space="preserve">, 2009; Stanaway </w:t>
      </w:r>
      <w:r w:rsidR="005C33DC" w:rsidRPr="005C33DC">
        <w:rPr>
          <w:i/>
          <w:iCs/>
        </w:rPr>
        <w:t>et al.</w:t>
      </w:r>
      <w:r w:rsidR="005C33DC" w:rsidRPr="005C33DC">
        <w:t>, 2011)</w:t>
      </w:r>
      <w:r w:rsidR="003F7EB9">
        <w:fldChar w:fldCharType="end"/>
      </w:r>
      <w:r w:rsidR="003F7EB9">
        <w:t xml:space="preserve">. </w:t>
      </w:r>
      <w:r w:rsidR="00A044B7">
        <w:t xml:space="preserve">Although </w:t>
      </w:r>
      <w:r w:rsidR="00C54640">
        <w:t>regular exercise</w:t>
      </w:r>
      <w:r w:rsidR="00B918FF">
        <w:t xml:space="preserve"> </w:t>
      </w:r>
      <w:r w:rsidR="00A044B7">
        <w:t xml:space="preserve">remains one of the most </w:t>
      </w:r>
      <w:r w:rsidR="00B918FF" w:rsidRPr="003B3D6C">
        <w:t>effective strateg</w:t>
      </w:r>
      <w:r w:rsidR="00A044B7">
        <w:t>ies</w:t>
      </w:r>
      <w:r w:rsidR="00B918FF" w:rsidRPr="003B3D6C">
        <w:t xml:space="preserve"> to </w:t>
      </w:r>
      <w:r w:rsidR="005452CC">
        <w:t>preserve</w:t>
      </w:r>
      <w:r w:rsidR="00B918FF" w:rsidRPr="003B3D6C">
        <w:t xml:space="preserve"> </w:t>
      </w:r>
      <w:r w:rsidR="0056098C">
        <w:t xml:space="preserve">and increase </w:t>
      </w:r>
      <w:r w:rsidR="00B918FF" w:rsidRPr="003B3D6C">
        <w:t xml:space="preserve">muscle </w:t>
      </w:r>
      <w:r w:rsidR="00403512">
        <w:t xml:space="preserve">size and </w:t>
      </w:r>
      <w:r w:rsidR="00572AD1">
        <w:t xml:space="preserve">improve </w:t>
      </w:r>
      <w:r w:rsidR="00B918FF" w:rsidRPr="003B3D6C">
        <w:t xml:space="preserve">function </w:t>
      </w:r>
      <w:r w:rsidR="00B918FF">
        <w:fldChar w:fldCharType="begin" w:fldLock="1"/>
      </w:r>
      <w:r w:rsidR="00AA5A2F">
        <w:instrText xml:space="preserve"> ADDIN ZOTERO_ITEM CSL_CITATION {"citationID":"3yqJygYI","properties":{"formattedCitation":"(Chambers {\\i{}et al.}, 2020)","plainCitation":"(Chambers et al., 2020)","noteIndex":0},"citationItems":[{"id":1365,"uris":["http://www.mendeley.com/documents/?uuid=b7673b79-7c0c-313c-80d6-143c2fadc309","http://zotero.org/users/17561370/items/946NN8PJ"],"itemData":{"id":1365,"type":"article-journal","abstract":"We examined the influence of lifelong aerobic exercise on skeletal muscle size, function, and adiposity. Young exercisers [YE; n = 20, 10 women (W), 25 ± 1 yr], lifelong exercisers (LLE; n = 28, 7 W, 74 ± 2 yr), and old healthy nonexercisers (OH; n = 20, 10 W, 75 ± 1 yr) were studied. On average, LLE exercised 5 days/wk for 7 h/wk over the past 52 ± 1 yr. The LLE men were subdivided by exercise intensity [Performance (LLE-P), n = 14; Fitness (LLE-F), n = 7]. Upper and lower leg muscle size and adiposity [intermuscular adipose tissue (IMAT)] were determined via MRI, and quadriceps isotonic and isometric function was assessed. For the quadriceps, aging decreased muscle size, isotonic and isometric strength, contraction velocity (men only), and power (P &lt; 0.05). In women, LLE did not influence muscle size or function. In men, LLE attenuated the decline in muscle size and isometric strength by </w:instrText>
      </w:r>
      <w:r w:rsidR="00AA5A2F">
        <w:rPr>
          <w:rFonts w:ascii="Cambria Math" w:hAnsi="Cambria Math" w:cs="Cambria Math"/>
        </w:rPr>
        <w:instrText>∼</w:instrText>
      </w:r>
      <w:r w:rsidR="00AA5A2F">
        <w:instrText xml:space="preserve">50% (P &lt; 0.05). LLE did not influence other aspects of muscle function, nor did training intensity influence muscle size or function. For the triceps surae, aging decreased muscle size only in the women, whereas LLE (both sexes) and training intensity (LLE men) did not influence muscle size. In both sexes, aging increased thigh and calf IMAT by </w:instrText>
      </w:r>
      <w:r w:rsidR="00AA5A2F">
        <w:rPr>
          <w:rFonts w:ascii="Cambria Math" w:hAnsi="Cambria Math" w:cs="Cambria Math"/>
        </w:rPr>
        <w:instrText>∼</w:instrText>
      </w:r>
      <w:r w:rsidR="00AA5A2F">
        <w:instrText xml:space="preserve">130% (P &lt; 0.05), whereas LLE attenuated the thigh increase by </w:instrText>
      </w:r>
      <w:r w:rsidR="00AA5A2F">
        <w:rPr>
          <w:rFonts w:ascii="Cambria Math" w:hAnsi="Cambria Math" w:cs="Cambria Math"/>
        </w:rPr>
        <w:instrText>∼</w:instrText>
      </w:r>
      <w:r w:rsidR="00AA5A2F">
        <w:instrText xml:space="preserve">50% (P &lt; 0.05). In the LLE men, higher training intensity decreased thigh and calf IMAT by </w:instrText>
      </w:r>
      <w:r w:rsidR="00AA5A2F">
        <w:rPr>
          <w:rFonts w:ascii="Cambria Math" w:hAnsi="Cambria Math" w:cs="Cambria Math"/>
        </w:rPr>
        <w:instrText>∼</w:instrText>
      </w:r>
      <w:r w:rsidR="00AA5A2F">
        <w:instrText xml:space="preserve">30% (P &lt; 0.05). In summary, aging and lifelong aerobic exercise influenced muscle size, function, and adipose tissue infiltration in a sex- and muscle-specific fashion. Higher training intensity throughout the life span provided greater protection against adipose tissue infiltration into muscle. NEW &amp; NOTEWORTHY This is the first study to examine skeletal muscle size, function, and adiposity in women and men in their eighth decade of life that have engaged in lifelong aerobic exercise. The findings reveal sex and upper and lower leg muscle group-specific benefits related to skeletal muscle size, function, and adiposity and that exercise intensity influences intermuscular adiposity. This emerging cohort will further our understanding of the health implications of maintaining exercise throughout the life span.","container-title":"Journal of Applied Physiology","DOI":"10.1152/JAPPLPHYSIOL.00426.2019/ASSET/IMAGES/LARGE/ZDG0012032610008.JPEG","ISSN":"15221601","issue":"2","page":"368-378","PMID":"31829806","publisher":"American Physiological Society","title":"Skeletal muscle size, function, and adiposity with lifelong aerobic exercise","volume":"128","author":[{"family":"Chambers","given":"Toby L."},{"family":"Burnett","given":"Timothy R."},{"family":"Raue","given":"Ulrika"},{"family":"Lee","given":"Gary A."},{"family":"Finch","given":"W. Holmes"},{"family":"Graham","given":"Bruce M."},{"family":"Trappe","given":"Todd A."},{"family":"Trappe","given":"Scott"}],"issued":{"date-parts":[["2020"]]}}}],"schema":"https://github.com/citation-style-language/schema/raw/master/csl-citation.json"} </w:instrText>
      </w:r>
      <w:r w:rsidR="00B918FF">
        <w:fldChar w:fldCharType="separate"/>
      </w:r>
      <w:r w:rsidR="005C33DC" w:rsidRPr="005C33DC">
        <w:t xml:space="preserve">(Chambers </w:t>
      </w:r>
      <w:r w:rsidR="005C33DC" w:rsidRPr="005C33DC">
        <w:rPr>
          <w:i/>
          <w:iCs/>
        </w:rPr>
        <w:t>et al.</w:t>
      </w:r>
      <w:r w:rsidR="005C33DC" w:rsidRPr="005C33DC">
        <w:t>, 2020)</w:t>
      </w:r>
      <w:r w:rsidR="00B918FF">
        <w:fldChar w:fldCharType="end"/>
      </w:r>
      <w:r w:rsidR="00B918FF" w:rsidRPr="003B3D6C">
        <w:t xml:space="preserve">, </w:t>
      </w:r>
      <w:r w:rsidR="00826397">
        <w:t xml:space="preserve">adherence among </w:t>
      </w:r>
      <w:r w:rsidR="00B918FF" w:rsidRPr="003B3D6C">
        <w:t>older adults</w:t>
      </w:r>
      <w:r w:rsidR="00200C6A">
        <w:t xml:space="preserve"> can be poor due to </w:t>
      </w:r>
      <w:r w:rsidR="00B918FF" w:rsidRPr="003B3D6C">
        <w:t xml:space="preserve">physical limitations </w:t>
      </w:r>
      <w:r w:rsidR="00403512">
        <w:t>and</w:t>
      </w:r>
      <w:r w:rsidR="00B918FF" w:rsidRPr="003B3D6C">
        <w:t xml:space="preserve"> contraindications</w:t>
      </w:r>
      <w:r w:rsidR="00403512">
        <w:t xml:space="preserve"> </w:t>
      </w:r>
      <w:r w:rsidR="00B918FF">
        <w:fldChar w:fldCharType="begin" w:fldLock="1"/>
      </w:r>
      <w:r w:rsidR="00AA5A2F">
        <w:instrText xml:space="preserve"> ADDIN ZOTERO_ITEM CSL_CITATION {"citationID":"O1Z3qxjq","properties":{"formattedCitation":"(Stutts, 2002; Lees {\\i{}et al.}, 2005)","plainCitation":"(Stutts, 2002; Lees et al., 2005)","noteIndex":0},"citationItems":[{"id":12,"uris":["http://www.mendeley.com/documents/?uuid=7f36d745-bb39-3dd7-a31d-8bf1cdedb3a1","http://zotero.org/users/17561370/items/ZFER4E2S"],"itemData":{"id":12,"type":"article-journal","abstract":"Longer life expectancy, rapid population growth, and low exercise-participation rates of adults 65 and older justify the need for better understanding of older adults' exercise behavior. The objectives of this focus-group study were to determine barriers to the exercise behavior of older adults. Six focus groups, three with exercisers and three with nonexercisers, were conducted at various sites throughout Rhode Island. The majority (n = 57) of the 66 individuals who participated were women, and all stated that they were 65 and older. Results from the focus-group data identified 13 barriers to exercise behavior. The most significant barriers mentioned by nonexercisers were fear of falling, inertia, and negative affect. Exercisers identified inertia, time constraints, and physical ailments as being the most significant barriers to exercise. Implications from these focus-group data can be useful in the development of exercise interventions for older adults, which could increase exercise participation.","container-title":"Journal of Aging and Physical Activity","page":"23-33","title":"Barriers to Exercise Behavior Among Older Adults: A Focus-Group Study","volume":"13","author":[{"family":"Lees","given":"Faith D"},{"family":"Clark","given":"Phillip G"},{"family":"Nigg","given":"Claudio R"},{"family":"Newman","given":"Phillip"}],"issued":{"date-parts":[["2005"]]}}},{"id":399,"uris":["http://www.mendeley.com/documents/?uuid=615af2aa-e6d0-32fe-8d56-95b12302b954","http://zotero.org/users/17561370/items/2X7I9E3U"],"itemData":{"id":399,"type":"article-journal","abstract":"The determinants of physical activity in adults were explored in this study. Explanatory variables included perceived benefits of and perceived barriers to physical activity, and perceived self eff...","container-title":"http://dx.doi.org/10.1177/216507990205001106","DOI":"10.1177/216507990205001106","ISSN":"08910162","issue":"11","note":"publisher: SAGE PublicationsSage CA: Los Angeles, CA","page":"499-507","PMID":"12465206","title":"Physical Activity Determinants in Adults","volume":"50","author":[{"family":"Stutts","given":"Wanda C."}],"issued":{"date-parts":[["2002",11,1]]}}}],"schema":"https://github.com/citation-style-language/schema/raw/master/csl-citation.json"} </w:instrText>
      </w:r>
      <w:r w:rsidR="00B918FF">
        <w:fldChar w:fldCharType="separate"/>
      </w:r>
      <w:r w:rsidR="005C33DC" w:rsidRPr="005C33DC">
        <w:t xml:space="preserve">(Stutts, 2002; Lees </w:t>
      </w:r>
      <w:r w:rsidR="005C33DC" w:rsidRPr="005C33DC">
        <w:rPr>
          <w:i/>
          <w:iCs/>
        </w:rPr>
        <w:t>et al.</w:t>
      </w:r>
      <w:r w:rsidR="005C33DC" w:rsidRPr="005C33DC">
        <w:t>, 2005)</w:t>
      </w:r>
      <w:r w:rsidR="00B918FF">
        <w:fldChar w:fldCharType="end"/>
      </w:r>
      <w:r w:rsidR="00B918FF" w:rsidRPr="003B3D6C">
        <w:t xml:space="preserve">. </w:t>
      </w:r>
      <w:r w:rsidR="00B918FF">
        <w:t xml:space="preserve">With </w:t>
      </w:r>
      <w:r w:rsidR="0006231E" w:rsidRPr="0006231E">
        <w:t>populations ageing rapidly worldwide</w:t>
      </w:r>
      <w:r w:rsidR="0006231E">
        <w:t xml:space="preserve"> </w:t>
      </w:r>
      <w:r w:rsidR="006304C0">
        <w:fldChar w:fldCharType="begin" w:fldLock="1"/>
      </w:r>
      <w:r w:rsidR="00AA5A2F">
        <w:instrText xml:space="preserve"> ADDIN ZOTERO_ITEM CSL_CITATION {"citationID":"dIwCjEfI","properties":{"formattedCitation":"(United Nations, 2024)","plainCitation":"(United Nations, 2024)","noteIndex":0},"citationItems":[{"id":75,"uris":["http://zotero.org/users/17561370/items/YISKFWDB"],"itemData":{"id":75,"type":"webpage","abstract":"World Population Prospects 2024: Summary of Results adopts the analytical framework of the demographic transition—the historic shift towards longer lives and smaller families—approximated here by the timing at which populations peak in size, to explore differences in population trends that characterise countries and regions today and provide insight into their future trajectories. The report also offers policy recommendations to prepare countries for a population size, age structure and spatial distribution that may differ appreciably from that of their recent past.","language":"en","title":"World Population Prospects 2024: Summary of Results | DESA Publications","title-short":"World Population Prospects 2024","URL":"https://desapublications.un.org/publications/world-population-prospects-2024-summary-results","author":[{"family":"United Nations","given":"United"}],"accessed":{"date-parts":[["2025",11,28]]},"issued":{"date-parts":[["2024",7,11]]}}}],"schema":"https://github.com/citation-style-language/schema/raw/master/csl-citation.json"} </w:instrText>
      </w:r>
      <w:r w:rsidR="006304C0">
        <w:fldChar w:fldCharType="separate"/>
      </w:r>
      <w:r w:rsidR="005C33DC" w:rsidRPr="005C33DC">
        <w:t>(United Nations, 2024)</w:t>
      </w:r>
      <w:r w:rsidR="006304C0">
        <w:fldChar w:fldCharType="end"/>
      </w:r>
      <w:r w:rsidR="006304C0">
        <w:t xml:space="preserve"> </w:t>
      </w:r>
      <w:r w:rsidR="00B918FF">
        <w:t>and</w:t>
      </w:r>
      <w:r w:rsidR="00B918FF" w:rsidRPr="003B3D6C">
        <w:t xml:space="preserve"> </w:t>
      </w:r>
      <w:r w:rsidR="00B918FF">
        <w:t xml:space="preserve">rising </w:t>
      </w:r>
      <w:r w:rsidR="00B918FF" w:rsidRPr="003B3D6C">
        <w:t xml:space="preserve">healthcare </w:t>
      </w:r>
      <w:r w:rsidR="00B918FF">
        <w:t xml:space="preserve">costs </w:t>
      </w:r>
      <w:r w:rsidR="00B918FF" w:rsidRPr="003B3D6C">
        <w:t xml:space="preserve">associated with </w:t>
      </w:r>
      <w:r w:rsidR="00B918FF">
        <w:t xml:space="preserve">muscle weakness </w:t>
      </w:r>
      <w:r w:rsidR="00B918FF">
        <w:fldChar w:fldCharType="begin" w:fldLock="1"/>
      </w:r>
      <w:r w:rsidR="00AA5A2F">
        <w:instrText xml:space="preserve"> ADDIN ZOTERO_ITEM CSL_CITATION {"citationID":"sK88NKjd","properties":{"formattedCitation":"(Pinedo-Villanueva {\\i{}et al.}, 2019)","plainCitation":"(Pinedo-Villanueva et al., 2019)","noteIndex":0},"citationItems":[{"id":588,"uris":["http://www.mendeley.com/documents/?uuid=b4572c66-8c2c-38bc-8bce-f87b094addb7","http://zotero.org/users/17561370/items/Y8PASJ4B"],"itemData":{"id":588,"type":"article-journal","abstract":"Sarcopenia and muscle weakness are responsible for considerable health care expenditure but little is known about these costs in the UK. To address this, we estimated the excess economic burden for individuals with muscle weakness regarding the provision of health and social care among 442 men and women (aged 71–80 years) who participated in the Hertfordshire Cohort Study (UK). Muscle weakness, characterised by low grip strength, was defined according to the Foundation for the National Institutes of Health criteria (men &lt; 26 kg, women &lt; 16 kg). Costs associated with primary care consultations and visits, outpatient and inpatient secondary care, medications, and formal (paid) as well as informal care for each participant were calculated. Mean total costs per person and their corresponding components were compared between groups with and without muscle weakness. Prevalence of muscle weakness in the sample was 11%. Mean total annual costs for participants with muscle weakness were £4592 (CI £2962–£6221), with informal care, inpatient secondary care and primary care accounting for the majority of total costs (38%, 23% and 19%, respectively). For participants without muscle weakness, total annual costs were £1885 (CI £1542–£2228) and their three highest cost categories were informal care (26%), primary care (23%) and formal care (20%). Total excess costs associated with muscle weakness were £2707 per person per year, with informal care costs accounting for 46% of this difference. This results in an estimated annual excess cost in the UK of £2.5 billion.","container-title":"Calcified Tissue International","DOI":"10.1007/S00223-018-0478-1/TABLES/3","ISSN":"14320827","issue":"2","page":"137-144","PMID":"30244338","publisher":"Springer New York LLC","title":"Health Care Costs Associated With Muscle Weakness: A UK Population-Based Estimate","volume":"104","author":[{"family":"Pinedo-Villanueva","given":"Rafael"},{"family":"Westbury","given":"Leo D."},{"family":"Syddall","given":"Holly E."},{"family":"Sanchez-Santos","given":"Maria T."},{"family":"Dennison","given":"Elaine M."},{"family":"Robinson","given":"Sian M."},{"family":"Cooper","given":"Cyrus"}],"issued":{"date-parts":[["2019",2,15]]}}}],"schema":"https://github.com/citation-style-language/schema/raw/master/csl-citation.json"} </w:instrText>
      </w:r>
      <w:r w:rsidR="00B918FF">
        <w:fldChar w:fldCharType="separate"/>
      </w:r>
      <w:r w:rsidR="003859B6" w:rsidRPr="003859B6">
        <w:t xml:space="preserve">(Pinedo-Villanueva </w:t>
      </w:r>
      <w:r w:rsidR="003859B6" w:rsidRPr="003859B6">
        <w:rPr>
          <w:i/>
          <w:iCs/>
        </w:rPr>
        <w:t>et al.</w:t>
      </w:r>
      <w:r w:rsidR="003859B6" w:rsidRPr="003859B6">
        <w:t>, 2019)</w:t>
      </w:r>
      <w:r w:rsidR="00B918FF">
        <w:fldChar w:fldCharType="end"/>
      </w:r>
      <w:r w:rsidR="00B918FF">
        <w:t xml:space="preserve">, </w:t>
      </w:r>
      <w:r w:rsidR="00597435">
        <w:t xml:space="preserve">there is an urgent need to identify accessible alternative interventions that can </w:t>
      </w:r>
      <w:r w:rsidR="00CA4EE3">
        <w:t xml:space="preserve">maintain or </w:t>
      </w:r>
      <w:r w:rsidR="00B918FF" w:rsidRPr="003B3D6C">
        <w:t>improve</w:t>
      </w:r>
      <w:r w:rsidR="007C036B">
        <w:t xml:space="preserve"> </w:t>
      </w:r>
      <w:r w:rsidR="00CA4EE3">
        <w:t>physical</w:t>
      </w:r>
      <w:r w:rsidR="00CA4EE3" w:rsidRPr="003B3D6C">
        <w:t xml:space="preserve"> </w:t>
      </w:r>
      <w:r w:rsidR="00B918FF" w:rsidRPr="003B3D6C">
        <w:t>function</w:t>
      </w:r>
      <w:r w:rsidR="00B918FF">
        <w:t xml:space="preserve"> </w:t>
      </w:r>
      <w:r w:rsidR="00CA4EE3">
        <w:t xml:space="preserve">later in life. </w:t>
      </w:r>
    </w:p>
    <w:p w14:paraId="34DE6C89" w14:textId="1F91C468" w:rsidR="007857F1" w:rsidRDefault="00506743" w:rsidP="00C70FEF">
      <w:pPr>
        <w:spacing w:line="480" w:lineRule="auto"/>
        <w:jc w:val="both"/>
      </w:pPr>
      <w:r>
        <w:t>Passive</w:t>
      </w:r>
      <w:r w:rsidR="00B63BA7" w:rsidRPr="003B3D6C">
        <w:t xml:space="preserve"> heat</w:t>
      </w:r>
      <w:r w:rsidR="00B34C84">
        <w:t xml:space="preserve"> therapy (PHT)</w:t>
      </w:r>
      <w:r w:rsidR="00B63BA7" w:rsidRPr="003B3D6C">
        <w:t xml:space="preserve"> </w:t>
      </w:r>
      <w:r>
        <w:t xml:space="preserve">has emerged as a promising </w:t>
      </w:r>
      <w:r w:rsidR="000C542D">
        <w:t xml:space="preserve">adjunct </w:t>
      </w:r>
      <w:r w:rsidR="00B34C84">
        <w:t>treatment</w:t>
      </w:r>
      <w:r w:rsidR="00C248DD">
        <w:t xml:space="preserve"> for cardiovascular</w:t>
      </w:r>
      <w:r w:rsidR="003043E5">
        <w:t xml:space="preserve"> </w:t>
      </w:r>
      <w:r w:rsidR="003043E5">
        <w:rPr>
          <w:rStyle w:val="CommentReference"/>
          <w:sz w:val="24"/>
        </w:rPr>
        <w:fldChar w:fldCharType="begin" w:fldLock="1"/>
      </w:r>
      <w:r w:rsidR="00AA5A2F">
        <w:rPr>
          <w:rStyle w:val="CommentReference"/>
          <w:sz w:val="24"/>
        </w:rPr>
        <w:instrText xml:space="preserve"> ADDIN ZOTERO_ITEM CSL_CITATION {"citationID":"D90I0xfZ","properties":{"formattedCitation":"(Oyama {\\i{}et al.}, 2013; Brunt {\\i{}et al.}, 2016)","plainCitation":"(Oyama et al., 2013; Brunt et al., 2016)","noteIndex":0},"citationItems":[{"id":478,"uris":["http://www.mendeley.com/documents/?uuid=4fd26404-74de-3261-90e9-de95aa7a21cc","http://zotero.org/users/17561370/items/G5QLYLW9"],"itemData":{"id":478,"type":"article-journal","abstract":"Key points: A recent 30 year prospective study showed that lifelong sauna use reduces cardiovascular-related and all-cause mortality; however, the specific cardiovascular adaptations that cause this chronic protection are currently unknown. We investigated the effects of 8 weeks of repeated hot water immersion (‘heat therapy’) on various biomarkers of cardiovascular health in young, sedentary humans. We showed that, relative to a sham group which participated in thermoneutral water immersion, heat therapy increased flow-mediated dilatation, reduced arterial stiffness, reduced mean arterial and diastolic blood pressure, and reduced carotid intima media thickness, with changes all on par or greater than what is typically observed in sedentary subjects with exercise training. Our results show for the first time that heat therapy has widespread and robust effects on vascular function, and as such, could be a viable treatment option for improving cardiovascular health in a variety of patient populations, particularly those with limited exercise tolerance and/or capabilities. Abstract: The majority of cardiovascular diseases are characterized by disorders of the arteries, predominantly caused by endothelial dysfunction and arterial stiffening. Intermittent hot water immersion (‘heat therapy’) results in elevations in core temperature and changes in cardiovascular haemodynamics, such as cardiac output and vascular shear stress, that are similar to exercise, and thus may provide an alternative means of improving health which could be utilized by patients with low exercise tolerance and/or capabilities. We sought to comprehensively assess the effects of 8 weeks of heat therapy on biomarkers of vascular function in young, sedentary subjects. Twenty young, sedentary subjects were assigned to participate in 8 weeks (4–5 times per week) of heat therapy (n = 10; immersion in a 40.5°C bath sufficient to maintain rectal temperature ≥ 38.5°C for 60 min per session) or thermoneutral water immersion (n = 10; sham). Eight weeks of heat therapy increased flow-mediated dilatation from 5.6 ± 0.3 to 10.9 ± 1.0% (P &lt; 0.01) and superficial femoral dynamic arterial compliance from 0.06 ± 0.01 to 0.09 ±0.01 mm2 mmHg−1 (P = 0.03), and reduced (i.e. improved) aortic pulse wave velocity from 7.1 ± 0.3 to 6.1 ± 0.3 m s−1 (P = 0.03), carotid intima media thickness from 0.43 ± 0.01 to 0.37 ± 0.01 mm (P &lt; 0.001), and mean arterial blood pressure from 83 ± 1 to 78 ± 2 mmHg (P = 0.02). No changes were observed in the sham group or for carotid arterial compliance, superficial femoral intima media thickness or endothelium-independent dilatation. Heat therapy improved endothelium-dependent dilatation, arterial stiffness, intima media thickness and blood pressure, indicating improved cardiovascular health. These data suggest heat therapy may provide a simple and effective tool for improving cardiovascular health in various populations.","container-title":"The Journal of Physiology","DOI":"10.1113/JP272453","ISSN":"1469-7793","issue":"18","page":"5329-5342","PMID":"27270841","publisher":"John Wiley &amp; Sons, Ltd","title":"Passive heat therapy improves endothelial function, arterial stiffness and blood pressure in sedentary humans","volume":"594","author":[{"family":"Brunt","given":"Vienna E."},{"family":"Howard","given":"Matthew J."},{"family":"Francisco","given":"Michael A."},{"family":"Ely","given":"Brett R."},{"family":"Minson","given":"Christopher T."}],"issued":{"date-parts":[["2016",9,15]]}}},{"id":837,"uris":["http://www.mendeley.com/documents/?uuid=08a32737-8a92-378f-9276-918f78d4e288","http://zotero.org/users/17561370/items/RDDA9L6K"],"itemData":{"id":837,"type":"article-journal","abstract":"Balneotherapy has been shown to reduce systemic blood pressure in healthy volunteers. Hyperthermia might ameliorate the inflammatory status in heart failure through improving cardiac function. The purpose of this study was to examine the beneficial effects of balneotherapy in patients with chronic heart failure (CHF). Thirty-two patients with systolic CHF classified as New York Heart Association functional status II or III were randomized to divide either a balneotherapy group or a control group. The patients in the balneotherapy group were immersed in a hot spring at 40 C for 10 min daily for 2 weeks; the control group patients took a shower daily. The left ventricular ejection fraction (EF) and cardiothoracic ratio (CTR) were evaluated and plasma brain natriuretic peptide (BNP), high-sensitivity C-reactive protein (hsCRP), tumor necrosis factor (TNF)-α, interleukin (IL)-1β, and IL-6 levels were measured. The clinical symptoms improved after 2 weeks of hot spring therapy. Although the heart rate did not change, clinical symptoms, CTR, EF, and BNP were significantly improved. Moreover, the inflammatory responses, including hsCRP, TNF-α and IL-6 decreased significantly after balneotherapy. The improvement of BNP correlates with the changes in inflammatory biomarkers. Repeated hyperthermia by bathing in a hot spring is therefore considered to improve the cardiac and inflammatory status in patients with CHF. © 2012 Springer.","container-title":"Heart and Vessels","DOI":"10.1007/S00380-011-0220-7/TABLES/1","ISSN":"09108327","issue":"2","page":"173-178","PMID":"22231540","publisher":"Springer","title":"Hyperthermia by bathing in a hot spring improves cardiovascular functions and reduces the production of inflammatory cytokines in patients with chronic heart failure","volume":"28","author":[{"family":"Oyama","given":"Jun Ichi"},{"family":"Kudo","given":"Yoshihiro"},{"family":"Maeda","given":"Toyoki"},{"family":"Node","given":"Koichi"},{"family":"Makino","given":"Naoki"}],"issued":{"date-parts":[["2013",3,11]]}}}],"schema":"https://github.com/citation-style-language/schema/raw/master/csl-citation.json"} </w:instrText>
      </w:r>
      <w:r w:rsidR="003043E5">
        <w:rPr>
          <w:rStyle w:val="CommentReference"/>
          <w:sz w:val="24"/>
        </w:rPr>
        <w:fldChar w:fldCharType="separate"/>
      </w:r>
      <w:r w:rsidR="00C248DD" w:rsidRPr="00C248DD">
        <w:t xml:space="preserve">(Oyama </w:t>
      </w:r>
      <w:r w:rsidR="00C248DD" w:rsidRPr="00C248DD">
        <w:rPr>
          <w:i/>
          <w:iCs/>
        </w:rPr>
        <w:t>et al.</w:t>
      </w:r>
      <w:r w:rsidR="00C248DD" w:rsidRPr="00C248DD">
        <w:t xml:space="preserve">, 2013; Brunt </w:t>
      </w:r>
      <w:r w:rsidR="00C248DD" w:rsidRPr="00C248DD">
        <w:rPr>
          <w:i/>
          <w:iCs/>
        </w:rPr>
        <w:t>et al.</w:t>
      </w:r>
      <w:r w:rsidR="00C248DD" w:rsidRPr="00C248DD">
        <w:t>, 2016)</w:t>
      </w:r>
      <w:r w:rsidR="003043E5">
        <w:rPr>
          <w:rStyle w:val="CommentReference"/>
          <w:sz w:val="24"/>
        </w:rPr>
        <w:fldChar w:fldCharType="end"/>
      </w:r>
      <w:r w:rsidR="00C248DD">
        <w:rPr>
          <w:rStyle w:val="CommentReference"/>
          <w:sz w:val="24"/>
        </w:rPr>
        <w:t xml:space="preserve"> and metabolic</w:t>
      </w:r>
      <w:r w:rsidR="00A448BF">
        <w:rPr>
          <w:rStyle w:val="CommentReference"/>
          <w:sz w:val="24"/>
        </w:rPr>
        <w:t xml:space="preserve"> health</w:t>
      </w:r>
      <w:r w:rsidR="00C248DD">
        <w:rPr>
          <w:rStyle w:val="CommentReference"/>
          <w:sz w:val="24"/>
        </w:rPr>
        <w:t xml:space="preserve"> </w:t>
      </w:r>
      <w:r w:rsidR="00C248DD">
        <w:rPr>
          <w:rStyle w:val="CommentReference"/>
          <w:sz w:val="24"/>
        </w:rPr>
        <w:fldChar w:fldCharType="begin" w:fldLock="1"/>
      </w:r>
      <w:r w:rsidR="00AA5A2F">
        <w:rPr>
          <w:rStyle w:val="CommentReference"/>
          <w:sz w:val="24"/>
        </w:rPr>
        <w:instrText xml:space="preserve"> ADDIN ZOTERO_ITEM CSL_CITATION {"citationID":"Jlzvbnet","properties":{"formattedCitation":"(Ely {\\i{}et al.}, 2019; James {\\i{}et al.}, 2023)","plainCitation":"(Ely et al., 2019; James et al., 2023)","noteIndex":0},"citationItems":[{"id":11,"uris":["http://www.mendeley.com/documents/?uuid=31fa6bd8-5459-3543-8b2f-d6e84d093843","http://zotero.org/users/17561370/items/7SGSA6KI"],"itemData":{"id":11,"type":"article-journal","container-title":"J Physiol Endocrinol Metab","DOI":"10.1152/ajpendo.00549.2018.-Polycystic","page":"172-182","title":"Heat therapy improves glucose tolerance and adipose tissue insulin signaling in polycystic ovary syndrome","volume":"317","author":[{"family":"Ely","given":"Brett R"},{"family":"Clayton","given":"Zachary S"},{"family":"Mccurdy","given":"Carrie E"},{"family":"Pfeiffer","given":"Joshua"},{"family":"Needham","given":"Karen Wiedenfeld"},{"family":"Comrada","given":"Lindan N"},{"family":"Minson","given":"Christopher T"},{"family":"Br","given":"Ely"},{"family":"Zs","given":"Clayton"},{"family":"Ce","given":"Mccurdy"},{"family":"Pfeiffer","given":"J"},{"family":"Kw","given":"Needham"}],"issued":{"date-parts":[["2019"]]}}},{"id":584,"uris":["http://www.mendeley.com/documents/?uuid=df039695-2fde-3dda-8d03-d2339d61926f","http://zotero.org/users/17561370/items/XPBSB49Y"],"itemData":{"id":584,"type":"article-journal","abstract":"Repeated hot water immersion (HWI) can improve glycemic control in healthy individuals but data are limited for individuals with type 2 diabetes mellitus (T2DM). The present study investigated whether repeated HWI improves insulin sensitivity and inflammatory status and reduces plasma ([extracellular heat shock protein 70]) [eHSP70] and resting metabolic rate (RMR). Fourteen individuals with T2DM participated in this pre- versus postintervention study, with outcome measures assessed in fasted (≥12 h) and postprandial (2-h post-75 g glucose ingestion) states. HWI consisted of 1 h in 40°C water (target rectal temperature 38.5°C-39°C) repeated 8-10 times within a 14-day period. Outcome measures included insulin sensitivity, plasma [glucose], [insulin], [eHSP70], inflammatory markers, RMR, and substrate utilization. The HWI intervention increased fasted insulin sensitivity (QUICKI; P = 0.03) and lowered fasted plasma [insulin] (P = 0.04), but fasting plasma [glucose] (P = 0.83), [eHSP70] (P = 0.08), [IL-6] (P = 0.55), [IL-10] (P = 0.59), postprandial insulin sensitivity (P = 0.19), plasma [glucose] (P = 0.40), and [insulin] (P = 0.47) were not different. RMR was reduced by 6.63% (P &lt; 0.05), although carbohydrate (P = 0.43) and fat oxidation (P = 0.99) rates were unchanged. This study shows that 8-10 HWIs within a 14-day period improved fasting insulin sensitivity and plasma [insulin] in individuals with T2DM, but not when glucose tolerance is challenged. HWI also improves metabolic efficiency (i.e., reduced RMR). Together these results could be clinically important and have implications for metabolic health outcomes and well-being in individuals with T2DM.NEW &amp; NOTEWORTHY This is the first study to investigate repeated HWI to raise deep body temperature on insulin sensitivity, inflammation, eHSP70, and substrate utilization in individuals with T2DM. The principal novel findings were improvements in fasting insulin sensitivity and fasting plasma [insulin] but no change in fasting plasma [glucose], postprandial insulin sensitivity, plasma [insulin], or [glucose]. There was also no change in eHSP70, inflammatory status, or substrate utilization but there were reductions in RMR and oxygen consumption.","container-title":"American journal of physiology. Endocrinology and metabolism","DOI":"10.1152/AJPENDO.00222.2023/ASSET/IMAGES/LARGE/AJPENDO.00222.2023_F004.JPEG","ISSN":"15221555","issue":"6","page":"E755-E763","PMID":"37938179","publisher":"American Physiological Society Rockville, MD","title":"The effect of repeated hot water immersion on insulin sensitivity, heat shock protein 70, and inflammation in individuals with type 2 diabetes mellitus","volume":"325","author":[{"family":"James","given":"Thomas J."},{"family":"Corbett","given":"Jo"},{"family":"Cummings","given":"Michael"},{"family":"Allard","given":"Sharon"},{"family":"Shute","given":"Janis K."},{"family":"Belcher","given":"Harvey"},{"family":"Mayes","given":"Harry"},{"family":"Gould","given":"Alex A.M."},{"family":"Piccolo","given":"Daniel D."},{"family":"Tipton","given":"Michael"},{"family":"Perissiou","given":"Maria"},{"family":"Saynor","given":"Zoe L."},{"family":"Shepherd","given":"Anthony I."}],"issued":{"date-parts":[["2023",12,1]]}}}],"schema":"https://github.com/citation-style-language/schema/raw/master/csl-citation.json"} </w:instrText>
      </w:r>
      <w:r w:rsidR="00C248DD">
        <w:rPr>
          <w:rStyle w:val="CommentReference"/>
          <w:sz w:val="24"/>
        </w:rPr>
        <w:fldChar w:fldCharType="separate"/>
      </w:r>
      <w:r w:rsidR="003859B6" w:rsidRPr="003859B6">
        <w:t xml:space="preserve">(Ely </w:t>
      </w:r>
      <w:r w:rsidR="003859B6" w:rsidRPr="003859B6">
        <w:rPr>
          <w:i/>
          <w:iCs/>
        </w:rPr>
        <w:t>et al.</w:t>
      </w:r>
      <w:r w:rsidR="003859B6" w:rsidRPr="003859B6">
        <w:t xml:space="preserve">, 2019; James </w:t>
      </w:r>
      <w:r w:rsidR="003859B6" w:rsidRPr="003859B6">
        <w:rPr>
          <w:i/>
          <w:iCs/>
        </w:rPr>
        <w:t>et al.</w:t>
      </w:r>
      <w:r w:rsidR="003859B6" w:rsidRPr="003859B6">
        <w:t>, 2023)</w:t>
      </w:r>
      <w:r w:rsidR="00C248DD">
        <w:rPr>
          <w:rStyle w:val="CommentReference"/>
          <w:sz w:val="24"/>
        </w:rPr>
        <w:fldChar w:fldCharType="end"/>
      </w:r>
      <w:r w:rsidR="005017B3">
        <w:rPr>
          <w:rStyle w:val="CommentReference"/>
          <w:sz w:val="24"/>
        </w:rPr>
        <w:t>,</w:t>
      </w:r>
      <w:r w:rsidR="00C248DD">
        <w:rPr>
          <w:rStyle w:val="CommentReference"/>
          <w:sz w:val="24"/>
        </w:rPr>
        <w:t xml:space="preserve"> </w:t>
      </w:r>
      <w:r w:rsidR="00327D90">
        <w:t xml:space="preserve">with </w:t>
      </w:r>
      <w:r w:rsidR="005017B3">
        <w:t xml:space="preserve">similar </w:t>
      </w:r>
      <w:r w:rsidR="00F024B6">
        <w:t>physiological mechanisms</w:t>
      </w:r>
      <w:r w:rsidR="005125F1">
        <w:t xml:space="preserve"> </w:t>
      </w:r>
      <w:r w:rsidR="005017B3">
        <w:t xml:space="preserve">underpinning the benefits as </w:t>
      </w:r>
      <w:r w:rsidR="003043E5">
        <w:t xml:space="preserve">traditional exercise </w:t>
      </w:r>
      <w:r w:rsidR="00F51F9E">
        <w:fldChar w:fldCharType="begin"/>
      </w:r>
      <w:r w:rsidR="00AA5A2F">
        <w:instrText xml:space="preserve"> ADDIN ZOTERO_ITEM CSL_CITATION {"citationID":"2b2iHyJ0","properties":{"formattedCitation":"(Cullen {\\i{}et al.}, 2020)","plainCitation":"(Cullen et al., 2020)","noteIndex":0},"citationItems":[{"id":1076,"uris":["http://zotero.org/users/17561370/items/I4H3UJJQ"],"itemData":{"id":1076,"type":"article-journal","abstract":"Exercise can induce numerous health benefits that can reduce the risk of chronic diseases and all-cause mortality, yet a significant percentage of the population do not meet minimal physical activity guidelines. Several recent studies have shown that passive heating can induce numerous health benefits, many of which are comparable with exercise, such as improvements to cardiorespiratory fitness, vascular health, glycemic control, and chronic low-grade inflammation. As such, passive heating is emerging as a promising therapy for populations who cannot perform sustained exercise or display poor exercise adherence. There appears to be some overlap between the cellular signaling responses that are regulated by temperature and the mechanisms that underpin beneficial adaptations to exercise, but detailed comparisons have not yet been made. Therefore, the purpose of this mini review is to assess the similarities and distinctions between adaptations to passive heating and exercise. Understanding the potential shared mechanisms of action between passive heating and exercise may help to direct future studies to implement passive heating more effectively and identify differences between passive heating and exercise-induced adaptations.","container-title":"Journal of Applied Physiology","DOI":"10.1152/JAPPLPHYSIOL.00608.2020/ASSET/IMAGES/LARGE/AJ-JAPP200040F002.JPEG","ISSN":"15221601","issue":"6","page":"1304-1309","PMID":"33002381","publisher":"American Physiological Society","title":"The health benefits of passive heating and aerobic exercise: To what extent do the mechanisms overlap?","volume":"129","author":[{"family":"Cullen","given":"Tom"},{"family":"Clarke","given":"Neil D."},{"family":"Hill","given":"Mathew"},{"family":"Menzies","given":"Campbell"},{"family":"Pugh","given":"Christopher J.A."},{"family":"Steward","given":"Charles J."},{"family":"Thake","given":"C. Douglas"}],"issued":{"date-parts":[["2020",12,5]]}}}],"schema":"https://github.com/citation-style-language/schema/raw/master/csl-citation.json"} </w:instrText>
      </w:r>
      <w:r w:rsidR="00F51F9E">
        <w:fldChar w:fldCharType="separate"/>
      </w:r>
      <w:r w:rsidR="005C33DC" w:rsidRPr="005C33DC">
        <w:t xml:space="preserve">(Cullen </w:t>
      </w:r>
      <w:r w:rsidR="005C33DC" w:rsidRPr="005C33DC">
        <w:rPr>
          <w:i/>
          <w:iCs/>
        </w:rPr>
        <w:t>et al.</w:t>
      </w:r>
      <w:r w:rsidR="005C33DC" w:rsidRPr="005C33DC">
        <w:t>, 2020)</w:t>
      </w:r>
      <w:r w:rsidR="00F51F9E">
        <w:fldChar w:fldCharType="end"/>
      </w:r>
      <w:r w:rsidR="005017B3">
        <w:t xml:space="preserve"> which could improve muscle health</w:t>
      </w:r>
      <w:r w:rsidR="0099335A">
        <w:t xml:space="preserve"> </w:t>
      </w:r>
      <w:r w:rsidR="0099335A">
        <w:fldChar w:fldCharType="begin"/>
      </w:r>
      <w:r w:rsidR="00AA5A2F">
        <w:instrText xml:space="preserve"> ADDIN ZOTERO_ITEM CSL_CITATION {"citationID":"JxQjsY3j","properties":{"formattedCitation":"(Rodrigues {\\i{}et al.}, 2020{\\i{}a})","plainCitation":"(Rodrigues et al., 2020a)","noteIndex":0},"citationItems":[{"id":597,"uris":["http://zotero.org/users/17561370/items/W9ESU5YD"],"itemData":{"id":597,"type":"article-journal","abstract":"Passive heating has been therapeutically used to treat a range of health conditions. Further, this intervention presents as a potential exercise mimetic strategy showing acute and chronic effects on skeletal muscle adaptation and neuromuscular systems. This systematic review and meta-analysis aimed to synthesise the existing evidence on the effects of passive heating on muscle hypertrophy and neuromuscular function. Seven databases were searched (i.e., PubMed, Web of Science, Scopus, CINAHL, EMBASE, Cochrane, and SPORTDiscus) from 1937 to October 2019. Eligible studies included original papers using healthy animals or human samples (≥18 years; both sexes) that have used a control group or condition. Ten original articles were included in this review and four in the meta-analysis. The meta-analysis detected an increase in muscle mass in animal samples seven days after passive heating (I2 = 65%, P &lt; 0.01). The systematic review showed preliminary evidence that repeated passive heating exposures may promote muscle hypertrophy in animals and humans. Moreover, augmented muscle strength (involuntary and voluntary) may be observed after long-term passive heating (animals and humans) and increases in corticospinal excitability in humans after a single passive heating session. Passive heating has shown some potential benefits for skeletal muscle mass gain and muscle force improvement. Therefore, it is plausible to suggest that passive heating might be a worthwhile alternative to be recommended as an exercise mimetic for those people who lack or are unable to complete sufficient exercise.","container-title":"Journal of Thermal Biology","DOI":"10.1016/J.JTHERBIO.2020.102684","ISSN":"0306-4565","page":"102684","PMID":"33077110","publisher":"Pergamon","title":"Effects of passive heating intervention on muscle hypertrophy and neuromuscular function: A preliminary systematic review with meta-analysis","volume":"93","author":[{"family":"Rodrigues","given":"Patrick"},{"family":"Trajano","given":"Gabriel S."},{"family":"Wharton","given":"Lee"},{"family":"Minett","given":"Geoffrey M."}],"issued":{"date-parts":[["2020",10,1]]}}}],"schema":"https://github.com/citation-style-language/schema/raw/master/csl-citation.json"} </w:instrText>
      </w:r>
      <w:r w:rsidR="0099335A">
        <w:fldChar w:fldCharType="separate"/>
      </w:r>
      <w:r w:rsidR="000C6262" w:rsidRPr="000C6262">
        <w:t xml:space="preserve">(Rodrigues </w:t>
      </w:r>
      <w:r w:rsidR="000C6262" w:rsidRPr="000C6262">
        <w:rPr>
          <w:i/>
          <w:iCs/>
        </w:rPr>
        <w:t>et al.</w:t>
      </w:r>
      <w:r w:rsidR="000C6262" w:rsidRPr="000C6262">
        <w:t>, 2020</w:t>
      </w:r>
      <w:r w:rsidR="000C6262" w:rsidRPr="000C6262">
        <w:rPr>
          <w:i/>
          <w:iCs/>
        </w:rPr>
        <w:t>a</w:t>
      </w:r>
      <w:r w:rsidR="000C6262" w:rsidRPr="000C6262">
        <w:t>)</w:t>
      </w:r>
      <w:r w:rsidR="0099335A">
        <w:fldChar w:fldCharType="end"/>
      </w:r>
      <w:r w:rsidR="00327D90">
        <w:t xml:space="preserve">. </w:t>
      </w:r>
      <w:r w:rsidR="00DB058E">
        <w:t xml:space="preserve">Despite its potential for beneficial muscle adaptations, few studies have focused on the effects of </w:t>
      </w:r>
      <w:r w:rsidR="001B3D17">
        <w:t xml:space="preserve">repeated </w:t>
      </w:r>
      <w:r w:rsidR="00DB058E">
        <w:t xml:space="preserve">PHT on muscle function in older adults. </w:t>
      </w:r>
      <w:r w:rsidR="00527AF8">
        <w:t xml:space="preserve">In younger and middle-aged populations, </w:t>
      </w:r>
      <w:r w:rsidR="001B3D17">
        <w:t>repeated</w:t>
      </w:r>
      <w:r w:rsidR="0049045E">
        <w:t xml:space="preserve"> PHT interventions have previously </w:t>
      </w:r>
      <w:r w:rsidR="00AF4202">
        <w:t xml:space="preserve">been shown to </w:t>
      </w:r>
      <w:r w:rsidR="0049045E">
        <w:t>improve muscle function.</w:t>
      </w:r>
      <w:r w:rsidR="00001D16">
        <w:t xml:space="preserve"> </w:t>
      </w:r>
      <w:r w:rsidR="0049045E">
        <w:t>R</w:t>
      </w:r>
      <w:r w:rsidR="00001D16">
        <w:t xml:space="preserve">epeated local </w:t>
      </w:r>
      <w:r w:rsidR="00A01D14">
        <w:t>thigh heating</w:t>
      </w:r>
      <w:r w:rsidR="00A01D14" w:rsidDel="001E61CA">
        <w:t xml:space="preserve"> </w:t>
      </w:r>
      <w:r w:rsidR="00EC265F">
        <w:t xml:space="preserve">(diathermy) </w:t>
      </w:r>
      <w:r w:rsidR="00A01D14">
        <w:t xml:space="preserve">over 10 days </w:t>
      </w:r>
      <w:r w:rsidR="00A01D14" w:rsidRPr="003B3D6C">
        <w:t>attenuate</w:t>
      </w:r>
      <w:r w:rsidR="001002A9">
        <w:t>d</w:t>
      </w:r>
      <w:r w:rsidR="00A01D14" w:rsidRPr="003B3D6C">
        <w:t xml:space="preserve"> </w:t>
      </w:r>
      <w:proofErr w:type="spellStart"/>
      <w:r w:rsidR="00D2433F">
        <w:t>immobilisation</w:t>
      </w:r>
      <w:proofErr w:type="spellEnd"/>
      <w:r w:rsidR="00D2433F">
        <w:t xml:space="preserve">-induced </w:t>
      </w:r>
      <w:r w:rsidR="00A01D14" w:rsidRPr="003B3D6C">
        <w:t xml:space="preserve">muscle atrophy </w:t>
      </w:r>
      <w:r w:rsidR="00A01D14">
        <w:fldChar w:fldCharType="begin" w:fldLock="1"/>
      </w:r>
      <w:r w:rsidR="00AA5A2F">
        <w:instrText xml:space="preserve"> ADDIN ZOTERO_ITEM CSL_CITATION {"citationID":"hDG3PiLh","properties":{"formattedCitation":"(Hafen {\\i{}et al.}, 2019)","plainCitation":"(Hafen et al., 2019)","noteIndex":0},"citationItems":[{"id":395,"uris":["http://www.mendeley.com/documents/?uuid=6b1d1bf0-43bf-3ee1-989b-ca8ff1757e4a","http://zotero.org/users/17561370/items/3JZX5JN6"],"itemData":{"id":395,"type":"article-journal","abstract":"Skeletal muscle immobilization leads to atrophy, decreased metabolic health, and substantial losses in function. Animal models suggest that heat stress can provide protection against atrophy in skeletal muscle. This study investigated the effects of daily heat therapy on human skeletal muscle subjected to 10 days of immobilization. Muscle biopsies were collected, and MRIs were analyzed from the vastus lateralis of 23 healthy volunteers (11 women, 12 men) before and after either 10 days of immobilization with a daily sham treatment (Imm) or with a targeted, daily 2-h heat treatment using pulsed shortwave diathermy (Imm H). Diathermy increased intramuscular temperature 4.2 0.29°C (P 0.0001), with no change during sham treatment. As a result, heat shock protein (HSP)70 and HSP90 increased (P 0.05) following Imm H (25 6.6 and 20 7.4%, respectively) but were unaltered with Imm only. Heat treatment prevented the immobilization-induced loss of coupled (27 5.2% vs. 8 6.0%, P 0.0041) and uncoupled (25 7.0% vs. 10 3.9%, P 0.0302) myofiber respiratory capacity. Likewise, heat treatment prevented the immobilization-induced loss of proteins associated with all five mitochondrial respiratory complexes (P 0.05). Furthermore, decreases in muscle cross-sectional area following Imm were greater than Imm H at both the level of the whole muscle (7.6 0.96% vs. 4.5 1.09%, P 0.0374) and myofiber (10.8 1.52% vs. 5.8 1.49%, P 0.0322). Our findings demonstrate that daily heat treatments, applied during 10 days of immobilization, prevent the loss of mitochondrial function and attenuate atrophy in human skeletal muscle.","container-title":"Journal of Applied Physiology","DOI":"10.1152/JAPPLPHYSIOL.01098.2018/ASSET/IMAGES/LARGE/ZDG0061930400005.JPEG","ISSN":"15221601","issue":"1","page":"47-57","PMID":"31046520","publisher":"American Physiological Society","title":"Daily heat treatment maintains mitochondrial function and attenuates atrophy in human skeletal muscle subjected to immobilization","volume":"127","author":[{"family":"Hafen","given":"Paul S."},{"family":"Abbott","given":"Kaitlin"},{"family":"Bowden","given":"Jennifer"},{"family":"Lopiano","given":"Ryan"},{"family":"Hancock","given":"Chad R."},{"family":"Hyldahl","given":"Robert D."}],"issued":{"date-parts":[["2019"]]}}}],"schema":"https://github.com/citation-style-language/schema/raw/master/csl-citation.json"} </w:instrText>
      </w:r>
      <w:r w:rsidR="00A01D14">
        <w:fldChar w:fldCharType="separate"/>
      </w:r>
      <w:r w:rsidR="005C33DC" w:rsidRPr="005C33DC">
        <w:t xml:space="preserve">(Hafen </w:t>
      </w:r>
      <w:r w:rsidR="005C33DC" w:rsidRPr="005C33DC">
        <w:rPr>
          <w:i/>
          <w:iCs/>
        </w:rPr>
        <w:t>et al.</w:t>
      </w:r>
      <w:r w:rsidR="005C33DC" w:rsidRPr="005C33DC">
        <w:t>, 2019)</w:t>
      </w:r>
      <w:r w:rsidR="00A01D14">
        <w:fldChar w:fldCharType="end"/>
      </w:r>
      <w:r w:rsidR="00A01D14">
        <w:t>, while similarly,</w:t>
      </w:r>
      <w:r w:rsidR="00A01D14" w:rsidDel="00EF31FD">
        <w:t xml:space="preserve"> </w:t>
      </w:r>
      <w:r w:rsidR="00A01D14">
        <w:t xml:space="preserve">eight </w:t>
      </w:r>
      <w:r w:rsidR="00A01D14">
        <w:fldChar w:fldCharType="begin" w:fldLock="1"/>
      </w:r>
      <w:r w:rsidR="00AA5A2F">
        <w:instrText xml:space="preserve"> ADDIN ZOTERO_ITEM CSL_CITATION {"citationID":"ebENHgCa","properties":{"formattedCitation":"(Kim {\\i{}et al.}, 2020)","plainCitation":"(Kim et al., 2020)","noteIndex":0},"citationItems":[{"id":925,"uris":["http://www.mendeley.com/documents/?uuid=50bb8128-007b-3326-a181-49fe9322c118","http://zotero.org/users/17561370/items/K8WHNLVL"],"itemData":{"id":925,"type":"article-journal","abstract":"The purpose of the present study was to examine the effects of repeated exposure to local heat therapy (HT) on skeletal muscle function, myofiber morphology, capillarization, and mitochondrial content in humans. Twelve young adults (23.6 ± 4.8 yr, body mass index 24.9 ± 3.0 kg/m2) had one randomly selected thigh treated with HT (garment perfused with water at ~52 C) for 8 consecutive weeks (90 min, 5 days/wk) while the opposite thigh served as a control. Biopsies were obtained from the vastus lateralis muscle before and after 4 and 8 wk of treatment. Knee extensor strength and fatigue resistance were also assessed using isokinetic dynamometry. The changes in peak isokinetic torque were higher (P = 0.007) in the thigh exposed to HT than in the control thigh at weeks 4 (control 4.2 ± 13.1 Nm vs. HT 9.1 ± 16.1 Nm) and 8 (control 1.8 ± 9.7 Nm vs. HT 7.8 ± 10.2 Nm). Exposure to HT averted a temporal decline in capillarization around type II fibers (P &lt; 0.05), but had no effect on capillarization indexes in type I fibers. The content of endothelial nitric oxide synthase was ~18% and 35% higher in the thigh exposed to HT at 4 and 8 wk, respectively (P = 0.003). Similarly, HT increased the content of small heat shock proteins HSPB5 (P = 0.007) and HSPB1 (P = 0.009). There were no differences between thighs for the changes in fiber cross-sectional area and mitochondrial content. These results indicate that exposure to local HT for 8 wk promotes a proangiogenic environment and enhances muscle strength but does not affect mitochondrial content in humans. NEW &amp; NOTEWORTHY We demonstrate that repeated application of heat therapy to the thigh with a garment perfused with warm water enhances the strength of knee extensors and influences muscle capillarization in parallel with increases in the content of endothelial nitric oxide synthase and small heat shock proteins. This practical method of passive heat stress may be a feasible tool to treat conditions associated with capillary rarefaction and muscle weakness.","container-title":"Journal of Applied Physiology","DOI":"10.1152/JAPPLPHYSIOL.00701.2019/ASSET/IMAGES/LARGE/ZDG0022032960004.JPEG","ISSN":"15221601","issue":"3","page":"483-492","PMID":"31971474","publisher":"American Physiological Society","title":"Effects of repeated local heat therapy on skeletal muscle structure and function in humans","volume":"128","author":[{"family":"Kim","given":"Kyoungrae"},{"family":"Reid","given":"Blake A."},{"family":"Casey","given":"Caitlin A."},{"family":"Bender","given":"Brooke E."},{"family":"Ro","given":"Bohyun"},{"family":"Song","given":"Qifan"},{"family":"Trewin","given":"Adam J."},{"family":"Petersen","given":"Aaron C."},{"family":"Kuang","given":"Shihuan"},{"family":"Gavin","given":"Timothy P."},{"family":"Roseguini","given":"Bruno T."}],"issued":{"date-parts":[["2020"]]}}}],"schema":"https://github.com/citation-style-language/schema/raw/master/csl-citation.json"} </w:instrText>
      </w:r>
      <w:r w:rsidR="00A01D14">
        <w:fldChar w:fldCharType="separate"/>
      </w:r>
      <w:r w:rsidR="001F21AE" w:rsidRPr="001F21AE">
        <w:t xml:space="preserve">(Kim </w:t>
      </w:r>
      <w:r w:rsidR="001F21AE" w:rsidRPr="001F21AE">
        <w:rPr>
          <w:i/>
          <w:iCs/>
        </w:rPr>
        <w:t>et al.</w:t>
      </w:r>
      <w:r w:rsidR="001F21AE" w:rsidRPr="001F21AE">
        <w:t>, 2020)</w:t>
      </w:r>
      <w:r w:rsidR="00A01D14">
        <w:fldChar w:fldCharType="end"/>
      </w:r>
      <w:r w:rsidR="00A01D14">
        <w:t xml:space="preserve"> and 10 </w:t>
      </w:r>
      <w:r w:rsidR="00A01D14">
        <w:fldChar w:fldCharType="begin" w:fldLock="1"/>
      </w:r>
      <w:r w:rsidR="00AA5A2F">
        <w:instrText xml:space="preserve"> ADDIN ZOTERO_ITEM CSL_CITATION {"citationID":"Flwo5hgA","properties":{"formattedCitation":"(Goto {\\i{}et al.}, 2011)","plainCitation":"(Goto et al., 2011)","noteIndex":0},"citationItems":[{"id":1006,"uris":["http://www.mendeley.com/documents/?uuid=93f420ab-71ba-33d9-9ba2-4b02acaab8e6","http://zotero.org/users/17561370/items/CCM4KRXJ"],"itemData":{"id":1006,"type":"article-journal","abstract":"The present study was performed to investigate the effects of long-term heat stress on mass, strength and gene expression profile of human skeletal muscles without exercise training. Eight healthy men were subjected to 10-week application of heat stress, which was performed for the quadriceps muscles for 8 h/day and 4 days/week by using a heat- and steam-generating sheet. Maximum isometric force during knee extension of the heated leg significantly increased after heat stress (</w:instrText>
      </w:r>
      <w:r w:rsidR="00AA5A2F">
        <w:rPr>
          <w:rFonts w:ascii="Cambria Math" w:hAnsi="Cambria Math" w:cs="Cambria Math"/>
        </w:rPr>
        <w:instrText>∼</w:instrText>
      </w:r>
      <w:r w:rsidR="00AA5A2F">
        <w:instrText xml:space="preserve">5.8%, P &lt; 0.05). Mean cross-sectional areas (CSAs) of vastus lateralis (VL, </w:instrText>
      </w:r>
      <w:r w:rsidR="00AA5A2F">
        <w:rPr>
          <w:rFonts w:ascii="Cambria Math" w:hAnsi="Cambria Math" w:cs="Cambria Math"/>
        </w:rPr>
        <w:instrText>∼</w:instrText>
      </w:r>
      <w:r w:rsidR="00AA5A2F">
        <w:instrText>2.7%) and rectus femoris (</w:instrText>
      </w:r>
      <w:r w:rsidR="00AA5A2F">
        <w:rPr>
          <w:rFonts w:ascii="Cambria Math" w:hAnsi="Cambria Math" w:cs="Cambria Math"/>
        </w:rPr>
        <w:instrText>∼</w:instrText>
      </w:r>
      <w:r w:rsidR="00AA5A2F">
        <w:instrText>6.1%) muscles, as well as fiber CSA (8.3%) in VL, in the heated leg were also significantly increased (P &lt; 0.05). Statistical analysis of microarrays (SAM) revealed that 10 weeks of heat stress increased the transcript level of 925 genes and decreased that of 1,300 genes, and gene function clustering analysis (Database for Annotation, Visualization and Integrated Discovery: DAVID) showed that these regulated transcripts stemmed from diverse functional categories. Transcript level of ubiquinol-cytochrome c reductase binding protein (UQCRB) was significantly increased by 10 weeks of heat stress (</w:instrText>
      </w:r>
      <w:r w:rsidR="00AA5A2F">
        <w:rPr>
          <w:rFonts w:ascii="Cambria Math" w:hAnsi="Cambria Math" w:cs="Cambria Math"/>
        </w:rPr>
        <w:instrText>∼</w:instrText>
      </w:r>
      <w:r w:rsidR="00AA5A2F">
        <w:instrText xml:space="preserve">3.0 folds). UQCRB is classified as one of the oxidative phosphorylation-associated genes, suggesting that heat stress can stimulate ATP synthesis. These results suggested that long-term application of heat stress could be effective in increasing the muscle strength associated with hypertrophy without exercise training. © 2010 Springer-Verlag.","container-title":"European Journal of Applied Physiology","DOI":"10.1007/S00421-010-1617-1/TABLES/4","ISSN":"14396319","issue":"1","page":"17-27","PMID":"20803152","publisher":"Springer","title":"Responses of muscle mass, strength and gene transcripts to long-term heat stress in healthy human subjects","volume":"111","author":[{"family":"Goto","given":"Katsumasa"},{"family":"Oda","given":"Hideshi"},{"family":"Kondo","given":"Hidehiko"},{"family":"Igaki","given":"Michihito"},{"family":"Suzuki","given":"Atsushi"},{"family":"Tsuchiya","given":"Shuichi"},{"family":"Murase","given":"Takatoshi"},{"family":"Hase","given":"Tadashi"},{"family":"Fujiya","given":"Hiroto"},{"family":"Matsumoto","given":"Ichiro"},{"family":"Naito","given":"Hisashi"},{"family":"Sugiura","given":"Takao"},{"family":"Ohira","given":"Yoshinobu"},{"family":"Yoshioka","given":"Toshitada"}],"issued":{"date-parts":[["2011",1,28]]}}}],"schema":"https://github.com/citation-style-language/schema/raw/master/csl-citation.json"} </w:instrText>
      </w:r>
      <w:r w:rsidR="00A01D14">
        <w:fldChar w:fldCharType="separate"/>
      </w:r>
      <w:r w:rsidR="005C33DC" w:rsidRPr="005C33DC">
        <w:t xml:space="preserve">(Goto </w:t>
      </w:r>
      <w:r w:rsidR="005C33DC" w:rsidRPr="005C33DC">
        <w:rPr>
          <w:i/>
          <w:iCs/>
        </w:rPr>
        <w:t>et al.</w:t>
      </w:r>
      <w:r w:rsidR="005C33DC" w:rsidRPr="005C33DC">
        <w:t>, 2011)</w:t>
      </w:r>
      <w:r w:rsidR="00A01D14">
        <w:fldChar w:fldCharType="end"/>
      </w:r>
      <w:r w:rsidR="00A01D14">
        <w:t xml:space="preserve"> weeks of thigh heating</w:t>
      </w:r>
      <w:r w:rsidR="0049045E">
        <w:t xml:space="preserve"> </w:t>
      </w:r>
      <w:r w:rsidR="00EC265F">
        <w:t>(</w:t>
      </w:r>
      <w:r w:rsidR="0049045E">
        <w:t xml:space="preserve">water-perfused trousers </w:t>
      </w:r>
      <w:r w:rsidR="0049045E">
        <w:lastRenderedPageBreak/>
        <w:t>and steam-generating sheet, respectively</w:t>
      </w:r>
      <w:r w:rsidR="00EC265F">
        <w:t>)</w:t>
      </w:r>
      <w:r w:rsidR="00A01D14">
        <w:t xml:space="preserve"> </w:t>
      </w:r>
      <w:r w:rsidR="00A01D14" w:rsidRPr="003B3D6C">
        <w:t>increase</w:t>
      </w:r>
      <w:r w:rsidR="001002A9">
        <w:t>d</w:t>
      </w:r>
      <w:r w:rsidR="00A01D14" w:rsidRPr="003B3D6C">
        <w:t xml:space="preserve"> </w:t>
      </w:r>
      <w:r w:rsidR="00A01D14">
        <w:t>strength</w:t>
      </w:r>
      <w:r w:rsidR="001002A9">
        <w:t xml:space="preserve"> and muscle cross-sectional area</w:t>
      </w:r>
      <w:r w:rsidR="00A01D14">
        <w:t>. Repeated whole-body passive heat acclimation</w:t>
      </w:r>
      <w:r w:rsidR="00D2433F">
        <w:t xml:space="preserve"> </w:t>
      </w:r>
      <w:r w:rsidR="00EC265F">
        <w:t>(</w:t>
      </w:r>
      <w:r w:rsidR="00D2433F">
        <w:t xml:space="preserve">48-50°C </w:t>
      </w:r>
      <w:r w:rsidR="00EC265F">
        <w:t xml:space="preserve">climatic </w:t>
      </w:r>
      <w:r w:rsidR="00D2433F">
        <w:t>chamber</w:t>
      </w:r>
      <w:r w:rsidR="00EC265F">
        <w:t>)</w:t>
      </w:r>
      <w:r w:rsidR="00A01D14" w:rsidRPr="003B3D6C">
        <w:t xml:space="preserve"> </w:t>
      </w:r>
      <w:r w:rsidR="00A01D14">
        <w:t>for 11 days increased strength</w:t>
      </w:r>
      <w:r w:rsidR="00A01D14" w:rsidRPr="003B3D6C">
        <w:t xml:space="preserve"> and contractile function in young, healthy males</w:t>
      </w:r>
      <w:r w:rsidR="00FF553E">
        <w:t>, potentially via an increased rate of cross-bridge</w:t>
      </w:r>
      <w:r w:rsidR="00A01D14" w:rsidRPr="003B3D6C">
        <w:t xml:space="preserve"> </w:t>
      </w:r>
      <w:r w:rsidR="00FF553E">
        <w:t xml:space="preserve">formation </w:t>
      </w:r>
      <w:r w:rsidR="00A01D14">
        <w:fldChar w:fldCharType="begin" w:fldLock="1"/>
      </w:r>
      <w:r w:rsidR="00AA5A2F">
        <w:instrText xml:space="preserve"> ADDIN ZOTERO_ITEM CSL_CITATION {"citationID":"fXgKMVwe","properties":{"formattedCitation":"(Racinais {\\i{}et al.}, 2017)","plainCitation":"(Racinais et al., 2017)","noteIndex":0},"citationItems":[{"id":910,"uris":["http://www.mendeley.com/documents/?uuid=31597f19-8110-3f7e-9b2d-5963c042362c","http://zotero.org/users/17561370/items/LGZBLH23"],"itemData":{"id":910,"type":"article-journal","abstract":"This study aimed to clarify the pathway mediating hyperthermia-induced alterations in neural drive transmission and determine if heat acclimation protects voluntary muscle activation and cognitive function in hyperthermic humans. Electrically evoked potentials (H reflex and M wave), executive function (special planning and working memory), and maximal voluntary isometric contractions (120 s) were assessed in 14 participants in control conditions [CON, 24°C, 40% relative humidity (RH)] and in a hyperthermic state (HYP, 44-50°C, 50% RH) on consecutive days in a counterbalanced order. Thereafter, participants were passively heat acclimated for 11 days (1 h per day, 48-50°C, 50% RH) before repeating the initial assessments. Heat acclimation decreased rectal temperature in CON (±0.2°C, P &lt; 0.05), but participants were maintained at </w:instrText>
      </w:r>
      <w:r w:rsidR="00AA5A2F">
        <w:rPr>
          <w:rFonts w:ascii="Cambria Math" w:hAnsi="Cambria Math" w:cs="Cambria Math"/>
        </w:rPr>
        <w:instrText>∼</w:instrText>
      </w:r>
      <w:r w:rsidR="00AA5A2F">
        <w:instrText>39°C in HYP. Heat acclimation increased the time required to reach 39°C (</w:instrText>
      </w:r>
      <w:r w:rsidR="00AA5A2F">
        <w:rPr>
          <w:rFonts w:ascii="Cambria Math" w:hAnsi="Cambria Math" w:cs="Cambria Math"/>
        </w:rPr>
        <w:instrText>∼</w:instrText>
      </w:r>
      <w:r w:rsidR="00AA5A2F">
        <w:instrText>9 min), along with sweat rate (</w:instrText>
      </w:r>
      <w:r w:rsidR="00AA5A2F">
        <w:rPr>
          <w:rFonts w:ascii="Cambria Math" w:hAnsi="Cambria Math" w:cs="Cambria Math"/>
        </w:rPr>
        <w:instrText>∼</w:instrText>
      </w:r>
      <w:r w:rsidR="00AA5A2F">
        <w:instrText xml:space="preserve">0.7 l/h), and serum extracellular expression of heat shock protein 72 (eHSP72; </w:instrText>
      </w:r>
      <w:r w:rsidR="00AA5A2F">
        <w:rPr>
          <w:rFonts w:ascii="Cambria Math" w:hAnsi="Cambria Math" w:cs="Cambria Math"/>
        </w:rPr>
        <w:instrText>∼</w:instrText>
      </w:r>
      <w:r w:rsidR="00AA5A2F">
        <w:instrText xml:space="preserve">20%) in HYP (P &lt; 0.05). M-wave and H-reflex amplitudes were lower in HYP than CON (P &lt; 0.05) and were not protected by heat acclimation. Nerve conduction velocity was faster in HYP than CON (P &lt; 0.05) without being influenced by heat acclimation. These results suggest that peripheral neural drive transmission in the hyperthermic state is primarily affected by axonal conduction velocity rather than synaptic failure. Executive function, voluntary activation, and the ability to sustain torque were impaired in HYP (P &lt; 0.05). However, despite no perceptual changes (P = 0.05), heat acclimation restored executive function, while protecting the ability to sustain voluntary activation and torque production during a prolonged contraction in hyperthermia (P &lt; 0.05). Ultimately, heat acclimation induces beneficial central but not peripheral neural adaptations. NEW &amp;NOTEWORTHY Heat acclimation restores planning accuracy and working memory in hyperthermic humans, together with the supraspinal capacity to sustain motor drive during a sustained maximal voluntary contraction. Electrically evoked potential data (M wave, H reflex) indicate that heat acclimation does not protect against hyperthermia-induced impairments in peripheral neural drive transmission. Heat acclimation induces beneficial central but not peripheral neural adaptations.","container-title":"Journal of Applied Physiology","DOI":"10.1152/JAPPLPHYSIOL.00430.2017/ASSET/IMAGES/LARGE/ZDG0091723210003.JPEG","ISSN":"15221601","issue":"4","page":"816-824","PMID":"28684590","publisher":"American Physiological Society","title":"Heat acclimation has a protective effect on the central but not peripheral nervous system","volume":"123","author":[{"family":"Racinais","given":"Sebastien"},{"family":"Wilson","given":"Mathew G."},{"family":"Gaoua","given":"Nadia"},{"family":"Périard","given":"Julien D."}],"issued":{"date-parts":[["2017",10,1]]}}}],"schema":"https://github.com/citation-style-language/schema/raw/master/csl-citation.json"} </w:instrText>
      </w:r>
      <w:r w:rsidR="00A01D14">
        <w:fldChar w:fldCharType="separate"/>
      </w:r>
      <w:r w:rsidR="005C33DC" w:rsidRPr="005C33DC">
        <w:t xml:space="preserve">(Racinais </w:t>
      </w:r>
      <w:r w:rsidR="005C33DC" w:rsidRPr="005C33DC">
        <w:rPr>
          <w:i/>
          <w:iCs/>
        </w:rPr>
        <w:t>et al.</w:t>
      </w:r>
      <w:r w:rsidR="005C33DC" w:rsidRPr="005C33DC">
        <w:t>, 2017)</w:t>
      </w:r>
      <w:r w:rsidR="00A01D14">
        <w:fldChar w:fldCharType="end"/>
      </w:r>
      <w:r w:rsidR="00A01D14" w:rsidRPr="003B3D6C">
        <w:t>.</w:t>
      </w:r>
      <w:r w:rsidR="00A01D14">
        <w:t xml:space="preserve"> </w:t>
      </w:r>
    </w:p>
    <w:p w14:paraId="1DFCC004" w14:textId="026B90D4" w:rsidR="0070547D" w:rsidRDefault="00C70FEF" w:rsidP="00C70FEF">
      <w:pPr>
        <w:spacing w:line="480" w:lineRule="auto"/>
        <w:jc w:val="both"/>
      </w:pPr>
      <w:r>
        <w:t xml:space="preserve">While </w:t>
      </w:r>
      <w:r w:rsidR="001B3D17">
        <w:t>repeated</w:t>
      </w:r>
      <w:r>
        <w:t xml:space="preserve"> PHT appears to benefit muscle in younger and middle aged individuals, e</w:t>
      </w:r>
      <w:r w:rsidR="00F249B8">
        <w:t>arly experimental evidence</w:t>
      </w:r>
      <w:r w:rsidR="00A01D14">
        <w:t xml:space="preserve"> </w:t>
      </w:r>
      <w:r>
        <w:t xml:space="preserve">in older adults </w:t>
      </w:r>
      <w:r w:rsidR="00003667">
        <w:t xml:space="preserve">is equivocal, </w:t>
      </w:r>
      <w:r w:rsidR="00A01D14">
        <w:t>show</w:t>
      </w:r>
      <w:r w:rsidR="00003667">
        <w:t>ing</w:t>
      </w:r>
      <w:r w:rsidR="00A01D14">
        <w:t xml:space="preserve"> that eight weeks of sauna</w:t>
      </w:r>
      <w:r w:rsidR="00527AF8">
        <w:t xml:space="preserve"> bathing</w:t>
      </w:r>
      <w:r w:rsidR="00A01D14">
        <w:t xml:space="preserve"> </w:t>
      </w:r>
      <w:r w:rsidR="00A01D14">
        <w:fldChar w:fldCharType="begin"/>
      </w:r>
      <w:r w:rsidR="00AA5A2F">
        <w:instrText xml:space="preserve"> ADDIN ZOTERO_ITEM CSL_CITATION {"citationID":"7AX49phO","properties":{"formattedCitation":"(Fuchs {\\i{}et al.}, 2024)","plainCitation":"(Fuchs et al., 2024)","noteIndex":0},"citationItems":[{"id":521,"uris":["http://zotero.org/users/17561370/items/M8HX7PLD"],"itemData":{"id":521,"type":"article-journal","abstract":"Abstract: Prolonged passive heat treatment (PHT) has been suggested to trigger skeletal muscle adaptations that may improve muscle maintenance in older individuals. To assess the effects of PHT on skeletal muscle tissue capillarization, perfusion capacity, protein synthesis rates, hypertrophy and leg strength, 14 older adults (9 males, 5 females; 73 ± 6 years) underwent 8 weeks of PHT (infrared sauna: 3× per week, 45 min at </w:instrText>
      </w:r>
      <w:r w:rsidR="00AA5A2F">
        <w:rPr>
          <w:rFonts w:ascii="Cambria Math" w:hAnsi="Cambria Math" w:cs="Cambria Math"/>
        </w:rPr>
        <w:instrText>∼</w:instrText>
      </w:r>
      <w:r w:rsidR="00AA5A2F">
        <w:instrText xml:space="preserve">60°C). Before and after PHT we collected muscle biopsies to assess skeletal muscle capillarization and fibre cross-sectional area (CSA). Basal and postprandial muscle tissue perfusion kinetics and protein synthesis rates were assessed using contrast-enhanced ultrasound and primed continuous l-[ring-13C6]phenylalanine infusions, respectively. One-repetition maximum (1RM) leg strength and vastus lateralis muscle CSA were assessed. Type I and type II muscle fibre capillarization strongly increased following PHT (capillary-to-fibre perimeter exchange index: +31 ± 18 and +33 ± 30%, respectively; P &lt; 0.001). No changes were observed in basal (0.24 ± 0.27 vs. 0.18 ± 0.11 AU; P = 0.266) or postprandial (0.20 ± 0.12 vs. 0.18 ± 0.14 AU; P = 0.717) microvascular blood flow following PHT. Basal (0.048 ± 0.014 vs. 0.051 ± 0.019%/h; P = 0.630) and postprandial (0.041 ± 0.012 vs. 0.051 ± 0.024%/h; P = 0.199) muscle protein synthesis rates did not change in response to prolonged PHT. Furthermore, no changes in vastus lateralis muscle CSA (15.3 ± 4.6 vs. 15.2 ± 4.6 cm2; P = 0.768) or 1RM leg strength (46 ± 12 vs. 47 ± 12 kg; P = 0.087) were observed over time. In conclusion, prolonged PHT increases muscle tissue capillarization but this does not improve muscle microvascular blood flow or increase muscle protein synthesis rates in healthy, older adults. Prolonged PHT does not induce skeletal muscle hypertrophy or increase leg strength in healthy, older adults. (Figure presented.). Key points: Repeated exposure to heat has been suggested to trigger skeletal muscle adaptive responses. We investigated the effect of 8 weeks of whole-body passive heat treatment (PHT; infrared sauna: 3× per week for 45 min at </w:instrText>
      </w:r>
      <w:r w:rsidR="00AA5A2F">
        <w:rPr>
          <w:rFonts w:ascii="Cambria Math" w:hAnsi="Cambria Math" w:cs="Cambria Math"/>
        </w:rPr>
        <w:instrText>∼</w:instrText>
      </w:r>
      <w:r w:rsidR="00AA5A2F">
        <w:instrText xml:space="preserve">60°C) on skeletal muscle tissue capillarization, perfusion capacity, basal, and postprandial muscle protein synthesis rates, muscle (fibre) hypertrophy, and leg strength in healthy, older adults. Prolonged PHT increases muscle tissue capillarization, but this does not improve muscle microvascular blood flow or increase muscle protein synthesis rates. Despite increases in muscle tissue capillarization, prolonged PHT does not suffice to induce skeletal muscle hypertrophy or increase leg strength in healthy, older adults.","container-title":"The Journal of Physiology","DOI":"10.1113/JP286986","ISSN":"1469-7793","publisher":"John Wiley &amp; Sons, Ltd","title":"Repeated passive heat treatment increases muscle tissue capillarization, but does not affect postprandial muscle protein synthesis rates in healthy older adults","URL":"https://onlinelibrary.wiley.com/doi/full/10.1113/JP286986","author":[{"family":"Fuchs","given":"Cas J."},{"family":"Betz","given":"Milan W."},{"family":"Petrick","given":"Heather L."},{"family":"Weber","given":"Jil"},{"family":"Senden","given":"Joan M."},{"family":"Hendriks","given":"Floris K."},{"family":"Bels","given":"Julia L.M."},{"family":"Loon","given":"Luc J.C.","non-dropping-particle":"van"},{"family":"Snijders","given":"Tim"}],"accessed":{"date-parts":[["2024",11,25]]},"issued":{"date-parts":[["2024"]]}}}],"schema":"https://github.com/citation-style-language/schema/raw/master/csl-citation.json"} </w:instrText>
      </w:r>
      <w:r w:rsidR="00A01D14">
        <w:fldChar w:fldCharType="separate"/>
      </w:r>
      <w:r w:rsidR="005C33DC" w:rsidRPr="005C33DC">
        <w:t xml:space="preserve">(Fuchs </w:t>
      </w:r>
      <w:r w:rsidR="005C33DC" w:rsidRPr="005C33DC">
        <w:rPr>
          <w:i/>
          <w:iCs/>
        </w:rPr>
        <w:t>et al.</w:t>
      </w:r>
      <w:r w:rsidR="005C33DC" w:rsidRPr="005C33DC">
        <w:t>, 2024)</w:t>
      </w:r>
      <w:r w:rsidR="00A01D14">
        <w:fldChar w:fldCharType="end"/>
      </w:r>
      <w:r w:rsidR="00A01D14">
        <w:t xml:space="preserve"> and 12 weeks lower-body PHT</w:t>
      </w:r>
      <w:r w:rsidR="00D2433F">
        <w:t xml:space="preserve"> </w:t>
      </w:r>
      <w:r w:rsidR="00EC265F">
        <w:t>(</w:t>
      </w:r>
      <w:r w:rsidR="00D2433F">
        <w:t>water-perfused trousers</w:t>
      </w:r>
      <w:r w:rsidR="00EC265F">
        <w:t>)</w:t>
      </w:r>
      <w:r w:rsidR="00A01D14">
        <w:t xml:space="preserve"> </w:t>
      </w:r>
      <w:r w:rsidR="00A01D14" w:rsidRPr="00555EC1">
        <w:fldChar w:fldCharType="begin"/>
      </w:r>
      <w:r w:rsidR="00AA5A2F">
        <w:instrText xml:space="preserve"> ADDIN ZOTERO_ITEM CSL_CITATION {"citationID":"LS43ftFa","properties":{"formattedCitation":"(Ro {\\i{}et al.}, 2025)","plainCitation":"(Ro et al., 2025)","noteIndex":0},"citationItems":[{"id":635,"uris":["http://zotero.org/users/17561370/items/YRZGP47I"],"itemData":{"id":635,"type":"article-journal","abstract":"Heat therapy (HT) using sauna or hot water immersion can improve cardiovascular and physical function, but these approaches are often impractical for older adults. This pilot, randomized, sham-controlled trial evaluated the feasibility of unsupervised, home-based leg HT using water-circulating trousers in sedentary older adults. Twenty-four participants (mean age: 70 ± 3 yr; 15 women) were randomized to HT (42°C) or sham (33°C) for 90 min daily over 12 wk. Feasibility outcomes included adherence, retention, and safety. Secondary outcomes included 6-min walk distance, sit-to-stand time, plantar flexor strength, MRI-derived muscle morphology, quality of life, and blood pressure. Four participants (two per group) withdrew early due to health status changes or scheduling conflicts. Among those who completed the study, adherence was high (HT: 93 ± 11% and sham: 92 ± 35%). Four HT participants reported minor thermal injuries at the knees, which did not hinder adherence or study participation. There were no significant differences between groups for the secondary outcomes. At 12 wk, the HT group increased their 6-min walk distance by 37.6 m (95% CI: 14.3 to 60.8), compared with 11.5 m (−12.2 to 35.1) in the sham group (group-by-time interaction, P = 0.092). Plantar flexor strength rose by 4.3 N·m (−2.0 to 10.6) in the HT group and declined by 2.6 N·m (−16.1 to 10.9) in the sham group, with no significant group-by-time interaction (P = 0.31). These findings support the feasibility and acceptability of home-based leg HT in older adults and indicate that protocol and device refinements—particularly to improve usability and safety—are needed before advancing to a larger efficacy trial.NEW &amp; NOTEWORTHY This pilot trial demonstrates the feasibility of unsupervised, home-based leg heat therapy using water-circulating trousers in older adults. High adherence, minimal adverse events, and promising improvements in walking endurance support its potential as a scalable intervention for mobility preservation in aging. Findings highlight key considerations for future efficacy trials, including device refinements to enhance safety and usability.","container-title":"Journal of Applied Physiology","DOI":"10.1152/japplphysiol.00285.2025","ISSN":"8750-7587","issue":"3","page":"668-684","publisher":"American Physiological Society","source":"journals.physiology.org (Atypon)","title":"Feasibility of unsupervised, home-based leg heat therapy in older adults: a pilot, sham-controlled trial","title-short":"Feasibility of unsupervised, home-based leg heat therapy in older adults","volume":"139","author":[{"family":"Ro","given":"Bohyun"},{"family":"Castanhas","given":"Luiza G."},{"family":"Crenshaw","given":"Fiona"},{"family":"Janczy","given":"Anna M."},{"family":"Swift","given":"Paul"},{"family":"Song","given":"Qifan"},{"family":"Zhou","given":"Xiaopeng"},{"family":"Parker","given":"Jason G."},{"family":"Roseguini","given":"Bruno T."}],"issued":{"date-parts":[["2025",9]]}}}],"schema":"https://github.com/citation-style-language/schema/raw/master/csl-citation.json"} </w:instrText>
      </w:r>
      <w:r w:rsidR="00A01D14" w:rsidRPr="00555EC1">
        <w:fldChar w:fldCharType="separate"/>
      </w:r>
      <w:r w:rsidR="005C33DC" w:rsidRPr="005C33DC">
        <w:t xml:space="preserve">(Ro </w:t>
      </w:r>
      <w:r w:rsidR="005C33DC" w:rsidRPr="005C33DC">
        <w:rPr>
          <w:i/>
          <w:iCs/>
        </w:rPr>
        <w:t>et al.</w:t>
      </w:r>
      <w:r w:rsidR="005C33DC" w:rsidRPr="005C33DC">
        <w:t>, 2025)</w:t>
      </w:r>
      <w:r w:rsidR="00A01D14" w:rsidRPr="00555EC1">
        <w:fldChar w:fldCharType="end"/>
      </w:r>
      <w:r w:rsidR="00A01D14">
        <w:t xml:space="preserve"> </w:t>
      </w:r>
      <w:r w:rsidR="00003667">
        <w:t>does</w:t>
      </w:r>
      <w:r w:rsidR="00003667" w:rsidRPr="00555EC1">
        <w:t xml:space="preserve"> </w:t>
      </w:r>
      <w:r w:rsidR="00A01D14" w:rsidRPr="00555EC1">
        <w:t xml:space="preserve">not improve </w:t>
      </w:r>
      <w:r w:rsidR="00A01D14">
        <w:t xml:space="preserve">leg </w:t>
      </w:r>
      <w:r w:rsidR="00A01D14" w:rsidRPr="00555EC1">
        <w:t>strength</w:t>
      </w:r>
      <w:r>
        <w:t xml:space="preserve"> or muscle protein synthesis </w:t>
      </w:r>
      <w:r>
        <w:fldChar w:fldCharType="begin"/>
      </w:r>
      <w:r w:rsidR="00AA5A2F">
        <w:instrText xml:space="preserve"> ADDIN ZOTERO_ITEM CSL_CITATION {"citationID":"soKhxluM","properties":{"formattedCitation":"(Fuchs {\\i{}et al.}, 2024)","plainCitation":"(Fuchs et al., 2024)","noteIndex":0},"citationItems":[{"id":521,"uris":["http://zotero.org/users/17561370/items/M8HX7PLD"],"itemData":{"id":521,"type":"article-journal","abstract":"Abstract: Prolonged passive heat treatment (PHT) has been suggested to trigger skeletal muscle adaptations that may improve muscle maintenance in older individuals. To assess the effects of PHT on skeletal muscle tissue capillarization, perfusion capacity, protein synthesis rates, hypertrophy and leg strength, 14 older adults (9 males, 5 females; 73 ± 6 years) underwent 8 weeks of PHT (infrared sauna: 3× per week, 45 min at </w:instrText>
      </w:r>
      <w:r w:rsidR="00AA5A2F">
        <w:rPr>
          <w:rFonts w:ascii="Cambria Math" w:hAnsi="Cambria Math" w:cs="Cambria Math"/>
        </w:rPr>
        <w:instrText>∼</w:instrText>
      </w:r>
      <w:r w:rsidR="00AA5A2F">
        <w:instrText xml:space="preserve">60°C). Before and after PHT we collected muscle biopsies to assess skeletal muscle capillarization and fibre cross-sectional area (CSA). Basal and postprandial muscle tissue perfusion kinetics and protein synthesis rates were assessed using contrast-enhanced ultrasound and primed continuous l-[ring-13C6]phenylalanine infusions, respectively. One-repetition maximum (1RM) leg strength and vastus lateralis muscle CSA were assessed. Type I and type II muscle fibre capillarization strongly increased following PHT (capillary-to-fibre perimeter exchange index: +31 ± 18 and +33 ± 30%, respectively; P &lt; 0.001). No changes were observed in basal (0.24 ± 0.27 vs. 0.18 ± 0.11 AU; P = 0.266) or postprandial (0.20 ± 0.12 vs. 0.18 ± 0.14 AU; P = 0.717) microvascular blood flow following PHT. Basal (0.048 ± 0.014 vs. 0.051 ± 0.019%/h; P = 0.630) and postprandial (0.041 ± 0.012 vs. 0.051 ± 0.024%/h; P = 0.199) muscle protein synthesis rates did not change in response to prolonged PHT. Furthermore, no changes in vastus lateralis muscle CSA (15.3 ± 4.6 vs. 15.2 ± 4.6 cm2; P = 0.768) or 1RM leg strength (46 ± 12 vs. 47 ± 12 kg; P = 0.087) were observed over time. In conclusion, prolonged PHT increases muscle tissue capillarization but this does not improve muscle microvascular blood flow or increase muscle protein synthesis rates in healthy, older adults. Prolonged PHT does not induce skeletal muscle hypertrophy or increase leg strength in healthy, older adults. (Figure presented.). Key points: Repeated exposure to heat has been suggested to trigger skeletal muscle adaptive responses. We investigated the effect of 8 weeks of whole-body passive heat treatment (PHT; infrared sauna: 3× per week for 45 min at </w:instrText>
      </w:r>
      <w:r w:rsidR="00AA5A2F">
        <w:rPr>
          <w:rFonts w:ascii="Cambria Math" w:hAnsi="Cambria Math" w:cs="Cambria Math"/>
        </w:rPr>
        <w:instrText>∼</w:instrText>
      </w:r>
      <w:r w:rsidR="00AA5A2F">
        <w:instrText xml:space="preserve">60°C) on skeletal muscle tissue capillarization, perfusion capacity, basal, and postprandial muscle protein synthesis rates, muscle (fibre) hypertrophy, and leg strength in healthy, older adults. Prolonged PHT increases muscle tissue capillarization, but this does not improve muscle microvascular blood flow or increase muscle protein synthesis rates. Despite increases in muscle tissue capillarization, prolonged PHT does not suffice to induce skeletal muscle hypertrophy or increase leg strength in healthy, older adults.","container-title":"The Journal of Physiology","DOI":"10.1113/JP286986","ISSN":"1469-7793","publisher":"John Wiley &amp; Sons, Ltd","title":"Repeated passive heat treatment increases muscle tissue capillarization, but does not affect postprandial muscle protein synthesis rates in healthy older adults","URL":"https://onlinelibrary.wiley.com/doi/full/10.1113/JP286986","author":[{"family":"Fuchs","given":"Cas J."},{"family":"Betz","given":"Milan W."},{"family":"Petrick","given":"Heather L."},{"family":"Weber","given":"Jil"},{"family":"Senden","given":"Joan M."},{"family":"Hendriks","given":"Floris K."},{"family":"Bels","given":"Julia L.M."},{"family":"Loon","given":"Luc J.C.","non-dropping-particle":"van"},{"family":"Snijders","given":"Tim"}],"accessed":{"date-parts":[["2024",11,25]]},"issued":{"date-parts":[["2024"]]}}}],"schema":"https://github.com/citation-style-language/schema/raw/master/csl-citation.json"} </w:instrText>
      </w:r>
      <w:r>
        <w:fldChar w:fldCharType="separate"/>
      </w:r>
      <w:r w:rsidRPr="005C33DC">
        <w:t xml:space="preserve">(Fuchs </w:t>
      </w:r>
      <w:r w:rsidRPr="005C33DC">
        <w:rPr>
          <w:i/>
          <w:iCs/>
        </w:rPr>
        <w:t>et al.</w:t>
      </w:r>
      <w:r w:rsidRPr="005C33DC">
        <w:t>, 2024)</w:t>
      </w:r>
      <w:r>
        <w:fldChar w:fldCharType="end"/>
      </w:r>
      <w:r w:rsidR="00FF553E">
        <w:t>.</w:t>
      </w:r>
      <w:r w:rsidR="00A01D14">
        <w:t xml:space="preserve"> </w:t>
      </w:r>
      <w:r w:rsidR="00A01D14">
        <w:fldChar w:fldCharType="begin"/>
      </w:r>
      <w:r w:rsidR="00AA5A2F">
        <w:instrText xml:space="preserve"> ADDIN ZOTERO_ITEM CSL_CITATION {"citationID":"ysTuF4ww","properties":{"formattedCitation":"(Fuchs et al., 2024)","plainCitation":"(Fuchs et al., 2024)","dontUpdate":true,"noteIndex":0},"citationItems":[{"id":521,"uris":["http://zotero.org/users/17561370/items/M8HX7PLD"],"itemData":{"id":521,"type":"article-journal","abstract":"Abstract: Prolonged passive heat treatment (PHT) has been suggested to trigger skeletal muscle adaptations that may improve muscle maintenance in older individuals. To assess the effects of PHT on skeletal muscle tissue capillarization, perfusion capacity, protein synthesis rates, hypertrophy and leg strength, 14 older adults (9 males, 5 females; 73 ± 6 years) underwent 8 weeks of PHT (infrared sauna: 3× per week, 45 min at </w:instrText>
      </w:r>
      <w:r w:rsidR="00AA5A2F">
        <w:rPr>
          <w:rFonts w:ascii="Cambria Math" w:hAnsi="Cambria Math" w:cs="Cambria Math"/>
        </w:rPr>
        <w:instrText>∼</w:instrText>
      </w:r>
      <w:r w:rsidR="00AA5A2F">
        <w:instrText xml:space="preserve">60°C). Before and after PHT we collected muscle biopsies to assess skeletal muscle capillarization and fibre cross-sectional area (CSA). Basal and postprandial muscle tissue perfusion kinetics and protein synthesis rates were assessed using contrast-enhanced ultrasound and primed continuous l-[ring-13C6]phenylalanine infusions, respectively. One-repetition maximum (1RM) leg strength and vastus lateralis muscle CSA were assessed. Type I and type II muscle fibre capillarization strongly increased following PHT (capillary-to-fibre perimeter exchange index: +31 ± 18 and +33 ± 30%, respectively; P &lt; 0.001). No changes were observed in basal (0.24 ± 0.27 vs. 0.18 ± 0.11 AU; P = 0.266) or postprandial (0.20 ± 0.12 vs. 0.18 ± 0.14 AU; P = 0.717) microvascular blood flow following PHT. Basal (0.048 ± 0.014 vs. 0.051 ± 0.019%/h; P = 0.630) and postprandial (0.041 ± 0.012 vs. 0.051 ± 0.024%/h; P = 0.199) muscle protein synthesis rates did not change in response to prolonged PHT. Furthermore, no changes in vastus lateralis muscle CSA (15.3 ± 4.6 vs. 15.2 ± 4.6 cm2; P = 0.768) or 1RM leg strength (46 ± 12 vs. 47 ± 12 kg; P = 0.087) were observed over time. In conclusion, prolonged PHT increases muscle tissue capillarization but this does not improve muscle microvascular blood flow or increase muscle protein synthesis rates in healthy, older adults. Prolonged PHT does not induce skeletal muscle hypertrophy or increase leg strength in healthy, older adults. (Figure presented.). Key points: Repeated exposure to heat has been suggested to trigger skeletal muscle adaptive responses. We investigated the effect of 8 weeks of whole-body passive heat treatment (PHT; infrared sauna: 3× per week for 45 min at </w:instrText>
      </w:r>
      <w:r w:rsidR="00AA5A2F">
        <w:rPr>
          <w:rFonts w:ascii="Cambria Math" w:hAnsi="Cambria Math" w:cs="Cambria Math"/>
        </w:rPr>
        <w:instrText>∼</w:instrText>
      </w:r>
      <w:r w:rsidR="00AA5A2F">
        <w:instrText xml:space="preserve">60°C) on skeletal muscle tissue capillarization, perfusion capacity, basal, and postprandial muscle protein synthesis rates, muscle (fibre) hypertrophy, and leg strength in healthy, older adults. Prolonged PHT increases muscle tissue capillarization, but this does not improve muscle microvascular blood flow or increase muscle protein synthesis rates. Despite increases in muscle tissue capillarization, prolonged PHT does not suffice to induce skeletal muscle hypertrophy or increase leg strength in healthy, older adults.","container-title":"The Journal of Physiology","DOI":"10.1113/JP286986","ISSN":"1469-7793","publisher":"John Wiley &amp; Sons, Ltd","title":"Repeated passive heat treatment increases muscle tissue capillarization, but does not affect postprandial muscle protein synthesis rates in healthy older adults","URL":"https://onlinelibrary.wiley.com/doi/full/10.1113/JP286986","author":[{"family":"Fuchs","given":"Cas J."},{"family":"Betz","given":"Milan W."},{"family":"Petrick","given":"Heather L."},{"family":"Weber","given":"Jil"},{"family":"Senden","given":"Joan M."},{"family":"Hendriks","given":"Floris K."},{"family":"Bels","given":"Julia L.M."},{"family":"Loon","given":"Luc J.C.","non-dropping-particle":"van"},{"family":"Snijders","given":"Tim"}],"accessed":{"date-parts":[["2024",11,25]]},"issued":{"date-parts":[["2024"]]}}}],"schema":"https://github.com/citation-style-language/schema/raw/master/csl-citation.json"} </w:instrText>
      </w:r>
      <w:r w:rsidR="00A01D14">
        <w:fldChar w:fldCharType="separate"/>
      </w:r>
      <w:r w:rsidR="00A01D14" w:rsidRPr="001A58DF">
        <w:t xml:space="preserve">Fuchs et al. </w:t>
      </w:r>
      <w:r w:rsidR="00A01D14">
        <w:t>(</w:t>
      </w:r>
      <w:r w:rsidR="00A01D14" w:rsidRPr="001A58DF">
        <w:t>2024)</w:t>
      </w:r>
      <w:r w:rsidR="00A01D14">
        <w:fldChar w:fldCharType="end"/>
      </w:r>
      <w:r w:rsidR="00FF553E">
        <w:t>,</w:t>
      </w:r>
      <w:r w:rsidR="00A01D14">
        <w:t xml:space="preserve"> </w:t>
      </w:r>
      <w:r w:rsidR="00FF553E">
        <w:t xml:space="preserve">however, </w:t>
      </w:r>
      <w:r w:rsidR="00A01D14">
        <w:t>observed a significant increase in grip strength, suggesting PHT’s potential for a clinical benefit.</w:t>
      </w:r>
      <w:r w:rsidR="00DD7F43" w:rsidRPr="00DD7F43">
        <w:t xml:space="preserve"> </w:t>
      </w:r>
      <w:r>
        <w:t>A</w:t>
      </w:r>
      <w:r w:rsidR="0070547D">
        <w:t xml:space="preserve"> possible </w:t>
      </w:r>
      <w:r>
        <w:t xml:space="preserve">reason for a lack of improvement in leg strength could be that </w:t>
      </w:r>
      <w:r w:rsidR="0070547D">
        <w:t>t</w:t>
      </w:r>
      <w:r w:rsidR="009F3D70">
        <w:t xml:space="preserve">he </w:t>
      </w:r>
      <w:r w:rsidR="00087EE2">
        <w:t xml:space="preserve">modalities of </w:t>
      </w:r>
      <w:r w:rsidR="001B3D17">
        <w:t>repeated</w:t>
      </w:r>
      <w:r w:rsidR="00087EE2">
        <w:t xml:space="preserve"> PHT </w:t>
      </w:r>
      <w:r w:rsidR="009F3D70">
        <w:t xml:space="preserve">previously examined </w:t>
      </w:r>
      <w:r w:rsidR="00852E02">
        <w:fldChar w:fldCharType="begin"/>
      </w:r>
      <w:r w:rsidR="00AA5A2F">
        <w:instrText xml:space="preserve"> ADDIN ZOTERO_ITEM CSL_CITATION {"citationID":"i56zNRiS","properties":{"formattedCitation":"(Fuchs {\\i{}et al.}, 2024; Ro {\\i{}et al.}, 2025)","plainCitation":"(Fuchs et al., 2024; Ro et al., 2025)","noteIndex":0},"citationItems":[{"id":521,"uris":["http://zotero.org/users/17561370/items/M8HX7PLD"],"itemData":{"id":521,"type":"article-journal","abstract":"Abstract: Prolonged passive heat treatment (PHT) has been suggested to trigger skeletal muscle adaptations that may improve muscle maintenance in older individuals. To assess the effects of PHT on skeletal muscle tissue capillarization, perfusion capacity, protein synthesis rates, hypertrophy and leg strength, 14 older adults (9 males, 5 females; 73 ± 6 years) underwent 8 weeks of PHT (infrared sauna: 3× per week, 45 min at </w:instrText>
      </w:r>
      <w:r w:rsidR="00AA5A2F">
        <w:rPr>
          <w:rFonts w:ascii="Cambria Math" w:hAnsi="Cambria Math" w:cs="Cambria Math"/>
        </w:rPr>
        <w:instrText>∼</w:instrText>
      </w:r>
      <w:r w:rsidR="00AA5A2F">
        <w:instrText xml:space="preserve">60°C). Before and after PHT we collected muscle biopsies to assess skeletal muscle capillarization and fibre cross-sectional area (CSA). Basal and postprandial muscle tissue perfusion kinetics and protein synthesis rates were assessed using contrast-enhanced ultrasound and primed continuous l-[ring-13C6]phenylalanine infusions, respectively. One-repetition maximum (1RM) leg strength and vastus lateralis muscle CSA were assessed. Type I and type II muscle fibre capillarization strongly increased following PHT (capillary-to-fibre perimeter exchange index: +31 ± 18 and +33 ± 30%, respectively; P &lt; 0.001). No changes were observed in basal (0.24 ± 0.27 vs. 0.18 ± 0.11 AU; P = 0.266) or postprandial (0.20 ± 0.12 vs. 0.18 ± 0.14 AU; P = 0.717) microvascular blood flow following PHT. Basal (0.048 ± 0.014 vs. 0.051 ± 0.019%/h; P = 0.630) and postprandial (0.041 ± 0.012 vs. 0.051 ± 0.024%/h; P = 0.199) muscle protein synthesis rates did not change in response to prolonged PHT. Furthermore, no changes in vastus lateralis muscle CSA (15.3 ± 4.6 vs. 15.2 ± 4.6 cm2; P = 0.768) or 1RM leg strength (46 ± 12 vs. 47 ± 12 kg; P = 0.087) were observed over time. In conclusion, prolonged PHT increases muscle tissue capillarization but this does not improve muscle microvascular blood flow or increase muscle protein synthesis rates in healthy, older adults. Prolonged PHT does not induce skeletal muscle hypertrophy or increase leg strength in healthy, older adults. (Figure presented.). Key points: Repeated exposure to heat has been suggested to trigger skeletal muscle adaptive responses. We investigated the effect of 8 weeks of whole-body passive heat treatment (PHT; infrared sauna: 3× per week for 45 min at </w:instrText>
      </w:r>
      <w:r w:rsidR="00AA5A2F">
        <w:rPr>
          <w:rFonts w:ascii="Cambria Math" w:hAnsi="Cambria Math" w:cs="Cambria Math"/>
        </w:rPr>
        <w:instrText>∼</w:instrText>
      </w:r>
      <w:r w:rsidR="00AA5A2F">
        <w:instrText xml:space="preserve">60°C) on skeletal muscle tissue capillarization, perfusion capacity, basal, and postprandial muscle protein synthesis rates, muscle (fibre) hypertrophy, and leg strength in healthy, older adults. Prolonged PHT increases muscle tissue capillarization, but this does not improve muscle microvascular blood flow or increase muscle protein synthesis rates. Despite increases in muscle tissue capillarization, prolonged PHT does not suffice to induce skeletal muscle hypertrophy or increase leg strength in healthy, older adults.","container-title":"The Journal of Physiology","DOI":"10.1113/JP286986","ISSN":"1469-7793","publisher":"John Wiley &amp; Sons, Ltd","title":"Repeated passive heat treatment increases muscle tissue capillarization, but does not affect postprandial muscle protein synthesis rates in healthy older adults","URL":"https://onlinelibrary.wiley.com/doi/full/10.1113/JP286986","author":[{"family":"Fuchs","given":"Cas J."},{"family":"Betz","given":"Milan W."},{"family":"Petrick","given":"Heather L."},{"family":"Weber","given":"Jil"},{"family":"Senden","given":"Joan M."},{"family":"Hendriks","given":"Floris K."},{"family":"Bels","given":"Julia L.M."},{"family":"Loon","given":"Luc J.C.","non-dropping-particle":"van"},{"family":"Snijders","given":"Tim"}],"accessed":{"date-parts":[["2024",11,25]]},"issued":{"date-parts":[["2024"]]}}},{"id":635,"uris":["http://zotero.org/users/17561370/items/YRZGP47I"],"itemData":{"id":635,"type":"article-journal","abstract":"Heat therapy (HT) using sauna or hot water immersion can improve cardiovascular and physical function, but these approaches are often impractical for older adults. This pilot, randomized, sham-controlled trial evaluated the feasibility of unsupervised, home-based leg HT using water-circulating trousers in sedentary older adults. Twenty-four participants (mean age: 70 ± 3 yr; 15 women) were randomized to HT (42°C) or sham (33°C) for 90 min daily over 12 wk. Feasibility outcomes included adherence, retention, and safety. Secondary outcomes included 6-min walk distance, sit-to-stand time, plantar flexor strength, MRI-derived muscle morphology, quality of life, and blood pressure. Four participants (two per group) withdrew early due to health status changes or scheduling conflicts. Among those who completed the study, adherence was high (HT: 93 ± 11% and sham: 92 ± 35%). Four HT participants reported minor thermal injuries at the knees, which did not hinder adherence or study participation. There were no significant differences between groups for the secondary outcomes. At 12 wk, the HT group increased their 6-min walk distance by 37.6 m (95% CI: 14.3 to 60.8), compared with 11.5 m (−12.2 to 35.1) in the sham group (group-by-time interaction, P = 0.092). Plantar flexor strength rose by 4.3 N·m (−2.0 to 10.6) in the HT group and declined by 2.6 N·m (−16.1 to 10.9) in the sham group, with no significant group-by-time interaction (P = 0.31). These findings support the feasibility and acceptability of home-based leg HT in older adults and indicate that protocol and device refinements—particularly to improve usability and safety—are needed before advancing to a larger efficacy trial.NEW &amp; NOTEWORTHY This pilot trial demonstrates the feasibility of unsupervised, home-based leg heat therapy using water-circulating trousers in older adults. High adherence, minimal adverse events, and promising improvements in walking endurance support its potential as a scalable intervention for mobility preservation in aging. Findings highlight key considerations for future efficacy trials, including device refinements to enhance safety and usability.","container-title":"Journal of Applied Physiology","DOI":"10.1152/japplphysiol.00285.2025","ISSN":"8750-7587","issue":"3","page":"668-684","publisher":"American Physiological Society","source":"journals.physiology.org (Atypon)","title":"Feasibility of unsupervised, home-based leg heat therapy in older adults: a pilot, sham-controlled trial","title-short":"Feasibility of unsupervised, home-based leg heat therapy in older adults","volume":"139","author":[{"family":"Ro","given":"Bohyun"},{"family":"Castanhas","given":"Luiza G."},{"family":"Crenshaw","given":"Fiona"},{"family":"Janczy","given":"Anna M."},{"family":"Swift","given":"Paul"},{"family":"Song","given":"Qifan"},{"family":"Zhou","given":"Xiaopeng"},{"family":"Parker","given":"Jason G."},{"family":"Roseguini","given":"Bruno T."}],"issued":{"date-parts":[["2025",9]]}}}],"schema":"https://github.com/citation-style-language/schema/raw/master/csl-citation.json"} </w:instrText>
      </w:r>
      <w:r w:rsidR="00852E02">
        <w:fldChar w:fldCharType="separate"/>
      </w:r>
      <w:r w:rsidR="00852E02" w:rsidRPr="00852E02">
        <w:t xml:space="preserve">(Fuchs </w:t>
      </w:r>
      <w:r w:rsidR="00852E02" w:rsidRPr="00852E02">
        <w:rPr>
          <w:i/>
          <w:iCs/>
        </w:rPr>
        <w:t>et al.</w:t>
      </w:r>
      <w:r w:rsidR="00852E02" w:rsidRPr="00852E02">
        <w:t xml:space="preserve">, 2024; Ro </w:t>
      </w:r>
      <w:r w:rsidR="00852E02" w:rsidRPr="00852E02">
        <w:rPr>
          <w:i/>
          <w:iCs/>
        </w:rPr>
        <w:t>et al.</w:t>
      </w:r>
      <w:r w:rsidR="00852E02" w:rsidRPr="00852E02">
        <w:t>, 2025)</w:t>
      </w:r>
      <w:r w:rsidR="00852E02">
        <w:fldChar w:fldCharType="end"/>
      </w:r>
      <w:r>
        <w:t>, which did not prevent evaporative heat loss,</w:t>
      </w:r>
      <w:r w:rsidR="00112AFD">
        <w:t xml:space="preserve"> did not </w:t>
      </w:r>
      <w:r w:rsidR="009F3D70">
        <w:t xml:space="preserve">provide </w:t>
      </w:r>
      <w:r w:rsidR="00087EE2">
        <w:t>a</w:t>
      </w:r>
      <w:r>
        <w:t xml:space="preserve"> </w:t>
      </w:r>
      <w:r w:rsidR="009F3D70">
        <w:t>sufficient stimulus to improve muscle function in older adults, who have reduced muscle strength and mass. H</w:t>
      </w:r>
      <w:r w:rsidR="001B37C6">
        <w:t>ot water immersion (HWI)</w:t>
      </w:r>
      <w:r w:rsidR="0070547D">
        <w:t>, which</w:t>
      </w:r>
      <w:r w:rsidR="001B37C6">
        <w:t xml:space="preserve"> </w:t>
      </w:r>
      <w:r w:rsidR="001B37C6" w:rsidRPr="00F867CF">
        <w:t xml:space="preserve">limits evaporative heat loss </w:t>
      </w:r>
      <w:r w:rsidR="00E05886">
        <w:t>in</w:t>
      </w:r>
      <w:r w:rsidR="001B37C6" w:rsidRPr="00F867CF">
        <w:t xml:space="preserve"> the areas immersed and, in conjunction with the high thermal conductivity of water</w:t>
      </w:r>
      <w:r w:rsidR="001B37C6">
        <w:t xml:space="preserve"> </w:t>
      </w:r>
      <w:r w:rsidR="001B37C6">
        <w:fldChar w:fldCharType="begin" w:fldLock="1"/>
      </w:r>
      <w:r w:rsidR="00AA5A2F">
        <w:instrText xml:space="preserve"> ADDIN ZOTERO_ITEM CSL_CITATION {"citationID":"9IuojKLH","properties":{"formattedCitation":"(Ramires {\\i{}et al.}, 1995)","plainCitation":"(Ramires et al., 1995)","noteIndex":0},"citationItems":[{"id":524,"uris":["http://www.mendeley.com/documents/?uuid=7ae0c4e9-d1a2-3542-b62a-d691d24c6ff4","http://zotero.org/users/17561370/items/MRX3BATJ"],"itemData":{"id":524,"type":"article-journal","abstract":"New experimental data on the thermal conductivity of liquid water along the saturation line have been obtained recently, using the bare and coated transient hot wire technique, with high accuracy. The quality of the data is such that new standard reference values can be proposed with confidence limits of 0.7% at a 95% confidence level. These data and the correlation herein presented revise a previous correlation endorsed by IUPAC. © 1995, American Institute of Physics for the National Institute of Standards and Technology. All rights reserved.","container-title":"Journal of Physical and Chemical Reference Data","DOI":"10.1063/1.555963","ISSN":"0047-2689","issue":"3","page":"1377-1381","publisher":"AIP Publishing","title":"Standard Reference Data for the Thermal Conductivity of Water","volume":"24","author":[{"family":"Ramires","given":"Maria L.V."},{"family":"Nieto Castro","given":"Carlos A."},{"family":"Nagasaka","given":"Yuchi"},{"family":"Nagashima","given":"Akira"},{"family":"Assael","given":"Marc J."},{"family":"Wakeham","given":"William A."}],"issued":{"date-parts":[["1995",5,1]]}}}],"schema":"https://github.com/citation-style-language/schema/raw/master/csl-citation.json"} </w:instrText>
      </w:r>
      <w:r w:rsidR="001B37C6">
        <w:fldChar w:fldCharType="separate"/>
      </w:r>
      <w:r w:rsidR="005C33DC" w:rsidRPr="005C33DC">
        <w:t xml:space="preserve">(Ramires </w:t>
      </w:r>
      <w:r w:rsidR="005C33DC" w:rsidRPr="005C33DC">
        <w:rPr>
          <w:i/>
          <w:iCs/>
        </w:rPr>
        <w:t>et al.</w:t>
      </w:r>
      <w:r w:rsidR="005C33DC" w:rsidRPr="005C33DC">
        <w:t>, 1995)</w:t>
      </w:r>
      <w:r w:rsidR="001B37C6">
        <w:fldChar w:fldCharType="end"/>
      </w:r>
      <w:r w:rsidR="001B37C6" w:rsidRPr="00F867CF">
        <w:t xml:space="preserve">, rapidly increases </w:t>
      </w:r>
      <w:r w:rsidR="00381688">
        <w:t xml:space="preserve">local tissue </w:t>
      </w:r>
      <w:r w:rsidR="001B37C6" w:rsidRPr="00F867CF">
        <w:t>temperature</w:t>
      </w:r>
      <w:r w:rsidR="00C718B6">
        <w:t xml:space="preserve"> </w:t>
      </w:r>
      <w:r w:rsidR="009F20AB">
        <w:fldChar w:fldCharType="begin"/>
      </w:r>
      <w:r w:rsidR="00AA5A2F">
        <w:instrText xml:space="preserve"> ADDIN ZOTERO_ITEM CSL_CITATION {"citationID":"HENJ0dDg","properties":{"formattedCitation":"(Rodrigues {\\i{}et al.}, 2020{\\i{}b})","plainCitation":"(Rodrigues et al., 2020b)","noteIndex":0},"citationItems":[{"id":1971,"uris":["http://zotero.org/users/17561370/items/799J7VJ6"],"itemData":{"id":1971,"type":"article-journal","abstract":"To determine the vastus lateralis muscle temperature kinetics during and after passive heating, to exam the effect of sex on thermoregulatory responses, and the thermal safety and tolerance of the 42 °C hot-water immersion protocol.","container-title":"European Journal of Applied Physiology","DOI":"10.1007/s00421-020-04482-7","ISSN":"1439-6327","issue":"12","journalAbbreviation":"Eur J Appl Physiol","language":"en","page":"2611-2624","source":"Springer Link","title":"Muscle temperature kinetics and thermoregulatory responses to 42 °C hot-water immersion in healthy males and females","volume":"120","author":[{"family":"Rodrigues","given":"Patrick"},{"family":"Trajano","given":"Gabriel S."},{"family":"Wharton","given":"Lee"},{"family":"Minett","given":"Geoffrey M."}],"issued":{"date-parts":[["2020",12,1]]}}}],"schema":"https://github.com/citation-style-language/schema/raw/master/csl-citation.json"} </w:instrText>
      </w:r>
      <w:r w:rsidR="009F20AB">
        <w:fldChar w:fldCharType="separate"/>
      </w:r>
      <w:r w:rsidR="009F20AB" w:rsidRPr="009F20AB">
        <w:t xml:space="preserve">(Rodrigues </w:t>
      </w:r>
      <w:r w:rsidR="009F20AB" w:rsidRPr="009F20AB">
        <w:rPr>
          <w:i/>
          <w:iCs/>
        </w:rPr>
        <w:t>et al.</w:t>
      </w:r>
      <w:r w:rsidR="009F20AB" w:rsidRPr="009F20AB">
        <w:t>, 2020</w:t>
      </w:r>
      <w:r w:rsidR="009F20AB" w:rsidRPr="009F20AB">
        <w:rPr>
          <w:i/>
          <w:iCs/>
        </w:rPr>
        <w:t>b</w:t>
      </w:r>
      <w:r w:rsidR="009F20AB" w:rsidRPr="009F20AB">
        <w:t>)</w:t>
      </w:r>
      <w:r w:rsidR="009F20AB">
        <w:fldChar w:fldCharType="end"/>
      </w:r>
      <w:r w:rsidR="009F20AB">
        <w:t xml:space="preserve"> </w:t>
      </w:r>
      <w:r w:rsidR="00C718B6">
        <w:t xml:space="preserve">and blood flow </w:t>
      </w:r>
      <w:r w:rsidR="00C718B6">
        <w:fldChar w:fldCharType="begin" w:fldLock="1"/>
      </w:r>
      <w:r w:rsidR="00AA5A2F">
        <w:instrText xml:space="preserve"> ADDIN ZOTERO_ITEM CSL_CITATION {"citationID":"wJVzDIak","properties":{"formattedCitation":"(Amin {\\i{}et al.}, 2021)","plainCitation":"(Amin et al., 2021)","noteIndex":0},"citationItems":[{"id":1272,"uris":["http://www.mendeley.com/documents/?uuid=e63395cd-1ce1-341d-a698-768e108eb242","http://zotero.org/users/17561370/items/7F63X3HY"],"itemData":{"id":1272,"type":"article-journal","abstract":"Passive heating has emerged as a therapeutic intervention for the treatment and prevention of cardiovascular disease. Like exercise, heating increases peripheral artery blood flow and shear rate, which is thought to be a primary mechanism underpinning endothelium-mediated vascular adaptation. However, few studies have compared the increase in arterial blood flow and shear rate between dynamic exercise and passive heating. In a fixed crossover design study, 15 moderately trained healthy participants (25.6 ± 3.4 yr) (5 female) underwent 30 min of whole body passive heating (42°C bath), followed on a separate day by 30 min of semi-recumbent stepping exercise performed at two workloads corresponding to the increase in cardiac output (Qc) (D3.72 L min-1) and heart rate (HR) (D40 beats/min) recorded at the end of passive heating. At the same Qc (D3.72 L min-1 vs. 3.78 L min-1), femoral artery blood flow (1,599 mL/min vs. 1,947 mL/min) (P = 0.596) and shear rate (162 s-1 vs. 192 s-1) (P = 0.471) measured by ultrasonography were similar between passive heating and stepping exercise. However, for the same HRMATCHED intensity, femoral blood flow (1,599 mL min-1 vs. 2,588 mL min-1) and shear rate (161 s-1 vs. 271 s-1) were significantly greater during exercise, compared with heating (both P = &lt;0.001). The results indicate that, for moderately trained individuals, passive heating increases common femoral artery blood flow and shear rate similar to low-intensity continuous dynamic exercise (29% V O2max); however, exercise performed at a higher intensity (53% V O2max) results in significantly larger shear rates toward the active skeletal muscle.","container-title":"Journal of Applied Physiology","DOI":"10.1152/JAPPLPHYSIOL.00291.2020/ASSET/IMAGES/LARGE/AJ-JAPP200088F004.JPEG","ISSN":"15221601","issue":"1","page":"160-171","PMID":"33090910","publisher":"American Physiological Society","title":"Whole body passive heating versus dynamic lower body exercise: A comparison of peripheral hemodynamic profiles","volume":"130","author":[{"family":"Amin","given":"Sachin B."},{"family":"Hansen","given":"Alexander B."},{"family":"Mugele","given":"Hendrik"},{"family":"Willmer","given":"Felix"},{"family":"Gross","given":"Florian"},{"family":"Reimeir","given":"Benjamin"},{"family":"Cornwell","given":"William K."},{"family":"Simpson","given":"Lydia L."},{"family":"Moore","given":"Jonathan P."},{"family":"Romero","given":"Steven A."},{"family":"Lawley","given":"Justin S."}],"issued":{"date-parts":[["2021",1,1]]}}}],"schema":"https://github.com/citation-style-language/schema/raw/master/csl-citation.json"} </w:instrText>
      </w:r>
      <w:r w:rsidR="00C718B6">
        <w:fldChar w:fldCharType="separate"/>
      </w:r>
      <w:r w:rsidR="005C33DC" w:rsidRPr="005C33DC">
        <w:t xml:space="preserve">(Amin </w:t>
      </w:r>
      <w:r w:rsidR="005C33DC" w:rsidRPr="005C33DC">
        <w:rPr>
          <w:i/>
          <w:iCs/>
        </w:rPr>
        <w:t>et al.</w:t>
      </w:r>
      <w:r w:rsidR="005C33DC" w:rsidRPr="005C33DC">
        <w:t>, 2021)</w:t>
      </w:r>
      <w:r w:rsidR="00C718B6">
        <w:fldChar w:fldCharType="end"/>
      </w:r>
      <w:r w:rsidR="00A808D1">
        <w:t xml:space="preserve">. Therefore, </w:t>
      </w:r>
      <w:r w:rsidR="00AD7B50">
        <w:t xml:space="preserve">whole-body </w:t>
      </w:r>
      <w:r w:rsidR="00A808D1">
        <w:t>HWI</w:t>
      </w:r>
      <w:r w:rsidR="0070547D" w:rsidRPr="0070547D">
        <w:t xml:space="preserve"> </w:t>
      </w:r>
      <w:r w:rsidR="0070547D">
        <w:t xml:space="preserve">could provide a greater stimulus and subsequent larger effect on </w:t>
      </w:r>
      <w:r w:rsidR="009572DF">
        <w:t xml:space="preserve">multiple </w:t>
      </w:r>
      <w:r w:rsidR="00A808D1">
        <w:t xml:space="preserve">muscle groups and </w:t>
      </w:r>
      <w:r w:rsidR="009572DF">
        <w:t>aspects of</w:t>
      </w:r>
      <w:r w:rsidR="0097444D">
        <w:t xml:space="preserve"> </w:t>
      </w:r>
      <w:r w:rsidR="0070547D">
        <w:t>muscle</w:t>
      </w:r>
      <w:r w:rsidR="009572DF">
        <w:t xml:space="preserve"> function</w:t>
      </w:r>
      <w:r w:rsidR="0070547D">
        <w:t>.</w:t>
      </w:r>
    </w:p>
    <w:p w14:paraId="0000002C" w14:textId="1F01C74D" w:rsidR="00C15823" w:rsidRPr="003B3D6C" w:rsidRDefault="00EB47C6">
      <w:pPr>
        <w:spacing w:line="480" w:lineRule="auto"/>
        <w:jc w:val="both"/>
      </w:pPr>
      <w:r>
        <w:t>Accordingly, t</w:t>
      </w:r>
      <w:r w:rsidR="00B63BA7" w:rsidRPr="003B3D6C">
        <w:t xml:space="preserve">his study aimed to assess the effects of repeated </w:t>
      </w:r>
      <w:r w:rsidR="00AC7BAA">
        <w:t>(two to three</w:t>
      </w:r>
      <w:r w:rsidR="006378C6">
        <w:t xml:space="preserve"> times per week) </w:t>
      </w:r>
      <w:r w:rsidR="0034562E">
        <w:t>HWI</w:t>
      </w:r>
      <w:r w:rsidR="0034562E" w:rsidRPr="003B3D6C">
        <w:t xml:space="preserve"> </w:t>
      </w:r>
      <w:r w:rsidR="00B63BA7" w:rsidRPr="003B3D6C">
        <w:t xml:space="preserve">on </w:t>
      </w:r>
      <w:r w:rsidR="00003667">
        <w:t>indices</w:t>
      </w:r>
      <w:r w:rsidR="00003667" w:rsidRPr="003B3D6C">
        <w:t xml:space="preserve"> </w:t>
      </w:r>
      <w:r w:rsidR="00B63BA7" w:rsidRPr="003B3D6C">
        <w:t xml:space="preserve">of </w:t>
      </w:r>
      <w:r w:rsidR="00A01D14">
        <w:t>muscle</w:t>
      </w:r>
      <w:r w:rsidR="00A01D14" w:rsidRPr="003B3D6C">
        <w:t xml:space="preserve"> strength</w:t>
      </w:r>
      <w:r w:rsidR="00064581">
        <w:t>,</w:t>
      </w:r>
      <w:r w:rsidR="00064581" w:rsidRPr="003B3D6C">
        <w:t xml:space="preserve"> </w:t>
      </w:r>
      <w:r w:rsidR="00226905" w:rsidRPr="003B3D6C">
        <w:t>power</w:t>
      </w:r>
      <w:r w:rsidR="00226905">
        <w:t>,</w:t>
      </w:r>
      <w:r w:rsidR="00226905" w:rsidRPr="003B3D6C">
        <w:t xml:space="preserve"> </w:t>
      </w:r>
      <w:r w:rsidR="00A83CB2">
        <w:t>function</w:t>
      </w:r>
      <w:r w:rsidR="008417D8">
        <w:t>,</w:t>
      </w:r>
      <w:r w:rsidR="00B63BA7" w:rsidRPr="003B3D6C">
        <w:t xml:space="preserve"> and physical activity in older adults</w:t>
      </w:r>
      <w:r w:rsidR="00C02807">
        <w:t xml:space="preserve"> </w:t>
      </w:r>
      <w:r w:rsidR="00C02807" w:rsidRPr="003B3D6C">
        <w:t xml:space="preserve">compared to </w:t>
      </w:r>
      <w:r w:rsidR="00064581">
        <w:t xml:space="preserve">a </w:t>
      </w:r>
      <w:r w:rsidR="00C02807" w:rsidRPr="003B3D6C">
        <w:t>control</w:t>
      </w:r>
      <w:r w:rsidR="00003667">
        <w:t xml:space="preserve"> period</w:t>
      </w:r>
      <w:r w:rsidR="00B63BA7" w:rsidRPr="003B3D6C">
        <w:t xml:space="preserve">. </w:t>
      </w:r>
      <w:r w:rsidR="00CA7D3D">
        <w:t>We tested the null hypothesis</w:t>
      </w:r>
      <w:r w:rsidR="00B63BA7" w:rsidRPr="003B3D6C">
        <w:t xml:space="preserve"> that</w:t>
      </w:r>
      <w:r w:rsidR="00087EE2">
        <w:t>, in a cohort of</w:t>
      </w:r>
      <w:r w:rsidR="00112AFD">
        <w:t xml:space="preserve"> healthy</w:t>
      </w:r>
      <w:r w:rsidR="00087EE2">
        <w:t xml:space="preserve"> older adults,</w:t>
      </w:r>
      <w:r w:rsidR="00B63BA7" w:rsidRPr="003B3D6C">
        <w:t xml:space="preserve"> </w:t>
      </w:r>
      <w:r w:rsidR="00064581">
        <w:t>repeated HWI</w:t>
      </w:r>
      <w:r w:rsidR="00B63BA7" w:rsidRPr="003B3D6C">
        <w:t xml:space="preserve"> </w:t>
      </w:r>
      <w:r w:rsidR="001C1718">
        <w:t xml:space="preserve">over </w:t>
      </w:r>
      <w:r w:rsidR="00AC7BAA">
        <w:t>six</w:t>
      </w:r>
      <w:r w:rsidR="001C1718">
        <w:t xml:space="preserve"> weeks</w:t>
      </w:r>
      <w:r w:rsidR="0056098C">
        <w:t xml:space="preserve"> </w:t>
      </w:r>
      <w:r w:rsidR="00B63BA7" w:rsidRPr="003B3D6C">
        <w:t xml:space="preserve">would </w:t>
      </w:r>
      <w:r w:rsidR="00252DE5">
        <w:t>have no effect on</w:t>
      </w:r>
      <w:r w:rsidR="008417D8">
        <w:t>:</w:t>
      </w:r>
      <w:r w:rsidR="00B63BA7" w:rsidRPr="003B3D6C">
        <w:t xml:space="preserve"> 1) </w:t>
      </w:r>
      <w:r w:rsidR="0004749D">
        <w:t xml:space="preserve">peak </w:t>
      </w:r>
      <w:r w:rsidR="0004749D" w:rsidRPr="003B3D6C">
        <w:t>quadriceps strength,</w:t>
      </w:r>
      <w:r w:rsidR="0004749D">
        <w:t xml:space="preserve"> </w:t>
      </w:r>
      <w:r w:rsidR="00064581">
        <w:t>2)</w:t>
      </w:r>
      <w:r w:rsidR="0004749D" w:rsidRPr="0004749D">
        <w:t xml:space="preserve"> </w:t>
      </w:r>
      <w:r w:rsidR="0004749D" w:rsidRPr="003B3D6C">
        <w:t>grip strength</w:t>
      </w:r>
      <w:r w:rsidR="0004749D">
        <w:t>, 3</w:t>
      </w:r>
      <w:r w:rsidR="0004749D" w:rsidRPr="003B3D6C">
        <w:t>)</w:t>
      </w:r>
      <w:r w:rsidR="00F13D19">
        <w:t xml:space="preserve"> </w:t>
      </w:r>
      <w:r w:rsidR="0004749D">
        <w:t>k</w:t>
      </w:r>
      <w:r w:rsidR="0004749D" w:rsidRPr="003B3D6C">
        <w:t>nee extension power</w:t>
      </w:r>
      <w:r w:rsidR="0004749D">
        <w:t xml:space="preserve">, </w:t>
      </w:r>
      <w:r w:rsidR="00B63BA7" w:rsidRPr="003B3D6C">
        <w:t xml:space="preserve">4) </w:t>
      </w:r>
      <w:r w:rsidR="003B3D6C" w:rsidRPr="003B3D6C">
        <w:t>performance</w:t>
      </w:r>
      <w:r w:rsidR="00C3029A">
        <w:t xml:space="preserve"> in a </w:t>
      </w:r>
      <w:r w:rsidR="00C54640">
        <w:t xml:space="preserve">physical </w:t>
      </w:r>
      <w:r w:rsidR="00C3029A" w:rsidRPr="003B3D6C">
        <w:t>function</w:t>
      </w:r>
      <w:r w:rsidR="00C3029A">
        <w:t xml:space="preserve"> testing battery</w:t>
      </w:r>
      <w:r w:rsidR="008417D8">
        <w:t>,</w:t>
      </w:r>
      <w:r w:rsidR="003B3D6C" w:rsidRPr="003B3D6C">
        <w:t xml:space="preserve"> </w:t>
      </w:r>
      <w:r w:rsidR="00B63BA7" w:rsidRPr="003B3D6C">
        <w:t xml:space="preserve">and </w:t>
      </w:r>
      <w:r w:rsidR="00D950EC">
        <w:t>5</w:t>
      </w:r>
      <w:r w:rsidR="00064581" w:rsidRPr="003B3D6C">
        <w:t xml:space="preserve">) </w:t>
      </w:r>
      <w:r w:rsidR="00B63BA7" w:rsidRPr="003B3D6C">
        <w:t>habitual physical activity.</w:t>
      </w:r>
    </w:p>
    <w:p w14:paraId="5A0333A3" w14:textId="2698D690" w:rsidR="00C02807" w:rsidRDefault="00C02807">
      <w:pPr>
        <w:spacing w:line="480" w:lineRule="auto"/>
        <w:jc w:val="both"/>
        <w:rPr>
          <w:b/>
        </w:rPr>
      </w:pPr>
    </w:p>
    <w:p w14:paraId="0000002D" w14:textId="2C62571C" w:rsidR="00C15823" w:rsidRPr="003B3D6C" w:rsidRDefault="00B63BA7">
      <w:pPr>
        <w:spacing w:line="480" w:lineRule="auto"/>
        <w:jc w:val="both"/>
        <w:rPr>
          <w:b/>
        </w:rPr>
      </w:pPr>
      <w:r w:rsidRPr="003B3D6C">
        <w:rPr>
          <w:b/>
        </w:rPr>
        <w:t>METHODS</w:t>
      </w:r>
    </w:p>
    <w:p w14:paraId="0000002E" w14:textId="70C81F74" w:rsidR="00C15823" w:rsidRPr="003B3D6C" w:rsidRDefault="00135DF1">
      <w:pPr>
        <w:spacing w:line="480" w:lineRule="auto"/>
        <w:jc w:val="both"/>
        <w:rPr>
          <w:b/>
        </w:rPr>
      </w:pPr>
      <w:r w:rsidRPr="003B3D6C">
        <w:rPr>
          <w:b/>
        </w:rPr>
        <w:t>Ethic</w:t>
      </w:r>
      <w:r>
        <w:rPr>
          <w:b/>
        </w:rPr>
        <w:t>al</w:t>
      </w:r>
      <w:r w:rsidRPr="003B3D6C">
        <w:rPr>
          <w:b/>
        </w:rPr>
        <w:t xml:space="preserve"> </w:t>
      </w:r>
      <w:r w:rsidR="00B63BA7" w:rsidRPr="003B3D6C">
        <w:rPr>
          <w:b/>
        </w:rPr>
        <w:t>approval</w:t>
      </w:r>
    </w:p>
    <w:p w14:paraId="0000002F" w14:textId="06478D3E" w:rsidR="00C15823" w:rsidRPr="003B3D6C" w:rsidRDefault="00B63BA7">
      <w:pPr>
        <w:spacing w:line="480" w:lineRule="auto"/>
        <w:jc w:val="both"/>
        <w:rPr>
          <w:color w:val="000000"/>
        </w:rPr>
      </w:pPr>
      <w:r w:rsidRPr="003B3D6C">
        <w:t xml:space="preserve">This open label, </w:t>
      </w:r>
      <w:proofErr w:type="spellStart"/>
      <w:r w:rsidRPr="003B3D6C">
        <w:t>randomised</w:t>
      </w:r>
      <w:proofErr w:type="spellEnd"/>
      <w:r w:rsidRPr="003B3D6C">
        <w:t xml:space="preserve"> controlled, crossover trial was </w:t>
      </w:r>
      <w:r w:rsidR="00F162C9">
        <w:t xml:space="preserve">given a </w:t>
      </w:r>
      <w:proofErr w:type="spellStart"/>
      <w:r w:rsidR="00F162C9">
        <w:t>favourable</w:t>
      </w:r>
      <w:proofErr w:type="spellEnd"/>
      <w:r w:rsidR="00F162C9">
        <w:t xml:space="preserve"> ethical opinion </w:t>
      </w:r>
      <w:r w:rsidRPr="003B3D6C">
        <w:t>by the University of Portsmouth Faculty of Science and Health Ethics Committee (SHFEC 2022-054)</w:t>
      </w:r>
      <w:r w:rsidR="0014688E">
        <w:t xml:space="preserve"> and</w:t>
      </w:r>
      <w:r w:rsidRPr="003B3D6C">
        <w:t xml:space="preserve"> adhered to the Declaration of Helsinki</w:t>
      </w:r>
      <w:r w:rsidR="0014688E">
        <w:t>.</w:t>
      </w:r>
      <w:r w:rsidRPr="003B3D6C">
        <w:t xml:space="preserve"> </w:t>
      </w:r>
      <w:r w:rsidR="005A3409">
        <w:t xml:space="preserve">The study </w:t>
      </w:r>
      <w:r w:rsidRPr="003B3D6C">
        <w:t>was pre-registered on ClinicalTrials.gov (ID # NCT05618197</w:t>
      </w:r>
      <w:r w:rsidRPr="003B3D6C">
        <w:rPr>
          <w:color w:val="000000"/>
          <w:highlight w:val="white"/>
        </w:rPr>
        <w:t>)</w:t>
      </w:r>
      <w:r w:rsidR="006501BA">
        <w:rPr>
          <w:color w:val="000000"/>
        </w:rPr>
        <w:t xml:space="preserve">, with </w:t>
      </w:r>
      <w:r w:rsidR="00256FD7">
        <w:rPr>
          <w:color w:val="000000"/>
        </w:rPr>
        <w:t xml:space="preserve">outcomes </w:t>
      </w:r>
      <w:r w:rsidR="00276EE7">
        <w:rPr>
          <w:color w:val="000000"/>
        </w:rPr>
        <w:t xml:space="preserve">for the present study included as </w:t>
      </w:r>
      <w:r w:rsidR="00F562B5">
        <w:rPr>
          <w:color w:val="000000"/>
        </w:rPr>
        <w:t xml:space="preserve">secondary </w:t>
      </w:r>
      <w:r w:rsidR="00056CE6">
        <w:rPr>
          <w:color w:val="000000"/>
        </w:rPr>
        <w:t xml:space="preserve">outcome </w:t>
      </w:r>
      <w:r w:rsidR="00F562B5">
        <w:rPr>
          <w:color w:val="000000"/>
        </w:rPr>
        <w:t>measures within</w:t>
      </w:r>
      <w:r w:rsidR="006501BA">
        <w:rPr>
          <w:color w:val="000000"/>
        </w:rPr>
        <w:t xml:space="preserve"> a larger trial</w:t>
      </w:r>
      <w:r w:rsidRPr="003B3D6C">
        <w:t xml:space="preserve">. </w:t>
      </w:r>
      <w:r w:rsidR="003117CD" w:rsidRPr="003117CD">
        <w:t xml:space="preserve">Participants were supplied with </w:t>
      </w:r>
      <w:r w:rsidR="003117CD">
        <w:t xml:space="preserve">a </w:t>
      </w:r>
      <w:r w:rsidR="003117CD" w:rsidRPr="003117CD">
        <w:t xml:space="preserve">detailed study information </w:t>
      </w:r>
      <w:r w:rsidR="003117CD">
        <w:t xml:space="preserve">sheet </w:t>
      </w:r>
      <w:r w:rsidR="003117CD" w:rsidRPr="003117CD">
        <w:t xml:space="preserve">no less than 48 hours before </w:t>
      </w:r>
      <w:r w:rsidR="004A01CC">
        <w:t xml:space="preserve">providing their </w:t>
      </w:r>
      <w:r w:rsidR="004A01CC" w:rsidRPr="003117CD">
        <w:t>written informed consent</w:t>
      </w:r>
      <w:r w:rsidR="003117CD" w:rsidRPr="003117CD">
        <w:t>. A full verbal briefing was conducted, during which participants could ask questions</w:t>
      </w:r>
      <w:r w:rsidR="004A01CC">
        <w:t xml:space="preserve"> about the study.</w:t>
      </w:r>
    </w:p>
    <w:p w14:paraId="00000030" w14:textId="77777777" w:rsidR="00C15823" w:rsidRPr="003B3D6C" w:rsidRDefault="00B63BA7">
      <w:pPr>
        <w:spacing w:line="480" w:lineRule="auto"/>
        <w:jc w:val="both"/>
        <w:rPr>
          <w:b/>
        </w:rPr>
      </w:pPr>
      <w:r w:rsidRPr="003B3D6C">
        <w:rPr>
          <w:b/>
        </w:rPr>
        <w:t>Participants</w:t>
      </w:r>
    </w:p>
    <w:p w14:paraId="00000031" w14:textId="2BEB36D8" w:rsidR="00C15823" w:rsidRPr="003B3D6C" w:rsidRDefault="00064581">
      <w:pPr>
        <w:spacing w:line="480" w:lineRule="auto"/>
        <w:jc w:val="both"/>
      </w:pPr>
      <w:r>
        <w:rPr>
          <w:rFonts w:eastAsia="Gungsuh"/>
        </w:rPr>
        <w:t>P</w:t>
      </w:r>
      <w:r w:rsidR="00B63BA7" w:rsidRPr="003B3D6C">
        <w:rPr>
          <w:rFonts w:eastAsia="Gungsuh"/>
        </w:rPr>
        <w:t xml:space="preserve">articipants were recruited through </w:t>
      </w:r>
      <w:r w:rsidR="004A01CC">
        <w:rPr>
          <w:rFonts w:eastAsia="Gungsuh"/>
        </w:rPr>
        <w:t xml:space="preserve">media releases </w:t>
      </w:r>
      <w:r w:rsidR="00B63BA7" w:rsidRPr="003B3D6C">
        <w:rPr>
          <w:rFonts w:eastAsia="Gungsuh"/>
        </w:rPr>
        <w:t xml:space="preserve">local interest groups, databases, posters, and word of mouth. Inclusion criteria </w:t>
      </w:r>
      <w:r w:rsidR="007A2A4E">
        <w:rPr>
          <w:rFonts w:eastAsia="Gungsuh"/>
        </w:rPr>
        <w:t xml:space="preserve">included: </w:t>
      </w:r>
      <w:r w:rsidR="00B63BA7" w:rsidRPr="003B3D6C">
        <w:rPr>
          <w:rFonts w:eastAsia="Gungsuh"/>
        </w:rPr>
        <w:t>age ≥ 55 years</w:t>
      </w:r>
      <w:r w:rsidR="007A2A4E">
        <w:rPr>
          <w:rFonts w:eastAsia="Gungsuh"/>
        </w:rPr>
        <w:t>,</w:t>
      </w:r>
      <w:r w:rsidR="00B63BA7" w:rsidRPr="003B3D6C">
        <w:rPr>
          <w:rFonts w:eastAsia="Gungsuh"/>
        </w:rPr>
        <w:t xml:space="preserve"> and </w:t>
      </w:r>
      <w:r w:rsidR="007A2A4E">
        <w:rPr>
          <w:rFonts w:eastAsia="Gungsuh"/>
        </w:rPr>
        <w:t>free from</w:t>
      </w:r>
      <w:r w:rsidR="00B63BA7" w:rsidRPr="003B3D6C">
        <w:rPr>
          <w:rFonts w:eastAsia="Gungsuh"/>
        </w:rPr>
        <w:t xml:space="preserve"> cardiometabolic or musculoskeletal condition</w:t>
      </w:r>
      <w:r w:rsidR="007A2A4E">
        <w:rPr>
          <w:rFonts w:eastAsia="Gungsuh"/>
        </w:rPr>
        <w:t>s</w:t>
      </w:r>
      <w:r w:rsidR="00B63BA7" w:rsidRPr="003B3D6C">
        <w:rPr>
          <w:rFonts w:eastAsia="Gungsuh"/>
        </w:rPr>
        <w:t xml:space="preserve"> that would </w:t>
      </w:r>
      <w:r w:rsidR="007A2A4E">
        <w:rPr>
          <w:rFonts w:eastAsia="Gungsuh"/>
        </w:rPr>
        <w:t>contraindicate exercise</w:t>
      </w:r>
      <w:r w:rsidR="00B63BA7" w:rsidRPr="003B3D6C">
        <w:rPr>
          <w:rFonts w:eastAsia="Gungsuh"/>
        </w:rPr>
        <w:t>. Exclusion criteria included</w:t>
      </w:r>
      <w:r w:rsidR="007A2A4E">
        <w:rPr>
          <w:rFonts w:eastAsia="Gungsuh"/>
        </w:rPr>
        <w:t xml:space="preserve">: </w:t>
      </w:r>
      <w:r w:rsidR="00B63BA7" w:rsidRPr="003B3D6C">
        <w:rPr>
          <w:rFonts w:eastAsia="Gungsuh"/>
        </w:rPr>
        <w:t>body mass index &gt; 35 kg</w:t>
      </w:r>
      <w:r w:rsidR="00EA0D52">
        <w:t>·</w:t>
      </w:r>
      <w:r w:rsidR="00B63BA7" w:rsidRPr="003B3D6C">
        <w:t>m</w:t>
      </w:r>
      <w:r w:rsidR="004A01CC">
        <w:rPr>
          <w:vertAlign w:val="superscript"/>
        </w:rPr>
        <w:t>-2</w:t>
      </w:r>
      <w:r w:rsidR="00B63BA7" w:rsidRPr="003B3D6C">
        <w:rPr>
          <w:rFonts w:eastAsia="Gungsuh"/>
        </w:rPr>
        <w:t>, uncontrolled hypertension (≥ 150 mmHg systolic</w:t>
      </w:r>
      <w:r w:rsidR="007A2A4E">
        <w:rPr>
          <w:rFonts w:eastAsia="Gungsuh"/>
        </w:rPr>
        <w:t xml:space="preserve"> blood pressure (BP)</w:t>
      </w:r>
      <w:r w:rsidR="00B63BA7" w:rsidRPr="003B3D6C">
        <w:rPr>
          <w:rFonts w:eastAsia="Gungsuh"/>
        </w:rPr>
        <w:t xml:space="preserve"> and/or ≥ 90 mmHg diastolic</w:t>
      </w:r>
      <w:r w:rsidR="007A2A4E">
        <w:rPr>
          <w:rFonts w:eastAsia="Gungsuh"/>
        </w:rPr>
        <w:t xml:space="preserve"> BP</w:t>
      </w:r>
      <w:r w:rsidR="00B63BA7" w:rsidRPr="003B3D6C">
        <w:rPr>
          <w:rFonts w:eastAsia="Gungsuh"/>
        </w:rPr>
        <w:t xml:space="preserve">), current or recent smoking, and </w:t>
      </w:r>
      <w:r w:rsidR="004A01CC">
        <w:rPr>
          <w:rFonts w:eastAsia="Gungsuh"/>
        </w:rPr>
        <w:t xml:space="preserve">spent </w:t>
      </w:r>
      <w:r w:rsidR="004A01CC">
        <w:t>prolonged time</w:t>
      </w:r>
      <w:r w:rsidR="004A01CC" w:rsidRPr="003B3D6C">
        <w:t xml:space="preserve"> </w:t>
      </w:r>
      <w:r w:rsidR="004A01CC">
        <w:t xml:space="preserve">in </w:t>
      </w:r>
      <w:r w:rsidR="00B63BA7" w:rsidRPr="003B3D6C">
        <w:t xml:space="preserve">a hot climate in the </w:t>
      </w:r>
      <w:r w:rsidR="007A2A4E">
        <w:t>preceding</w:t>
      </w:r>
      <w:r w:rsidR="007A2A4E" w:rsidRPr="003B3D6C">
        <w:t xml:space="preserve"> </w:t>
      </w:r>
      <w:r w:rsidR="00B63BA7" w:rsidRPr="003B3D6C">
        <w:t>three months.</w:t>
      </w:r>
      <w:r w:rsidR="004203E0">
        <w:t xml:space="preserve"> Participants also </w:t>
      </w:r>
      <w:r>
        <w:t xml:space="preserve">had </w:t>
      </w:r>
      <w:r w:rsidR="00767449">
        <w:t>refrained</w:t>
      </w:r>
      <w:r w:rsidR="004203E0">
        <w:t xml:space="preserve"> from using hot tubs or saunas for </w:t>
      </w:r>
      <w:r>
        <w:t>at least</w:t>
      </w:r>
      <w:r w:rsidR="004203E0">
        <w:t xml:space="preserve"> six weeks </w:t>
      </w:r>
      <w:r w:rsidR="00767449">
        <w:t xml:space="preserve">preceding </w:t>
      </w:r>
      <w:r w:rsidR="004203E0">
        <w:t>the trial.</w:t>
      </w:r>
      <w:r w:rsidR="00B63BA7" w:rsidRPr="003B3D6C">
        <w:t xml:space="preserve"> </w:t>
      </w:r>
    </w:p>
    <w:p w14:paraId="00000032" w14:textId="56794AB3" w:rsidR="00C15823" w:rsidRPr="003B3D6C" w:rsidRDefault="00776B67">
      <w:pPr>
        <w:widowControl w:val="0"/>
        <w:spacing w:line="480" w:lineRule="auto"/>
        <w:jc w:val="both"/>
      </w:pPr>
      <w:r>
        <w:t>P</w:t>
      </w:r>
      <w:r w:rsidR="00B63BA7" w:rsidRPr="003B3D6C">
        <w:t xml:space="preserve">articipants </w:t>
      </w:r>
      <w:r w:rsidR="007A2A4E">
        <w:t xml:space="preserve">attended </w:t>
      </w:r>
      <w:r w:rsidR="00327A59">
        <w:t>an</w:t>
      </w:r>
      <w:r w:rsidR="00327A59" w:rsidRPr="003B3D6C">
        <w:t xml:space="preserve"> </w:t>
      </w:r>
      <w:r w:rsidR="00B63BA7" w:rsidRPr="003B3D6C">
        <w:t xml:space="preserve">initial screening visit </w:t>
      </w:r>
      <w:r w:rsidR="00327A59">
        <w:t>which</w:t>
      </w:r>
      <w:r w:rsidR="00327A59" w:rsidRPr="003B3D6C">
        <w:t xml:space="preserve"> </w:t>
      </w:r>
      <w:r w:rsidR="00B63BA7" w:rsidRPr="003B3D6C">
        <w:t xml:space="preserve">included a health history questionnaire, </w:t>
      </w:r>
      <w:r w:rsidR="007A2A4E">
        <w:t xml:space="preserve">and assessments of </w:t>
      </w:r>
      <w:r w:rsidR="00B63BA7" w:rsidRPr="003B3D6C">
        <w:t>height</w:t>
      </w:r>
      <w:r w:rsidR="007A2A4E">
        <w:t>,</w:t>
      </w:r>
      <w:r w:rsidR="00B63BA7" w:rsidRPr="003B3D6C">
        <w:t xml:space="preserve"> body mass, </w:t>
      </w:r>
      <w:r w:rsidR="007A2A4E">
        <w:t>BP</w:t>
      </w:r>
      <w:r w:rsidR="00B63BA7" w:rsidRPr="003B3D6C">
        <w:t xml:space="preserve">, and a 12-lead electrocardiogram. Eligible participants were </w:t>
      </w:r>
      <w:proofErr w:type="spellStart"/>
      <w:r w:rsidR="0096257B">
        <w:t>randomised</w:t>
      </w:r>
      <w:proofErr w:type="spellEnd"/>
      <w:r w:rsidR="0096257B">
        <w:t xml:space="preserve"> 1:1</w:t>
      </w:r>
      <w:r w:rsidR="00B63BA7" w:rsidRPr="003B3D6C">
        <w:t xml:space="preserve"> (https://www.randomizer.org), to </w:t>
      </w:r>
      <w:r w:rsidR="00743722">
        <w:t xml:space="preserve">either </w:t>
      </w:r>
      <w:r w:rsidR="00B63BA7" w:rsidRPr="003B3D6C">
        <w:t xml:space="preserve">start with </w:t>
      </w:r>
      <w:r w:rsidR="003656CD">
        <w:t xml:space="preserve">the </w:t>
      </w:r>
      <w:r w:rsidR="003656CD" w:rsidRPr="003B3D6C">
        <w:t xml:space="preserve">control (CON) or </w:t>
      </w:r>
      <w:r w:rsidR="00B63BA7" w:rsidRPr="003B3D6C">
        <w:t>hot water immersion (HWI)</w:t>
      </w:r>
      <w:r w:rsidR="00801FE0">
        <w:t xml:space="preserve"> condition</w:t>
      </w:r>
      <w:r w:rsidR="00743722">
        <w:t>. A</w:t>
      </w:r>
      <w:r w:rsidR="00381688">
        <w:t xml:space="preserve">rm </w:t>
      </w:r>
      <w:r w:rsidR="00743722">
        <w:t xml:space="preserve">one was followed by </w:t>
      </w:r>
      <w:r w:rsidR="00B63BA7" w:rsidRPr="003B3D6C">
        <w:t xml:space="preserve">a </w:t>
      </w:r>
      <w:r w:rsidR="00634BAA" w:rsidRPr="003B3D6C">
        <w:t>six</w:t>
      </w:r>
      <w:r w:rsidR="00634BAA">
        <w:t>-week</w:t>
      </w:r>
      <w:r w:rsidR="00B63BA7" w:rsidRPr="003B3D6C">
        <w:t xml:space="preserve"> washout period</w:t>
      </w:r>
      <w:r w:rsidR="00D4116B">
        <w:t>, d</w:t>
      </w:r>
      <w:r w:rsidR="00B63BA7" w:rsidRPr="003B3D6C">
        <w:t xml:space="preserve">uring </w:t>
      </w:r>
      <w:r w:rsidR="00D4116B">
        <w:t xml:space="preserve">which </w:t>
      </w:r>
      <w:r w:rsidR="00B63BA7" w:rsidRPr="003B3D6C">
        <w:lastRenderedPageBreak/>
        <w:t>participants maintained their usual lifestyle</w:t>
      </w:r>
      <w:r w:rsidR="00D4116B">
        <w:t>,</w:t>
      </w:r>
      <w:r w:rsidR="00B63BA7" w:rsidRPr="003B3D6C">
        <w:t xml:space="preserve"> but refrained from new exercise </w:t>
      </w:r>
      <w:proofErr w:type="spellStart"/>
      <w:r w:rsidR="00B63BA7" w:rsidRPr="003B3D6C">
        <w:t>programmes</w:t>
      </w:r>
      <w:proofErr w:type="spellEnd"/>
      <w:r w:rsidR="00841511">
        <w:t xml:space="preserve"> or</w:t>
      </w:r>
      <w:r>
        <w:t xml:space="preserve"> </w:t>
      </w:r>
      <w:r w:rsidR="00B63BA7" w:rsidRPr="003B3D6C">
        <w:t>heating intervention</w:t>
      </w:r>
      <w:r>
        <w:t>s</w:t>
      </w:r>
      <w:r w:rsidR="00F86323">
        <w:t xml:space="preserve"> (e.g., saunas),</w:t>
      </w:r>
      <w:r w:rsidR="00647498">
        <w:t xml:space="preserve"> and </w:t>
      </w:r>
      <w:r w:rsidR="00841511">
        <w:t xml:space="preserve">participants </w:t>
      </w:r>
      <w:r w:rsidR="00647498">
        <w:t>avoided hot baths</w:t>
      </w:r>
      <w:r w:rsidR="00841511">
        <w:t xml:space="preserve"> for the full duration of the trial</w:t>
      </w:r>
      <w:r w:rsidR="00B63BA7" w:rsidRPr="003B3D6C">
        <w:t>.</w:t>
      </w:r>
      <w:r w:rsidR="00003667">
        <w:t xml:space="preserve"> Following the six week washout period, participants returned to complete the remaining condition.</w:t>
      </w:r>
      <w:r w:rsidR="00B63BA7" w:rsidRPr="003B3D6C">
        <w:t xml:space="preserve"> </w:t>
      </w:r>
    </w:p>
    <w:p w14:paraId="00000033" w14:textId="2D713435" w:rsidR="00C15823" w:rsidRPr="003B3D6C" w:rsidRDefault="00B63BA7">
      <w:pPr>
        <w:spacing w:line="480" w:lineRule="auto"/>
        <w:jc w:val="both"/>
      </w:pPr>
      <w:r w:rsidRPr="003B3D6C">
        <w:t xml:space="preserve">The primary outcome was change in peak quadriceps torque, assessed via isokinetic dynamometry. </w:t>
      </w:r>
      <w:r w:rsidR="00647498">
        <w:t xml:space="preserve">The present </w:t>
      </w:r>
      <w:r w:rsidR="008F48F6">
        <w:t xml:space="preserve">study was part of a </w:t>
      </w:r>
      <w:r w:rsidR="00813122">
        <w:t>wider study</w:t>
      </w:r>
      <w:r w:rsidR="008F48F6">
        <w:t xml:space="preserve"> </w:t>
      </w:r>
      <w:r w:rsidR="00813122">
        <w:t>which</w:t>
      </w:r>
      <w:r w:rsidR="00EA0D52">
        <w:t xml:space="preserve"> </w:t>
      </w:r>
      <w:r w:rsidRPr="003B3D6C">
        <w:t>aim</w:t>
      </w:r>
      <w:r w:rsidR="00C743AB">
        <w:t xml:space="preserve">ed to </w:t>
      </w:r>
      <w:r w:rsidR="00EA0D52">
        <w:t xml:space="preserve">complete </w:t>
      </w:r>
      <w:r w:rsidRPr="003B3D6C">
        <w:t xml:space="preserve">13 </w:t>
      </w:r>
      <w:r w:rsidR="00647498">
        <w:t>participants</w:t>
      </w:r>
      <w:r w:rsidR="00EA0D52">
        <w:t>,</w:t>
      </w:r>
      <w:r w:rsidR="008F48F6">
        <w:t xml:space="preserve"> therefore </w:t>
      </w:r>
      <w:r w:rsidR="00EA0D52">
        <w:t xml:space="preserve">we </w:t>
      </w:r>
      <w:r w:rsidR="008F48F6">
        <w:t xml:space="preserve">sought to </w:t>
      </w:r>
      <w:r w:rsidRPr="003B3D6C">
        <w:t>recrui</w:t>
      </w:r>
      <w:r w:rsidR="008F48F6">
        <w:t>t</w:t>
      </w:r>
      <w:r w:rsidRPr="003B3D6C">
        <w:t xml:space="preserve"> </w:t>
      </w:r>
      <w:r w:rsidR="00EA0D52">
        <w:t xml:space="preserve">20 </w:t>
      </w:r>
      <w:r w:rsidRPr="003B3D6C">
        <w:t>people</w:t>
      </w:r>
      <w:r w:rsidR="00C743AB">
        <w:t>,</w:t>
      </w:r>
      <w:r w:rsidRPr="003B3D6C">
        <w:t xml:space="preserve"> </w:t>
      </w:r>
      <w:r w:rsidR="00EA0D52">
        <w:t xml:space="preserve">to </w:t>
      </w:r>
      <w:r w:rsidRPr="003B3D6C">
        <w:t>account</w:t>
      </w:r>
      <w:r w:rsidR="00C743AB">
        <w:t xml:space="preserve"> </w:t>
      </w:r>
      <w:r w:rsidRPr="003B3D6C">
        <w:t xml:space="preserve">for </w:t>
      </w:r>
      <w:r w:rsidR="00EA0D52">
        <w:t>potential</w:t>
      </w:r>
      <w:r w:rsidRPr="003B3D6C">
        <w:t xml:space="preserve"> dropout</w:t>
      </w:r>
      <w:r w:rsidR="00EA0D52">
        <w:t>s</w:t>
      </w:r>
      <w:r w:rsidRPr="003B3D6C">
        <w:t>. </w:t>
      </w:r>
    </w:p>
    <w:p w14:paraId="00000063" w14:textId="77777777" w:rsidR="00C15823" w:rsidRPr="003B3D6C" w:rsidRDefault="00B63BA7">
      <w:pPr>
        <w:spacing w:line="480" w:lineRule="auto"/>
        <w:jc w:val="both"/>
        <w:rPr>
          <w:b/>
        </w:rPr>
      </w:pPr>
      <w:r w:rsidRPr="003B3D6C">
        <w:rPr>
          <w:b/>
        </w:rPr>
        <w:t>Study overview</w:t>
      </w:r>
    </w:p>
    <w:p w14:paraId="53D9E24D" w14:textId="3E45100E" w:rsidR="00064581" w:rsidRDefault="00757A47">
      <w:pPr>
        <w:spacing w:line="480" w:lineRule="auto"/>
        <w:jc w:val="both"/>
      </w:pPr>
      <w:r>
        <w:t xml:space="preserve">Participants </w:t>
      </w:r>
      <w:r w:rsidR="00756517">
        <w:t xml:space="preserve">attended the laboratory and </w:t>
      </w:r>
      <w:r>
        <w:t>completed a baseline experimental visit 1-2 weeks before beginning the</w:t>
      </w:r>
      <w:r w:rsidR="00937F33">
        <w:t>ir first allocated condition</w:t>
      </w:r>
      <w:r>
        <w:t xml:space="preserve">. </w:t>
      </w:r>
      <w:r w:rsidR="00B63BA7" w:rsidRPr="003B3D6C">
        <w:t xml:space="preserve">The HWI arm </w:t>
      </w:r>
      <w:r w:rsidR="00937F33">
        <w:t>of this trial consisted of</w:t>
      </w:r>
      <w:r w:rsidR="00937F33" w:rsidRPr="003B3D6C">
        <w:t xml:space="preserve"> </w:t>
      </w:r>
      <w:r w:rsidR="00B63BA7" w:rsidRPr="003B3D6C">
        <w:t>12-18 HWI sessions (</w:t>
      </w:r>
      <w:r w:rsidR="001267D0">
        <w:t xml:space="preserve">two to three </w:t>
      </w:r>
      <w:r w:rsidR="00B63BA7" w:rsidRPr="003B3D6C">
        <w:t>per week)</w:t>
      </w:r>
      <w:r w:rsidR="00756517">
        <w:t xml:space="preserve"> in the Extreme Environments and Clinical, Health and Rehabilitation laborator</w:t>
      </w:r>
      <w:r w:rsidR="00647498">
        <w:t>y</w:t>
      </w:r>
      <w:r w:rsidR="00B63BA7" w:rsidRPr="003B3D6C">
        <w:t xml:space="preserve"> over six weeks, with post-testing 48-72 hours after the final session</w:t>
      </w:r>
      <w:r w:rsidR="00417351">
        <w:t xml:space="preserve">, in line with previous research in our lab </w:t>
      </w:r>
      <w:r w:rsidR="00417351">
        <w:fldChar w:fldCharType="begin"/>
      </w:r>
      <w:r w:rsidR="00AA5A2F">
        <w:instrText xml:space="preserve"> ADDIN ZOTERO_ITEM CSL_CITATION {"citationID":"bIvmgFmg","properties":{"formattedCitation":"(James {\\i{}et al.}, 2023)","plainCitation":"(James et al., 2023)","noteIndex":0},"citationItems":[{"id":584,"uris":["http://www.mendeley.com/documents/?uuid=df039695-2fde-3dda-8d03-d2339d61926f","http://zotero.org/users/17561370/items/XPBSB49Y"],"itemData":{"id":584,"type":"article-journal","abstract":"Repeated hot water immersion (HWI) can improve glycemic control in healthy individuals but data are limited for individuals with type 2 diabetes mellitus (T2DM). The present study investigated whether repeated HWI improves insulin sensitivity and inflammatory status and reduces plasma ([extracellular heat shock protein 70]) [eHSP70] and resting metabolic rate (RMR). Fourteen individuals with T2DM participated in this pre- versus postintervention study, with outcome measures assessed in fasted (≥12 h) and postprandial (2-h post-75 g glucose ingestion) states. HWI consisted of 1 h in 40°C water (target rectal temperature 38.5°C-39°C) repeated 8-10 times within a 14-day period. Outcome measures included insulin sensitivity, plasma [glucose], [insulin], [eHSP70], inflammatory markers, RMR, and substrate utilization. The HWI intervention increased fasted insulin sensitivity (QUICKI; P = 0.03) and lowered fasted plasma [insulin] (P = 0.04), but fasting plasma [glucose] (P = 0.83), [eHSP70] (P = 0.08), [IL-6] (P = 0.55), [IL-10] (P = 0.59), postprandial insulin sensitivity (P = 0.19), plasma [glucose] (P = 0.40), and [insulin] (P = 0.47) were not different. RMR was reduced by 6.63% (P &lt; 0.05), although carbohydrate (P = 0.43) and fat oxidation (P = 0.99) rates were unchanged. This study shows that 8-10 HWIs within a 14-day period improved fasting insulin sensitivity and plasma [insulin] in individuals with T2DM, but not when glucose tolerance is challenged. HWI also improves metabolic efficiency (i.e., reduced RMR). Together these results could be clinically important and have implications for metabolic health outcomes and well-being in individuals with T2DM.NEW &amp; NOTEWORTHY This is the first study to investigate repeated HWI to raise deep body temperature on insulin sensitivity, inflammation, eHSP70, and substrate utilization in individuals with T2DM. The principal novel findings were improvements in fasting insulin sensitivity and fasting plasma [insulin] but no change in fasting plasma [glucose], postprandial insulin sensitivity, plasma [insulin], or [glucose]. There was also no change in eHSP70, inflammatory status, or substrate utilization but there were reductions in RMR and oxygen consumption.","container-title":"American journal of physiology. Endocrinology and metabolism","DOI":"10.1152/AJPENDO.00222.2023/ASSET/IMAGES/LARGE/AJPENDO.00222.2023_F004.JPEG","ISSN":"15221555","issue":"6","page":"E755-E763","PMID":"37938179","publisher":"American Physiological Society Rockville, MD","title":"The effect of repeated hot water immersion on insulin sensitivity, heat shock protein 70, and inflammation in individuals with type 2 diabetes mellitus","volume":"325","author":[{"family":"James","given":"Thomas J."},{"family":"Corbett","given":"Jo"},{"family":"Cummings","given":"Michael"},{"family":"Allard","given":"Sharon"},{"family":"Shute","given":"Janis K."},{"family":"Belcher","given":"Harvey"},{"family":"Mayes","given":"Harry"},{"family":"Gould","given":"Alex A.M."},{"family":"Piccolo","given":"Daniel D."},{"family":"Tipton","given":"Michael"},{"family":"Perissiou","given":"Maria"},{"family":"Saynor","given":"Zoe L."},{"family":"Shepherd","given":"Anthony I."}],"issued":{"date-parts":[["2023",12,1]]}}}],"schema":"https://github.com/citation-style-language/schema/raw/master/csl-citation.json"} </w:instrText>
      </w:r>
      <w:r w:rsidR="00417351">
        <w:fldChar w:fldCharType="separate"/>
      </w:r>
      <w:r w:rsidR="00417351" w:rsidRPr="00417351">
        <w:t xml:space="preserve">(James </w:t>
      </w:r>
      <w:r w:rsidR="00417351" w:rsidRPr="00417351">
        <w:rPr>
          <w:i/>
          <w:iCs/>
        </w:rPr>
        <w:t>et al.</w:t>
      </w:r>
      <w:r w:rsidR="00417351" w:rsidRPr="00417351">
        <w:t>, 2023)</w:t>
      </w:r>
      <w:r w:rsidR="00417351">
        <w:fldChar w:fldCharType="end"/>
      </w:r>
      <w:r w:rsidR="00B63BA7" w:rsidRPr="003B3D6C">
        <w:t xml:space="preserve">. In the CON arm, participants continued their usual routines and returned </w:t>
      </w:r>
      <w:r w:rsidR="00756517">
        <w:t>to the laborator</w:t>
      </w:r>
      <w:r w:rsidR="00647498">
        <w:t>y</w:t>
      </w:r>
      <w:r w:rsidR="00756517">
        <w:t xml:space="preserve"> </w:t>
      </w:r>
      <w:r w:rsidR="00B63BA7" w:rsidRPr="003B3D6C">
        <w:t xml:space="preserve">for post-testing six-week later. </w:t>
      </w:r>
    </w:p>
    <w:p w14:paraId="00000066" w14:textId="77A36EAD" w:rsidR="00C15823" w:rsidRPr="003B3D6C" w:rsidRDefault="00B63BA7">
      <w:pPr>
        <w:spacing w:line="480" w:lineRule="auto"/>
        <w:jc w:val="both"/>
        <w:rPr>
          <w:b/>
        </w:rPr>
      </w:pPr>
      <w:r w:rsidRPr="003B3D6C">
        <w:rPr>
          <w:b/>
        </w:rPr>
        <w:t>Protocol</w:t>
      </w:r>
    </w:p>
    <w:p w14:paraId="00000067" w14:textId="77777777" w:rsidR="00C15823" w:rsidRPr="003B3D6C" w:rsidRDefault="00B63BA7">
      <w:pPr>
        <w:spacing w:line="480" w:lineRule="auto"/>
        <w:jc w:val="both"/>
        <w:rPr>
          <w:i/>
        </w:rPr>
      </w:pPr>
      <w:r w:rsidRPr="003B3D6C">
        <w:rPr>
          <w:i/>
        </w:rPr>
        <w:t>Experimental visits</w:t>
      </w:r>
    </w:p>
    <w:p w14:paraId="00000068" w14:textId="2D416F74" w:rsidR="00C15823" w:rsidRPr="003B3D6C" w:rsidRDefault="00B63BA7">
      <w:pPr>
        <w:spacing w:line="480" w:lineRule="auto"/>
        <w:jc w:val="both"/>
      </w:pPr>
      <w:r w:rsidRPr="003B3D6C">
        <w:t>Participants arrived at the laboratory in the morning (10:00 ± 1 hour), having abstained from heavy exercise and alcohol for 24</w:t>
      </w:r>
      <w:r w:rsidR="00751B40">
        <w:t xml:space="preserve"> </w:t>
      </w:r>
      <w:r w:rsidRPr="003B3D6C">
        <w:t>hours and did not consume caffeine on the morning of the visit. After a measurement of maximal grip strength was taken, participants were instrumented with retroreflective markers</w:t>
      </w:r>
      <w:r w:rsidR="003901CD">
        <w:t>,</w:t>
      </w:r>
      <w:r w:rsidRPr="003B3D6C">
        <w:t xml:space="preserve"> before </w:t>
      </w:r>
      <w:r w:rsidR="003901CD">
        <w:t>undertaking assessments</w:t>
      </w:r>
      <w:r w:rsidRPr="003B3D6C">
        <w:t xml:space="preserve"> of quadriceps</w:t>
      </w:r>
      <w:r w:rsidR="003901CD">
        <w:t xml:space="preserve"> muscle</w:t>
      </w:r>
      <w:r w:rsidRPr="003B3D6C">
        <w:t xml:space="preserve"> strength</w:t>
      </w:r>
      <w:r w:rsidR="003901CD">
        <w:t>,</w:t>
      </w:r>
      <w:r w:rsidRPr="003B3D6C">
        <w:t xml:space="preserve"> </w:t>
      </w:r>
      <w:r w:rsidR="003901CD">
        <w:t xml:space="preserve">followed by </w:t>
      </w:r>
      <w:r w:rsidRPr="003B3D6C">
        <w:t xml:space="preserve">a functional </w:t>
      </w:r>
      <w:r w:rsidR="003901CD">
        <w:t xml:space="preserve">exercise </w:t>
      </w:r>
      <w:r w:rsidRPr="003B3D6C">
        <w:t>test</w:t>
      </w:r>
      <w:r w:rsidR="00634BAA">
        <w:t xml:space="preserve"> </w:t>
      </w:r>
      <w:r w:rsidR="000E017E">
        <w:t>[</w:t>
      </w:r>
      <w:r w:rsidR="00756517" w:rsidRPr="003B3D6C">
        <w:t>Short Physical Performance Battery (SPPB)</w:t>
      </w:r>
      <w:r w:rsidR="00756517">
        <w:t xml:space="preserve"> </w:t>
      </w:r>
      <w:r w:rsidR="00756517">
        <w:fldChar w:fldCharType="begin" w:fldLock="1"/>
      </w:r>
      <w:r w:rsidR="00AA5A2F">
        <w:instrText xml:space="preserve"> ADDIN ZOTERO_ITEM CSL_CITATION {"citationID":"KdFVn0dM","properties":{"formattedCitation":"(Guralnik {\\i{}et al.}, 1994)","plainCitation":"(Guralnik et al., 1994)","noteIndex":0},"citationItems":[{"id":1376,"uris":["http://www.mendeley.com/documents/?uuid=0de29194-0055-352f-8325-dd179e11a21f","http://zotero.org/users/17561370/items/9ZKXXW4F"],"itemData":{"id":1376,"type":"article-journal","abstract":"Background. A short battery of physical performance tests was used to assess lower extremity function in more than 5,000 persons age 71 years and older in three communities. Methods. Balance, gait, strength, and endurance were evaluated by examining ability to stand with the feet together in the side-by-side, semi-tandem, and tandem positions, time to walk 8 feet, and time to rise from a chair and return to the seated position 5 times. Results. A wide distribution of performance was observed for each test. Each test and a summary performance scale, created by summing categorical rankings of performance on each test, were strongly associated with self-report of disability. Both self-report items and performance tests were independent predictors of short-term mortality and nursing home admission in multivariate analyses. However, evidence is presented that the performance tests provide information not available from self-report items. Of particular importance is the finding that in those at the high end of the functional spectrum, who reported almost no disability, the performance test scores distinguished a gradient of risk for mortality and nursing home admission. Additionally, within subgroups with identical self-report profiles, there were systematic differences in physical performance related to age and sex. Conclusion. This study provides evidence that performance measures can validly characterize older persons across a broad spectrum of lower extremity function. Performance and self-report measures may complement each other in providing useful information about functional status.","container-title":"Journals of Gerontology","DOI":"10.1093/geronj/49.2.M85","ISSN":"00221422","issue":"2","page":"M85-M94","PMID":"8126356","publisher":"Oxford Academic","title":"A short physical performance battery assessing lower extremity function: Association with self-reported disability and prediction of mortality and nursing home admission","volume":"49","author":[{"family":"Guralnik","given":"J. M."},{"family":"Simonsick","given":"E. M."},{"family":"Ferrucci","given":"L."},{"family":"Glynn","given":"R. J."},{"family":"Berkman","given":"L. F."},{"family":"Blazer","given":"D. G."},{"family":"Scherr","given":"P. A."},{"family":"Wallace","given":"R. B."}],"issued":{"date-parts":[["1994",3,1]]}}}],"schema":"https://github.com/citation-style-language/schema/raw/master/csl-citation.json"} </w:instrText>
      </w:r>
      <w:r w:rsidR="00756517">
        <w:fldChar w:fldCharType="separate"/>
      </w:r>
      <w:r w:rsidR="005C33DC" w:rsidRPr="005C33DC">
        <w:t xml:space="preserve">(Guralnik </w:t>
      </w:r>
      <w:r w:rsidR="005C33DC" w:rsidRPr="005C33DC">
        <w:rPr>
          <w:i/>
          <w:iCs/>
        </w:rPr>
        <w:t>et al.</w:t>
      </w:r>
      <w:r w:rsidR="005C33DC" w:rsidRPr="005C33DC">
        <w:t>, 1994)</w:t>
      </w:r>
      <w:r w:rsidR="00756517">
        <w:fldChar w:fldCharType="end"/>
      </w:r>
      <w:r w:rsidR="000E017E">
        <w:t>].</w:t>
      </w:r>
    </w:p>
    <w:p w14:paraId="00000069" w14:textId="77777777" w:rsidR="00C15823" w:rsidRPr="003B3D6C" w:rsidRDefault="00B63BA7">
      <w:pPr>
        <w:spacing w:line="480" w:lineRule="auto"/>
        <w:jc w:val="both"/>
        <w:rPr>
          <w:i/>
        </w:rPr>
      </w:pPr>
      <w:r w:rsidRPr="003B3D6C">
        <w:rPr>
          <w:i/>
        </w:rPr>
        <w:lastRenderedPageBreak/>
        <w:t>Intervention (hot water immersion)</w:t>
      </w:r>
    </w:p>
    <w:p w14:paraId="0000006A" w14:textId="08649086" w:rsidR="00C15823" w:rsidRPr="003B3D6C" w:rsidRDefault="004A01CC">
      <w:pPr>
        <w:spacing w:line="480" w:lineRule="auto"/>
        <w:jc w:val="both"/>
      </w:pPr>
      <w:r>
        <w:t>During the intervention arm, p</w:t>
      </w:r>
      <w:r w:rsidR="00B63BA7" w:rsidRPr="003B3D6C">
        <w:t>articipants</w:t>
      </w:r>
      <w:r w:rsidR="00C64C19">
        <w:t xml:space="preserve"> were asked to</w:t>
      </w:r>
      <w:r w:rsidR="00B63BA7" w:rsidRPr="003B3D6C">
        <w:t xml:space="preserve"> complete </w:t>
      </w:r>
      <w:r>
        <w:t xml:space="preserve">two to </w:t>
      </w:r>
      <w:r w:rsidR="000379B9">
        <w:t>three</w:t>
      </w:r>
      <w:r w:rsidR="00B63BA7" w:rsidRPr="003B3D6C">
        <w:t xml:space="preserve"> HWI sessions </w:t>
      </w:r>
      <w:r w:rsidR="000379B9">
        <w:t xml:space="preserve">per week </w:t>
      </w:r>
      <w:r w:rsidR="00EA0D52">
        <w:t xml:space="preserve">for </w:t>
      </w:r>
      <w:r w:rsidR="00B63BA7" w:rsidRPr="003B3D6C">
        <w:t>six</w:t>
      </w:r>
      <w:r w:rsidR="00751B40">
        <w:t xml:space="preserve"> </w:t>
      </w:r>
      <w:r w:rsidR="00B63BA7" w:rsidRPr="003B3D6C">
        <w:t>weeks</w:t>
      </w:r>
      <w:r>
        <w:t>,</w:t>
      </w:r>
      <w:r w:rsidR="00634BAA">
        <w:t xml:space="preserve"> </w:t>
      </w:r>
      <w:r>
        <w:t xml:space="preserve">which is similar to </w:t>
      </w:r>
      <w:r w:rsidR="00634BAA">
        <w:t>previous studies</w:t>
      </w:r>
      <w:r w:rsidR="00F30227">
        <w:t xml:space="preserve"> </w:t>
      </w:r>
      <w:r>
        <w:t xml:space="preserve">implementing HWI interventions </w:t>
      </w:r>
      <w:r w:rsidR="00F30227">
        <w:t>in healthy and clinical populations</w:t>
      </w:r>
      <w:r w:rsidR="00634BAA">
        <w:t xml:space="preserve"> </w:t>
      </w:r>
      <w:r w:rsidR="00634BAA">
        <w:fldChar w:fldCharType="begin" w:fldLock="1"/>
      </w:r>
      <w:r w:rsidR="00AA5A2F">
        <w:instrText xml:space="preserve"> ADDIN ZOTERO_ITEM CSL_CITATION {"citationID":"CQQfLVY6","properties":{"formattedCitation":"(Oyama {\\i{}et al.}, 2013; Brunt {\\i{}et al.}, 2016; Hesketh {\\i{}et al.}, 2019)","plainCitation":"(Oyama et al., 2013; Brunt et al., 2016; Hesketh et al., 2019)","noteIndex":0},"citationItems":[{"id":478,"uris":["http://www.mendeley.com/documents/?uuid=4fd26404-74de-3261-90e9-de95aa7a21cc","http://zotero.org/users/17561370/items/G5QLYLW9"],"itemData":{"id":478,"type":"article-journal","abstract":"Key points: A recent 30 year prospective study showed that lifelong sauna use reduces cardiovascular-related and all-cause mortality; however, the specific cardiovascular adaptations that cause this chronic protection are currently unknown. We investigated the effects of 8 weeks of repeated hot water immersion (‘heat therapy’) on various biomarkers of cardiovascular health in young, sedentary humans. We showed that, relative to a sham group which participated in thermoneutral water immersion, heat therapy increased flow-mediated dilatation, reduced arterial stiffness, reduced mean arterial and diastolic blood pressure, and reduced carotid intima media thickness, with changes all on par or greater than what is typically observed in sedentary subjects with exercise training. Our results show for the first time that heat therapy has widespread and robust effects on vascular function, and as such, could be a viable treatment option for improving cardiovascular health in a variety of patient populations, particularly those with limited exercise tolerance and/or capabilities. Abstract: The majority of cardiovascular diseases are characterized by disorders of the arteries, predominantly caused by endothelial dysfunction and arterial stiffening. Intermittent hot water immersion (‘heat therapy’) results in elevations in core temperature and changes in cardiovascular haemodynamics, such as cardiac output and vascular shear stress, that are similar to exercise, and thus may provide an alternative means of improving health which could be utilized by patients with low exercise tolerance and/or capabilities. We sought to comprehensively assess the effects of 8 weeks of heat therapy on biomarkers of vascular function in young, sedentary subjects. Twenty young, sedentary subjects were assigned to participate in 8 weeks (4–5 times per week) of heat therapy (n = 10; immersion in a 40.5°C bath sufficient to maintain rectal temperature ≥ 38.5°C for 60 min per session) or thermoneutral water immersion (n = 10; sham). Eight weeks of heat therapy increased flow-mediated dilatation from 5.6 ± 0.3 to 10.9 ± 1.0% (P &lt; 0.01) and superficial femoral dynamic arterial compliance from 0.06 ± 0.01 to 0.09 ±0.01 mm2 mmHg−1 (P = 0.03), and reduced (i.e. improved) aortic pulse wave velocity from 7.1 ± 0.3 to 6.1 ± 0.3 m s−1 (P = 0.03), carotid intima media thickness from 0.43 ± 0.01 to 0.37 ± 0.01 mm (P &lt; 0.001), and mean arterial blood pressure from 83 ± 1 to 78 ± 2 mmHg (P = 0.02). No changes were observed in the sham group or for carotid arterial compliance, superficial femoral intima media thickness or endothelium-independent dilatation. Heat therapy improved endothelium-dependent dilatation, arterial stiffness, intima media thickness and blood pressure, indicating improved cardiovascular health. These data suggest heat therapy may provide a simple and effective tool for improving cardiovascular health in various populations.","container-title":"The Journal of Physiology","DOI":"10.1113/JP272453","ISSN":"1469-7793","issue":"18","page":"5329-5342","PMID":"27270841","publisher":"John Wiley &amp; Sons, Ltd","title":"Passive heat therapy improves endothelial function, arterial stiffness and blood pressure in sedentary humans","volume":"594","author":[{"family":"Brunt","given":"Vienna E."},{"family":"Howard","given":"Matthew J."},{"family":"Francisco","given":"Michael A."},{"family":"Ely","given":"Brett R."},{"family":"Minson","given":"Christopher T."}],"issued":{"date-parts":[["2016",9,15]]}}},{"id":487,"uris":["http://www.mendeley.com/documents/?uuid=109bbb4a-00d1-3fa3-9cdb-c924108be82d","http://zotero.org/users/17561370/items/FPLKXD63"],"itemData":{"id":487,"type":"article-journal","abstract":"Passive heat therapy (PHT) has been proposed as an alternative intervention to moderate-intensity continuous training (MICT) in individuals who are unable or unwilling to exercise. This study aimed to make the first comparison of the effect of PHT and MICT on 1) skeletal muscle capillarization and endothelial-specific endothelial nitric oxide synthase (eNOS) content and 2) mitochondrial density, glucose transporter 4 (GLUT4), and intramuscular triglyceride (IMTG) content. Twenty young sedentary males (21 &lt; 1 yr, body mass index 25 &lt; 1 kg/m2) were allocated to either 6 wk of PHT (n &lt; 10; 40–50 min at 40°C in a heat chamber, 3</w:instrText>
      </w:r>
      <w:r w:rsidR="00AA5A2F">
        <w:rPr>
          <w:rFonts w:ascii="Segoe UI Symbol" w:hAnsi="Segoe UI Symbol" w:cs="Segoe UI Symbol"/>
        </w:rPr>
        <w:instrText>☓</w:instrText>
      </w:r>
      <w:r w:rsidR="00AA5A2F">
        <w:instrText xml:space="preserve">/wk) or MICT (n &lt; 10; time-matched cycling at ~65% V˙ O2peak). Muscle biopsies were taken from the vastus lateralis muscle before and after training. Immunofluorescence microscopy was used to assess changes in skeletal muscle mitochondrial density (mitochon-drial marker cytochrome c oxidase subunit 4), GLUT4, and IMTG content, capillarization, and endothelial-specific eNOS content. V˙ O2peak and whole body insulin sensitivity were also assessed. PHT and MICT both increased capillary density (PHT 21%; MICT 12%), capillary-fiber perimeter exchange index (PHT 15%; MICT 12%) (P &lt; 0.05), and endothelial-specific eNOS content (PHT 8%; MICT 12%) (P &lt; 0.05). However, unlike MICT (mitochondrial density 40%; GLUT4 14%; IMTG content 70%) (P &lt; 0.05), PHT did not increase mitochondrial density (11%, P &lt; 0.443), GLUT4 (7%, P &lt; 0.217), or IMTG content (1%, P &lt; 0.957). Both interventions improved aerobic capacity (PHT 5%; MICT 7%) and whole body insulin sensitivity (PHT 15%; MICT 36%) (P &lt; 0.05). Six-week PHT in young sedentary males increases skeletal muscle capillarization and eNOS content to a similar extent as MICT; however, unlike MICT, PHT does not affect skeletal muscle mitochondrial density, GLUT4, or IMTG content. NEW &amp; NOTEWORTHY The effect of 6-wk passive heat therapy (PHT) compared with moderate-intensity continuous training (MICT) was investigated in young sedentary males. PHT induced similar increases in skeletal muscle capillarization and endothelial-specific endothelial nitric oxide synthase content to MICT. Unlike MICT, PHT did not improve skeletal muscle mitochondrial density, glucose transporter 4, or intramuscular triglyceride content. These microvas-cular adaptations were paralleled by improvements in V˙ O2peak and insulin sensitivity, suggesting that microvascular adaptations may contribute to functional improvements following PHT.","container-title":"American Journal of Physiology - Heart and Circulatory Physiology","DOI":"10.1152/AJPHEART.00816.2018/ASSET/IMAGES/LARGE/ZH40061928520004.JPEG","ISSN":"15221539","issue":"1","page":"H114-H123","PMID":"31074654","publisher":"American Physiological Society","title":"Passive heat therapy in sedentary humans increases skeletal muscle capillarization and enos content but not mitochondrial density or glut4 content","volume":"317","author":[{"family":"Hesketh","given":"Katie"},{"family":"Shepherd","given":"Sam O."},{"family":"Strauss","given":"Juliette A."},{"family":"Low","given":"David A."},{"family":"Cooper","given":"Robert J."},{"family":"Wagenmakers","given":"Anton J.M."},{"family":"Cocks","given":"Matthew"}],"issued":{"date-parts":[["2019"]]}}},{"id":837,"uris":["http://www.mendeley.com/documents/?uuid=08a32737-8a92-378f-9276-918f78d4e288","http://zotero.org/users/17561370/items/RDDA9L6K"],"itemData":{"id":837,"type":"article-journal","abstract":"Balneotherapy has been shown to reduce systemic blood pressure in healthy volunteers. Hyperthermia might ameliorate the inflammatory status in heart failure through improving cardiac function. The purpose of this study was to examine the beneficial effects of balneotherapy in patients with chronic heart failure (CHF). Thirty-two patients with systolic CHF classified as New York Heart Association functional status II or III were randomized to divide either a balneotherapy group or a control group. The patients in the balneotherapy group were immersed in a hot spring at 40 C for 10 min daily for 2 weeks; the control group patients took a shower daily. The left ventricular ejection fraction (EF) and cardiothoracic ratio (CTR) were evaluated and plasma brain natriuretic peptide (BNP), high-sensitivity C-reactive protein (hsCRP), tumor necrosis factor (TNF)-α, interleukin (IL)-1β, and IL-6 levels were measured. The clinical symptoms improved after 2 weeks of hot spring therapy. Although the heart rate did not change, clinical symptoms, CTR, EF, and BNP were significantly improved. Moreover, the inflammatory responses, including hsCRP, TNF-α and IL-6 decreased significantly after balneotherapy. The improvement of BNP correlates with the changes in inflammatory biomarkers. Repeated hyperthermia by bathing in a hot spring is therefore considered to improve the cardiac and inflammatory status in patients with CHF. © 2012 Springer.","container-title":"Heart and Vessels","DOI":"10.1007/S00380-011-0220-7/TABLES/1","ISSN":"09108327","issue":"2","page":"173-178","PMID":"22231540","publisher":"Springer","title":"Hyperthermia by bathing in a hot spring improves cardiovascular functions and reduces the production of inflammatory cytokines in patients with chronic heart failure","volume":"28","author":[{"family":"Oyama","given":"Jun Ichi"},{"family":"Kudo","given":"Yoshihiro"},{"family":"Maeda","given":"Toyoki"},{"family":"Node","given":"Koichi"},{"family":"Makino","given":"Naoki"}],"issued":{"date-parts":[["2013",3,11]]}}}],"schema":"https://github.com/citation-style-language/schema/raw/master/csl-citation.json"} </w:instrText>
      </w:r>
      <w:r w:rsidR="00634BAA">
        <w:fldChar w:fldCharType="separate"/>
      </w:r>
      <w:r w:rsidR="005C33DC" w:rsidRPr="005C33DC">
        <w:t xml:space="preserve">(Oyama </w:t>
      </w:r>
      <w:r w:rsidR="005C33DC" w:rsidRPr="005C33DC">
        <w:rPr>
          <w:i/>
          <w:iCs/>
        </w:rPr>
        <w:t>et al.</w:t>
      </w:r>
      <w:r w:rsidR="005C33DC" w:rsidRPr="005C33DC">
        <w:t xml:space="preserve">, 2013; Brunt </w:t>
      </w:r>
      <w:r w:rsidR="005C33DC" w:rsidRPr="005C33DC">
        <w:rPr>
          <w:i/>
          <w:iCs/>
        </w:rPr>
        <w:t>et al.</w:t>
      </w:r>
      <w:r w:rsidR="005C33DC" w:rsidRPr="005C33DC">
        <w:t xml:space="preserve">, 2016; Hesketh </w:t>
      </w:r>
      <w:r w:rsidR="005C33DC" w:rsidRPr="005C33DC">
        <w:rPr>
          <w:i/>
          <w:iCs/>
        </w:rPr>
        <w:t>et al.</w:t>
      </w:r>
      <w:r w:rsidR="005C33DC" w:rsidRPr="005C33DC">
        <w:t>, 2019)</w:t>
      </w:r>
      <w:r w:rsidR="00634BAA">
        <w:fldChar w:fldCharType="end"/>
      </w:r>
      <w:r w:rsidR="00B63BA7" w:rsidRPr="003B3D6C">
        <w:t xml:space="preserve">. </w:t>
      </w:r>
      <w:r w:rsidR="000379B9">
        <w:t>During each</w:t>
      </w:r>
      <w:r w:rsidR="00B63BA7" w:rsidRPr="003B3D6C">
        <w:t xml:space="preserve"> HWI session</w:t>
      </w:r>
      <w:r w:rsidR="000379B9">
        <w:t xml:space="preserve">, participants were </w:t>
      </w:r>
      <w:proofErr w:type="gramStart"/>
      <w:r w:rsidR="00B63BA7" w:rsidRPr="003B3D6C">
        <w:t>immers</w:t>
      </w:r>
      <w:r w:rsidR="000379B9">
        <w:t>ed</w:t>
      </w:r>
      <w:r w:rsidR="00B63BA7" w:rsidRPr="003B3D6C">
        <w:t xml:space="preserve"> to just below shoulder height</w:t>
      </w:r>
      <w:proofErr w:type="gramEnd"/>
      <w:r w:rsidR="00B63BA7" w:rsidRPr="003B3D6C">
        <w:t xml:space="preserve"> in 40°C water for 60 minutes in a hot tub (Hawaii, Lay-Z-Spa, UK)</w:t>
      </w:r>
      <w:r w:rsidR="0016686F">
        <w:t>,</w:t>
      </w:r>
      <w:r w:rsidR="00B63BA7" w:rsidRPr="003B3D6C">
        <w:t xml:space="preserve"> or temperature-controlled immersion pool</w:t>
      </w:r>
      <w:r w:rsidR="00B3528D">
        <w:t xml:space="preserve"> within the </w:t>
      </w:r>
      <w:r w:rsidR="00776B67">
        <w:t>E</w:t>
      </w:r>
      <w:r w:rsidR="00B3528D">
        <w:t xml:space="preserve">xtreme </w:t>
      </w:r>
      <w:r w:rsidR="00776B67">
        <w:t>E</w:t>
      </w:r>
      <w:r w:rsidR="00B3528D">
        <w:t xml:space="preserve">nvironments </w:t>
      </w:r>
      <w:r w:rsidR="00776B67">
        <w:t>L</w:t>
      </w:r>
      <w:r w:rsidR="00B3528D">
        <w:t>aboratory</w:t>
      </w:r>
      <w:r w:rsidR="0098354B">
        <w:t xml:space="preserve"> (University of Portsmouth)</w:t>
      </w:r>
      <w:r w:rsidR="00B63BA7" w:rsidRPr="003B3D6C">
        <w:t>.</w:t>
      </w:r>
      <w:r w:rsidR="000379B9">
        <w:t xml:space="preserve"> To continuously monitor deep body temperature </w:t>
      </w:r>
      <w:r w:rsidR="000379B9" w:rsidRPr="003B3D6C">
        <w:t>(</w:t>
      </w:r>
      <w:proofErr w:type="spellStart"/>
      <w:r w:rsidR="000379B9" w:rsidRPr="00CF3B83">
        <w:rPr>
          <w:i/>
          <w:iCs/>
        </w:rPr>
        <w:t>T</w:t>
      </w:r>
      <w:r w:rsidR="000379B9" w:rsidRPr="003B3D6C">
        <w:rPr>
          <w:vertAlign w:val="subscript"/>
        </w:rPr>
        <w:t>rec</w:t>
      </w:r>
      <w:proofErr w:type="spellEnd"/>
      <w:r w:rsidR="000379B9" w:rsidRPr="003B3D6C">
        <w:t>)</w:t>
      </w:r>
      <w:r w:rsidR="000379B9" w:rsidRPr="000379B9">
        <w:t xml:space="preserve"> </w:t>
      </w:r>
      <w:r w:rsidR="000379B9">
        <w:t xml:space="preserve">(2040 Squirrel, Grant Instruments, Cambridge, UK), participants </w:t>
      </w:r>
      <w:r w:rsidR="000379B9" w:rsidRPr="003B3D6C">
        <w:t xml:space="preserve">self-inserted </w:t>
      </w:r>
      <w:r w:rsidR="000379B9">
        <w:t xml:space="preserve">a </w:t>
      </w:r>
      <w:r w:rsidR="000379B9" w:rsidRPr="003B3D6C">
        <w:t>rectal thermistor</w:t>
      </w:r>
      <w:r w:rsidR="000379B9">
        <w:t xml:space="preserve"> </w:t>
      </w:r>
      <w:r w:rsidR="000379B9" w:rsidRPr="003B3D6C">
        <w:t xml:space="preserve">(Rectal temperature probe, Philips, </w:t>
      </w:r>
      <w:proofErr w:type="spellStart"/>
      <w:r w:rsidR="000379B9" w:rsidRPr="003B3D6C">
        <w:t>Netherlands</w:t>
      </w:r>
      <w:r w:rsidR="00087EE2">
        <w:t>;</w:t>
      </w:r>
      <w:r w:rsidR="000379B9" w:rsidRPr="00F61213">
        <w:t>YSI</w:t>
      </w:r>
      <w:proofErr w:type="spellEnd"/>
      <w:r w:rsidR="000379B9" w:rsidRPr="00F61213">
        <w:t xml:space="preserve"> 400 series temperature probe, PROACT Medical, Corby, UK</w:t>
      </w:r>
      <w:r w:rsidR="000379B9">
        <w:t>)</w:t>
      </w:r>
      <w:r w:rsidR="000379B9" w:rsidRPr="000379B9">
        <w:t xml:space="preserve"> </w:t>
      </w:r>
      <w:r w:rsidR="000379B9">
        <w:t>to a depth of 15 cm</w:t>
      </w:r>
      <w:r w:rsidR="000379B9" w:rsidRPr="003B3D6C">
        <w:t xml:space="preserve">. </w:t>
      </w:r>
      <w:r w:rsidR="00B63BA7" w:rsidRPr="003B3D6C">
        <w:t xml:space="preserve">Body position was </w:t>
      </w:r>
      <w:r w:rsidR="005438DF">
        <w:t>manipulated</w:t>
      </w:r>
      <w:r>
        <w:t xml:space="preserve"> </w:t>
      </w:r>
      <w:r w:rsidR="00EA0D52">
        <w:t xml:space="preserve">(i.e., </w:t>
      </w:r>
      <w:r w:rsidR="000379B9">
        <w:t>the amount that was immersed</w:t>
      </w:r>
      <w:r w:rsidR="00EA0D52">
        <w:t xml:space="preserve">) </w:t>
      </w:r>
      <w:r w:rsidR="00C64C19">
        <w:t xml:space="preserve">as </w:t>
      </w:r>
      <w:r w:rsidR="00031558">
        <w:t>necessary,</w:t>
      </w:r>
      <w:r w:rsidR="00B63BA7" w:rsidRPr="003B3D6C">
        <w:t xml:space="preserve"> to </w:t>
      </w:r>
      <w:r w:rsidR="00031558">
        <w:t xml:space="preserve">ensure </w:t>
      </w:r>
      <w:r>
        <w:t xml:space="preserve">participants reached </w:t>
      </w:r>
      <w:r w:rsidR="000379B9">
        <w:t xml:space="preserve">and </w:t>
      </w:r>
      <w:r>
        <w:t xml:space="preserve">maintained </w:t>
      </w:r>
      <w:r w:rsidR="000379B9">
        <w:t>a</w:t>
      </w:r>
      <w:r w:rsidR="00031558">
        <w:t xml:space="preserve"> </w:t>
      </w:r>
      <w:r w:rsidR="00B63BA7" w:rsidRPr="003B3D6C">
        <w:t xml:space="preserve">target </w:t>
      </w:r>
      <w:proofErr w:type="spellStart"/>
      <w:r w:rsidR="00B63BA7" w:rsidRPr="00CF3B83">
        <w:rPr>
          <w:i/>
          <w:iCs/>
        </w:rPr>
        <w:t>T</w:t>
      </w:r>
      <w:r w:rsidR="00B63BA7" w:rsidRPr="003B3D6C">
        <w:rPr>
          <w:vertAlign w:val="subscript"/>
        </w:rPr>
        <w:t>rec</w:t>
      </w:r>
      <w:proofErr w:type="spellEnd"/>
      <w:r w:rsidR="00B63BA7" w:rsidRPr="003B3D6C">
        <w:t xml:space="preserve"> of 38.5-39.0°C</w:t>
      </w:r>
      <w:r w:rsidR="00031558">
        <w:t xml:space="preserve"> throughout each </w:t>
      </w:r>
      <w:r>
        <w:t>HWI</w:t>
      </w:r>
      <w:r w:rsidR="00B63BA7" w:rsidRPr="003B3D6C">
        <w:t xml:space="preserve">. </w:t>
      </w:r>
      <w:r w:rsidR="000379B9">
        <w:t>For safety purposes, h</w:t>
      </w:r>
      <w:r w:rsidR="00B63BA7" w:rsidRPr="003B3D6C">
        <w:t>eart rate</w:t>
      </w:r>
      <w:r w:rsidR="00FF3163">
        <w:t xml:space="preserve"> </w:t>
      </w:r>
      <w:r w:rsidR="00B63BA7" w:rsidRPr="003B3D6C">
        <w:t>was continuously monitored</w:t>
      </w:r>
      <w:r w:rsidR="00031558">
        <w:t xml:space="preserve"> </w:t>
      </w:r>
      <w:r w:rsidR="00B63BA7" w:rsidRPr="003B3D6C">
        <w:t xml:space="preserve">(FT1, Polar, Finland), and </w:t>
      </w:r>
      <w:r w:rsidR="00031558">
        <w:t xml:space="preserve">BP </w:t>
      </w:r>
      <w:r w:rsidR="000379B9">
        <w:t xml:space="preserve">was </w:t>
      </w:r>
      <w:r w:rsidR="00B63BA7" w:rsidRPr="003B3D6C">
        <w:t>measured every 15</w:t>
      </w:r>
      <w:r w:rsidR="00F86323">
        <w:t xml:space="preserve"> </w:t>
      </w:r>
      <w:r w:rsidR="00B63BA7" w:rsidRPr="003B3D6C">
        <w:t>minutes</w:t>
      </w:r>
      <w:r w:rsidR="00EA0D52">
        <w:t xml:space="preserve"> (M3, Omron, Kyoto, Japan)</w:t>
      </w:r>
      <w:r w:rsidR="00B63BA7" w:rsidRPr="003B3D6C">
        <w:t xml:space="preserve">. </w:t>
      </w:r>
      <w:r w:rsidR="000379B9">
        <w:t>Following each HWI session, p</w:t>
      </w:r>
      <w:r w:rsidR="000379B9" w:rsidRPr="003B3D6C">
        <w:t xml:space="preserve">articipants </w:t>
      </w:r>
      <w:r w:rsidR="000379B9">
        <w:t>laid on a semi</w:t>
      </w:r>
      <w:r w:rsidR="00C64C19">
        <w:t xml:space="preserve"> </w:t>
      </w:r>
      <w:r w:rsidR="000379B9">
        <w:t>recumbent bed and were free to depart the laboratory</w:t>
      </w:r>
      <w:r w:rsidR="000379B9" w:rsidRPr="003B3D6C">
        <w:t xml:space="preserve"> once </w:t>
      </w:r>
      <w:proofErr w:type="spellStart"/>
      <w:r w:rsidR="000379B9" w:rsidRPr="000379B9">
        <w:rPr>
          <w:i/>
          <w:iCs/>
        </w:rPr>
        <w:t>T</w:t>
      </w:r>
      <w:r w:rsidR="000379B9" w:rsidRPr="003B3D6C">
        <w:rPr>
          <w:vertAlign w:val="subscript"/>
        </w:rPr>
        <w:t>rec</w:t>
      </w:r>
      <w:proofErr w:type="spellEnd"/>
      <w:r w:rsidR="000379B9" w:rsidRPr="003B3D6C">
        <w:t xml:space="preserve"> had </w:t>
      </w:r>
      <w:r w:rsidR="000379B9">
        <w:t xml:space="preserve">lowered </w:t>
      </w:r>
      <w:r w:rsidR="000379B9" w:rsidRPr="003B3D6C">
        <w:t>to &lt; 38.5°C</w:t>
      </w:r>
      <w:r w:rsidR="000379B9">
        <w:t xml:space="preserve"> (13 ± 4 minutes post-HWI)</w:t>
      </w:r>
      <w:r w:rsidR="000379B9" w:rsidRPr="003B3D6C">
        <w:t>.</w:t>
      </w:r>
    </w:p>
    <w:p w14:paraId="0000006B" w14:textId="77777777" w:rsidR="00C15823" w:rsidRPr="003B3D6C" w:rsidRDefault="00B63BA7">
      <w:pPr>
        <w:spacing w:line="480" w:lineRule="auto"/>
        <w:jc w:val="both"/>
        <w:rPr>
          <w:b/>
        </w:rPr>
      </w:pPr>
      <w:r w:rsidRPr="003B3D6C">
        <w:rPr>
          <w:b/>
        </w:rPr>
        <w:t>Outcome measures</w:t>
      </w:r>
    </w:p>
    <w:p w14:paraId="0678F538" w14:textId="77777777" w:rsidR="00226905" w:rsidRPr="003B3D6C" w:rsidRDefault="00226905" w:rsidP="00226905">
      <w:pPr>
        <w:spacing w:line="480" w:lineRule="auto"/>
        <w:jc w:val="both"/>
        <w:rPr>
          <w:i/>
        </w:rPr>
      </w:pPr>
      <w:r w:rsidRPr="003B3D6C">
        <w:rPr>
          <w:i/>
        </w:rPr>
        <w:t>Peak quadriceps torque</w:t>
      </w:r>
    </w:p>
    <w:p w14:paraId="69641E10" w14:textId="39B82E92" w:rsidR="00226905" w:rsidRPr="003B3D6C" w:rsidRDefault="00226905" w:rsidP="00226905">
      <w:pPr>
        <w:spacing w:line="480" w:lineRule="auto"/>
        <w:jc w:val="both"/>
      </w:pPr>
      <w:r w:rsidRPr="003B3D6C">
        <w:t xml:space="preserve">Quadriceps maximal isometric </w:t>
      </w:r>
      <w:r>
        <w:t>strength</w:t>
      </w:r>
      <w:r w:rsidRPr="003B3D6C">
        <w:t xml:space="preserve"> </w:t>
      </w:r>
      <w:r w:rsidR="00C64C19">
        <w:t>of</w:t>
      </w:r>
      <w:r w:rsidRPr="003B3D6C">
        <w:t xml:space="preserve"> the dominant leg</w:t>
      </w:r>
      <w:r w:rsidR="00337B87">
        <w:t xml:space="preserve"> </w:t>
      </w:r>
      <w:r w:rsidR="00C64C19">
        <w:t xml:space="preserve">was measured </w:t>
      </w:r>
      <w:r w:rsidR="00337B87">
        <w:t>(verbally confirmed by each participant)</w:t>
      </w:r>
      <w:r w:rsidRPr="003B3D6C">
        <w:t xml:space="preserve"> using an isokinetic dynamometer (IKD) chair (HUMAC</w:t>
      </w:r>
      <w:r w:rsidRPr="003B3D6C">
        <w:rPr>
          <w:vertAlign w:val="superscript"/>
        </w:rPr>
        <w:t>®</w:t>
      </w:r>
      <w:r w:rsidRPr="003B3D6C">
        <w:t> NORM</w:t>
      </w:r>
      <w:r w:rsidRPr="003B3D6C">
        <w:rPr>
          <w:vertAlign w:val="superscript"/>
        </w:rPr>
        <w:t>®</w:t>
      </w:r>
      <w:r w:rsidRPr="003B3D6C">
        <w:t>, Stoughton, USA)</w:t>
      </w:r>
      <w:r>
        <w:t xml:space="preserve">, </w:t>
      </w:r>
      <w:r w:rsidR="00C64C19">
        <w:t xml:space="preserve">according to the </w:t>
      </w:r>
      <w:r>
        <w:t xml:space="preserve">previously published </w:t>
      </w:r>
      <w:r w:rsidRPr="003B3D6C">
        <w:t>protocol</w:t>
      </w:r>
      <w:r>
        <w:t xml:space="preserve"> </w:t>
      </w:r>
      <w:r>
        <w:fldChar w:fldCharType="begin" w:fldLock="1"/>
      </w:r>
      <w:r w:rsidR="00AA5A2F">
        <w:instrText xml:space="preserve"> ADDIN ZOTERO_ITEM CSL_CITATION {"citationID":"jDHYsBf9","properties":{"formattedCitation":"(Harbo {\\i{}et al.}, 2012)","plainCitation":"(Harbo et al., 2012)","noteIndex":0},"citationItems":[{"id":1273,"uris":["http://www.mendeley.com/documents/?uuid=62176bb4-9291-3901-958f-35d9ed9cf187","http://zotero.org/users/17561370/items/6Y7M8ED4"],"itemData":{"id":1273,"type":"article-journal","abstract":"The main objective of this study was to establish normative values for maximal concentric isokinetic strength and maximal isometric strength of all major muscle groups in healthy subjects applying sex, age, height, and body mass-adjusted statistical models. One hundred and seventy-eight (178) (93 male and 85 female) healthy non-athletic Danish volunteers aged 15-83 years were recruited. Eighteen test protocols for each sex were applied to determine isokinetic and isometric muscle strength at knee, ankle, hip, shoulder, elbow, and wrist using a dynamometer (Biodex System 3 PRO). Multiple linear regressions were performed with maximal muscle strength (peak torque) as dependent variable and age, height, and body mass as independent variables. Muscle strength significantly related to age in 24, to height in 13 and to body mass in 27 out of the 36 models. In gender-specific analyses, the variables age, height and body mass accounted for 25% (20-29) (95% confidence interval) of the variation (r 2) in strength for men and 31% (25-38) for women. The r 2 was similar for the isokinetic models and the isometric models [31% (22-40) vs. 28% (23-34)]. Age, height, and body mass related to strength in most muscle groups and gender-specific models with estimated prediction intervals were established for maximal strength of major muscle groups. © 2011 Springer-Verlag.","container-title":"European Journal of Applied Physiology","DOI":"10.1007/S00421-011-1975-3/FIGURES/1","ISSN":"14396319","issue":"1","page":"267-275","PMID":"21537927","publisher":"Springer","title":"Maximal isokinetic and isometric muscle strength of major muscle groups related to age, body mass, height, and sex in 178 healthy subjects","volume":"112","author":[{"family":"Harbo","given":"Thomas"},{"family":"Brincks","given":"John"},{"family":"Andersen","given":"Henning"}],"issued":{"date-parts":[["2012",1,3]]}}}],"schema":"https://github.com/citation-style-language/schema/raw/master/csl-citation.json"} </w:instrText>
      </w:r>
      <w:r>
        <w:fldChar w:fldCharType="separate"/>
      </w:r>
      <w:r w:rsidR="005C33DC" w:rsidRPr="005C33DC">
        <w:t xml:space="preserve">(Harbo </w:t>
      </w:r>
      <w:r w:rsidR="005C33DC" w:rsidRPr="005C33DC">
        <w:rPr>
          <w:i/>
          <w:iCs/>
        </w:rPr>
        <w:t>et al.</w:t>
      </w:r>
      <w:r w:rsidR="005C33DC" w:rsidRPr="005C33DC">
        <w:t>, 2012)</w:t>
      </w:r>
      <w:r>
        <w:fldChar w:fldCharType="end"/>
      </w:r>
      <w:r>
        <w:t>.</w:t>
      </w:r>
      <w:r w:rsidRPr="003B3D6C" w:rsidDel="0061430F">
        <w:t xml:space="preserve"> </w:t>
      </w:r>
      <w:r w:rsidR="00C64C19">
        <w:t>Specifically,</w:t>
      </w:r>
      <w:r w:rsidRPr="003B3D6C">
        <w:t xml:space="preserve"> </w:t>
      </w:r>
      <w:r w:rsidR="00C64C19">
        <w:t>p</w:t>
      </w:r>
      <w:r w:rsidRPr="003B3D6C">
        <w:t xml:space="preserve">articipants </w:t>
      </w:r>
      <w:r>
        <w:t xml:space="preserve">were seated, </w:t>
      </w:r>
      <w:r w:rsidRPr="003B3D6C">
        <w:t>with both knees and hips at 90</w:t>
      </w:r>
      <w:proofErr w:type="gramStart"/>
      <w:r w:rsidRPr="003B3D6C">
        <w:t>° of flexion</w:t>
      </w:r>
      <w:proofErr w:type="gramEnd"/>
      <w:r>
        <w:t xml:space="preserve">, </w:t>
      </w:r>
      <w:r w:rsidRPr="003B3D6C">
        <w:t>their leg against the lever arm</w:t>
      </w:r>
      <w:r>
        <w:t xml:space="preserve">, </w:t>
      </w:r>
      <w:r>
        <w:lastRenderedPageBreak/>
        <w:t xml:space="preserve">and </w:t>
      </w:r>
      <w:r w:rsidRPr="003B3D6C">
        <w:t xml:space="preserve">held in position </w:t>
      </w:r>
      <w:r>
        <w:t xml:space="preserve">with </w:t>
      </w:r>
      <w:r w:rsidRPr="003B3D6C">
        <w:t xml:space="preserve">straps crossing the upper body and the hip. Participants performed two warm-up </w:t>
      </w:r>
      <w:proofErr w:type="spellStart"/>
      <w:r>
        <w:t>familiarisation</w:t>
      </w:r>
      <w:proofErr w:type="spellEnd"/>
      <w:r>
        <w:t xml:space="preserve"> </w:t>
      </w:r>
      <w:r w:rsidRPr="003B3D6C">
        <w:t>set</w:t>
      </w:r>
      <w:r>
        <w:t>s,</w:t>
      </w:r>
      <w:r w:rsidRPr="003B3D6C">
        <w:t xml:space="preserve"> where they were instructed to extend the knee into the lever arm. The first warm-up set consisted of five submaximal contractions at a self-selected 50% effort with five seconds rest between repetitions. Following 30 second</w:t>
      </w:r>
      <w:r>
        <w:t>s</w:t>
      </w:r>
      <w:r w:rsidRPr="003B3D6C">
        <w:t xml:space="preserve"> rest, participants completed two submaximal contractions</w:t>
      </w:r>
      <w:r>
        <w:t>,</w:t>
      </w:r>
      <w:r w:rsidRPr="003B3D6C">
        <w:t xml:space="preserve"> at 75% effort with 20 seconds rest between repetitions. After a further 30 second rest, participants completed three maximum voluntary isometric contractions (MVIC)</w:t>
      </w:r>
      <w:r>
        <w:t>,</w:t>
      </w:r>
      <w:r w:rsidRPr="003B3D6C">
        <w:t xml:space="preserve"> with each repetition separated by a 30 second rest. The </w:t>
      </w:r>
      <w:r w:rsidR="00C64C19">
        <w:t>highest</w:t>
      </w:r>
      <w:r w:rsidR="00C64C19" w:rsidRPr="003B3D6C">
        <w:t xml:space="preserve"> </w:t>
      </w:r>
      <w:proofErr w:type="gramStart"/>
      <w:r>
        <w:t>torque</w:t>
      </w:r>
      <w:proofErr w:type="gramEnd"/>
      <w:r>
        <w:t xml:space="preserve"> achieved during any of</w:t>
      </w:r>
      <w:r w:rsidRPr="003B3D6C">
        <w:t xml:space="preserve"> the </w:t>
      </w:r>
      <w:r>
        <w:t xml:space="preserve">individual </w:t>
      </w:r>
      <w:r w:rsidRPr="003B3D6C">
        <w:t>trial</w:t>
      </w:r>
      <w:r>
        <w:t>s</w:t>
      </w:r>
      <w:r w:rsidRPr="003B3D6C">
        <w:t xml:space="preserve"> was recorded</w:t>
      </w:r>
      <w:r w:rsidR="00C64C19">
        <w:t xml:space="preserve"> as the maximum</w:t>
      </w:r>
      <w:r w:rsidRPr="003B3D6C">
        <w:t xml:space="preserve">. </w:t>
      </w:r>
    </w:p>
    <w:p w14:paraId="79EB37DB" w14:textId="77777777" w:rsidR="00FF128D" w:rsidRPr="00A83CB2" w:rsidRDefault="00FF128D" w:rsidP="00061D42">
      <w:pPr>
        <w:spacing w:line="480" w:lineRule="auto"/>
        <w:jc w:val="both"/>
        <w:rPr>
          <w:i/>
          <w:sz w:val="2"/>
          <w:szCs w:val="2"/>
        </w:rPr>
      </w:pPr>
    </w:p>
    <w:p w14:paraId="03C85F2A" w14:textId="77777777" w:rsidR="00F30227" w:rsidRPr="003B3D6C" w:rsidRDefault="00F30227" w:rsidP="00F30227">
      <w:pPr>
        <w:spacing w:line="480" w:lineRule="auto"/>
        <w:jc w:val="both"/>
      </w:pPr>
      <w:r>
        <w:rPr>
          <w:i/>
        </w:rPr>
        <w:t>Handg</w:t>
      </w:r>
      <w:r w:rsidRPr="003B3D6C">
        <w:rPr>
          <w:i/>
        </w:rPr>
        <w:t>rip strength</w:t>
      </w:r>
    </w:p>
    <w:p w14:paraId="38F7900C" w14:textId="6B698DFB" w:rsidR="00F30227" w:rsidRPr="003B3D6C" w:rsidRDefault="00F30227" w:rsidP="00F30227">
      <w:pPr>
        <w:spacing w:line="480" w:lineRule="auto"/>
        <w:jc w:val="both"/>
      </w:pPr>
      <w:r>
        <w:t>Handg</w:t>
      </w:r>
      <w:r w:rsidRPr="003B3D6C">
        <w:t>rip strength</w:t>
      </w:r>
      <w:r w:rsidR="00E867F3">
        <w:t>, a global measure of strength and a powerful predictor of quality of life</w:t>
      </w:r>
      <w:r w:rsidRPr="003B3D6C">
        <w:t xml:space="preserve"> </w:t>
      </w:r>
      <w:r w:rsidR="00E867F3">
        <w:t xml:space="preserve">and mortality </w:t>
      </w:r>
      <w:r w:rsidR="00E867F3">
        <w:fldChar w:fldCharType="begin"/>
      </w:r>
      <w:r w:rsidR="00AA5A2F">
        <w:instrText xml:space="preserve"> ADDIN ZOTERO_ITEM CSL_CITATION {"citationID":"5ECcTNpM","properties":{"formattedCitation":"(Cruz-Jentoft {\\i{}et al.}, 2019)","plainCitation":"(Cruz-Jentoft et al., 2019)","noteIndex":0},"citationItems":[{"id":1363,"uris":["http://www.mendeley.com/documents/?uuid=46a43f4a-8e5f-32f3-af35-875cdebd6749","http://zotero.org/users/17561370/items/8M8D3KYV"],"itemData":{"id":1363,"type":"article-journal","abstract":"Background in 2010, the European Working Group on Sarcopenia in Older People (EWGSOP) published a sarcopenia definition that aimed to foster advances in identifying and caring for people with sarcopenia. In early 2018, the Working Group met again (EWGSOP2) to update the original definition in order to reflect scientific and clinical evidence that has built over the last decade. This paper presents our updated findings. Objectives to increase consistency of research design, clinical diagnoses and ultimately, care for people with sarcopenia. Recommendations sarcopenia is a muscle disease (muscle failure) rooted in adverse muscle changes that accrue across a lifetime; sarcopenia is common among adults of older age but can also occur earlier in life. In this updated consensus paper on sarcopenia, EWGSOP2: (1) focuses on low muscle strength as a key characteristic of sarcopenia, uses detection of low muscle quantity and quality to confirm the sarcopenia diagnosis, and identifies poor physical performance as indicative of severe sarcopenia; (2) updates the clinical algorithm that can be used for sarcopenia case-finding, diagnosis and confirmation, and severity determination and (3) provides clear cut-off points for measurements of variables that identify and characterise sarcopenia. Conclusions EWGSOP2's updated recommendations aim to increase awareness of sarcopenia and its risk. With these new recommendations, EWGSOP2 calls for healthcare professionals who treat patients at risk for sarcopenia to take actions that will promote early detection and treatment. We also encourage more research in the field of sarcopenia in order to prevent or delay adverse health outcomes that incur a heavy burden for patients and healthcare systems.","container-title":"Age and Ageing","DOI":"10.1093/AGEING/AFY169","ISSN":"0002-0729","issue":"1","page":"16-31","PMID":"30312372","publisher":"Oxford Academic","title":"Sarcopenia: revised European consensus on definition and diagnosis","volume":"48","author":[{"family":"Cruz-Jentoft","given":"Alfonso J."},{"family":"Bahat","given":"Gülistan"},{"family":"Bauer","given":"Jürgen"},{"family":"Boirie","given":"Yves"},{"family":"Bruyère","given":"Olivier"},{"family":"Cederholm","given":"Tommy"},{"family":"Cooper","given":"Cyrus"},{"family":"Landi","given":"Francesco"},{"family":"Rolland","given":"Yves"},{"family":"Sayer","given":"Avan Aihie"},{"family":"Schneider","given":"Stéphane M."},{"family":"Sieber","given":"Cornel C."},{"family":"Topinkova","given":"Eva"},{"family":"Vandewoude","given":"Maurits"},{"family":"Visser","given":"Marjolein"},{"family":"Zamboni","given":"Mauro"},{"family":"Bautmans","given":"Ivan"},{"family":"Baeyens","given":"Jean Pierre"},{"family":"Cesari","given":"Matteo"},{"family":"Cherubini","given":"Antonio"},{"family":"Kanis","given":"John"},{"family":"Maggio","given":"Marcello"},{"family":"Martin","given":"Finbarr"},{"family":"Michel","given":"Jean Pierre"},{"family":"Pitkala","given":"Kaisu"},{"family":"Reginster","given":"Jean Yves"},{"family":"Rizzoli","given":"René"},{"family":"Sánchez-Rodríguez","given":"Dolores"},{"family":"Schols","given":"Jos"}],"issued":{"date-parts":[["2019",1,1]]}}}],"schema":"https://github.com/citation-style-language/schema/raw/master/csl-citation.json"} </w:instrText>
      </w:r>
      <w:r w:rsidR="00E867F3">
        <w:fldChar w:fldCharType="separate"/>
      </w:r>
      <w:r w:rsidR="005C33DC" w:rsidRPr="005C33DC">
        <w:t xml:space="preserve">(Cruz-Jentoft </w:t>
      </w:r>
      <w:r w:rsidR="005C33DC" w:rsidRPr="005C33DC">
        <w:rPr>
          <w:i/>
          <w:iCs/>
        </w:rPr>
        <w:t>et al.</w:t>
      </w:r>
      <w:r w:rsidR="005C33DC" w:rsidRPr="005C33DC">
        <w:t>, 2019)</w:t>
      </w:r>
      <w:r w:rsidR="00E867F3">
        <w:fldChar w:fldCharType="end"/>
      </w:r>
      <w:r w:rsidR="00E867F3">
        <w:t xml:space="preserve">, </w:t>
      </w:r>
      <w:r w:rsidRPr="003B3D6C">
        <w:t xml:space="preserve">was measured using a </w:t>
      </w:r>
      <w:r>
        <w:t>hand</w:t>
      </w:r>
      <w:r w:rsidRPr="003B3D6C">
        <w:t xml:space="preserve">grip </w:t>
      </w:r>
      <w:r>
        <w:t>d</w:t>
      </w:r>
      <w:r w:rsidRPr="003B3D6C">
        <w:t>ynamometer (5001, Takei, Japan)</w:t>
      </w:r>
      <w:r>
        <w:t>,</w:t>
      </w:r>
      <w:r w:rsidRPr="003B3D6C">
        <w:t xml:space="preserve"> following previously described methods </w:t>
      </w:r>
      <w:r>
        <w:fldChar w:fldCharType="begin" w:fldLock="1"/>
      </w:r>
      <w:r w:rsidR="00AA5A2F">
        <w:instrText xml:space="preserve"> ADDIN ZOTERO_ITEM CSL_CITATION {"citationID":"RQtF0u8l","properties":{"formattedCitation":"(Roberts {\\i{}et al.}, 2011)","plainCitation":"(Roberts et al., 2011)","noteIndex":0},"citationItems":[{"id":1254,"uris":["http://www.mendeley.com/documents/?uuid=fa52d913-27ef-380a-aca5-41398ba0e875","http://zotero.org/users/17561370/items/6UACJWBU"],"itemData":{"id":1254,"type":"article-journal","abstract":"Background: the European Working Group on Sarcopenia in Older People has developed a clinical definition of sarcopenia based on low muscle mass and reduced muscle function (strength or performance). Grip strength is recommended as a good simple measure of muscle strength when 'measured in standard conditions'. However, standard conditions remain to be defined.Methods: a literature search was conducted to review articles describing the measurement of grip strength listed in Medline, Web of Science and Cochrane Library databases up to 31 December 2009.Results: there is wide variability in the choice of equipment and protocol for measuring grip strength. The Jamar hand dynamometer is the most widely used instrument with established test-retest, inter-rater and intra-rater reliability. However, there is considerable variation in how it is used and studies often provide insufficient information on the protocol followed making comparisons difficult. There is evidence that variation in approach can affect the values recorded. Furthermore, reported summary measures of grip strength vary widely including maximum or mean value, from one, two or three attempts, with either hand or the dominant hand alone.Conclusions: there is considerable variation in current methods of assessing grip strength which makes comparison between studies difficult. A standardised method would enable more consistent measurement of grip strength and better assessment of sarcopenia. Our approach is described. © The Author 2011. Published by Oxford University Press on behalf of the British Geriatrics Society.","container-title":"Age and Ageing","DOI":"10.1093/AGEING/AFR051","ISSN":"0002-0729","issue":"4","page":"423-429","PMID":"21624928","publisher":"Oxford Academic","title":"A review of the measurement of grip strength in clinical and epidemiological studies: towards a standardised approach","volume":"40","author":[{"family":"Roberts","given":"Helen C."},{"family":"Denison","given":"Hayley J."},{"family":"Martin","given":"Helen J."},{"family":"Patel","given":"Harnish P."},{"family":"Syddall","given":"Holly"},{"family":"Cooper","given":"Cyrus"},{"family":"Sayer","given":"Avan Aihie"}],"issued":{"date-parts":[["2011",7,1]]}}}],"schema":"https://github.com/citation-style-language/schema/raw/master/csl-citation.json"} </w:instrText>
      </w:r>
      <w:r>
        <w:fldChar w:fldCharType="separate"/>
      </w:r>
      <w:r w:rsidR="005C33DC" w:rsidRPr="005C33DC">
        <w:t xml:space="preserve">(Roberts </w:t>
      </w:r>
      <w:r w:rsidR="005C33DC" w:rsidRPr="005C33DC">
        <w:rPr>
          <w:i/>
          <w:iCs/>
        </w:rPr>
        <w:t>et al.</w:t>
      </w:r>
      <w:r w:rsidR="005C33DC" w:rsidRPr="005C33DC">
        <w:t>, 2011)</w:t>
      </w:r>
      <w:r>
        <w:fldChar w:fldCharType="end"/>
      </w:r>
      <w:r w:rsidRPr="003B3D6C">
        <w:t xml:space="preserve">. Participants were seated </w:t>
      </w:r>
      <w:r>
        <w:t xml:space="preserve">in a chair, </w:t>
      </w:r>
      <w:r w:rsidRPr="003B3D6C">
        <w:t>with their feet flat on the floor</w:t>
      </w:r>
      <w:r>
        <w:t>,</w:t>
      </w:r>
      <w:r w:rsidRPr="003B3D6C">
        <w:t xml:space="preserve"> and held the </w:t>
      </w:r>
      <w:r>
        <w:t>device</w:t>
      </w:r>
      <w:r w:rsidRPr="003B3D6C">
        <w:t xml:space="preserve"> by their side with their arm fully extended </w:t>
      </w:r>
      <w:r>
        <w:t>toward the floor</w:t>
      </w:r>
      <w:r w:rsidRPr="003B3D6C">
        <w:t xml:space="preserve">. </w:t>
      </w:r>
      <w:r>
        <w:t>T</w:t>
      </w:r>
      <w:r w:rsidRPr="003B3D6C">
        <w:t xml:space="preserve">hree maximal trials on each side </w:t>
      </w:r>
      <w:r>
        <w:t xml:space="preserve">were performed, </w:t>
      </w:r>
      <w:r w:rsidRPr="003B3D6C">
        <w:t xml:space="preserve">with the </w:t>
      </w:r>
      <w:r w:rsidR="00C64C19">
        <w:t>highest</w:t>
      </w:r>
      <w:r w:rsidR="00C64C19" w:rsidRPr="003B3D6C">
        <w:t xml:space="preserve"> </w:t>
      </w:r>
      <w:r w:rsidRPr="003B3D6C">
        <w:t xml:space="preserve">grip score </w:t>
      </w:r>
      <w:proofErr w:type="gramStart"/>
      <w:r w:rsidRPr="003B3D6C">
        <w:t>from</w:t>
      </w:r>
      <w:proofErr w:type="gramEnd"/>
      <w:r w:rsidRPr="003B3D6C">
        <w:t xml:space="preserve"> all six trials used.</w:t>
      </w:r>
      <w:r>
        <w:t xml:space="preserve"> Rest between trials was self-paced, with participants indicating when they were ready to perform the next trial.</w:t>
      </w:r>
    </w:p>
    <w:p w14:paraId="0C5DE245" w14:textId="77777777" w:rsidR="00F30227" w:rsidRPr="000B7563" w:rsidRDefault="00F30227" w:rsidP="00F30227">
      <w:pPr>
        <w:spacing w:line="480" w:lineRule="auto"/>
        <w:jc w:val="both"/>
        <w:rPr>
          <w:i/>
          <w:sz w:val="2"/>
          <w:szCs w:val="2"/>
        </w:rPr>
      </w:pPr>
    </w:p>
    <w:p w14:paraId="08BE369B" w14:textId="77777777" w:rsidR="00F30227" w:rsidRPr="003B3D6C" w:rsidRDefault="00F30227" w:rsidP="00F30227">
      <w:pPr>
        <w:spacing w:line="480" w:lineRule="auto"/>
        <w:jc w:val="both"/>
        <w:rPr>
          <w:i/>
        </w:rPr>
      </w:pPr>
      <w:r w:rsidRPr="003B3D6C">
        <w:rPr>
          <w:i/>
        </w:rPr>
        <w:t>Short Physical Performance Battery</w:t>
      </w:r>
    </w:p>
    <w:p w14:paraId="04417B01" w14:textId="26A7BFE3" w:rsidR="00F30227" w:rsidRDefault="00F30227" w:rsidP="00F30227">
      <w:pPr>
        <w:spacing w:line="480" w:lineRule="auto"/>
        <w:jc w:val="both"/>
      </w:pPr>
      <w:r w:rsidRPr="003B3D6C">
        <w:t>To test for lower extremity function, the SPPB</w:t>
      </w:r>
      <w:r w:rsidR="00E867F3">
        <w:t xml:space="preserve">, </w:t>
      </w:r>
      <w:r w:rsidR="00076CB2">
        <w:t>which consists</w:t>
      </w:r>
      <w:r w:rsidR="006B7B82">
        <w:t xml:space="preserve"> of three components: a three</w:t>
      </w:r>
      <w:r w:rsidR="00BC7167">
        <w:t>-</w:t>
      </w:r>
      <w:r w:rsidR="006B7B82">
        <w:t xml:space="preserve">part balance test, a four-meter walk test and a chair sit to stand (STS) test, </w:t>
      </w:r>
      <w:r w:rsidR="006B7B82" w:rsidRPr="003B3D6C">
        <w:t>was administered</w:t>
      </w:r>
      <w:r w:rsidR="006B7B82">
        <w:t xml:space="preserve">. The SPPB </w:t>
      </w:r>
      <w:r w:rsidR="00E867F3">
        <w:t xml:space="preserve">is a low cost </w:t>
      </w:r>
      <w:r w:rsidR="006B7B82">
        <w:t xml:space="preserve">and reliable </w:t>
      </w:r>
      <w:r w:rsidR="00E867F3">
        <w:t>method</w:t>
      </w:r>
      <w:r w:rsidR="006B7B82">
        <w:t xml:space="preserve"> for measuring lower extremity function in older adults</w:t>
      </w:r>
      <w:r w:rsidR="00E867F3">
        <w:t xml:space="preserve"> </w:t>
      </w:r>
      <w:r>
        <w:fldChar w:fldCharType="begin" w:fldLock="1"/>
      </w:r>
      <w:r w:rsidR="00AA5A2F">
        <w:instrText xml:space="preserve"> ADDIN ZOTERO_ITEM CSL_CITATION {"citationID":"HyLzUREf","properties":{"formattedCitation":"(Guralnik {\\i{}et al.}, 1994)","plainCitation":"(Guralnik et al., 1994)","noteIndex":0},"citationItems":[{"id":1376,"uris":["http://www.mendeley.com/documents/?uuid=0de29194-0055-352f-8325-dd179e11a21f","http://zotero.org/users/17561370/items/9ZKXXW4F"],"itemData":{"id":1376,"type":"article-journal","abstract":"Background. A short battery of physical performance tests was used to assess lower extremity function in more than 5,000 persons age 71 years and older in three communities. Methods. Balance, gait, strength, and endurance were evaluated by examining ability to stand with the feet together in the side-by-side, semi-tandem, and tandem positions, time to walk 8 feet, and time to rise from a chair and return to the seated position 5 times. Results. A wide distribution of performance was observed for each test. Each test and a summary performance scale, created by summing categorical rankings of performance on each test, were strongly associated with self-report of disability. Both self-report items and performance tests were independent predictors of short-term mortality and nursing home admission in multivariate analyses. However, evidence is presented that the performance tests provide information not available from self-report items. Of particular importance is the finding that in those at the high end of the functional spectrum, who reported almost no disability, the performance test scores distinguished a gradient of risk for mortality and nursing home admission. Additionally, within subgroups with identical self-report profiles, there were systematic differences in physical performance related to age and sex. Conclusion. This study provides evidence that performance measures can validly characterize older persons across a broad spectrum of lower extremity function. Performance and self-report measures may complement each other in providing useful information about functional status.","container-title":"Journals of Gerontology","DOI":"10.1093/geronj/49.2.M85","ISSN":"00221422","issue":"2","page":"M85-M94","PMID":"8126356","publisher":"Oxford Academic","title":"A short physical performance battery assessing lower extremity function: Association with self-reported disability and prediction of mortality and nursing home admission","volume":"49","author":[{"family":"Guralnik","given":"J. M."},{"family":"Simonsick","given":"E. M."},{"family":"Ferrucci","given":"L."},{"family":"Glynn","given":"R. J."},{"family":"Berkman","given":"L. F."},{"family":"Blazer","given":"D. G."},{"family":"Scherr","given":"P. A."},{"family":"Wallace","given":"R. B."}],"issued":{"date-parts":[["1994",3,1]]}}}],"schema":"https://github.com/citation-style-language/schema/raw/master/csl-citation.json"} </w:instrText>
      </w:r>
      <w:r>
        <w:fldChar w:fldCharType="separate"/>
      </w:r>
      <w:r w:rsidR="005C33DC" w:rsidRPr="005C33DC">
        <w:t xml:space="preserve">(Guralnik </w:t>
      </w:r>
      <w:r w:rsidR="005C33DC" w:rsidRPr="005C33DC">
        <w:rPr>
          <w:i/>
          <w:iCs/>
        </w:rPr>
        <w:t>et al.</w:t>
      </w:r>
      <w:r w:rsidR="005C33DC" w:rsidRPr="005C33DC">
        <w:t>, 1994)</w:t>
      </w:r>
      <w:r>
        <w:fldChar w:fldCharType="end"/>
      </w:r>
      <w:r w:rsidR="00E867F3">
        <w:t xml:space="preserve"> and </w:t>
      </w:r>
      <w:r w:rsidR="006B7B82">
        <w:t>a predictor of</w:t>
      </w:r>
      <w:r w:rsidR="00F21E56">
        <w:t xml:space="preserve"> falls risk </w:t>
      </w:r>
      <w:r w:rsidR="00F21E56">
        <w:fldChar w:fldCharType="begin"/>
      </w:r>
      <w:r w:rsidR="00AA5A2F">
        <w:instrText xml:space="preserve"> ADDIN ZOTERO_ITEM CSL_CITATION {"citationID":"o4mijH9X","properties":{"formattedCitation":"(Lauretani {\\i{}et al.}, 2019)","plainCitation":"(Lauretani et al., 2019)","noteIndex":0},"citationItems":[{"id":68,"uris":["http://zotero.org/users/17561370/items/WU6K686N"],"itemData":{"id":68,"type":"article-journal","abstract":"The capacity of Short-Physical Performance Battery (SPPB) test to discriminate between fallers and non-fallers is controversial, and has never been compared with fall risk assessment-specific tools, such as Performance-Oriented Mobility Assessment (POMA).","container-title":"Aging Clinical and Experimental Research","DOI":"10.1007/s40520-018-1082-y","ISSN":"1720-8319","issue":"10","journalAbbreviation":"Aging Clin Exp Res","language":"en","page":"1435-1442","source":"Springer Link","title":"Short-Physical Performance Battery (SPPB) score is associated with falls in older outpatients","volume":"31","author":[{"family":"Lauretani","given":"Fulvio"},{"family":"Ticinesi","given":"Andrea"},{"family":"Gionti","given":"Luciano"},{"family":"Prati","given":"Beatrice"},{"family":"Nouvenne","given":"Antonio"},{"family":"Tana","given":"Claudio"},{"family":"Meschi","given":"Tiziana"},{"family":"Maggio","given":"Marcello"}],"issued":{"date-parts":[["2019",10,1]]}}}],"schema":"https://github.com/citation-style-language/schema/raw/master/csl-citation.json"} </w:instrText>
      </w:r>
      <w:r w:rsidR="00F21E56">
        <w:fldChar w:fldCharType="separate"/>
      </w:r>
      <w:r w:rsidR="005C33DC" w:rsidRPr="005C33DC">
        <w:t xml:space="preserve">(Lauretani </w:t>
      </w:r>
      <w:r w:rsidR="005C33DC" w:rsidRPr="005C33DC">
        <w:rPr>
          <w:i/>
          <w:iCs/>
        </w:rPr>
        <w:t>et al.</w:t>
      </w:r>
      <w:r w:rsidR="005C33DC" w:rsidRPr="005C33DC">
        <w:t>, 2019)</w:t>
      </w:r>
      <w:r w:rsidR="00F21E56">
        <w:fldChar w:fldCharType="end"/>
      </w:r>
      <w:r w:rsidR="00F21E56">
        <w:t xml:space="preserve">, </w:t>
      </w:r>
      <w:proofErr w:type="spellStart"/>
      <w:r w:rsidR="00F21E56">
        <w:t>hospitali</w:t>
      </w:r>
      <w:r w:rsidR="00BC7167">
        <w:t>s</w:t>
      </w:r>
      <w:r w:rsidR="00F21E56">
        <w:t>ation</w:t>
      </w:r>
      <w:proofErr w:type="spellEnd"/>
      <w:r w:rsidR="00F21E56">
        <w:t xml:space="preserve"> </w:t>
      </w:r>
      <w:r w:rsidR="00F01FF7">
        <w:fldChar w:fldCharType="begin"/>
      </w:r>
      <w:r w:rsidR="00AA5A2F">
        <w:instrText xml:space="preserve"> ADDIN ZOTERO_ITEM CSL_CITATION {"citationID":"WvH70Tv1","properties":{"formattedCitation":"(Studenski {\\i{}et al.}, 2003)","plainCitation":"(Studenski et al., 2003)","noteIndex":0},"citationItems":[{"id":69,"uris":["http://zotero.org/users/17561370/items/ERH2GIQI"],"itemData":{"id":69,"type":"article-journal","abstract":"OBJECTIVES: To assess the ability of gait speed alone and a three-item lower extremity performance battery to predict 12-month rates of hospitalization, decline in health, and decline in function in primary care settings serving older adults. DESIGN: Prospective cohort study. SETTING: Primary care programs of a Medicare health maintenance organization (HMO) and Veterans Affairs (VA) system. PARTICIPANTS: Four hundred eighty-seven persons aged 65 and older. MEASUREMENTS: Lower extremity performance Established Population for Epidemiologic Studies of the Elderly (EPESE) battery including gait speed, chair stands, and tandem balance tests; demographics; health care use; health status; functional status; probability of repeated admission scale (Pra); and primary physician's hospitalization risk estimate. RESULTS: Veterans had poorer health and higher use than HMO members. Gait speed alone and the EPESE battery predicted hospitalization; 41% (21/51) of slow walkers (gait speed &lt;0.6 m/s) were hospitalized at least once, compared with 26% (70/266) of intermediate walkers (0.6–1.0 m/s) and 11% (15/136) of fast walkers (&gt;1.0 m/s) (P &lt; .0001). The relationship was stronger in the HMO than in the VA. Both performance measures remained independent predictors after accounting for Pra. The EPESE battery was superior to gait speed when both Pra and primary physician's risk estimate were included. Both performance measures predicted decline in function and health status in both health systems. Performance measures, alone or in combination with self-report measures, were more able to predict outcomes than self-report alone. CONCLUSION: Gait speed and a physical performance battery are brief, quantitative estimates of future risk for hospitalization and decline in health and function in clinical populations of older adults. Physical performance measures might serve as easily accessible “vital signs” to screen older adults in clinical settings.","container-title":"Journal of the American Geriatrics Society","DOI":"10.1046/j.1532-5415.2003.51104.x","ISSN":"1532-5415","issue":"3","language":"en","note":"_eprint: https://onlinelibrary.wiley.com/doi/pdf/10.1046/j.1532-5415.2003.51104.x","page":"314-322","source":"Wiley Online Library","title":"Physical Performance Measures in the Clinical Setting","volume":"51","author":[{"family":"Studenski","given":"Stephanie"},{"family":"Perera","given":"Subashan"},{"family":"Wallace","given":"Dennis"},{"family":"Chandler","given":"Julie M."},{"family":"Duncan","given":"Pamela W."},{"family":"Rooney","given":"Earl"},{"family":"Fox","given":"Michael"},{"family":"Guralnik","given":"Jack M."}],"issued":{"date-parts":[["2003"]]}}}],"schema":"https://github.com/citation-style-language/schema/raw/master/csl-citation.json"} </w:instrText>
      </w:r>
      <w:r w:rsidR="00F01FF7">
        <w:fldChar w:fldCharType="separate"/>
      </w:r>
      <w:r w:rsidR="005C33DC" w:rsidRPr="005C33DC">
        <w:t xml:space="preserve">(Studenski </w:t>
      </w:r>
      <w:r w:rsidR="005C33DC" w:rsidRPr="005C33DC">
        <w:rPr>
          <w:i/>
          <w:iCs/>
        </w:rPr>
        <w:t>et al.</w:t>
      </w:r>
      <w:r w:rsidR="005C33DC" w:rsidRPr="005C33DC">
        <w:t>, 2003)</w:t>
      </w:r>
      <w:r w:rsidR="00F01FF7">
        <w:fldChar w:fldCharType="end"/>
      </w:r>
      <w:r w:rsidR="00F01FF7">
        <w:t xml:space="preserve"> </w:t>
      </w:r>
      <w:r w:rsidR="00F21E56">
        <w:t>and</w:t>
      </w:r>
      <w:r w:rsidR="006B7B82">
        <w:t xml:space="preserve"> all-cause mortality </w:t>
      </w:r>
      <w:r w:rsidR="006B7B82">
        <w:fldChar w:fldCharType="begin"/>
      </w:r>
      <w:r w:rsidR="00AA5A2F">
        <w:instrText xml:space="preserve"> ADDIN ZOTERO_ITEM CSL_CITATION {"citationID":"39vxUs36","properties":{"formattedCitation":"(Pavasini {\\i{}et al.}, 2016)","plainCitation":"(Pavasini et al., 2016)","noteIndex":0},"citationItems":[{"id":71,"uris":["http://zotero.org/users/17561370/items/NFZDZBP8"],"itemData":{"id":71,"type":"article-journal","abstract":"The Short Physical Performance Battery (SPPB) is a well-established tool to assess lower extremity physical performance status. Its predictive ability for all-cause mortality has been sparsely reported, but with conflicting results in different subsets of participants. The aim of this study was to perform a meta-analysis investigating the relationship between SPPB score and all-cause mortality.","container-title":"BMC Medicine","DOI":"10.1186/s12916-016-0763-7","ISSN":"1741-7015","issue":"1","journalAbbreviation":"BMC Med","language":"en","page":"215","source":"Springer Link","title":"Short Physical Performance Battery and all-cause mortality: systematic review and meta-analysis","title-short":"Short Physical Performance Battery and all-cause mortality","volume":"14","author":[{"family":"Pavasini","given":"Rita"},{"family":"Guralnik","given":"Jack"},{"family":"Brown","given":"Justin C."},{"family":"Bari","given":"Mauro","non-dropping-particle":"di"},{"family":"Cesari","given":"Matteo"},{"family":"Landi","given":"Francesco"},{"family":"Vaes","given":"Bert"},{"family":"Legrand","given":"Delphine"},{"family":"Verghese","given":"Joe"},{"family":"Wang","given":"Cuiling"},{"family":"Stenholm","given":"Sari"},{"family":"Ferrucci","given":"Luigi"},{"family":"Lai","given":"Jennifer C."},{"family":"Bartes","given":"Anna Arnau"},{"family":"Espaulella","given":"Joan"},{"family":"Ferrer","given":"Montserrat"},{"family":"Lim","given":"Jae-Young"},{"family":"Ensrud","given":"Kristine E."},{"family":"Cawthon","given":"Peggy"},{"family":"Turusheva","given":"Anna"},{"family":"Frolova","given":"Elena"},{"family":"Rolland","given":"Yves"},{"family":"Lauwers","given":"Valerie"},{"family":"Corsonello","given":"Andrea"},{"family":"Kirk","given":"Gregory D."},{"family":"Ferrari","given":"Roberto"},{"family":"Volpato","given":"Stefano"},{"family":"Campo","given":"Gianluca"}],"issued":{"date-parts":[["2016",12,22]]}}}],"schema":"https://github.com/citation-style-language/schema/raw/master/csl-citation.json"} </w:instrText>
      </w:r>
      <w:r w:rsidR="006B7B82">
        <w:fldChar w:fldCharType="separate"/>
      </w:r>
      <w:r w:rsidR="005C33DC" w:rsidRPr="005C33DC">
        <w:t xml:space="preserve">(Pavasini </w:t>
      </w:r>
      <w:r w:rsidR="005C33DC" w:rsidRPr="005C33DC">
        <w:rPr>
          <w:i/>
          <w:iCs/>
        </w:rPr>
        <w:t>et al.</w:t>
      </w:r>
      <w:r w:rsidR="005C33DC" w:rsidRPr="005C33DC">
        <w:t>, 2016)</w:t>
      </w:r>
      <w:r w:rsidR="006B7B82">
        <w:fldChar w:fldCharType="end"/>
      </w:r>
      <w:r w:rsidRPr="003B3D6C">
        <w:t xml:space="preserve">. </w:t>
      </w:r>
      <w:r w:rsidR="006B7B82">
        <w:t xml:space="preserve">Each individual component </w:t>
      </w:r>
      <w:r w:rsidR="00C64C19">
        <w:t xml:space="preserve">was </w:t>
      </w:r>
      <w:r w:rsidR="006B7B82">
        <w:t xml:space="preserve">scored out </w:t>
      </w:r>
      <w:r w:rsidR="006B7B82">
        <w:lastRenderedPageBreak/>
        <w:t>of 4, with the scores of the three tasks summed for a maximum total score of 12</w:t>
      </w:r>
      <w:r w:rsidR="00C64C19">
        <w:t>;</w:t>
      </w:r>
      <w:r w:rsidR="004F7C02">
        <w:t xml:space="preserve"> </w:t>
      </w:r>
      <w:r w:rsidR="004F7C02" w:rsidRPr="003B3D6C">
        <w:t xml:space="preserve">a higher score </w:t>
      </w:r>
      <w:r w:rsidR="00C64C19">
        <w:t xml:space="preserve">is </w:t>
      </w:r>
      <w:r w:rsidR="004F7C02" w:rsidRPr="003B3D6C">
        <w:t>indicati</w:t>
      </w:r>
      <w:r w:rsidR="00C64C19">
        <w:t>ve of</w:t>
      </w:r>
      <w:r w:rsidR="004F7C02" w:rsidRPr="003B3D6C">
        <w:t xml:space="preserve"> better physical performance</w:t>
      </w:r>
      <w:r w:rsidR="006B7B82">
        <w:t xml:space="preserve">. </w:t>
      </w:r>
      <w:r w:rsidRPr="003B3D6C">
        <w:t xml:space="preserve">Participants first performed </w:t>
      </w:r>
      <w:r w:rsidR="00C64C19">
        <w:t>a</w:t>
      </w:r>
      <w:r w:rsidR="00C64C19" w:rsidRPr="003B3D6C">
        <w:t xml:space="preserve"> </w:t>
      </w:r>
      <w:r w:rsidRPr="003B3D6C">
        <w:t>balance test</w:t>
      </w:r>
      <w:r>
        <w:t xml:space="preserve"> while standing on one force plate</w:t>
      </w:r>
      <w:r w:rsidR="00C64C19">
        <w:t xml:space="preserve"> which consisted of</w:t>
      </w:r>
      <w:r w:rsidRPr="003B3D6C">
        <w:t xml:space="preserve"> </w:t>
      </w:r>
      <w:r w:rsidR="006B7B82">
        <w:t xml:space="preserve">three consecutive positions: </w:t>
      </w:r>
      <w:r w:rsidR="001267D0">
        <w:t xml:space="preserve">first </w:t>
      </w:r>
      <w:r w:rsidRPr="003B3D6C">
        <w:t xml:space="preserve">with feet together, </w:t>
      </w:r>
      <w:r w:rsidR="001267D0">
        <w:t xml:space="preserve">second with </w:t>
      </w:r>
      <w:r w:rsidRPr="003B3D6C">
        <w:t xml:space="preserve">feet semi-tandem, and </w:t>
      </w:r>
      <w:r w:rsidR="001267D0">
        <w:t xml:space="preserve">third with </w:t>
      </w:r>
      <w:r w:rsidRPr="003B3D6C">
        <w:t>feet full tandem</w:t>
      </w:r>
      <w:r w:rsidR="006B7B82">
        <w:t>;</w:t>
      </w:r>
      <w:r w:rsidRPr="003B3D6C">
        <w:t xml:space="preserve"> with the aim to hold each position for ten seconds. If participants were unable to complete the full </w:t>
      </w:r>
      <w:r w:rsidR="006B7B82">
        <w:t>ten</w:t>
      </w:r>
      <w:r w:rsidRPr="003B3D6C">
        <w:t xml:space="preserve"> seconds of any stage of the balance test, the test was terminated</w:t>
      </w:r>
      <w:r>
        <w:t>,</w:t>
      </w:r>
      <w:r w:rsidRPr="003B3D6C">
        <w:t xml:space="preserve"> and they were moved on to the next component of </w:t>
      </w:r>
      <w:r>
        <w:t>testing</w:t>
      </w:r>
      <w:r w:rsidRPr="003B3D6C">
        <w:t xml:space="preserve">. Participants </w:t>
      </w:r>
      <w:r w:rsidR="00C64C19">
        <w:t>subsequently</w:t>
      </w:r>
      <w:r w:rsidR="00C64C19" w:rsidRPr="003B3D6C">
        <w:t xml:space="preserve"> </w:t>
      </w:r>
      <w:r w:rsidRPr="003B3D6C">
        <w:t>performed two 4</w:t>
      </w:r>
      <w:r>
        <w:t>-</w:t>
      </w:r>
      <w:r w:rsidRPr="003B3D6C">
        <w:t>m</w:t>
      </w:r>
      <w:r>
        <w:t>eter</w:t>
      </w:r>
      <w:r w:rsidRPr="003B3D6C">
        <w:t xml:space="preserve"> walking trials at their normal walking pace with the time of the second trial scored. Participants then performed up to four further walking trials that were not scored in the SPPB for purposes of motion capture</w:t>
      </w:r>
      <w:r w:rsidR="004F7C02">
        <w:t xml:space="preserve"> (see below)</w:t>
      </w:r>
      <w:r w:rsidRPr="003B3D6C">
        <w:t xml:space="preserve">. Finally, participants performed five maximal </w:t>
      </w:r>
      <w:r>
        <w:t xml:space="preserve">STS </w:t>
      </w:r>
      <w:r w:rsidRPr="003B3D6C">
        <w:t>repetitions</w:t>
      </w:r>
      <w:r>
        <w:t>,</w:t>
      </w:r>
      <w:r w:rsidRPr="003B3D6C">
        <w:t xml:space="preserve"> </w:t>
      </w:r>
      <w:r>
        <w:t xml:space="preserve">beginning by sitting </w:t>
      </w:r>
      <w:r w:rsidRPr="003B3D6C">
        <w:t xml:space="preserve">with </w:t>
      </w:r>
      <w:r>
        <w:t xml:space="preserve">their knees at 90°, </w:t>
      </w:r>
      <w:r w:rsidRPr="003B3D6C">
        <w:t>arms crossed over their chest</w:t>
      </w:r>
      <w:r>
        <w:t>, and each foot on a force plate</w:t>
      </w:r>
      <w:r w:rsidRPr="003B3D6C">
        <w:t xml:space="preserve">. </w:t>
      </w:r>
    </w:p>
    <w:p w14:paraId="411056BF" w14:textId="4277685B" w:rsidR="00061D42" w:rsidRPr="003B3D6C" w:rsidRDefault="00061D42" w:rsidP="00061D42">
      <w:pPr>
        <w:spacing w:line="480" w:lineRule="auto"/>
        <w:jc w:val="both"/>
      </w:pPr>
      <w:r w:rsidRPr="003B3D6C">
        <w:rPr>
          <w:i/>
        </w:rPr>
        <w:t>Motion capture</w:t>
      </w:r>
    </w:p>
    <w:p w14:paraId="2ADCB6B4" w14:textId="4617597D" w:rsidR="00061D42" w:rsidRPr="003B3D6C" w:rsidRDefault="00337B87" w:rsidP="00061D42">
      <w:pPr>
        <w:spacing w:line="480" w:lineRule="auto"/>
        <w:jc w:val="both"/>
      </w:pPr>
      <w:r>
        <w:t>Motion capture and ground reaction force</w:t>
      </w:r>
      <w:r w:rsidR="00061D42" w:rsidRPr="003B3D6C">
        <w:t xml:space="preserve"> data </w:t>
      </w:r>
      <w:r>
        <w:t xml:space="preserve">were collected </w:t>
      </w:r>
      <w:r w:rsidR="00074175">
        <w:t xml:space="preserve">for </w:t>
      </w:r>
      <w:r w:rsidR="0064068F">
        <w:t>analysis</w:t>
      </w:r>
      <w:r w:rsidR="00074175">
        <w:t xml:space="preserve"> of </w:t>
      </w:r>
      <w:r>
        <w:t xml:space="preserve">lower body power and </w:t>
      </w:r>
      <w:r w:rsidR="00074175">
        <w:t xml:space="preserve">gait </w:t>
      </w:r>
      <w:r w:rsidR="0064068F">
        <w:t xml:space="preserve">characteristics </w:t>
      </w:r>
      <w:r w:rsidR="00061D42" w:rsidRPr="003B3D6C">
        <w:t xml:space="preserve">during the SPPB using </w:t>
      </w:r>
      <w:r>
        <w:t xml:space="preserve">a </w:t>
      </w:r>
      <w:r w:rsidR="00061D42" w:rsidRPr="003B3D6C">
        <w:t>three-dimensional</w:t>
      </w:r>
      <w:r>
        <w:t xml:space="preserve"> </w:t>
      </w:r>
      <w:r w:rsidRPr="00337B87">
        <w:t>optoelectronic system</w:t>
      </w:r>
      <w:r w:rsidR="00061D42" w:rsidRPr="003B3D6C">
        <w:t xml:space="preserve"> (200 Hz; 16 </w:t>
      </w:r>
      <w:proofErr w:type="spellStart"/>
      <w:r w:rsidR="00061D42" w:rsidRPr="003B3D6C">
        <w:t>Oqus</w:t>
      </w:r>
      <w:proofErr w:type="spellEnd"/>
      <w:r w:rsidR="00061D42" w:rsidRPr="003B3D6C">
        <w:t xml:space="preserve"> and </w:t>
      </w:r>
      <w:proofErr w:type="spellStart"/>
      <w:r w:rsidR="00061D42" w:rsidRPr="003B3D6C">
        <w:t>Arqus</w:t>
      </w:r>
      <w:proofErr w:type="spellEnd"/>
      <w:r w:rsidR="00061D42" w:rsidRPr="003B3D6C">
        <w:t xml:space="preserve"> cameras; Qualisys, Göteborg, Sweden)</w:t>
      </w:r>
      <w:r w:rsidR="00061D42">
        <w:t>,</w:t>
      </w:r>
      <w:r w:rsidR="00061D42" w:rsidRPr="003B3D6C">
        <w:t xml:space="preserve"> and two force plates (1000 Hz; Kistler 9281CA; Winterthur, Switzerland)</w:t>
      </w:r>
      <w:r w:rsidR="00061D42">
        <w:t>,</w:t>
      </w:r>
      <w:r w:rsidR="00061D42" w:rsidRPr="003B3D6C">
        <w:t xml:space="preserve"> through Qualisys Track Manager software. All participants wore shorts and the same athletic trainers for all testing sessions. Retroreflective markers were placed on the skin and shoes, superficial to anatomical landmarks (Figure </w:t>
      </w:r>
      <w:r w:rsidR="00EA0D52">
        <w:t>1</w:t>
      </w:r>
      <w:r w:rsidR="00061D42" w:rsidRPr="003B3D6C">
        <w:t>)</w:t>
      </w:r>
      <w:r w:rsidR="00061D42">
        <w:t>,</w:t>
      </w:r>
      <w:r w:rsidR="00061D42" w:rsidRPr="003B3D6C">
        <w:t xml:space="preserve"> to allow the measurement of pelvis, thigh, shank, and foot position data. A static calibration trial was captured</w:t>
      </w:r>
      <w:r w:rsidR="00061D42">
        <w:t>,</w:t>
      </w:r>
      <w:r w:rsidR="00061D42" w:rsidRPr="003B3D6C">
        <w:t xml:space="preserve"> with the participant standing in the anatomical position (Figure </w:t>
      </w:r>
      <w:r w:rsidR="004E506D">
        <w:t>1</w:t>
      </w:r>
      <w:r w:rsidR="00061D42" w:rsidRPr="003B3D6C">
        <w:t xml:space="preserve">) </w:t>
      </w:r>
      <w:r w:rsidR="00F30227">
        <w:t>before</w:t>
      </w:r>
      <w:r w:rsidR="00061D42" w:rsidRPr="003B3D6C">
        <w:t xml:space="preserve"> start</w:t>
      </w:r>
      <w:r w:rsidR="00F30227">
        <w:t>ing</w:t>
      </w:r>
      <w:r w:rsidR="00061D42" w:rsidRPr="003B3D6C">
        <w:t xml:space="preserve"> </w:t>
      </w:r>
      <w:r w:rsidR="00F30227">
        <w:t>the SPPB</w:t>
      </w:r>
      <w:r w:rsidR="00061D42" w:rsidRPr="003B3D6C">
        <w:t xml:space="preserve">. </w:t>
      </w:r>
    </w:p>
    <w:p w14:paraId="7059DEA5" w14:textId="77777777" w:rsidR="00061D42" w:rsidRPr="003B3D6C" w:rsidRDefault="00061D42" w:rsidP="00061D42">
      <w:pPr>
        <w:spacing w:line="480" w:lineRule="auto"/>
        <w:jc w:val="center"/>
      </w:pPr>
      <w:r w:rsidRPr="003B3D6C">
        <w:rPr>
          <w:noProof/>
        </w:rPr>
        <w:lastRenderedPageBreak/>
        <w:drawing>
          <wp:inline distT="0" distB="0" distL="0" distR="0" wp14:anchorId="4159EE77" wp14:editId="321E1735">
            <wp:extent cx="2725420" cy="287782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725420" cy="2877820"/>
                    </a:xfrm>
                    <a:prstGeom prst="rect">
                      <a:avLst/>
                    </a:prstGeom>
                    <a:ln/>
                  </pic:spPr>
                </pic:pic>
              </a:graphicData>
            </a:graphic>
          </wp:inline>
        </w:drawing>
      </w:r>
    </w:p>
    <w:p w14:paraId="42BF562E" w14:textId="2E6E0122" w:rsidR="00061D42" w:rsidRPr="003B3D6C" w:rsidRDefault="00061D42" w:rsidP="00061D42">
      <w:pPr>
        <w:spacing w:line="480" w:lineRule="auto"/>
        <w:jc w:val="center"/>
      </w:pPr>
      <w:r w:rsidRPr="003B3D6C">
        <w:rPr>
          <w:b/>
        </w:rPr>
        <w:t xml:space="preserve">Figure </w:t>
      </w:r>
      <w:r w:rsidR="00226905">
        <w:rPr>
          <w:b/>
        </w:rPr>
        <w:t>1</w:t>
      </w:r>
      <w:r w:rsidRPr="003B3D6C">
        <w:t xml:space="preserve">. Marker placements for the measurement of lower limb </w:t>
      </w:r>
      <w:r w:rsidR="00F30227">
        <w:t xml:space="preserve">kinematics and </w:t>
      </w:r>
      <w:r w:rsidRPr="003B3D6C">
        <w:t>kinetics.</w:t>
      </w:r>
    </w:p>
    <w:p w14:paraId="29DF45DD" w14:textId="77777777" w:rsidR="007B0BCB" w:rsidRDefault="007B0BCB">
      <w:pPr>
        <w:spacing w:line="480" w:lineRule="auto"/>
        <w:jc w:val="both"/>
        <w:rPr>
          <w:i/>
        </w:rPr>
      </w:pPr>
    </w:p>
    <w:p w14:paraId="2979F84E" w14:textId="512124F3" w:rsidR="00723B30" w:rsidRDefault="00F30227">
      <w:pPr>
        <w:spacing w:line="480" w:lineRule="auto"/>
        <w:jc w:val="both"/>
      </w:pPr>
      <w:r>
        <w:rPr>
          <w:iCs/>
        </w:rPr>
        <w:t xml:space="preserve">After completing two walking trials for the SPPB, participants then completed 1-4 </w:t>
      </w:r>
      <w:r w:rsidR="00C64C19">
        <w:rPr>
          <w:iCs/>
        </w:rPr>
        <w:t xml:space="preserve">additional </w:t>
      </w:r>
      <w:r>
        <w:rPr>
          <w:iCs/>
        </w:rPr>
        <w:t xml:space="preserve">4-meter walking trials to collect </w:t>
      </w:r>
      <w:r w:rsidR="004F7C02">
        <w:rPr>
          <w:iCs/>
        </w:rPr>
        <w:t xml:space="preserve">a </w:t>
      </w:r>
      <w:r>
        <w:rPr>
          <w:iCs/>
        </w:rPr>
        <w:t>successful foot strik</w:t>
      </w:r>
      <w:r w:rsidR="004F7C02">
        <w:rPr>
          <w:iCs/>
        </w:rPr>
        <w:t xml:space="preserve">e on </w:t>
      </w:r>
      <w:r>
        <w:rPr>
          <w:iCs/>
        </w:rPr>
        <w:t>the</w:t>
      </w:r>
      <w:r w:rsidRPr="00F30227">
        <w:rPr>
          <w:iCs/>
        </w:rPr>
        <w:t xml:space="preserve"> </w:t>
      </w:r>
      <w:r>
        <w:rPr>
          <w:iCs/>
        </w:rPr>
        <w:t xml:space="preserve">force plate. </w:t>
      </w:r>
      <w:bookmarkStart w:id="2" w:name="_heading=h.1fob9te" w:colFirst="0" w:colLast="0"/>
      <w:bookmarkEnd w:id="2"/>
      <w:r w:rsidR="00723B30">
        <w:t xml:space="preserve">For walking trials, </w:t>
      </w:r>
      <w:r w:rsidR="001F1BE0">
        <w:t xml:space="preserve">marker position data were exported to </w:t>
      </w:r>
      <w:proofErr w:type="spellStart"/>
      <w:r w:rsidR="001F1BE0">
        <w:t>Matlab</w:t>
      </w:r>
      <w:proofErr w:type="spellEnd"/>
      <w:r w:rsidR="001F1BE0">
        <w:t xml:space="preserve"> (2025a, The </w:t>
      </w:r>
      <w:proofErr w:type="spellStart"/>
      <w:r w:rsidR="001F1BE0">
        <w:t>Mathworks</w:t>
      </w:r>
      <w:proofErr w:type="spellEnd"/>
      <w:r w:rsidR="001F1BE0">
        <w:t xml:space="preserve">, </w:t>
      </w:r>
      <w:r w:rsidR="001F1BE0" w:rsidRPr="001F1BE0">
        <w:t>Natick, Massachusetts</w:t>
      </w:r>
      <w:r w:rsidR="001F1BE0">
        <w:t xml:space="preserve">, USA). Gait </w:t>
      </w:r>
      <w:r w:rsidR="00995B58">
        <w:t xml:space="preserve">was assessed for strides comprising of two steps to remove the influence of step </w:t>
      </w:r>
      <w:proofErr w:type="gramStart"/>
      <w:r w:rsidR="00995B58">
        <w:t>asymmetry</w:t>
      </w:r>
      <w:proofErr w:type="gramEnd"/>
      <w:r w:rsidR="00995B58">
        <w:t>. Stride length and frequency were defined as the antero-posterior displacement of the right calcaneus marker between successive ground contacts and as the inverse of time between those ground contacts, respectively. Stride velocity was calculated as the product of stride length and frequency. Instants of ground contact were identified from the peak vertical acceleration of the calcaneus marker, whilst the marker was within 0.05 m of the minimum vertical position throughout the trial.</w:t>
      </w:r>
    </w:p>
    <w:p w14:paraId="663B8A14" w14:textId="2D238DF7" w:rsidR="00995B58" w:rsidRDefault="00943B4A">
      <w:pPr>
        <w:spacing w:line="480" w:lineRule="auto"/>
        <w:jc w:val="both"/>
      </w:pPr>
      <w:r>
        <w:t xml:space="preserve">Data from STS trials were </w:t>
      </w:r>
      <w:r w:rsidR="00D135C9">
        <w:t>labelled</w:t>
      </w:r>
      <w:r w:rsidR="009E4345">
        <w:t xml:space="preserve"> </w:t>
      </w:r>
      <w:r w:rsidR="00D135C9">
        <w:t>and exported for analysis in Visual3D</w:t>
      </w:r>
      <w:r w:rsidR="00F30227" w:rsidRPr="00F30227">
        <w:t xml:space="preserve"> </w:t>
      </w:r>
      <w:r w:rsidR="00F30227" w:rsidRPr="003B3D6C">
        <w:t>(</w:t>
      </w:r>
      <w:r w:rsidR="00F30227">
        <w:t>HAS-</w:t>
      </w:r>
      <w:r w:rsidR="00F30227" w:rsidRPr="003B3D6C">
        <w:t xml:space="preserve">Motion, </w:t>
      </w:r>
      <w:r w:rsidR="00F30227">
        <w:t>Canada</w:t>
      </w:r>
      <w:r w:rsidR="00F30227" w:rsidRPr="003B3D6C">
        <w:t>) to calculate joint kinetics</w:t>
      </w:r>
      <w:r w:rsidR="00F30227">
        <w:t xml:space="preserve"> and</w:t>
      </w:r>
      <w:r w:rsidR="00F30227" w:rsidRPr="003B3D6C">
        <w:t xml:space="preserve"> provide insight into muscle function</w:t>
      </w:r>
      <w:r w:rsidR="00D135C9">
        <w:t xml:space="preserve">. </w:t>
      </w:r>
      <w:r w:rsidR="00161A49">
        <w:t xml:space="preserve">Data were filtered using a </w:t>
      </w:r>
      <w:r w:rsidR="003D6C73">
        <w:t>zero-lag</w:t>
      </w:r>
      <w:r w:rsidR="00161A49">
        <w:t xml:space="preserve"> low-pass 2</w:t>
      </w:r>
      <w:r w:rsidR="00161A49" w:rsidRPr="00226905">
        <w:rPr>
          <w:vertAlign w:val="superscript"/>
        </w:rPr>
        <w:t>nd</w:t>
      </w:r>
      <w:r w:rsidR="00161A49">
        <w:t xml:space="preserve"> order Butterworth filter with cut off</w:t>
      </w:r>
      <w:r w:rsidR="003D6C73">
        <w:t xml:space="preserve"> frequencies</w:t>
      </w:r>
      <w:r w:rsidR="00161A49">
        <w:t xml:space="preserve"> of 6 and 15 Hz for </w:t>
      </w:r>
      <w:r w:rsidR="0043254B">
        <w:t xml:space="preserve">marker and </w:t>
      </w:r>
      <w:r w:rsidR="0043254B">
        <w:lastRenderedPageBreak/>
        <w:t>force data, respectively.</w:t>
      </w:r>
      <w:r w:rsidR="00161A49">
        <w:t xml:space="preserve"> </w:t>
      </w:r>
      <w:r w:rsidR="00D135C9">
        <w:t xml:space="preserve">A lower body model was created </w:t>
      </w:r>
      <w:r w:rsidR="009E4345">
        <w:t>following Visual3D guidelines</w:t>
      </w:r>
      <w:r w:rsidR="00161A49">
        <w:t xml:space="preserve"> and </w:t>
      </w:r>
      <w:r w:rsidR="0043254B">
        <w:t>join</w:t>
      </w:r>
      <w:r w:rsidR="003D6C73">
        <w:t>t kinematics and kinetics calculated. Peak knee extension velocity, moment and power were extracted for each concentric phase of the STS. The average across the three reps were used for further analysis.</w:t>
      </w:r>
    </w:p>
    <w:p w14:paraId="35163BAD" w14:textId="77777777" w:rsidR="007B3CA5" w:rsidRPr="00F01FF7" w:rsidRDefault="007B3CA5">
      <w:pPr>
        <w:spacing w:line="480" w:lineRule="auto"/>
        <w:jc w:val="both"/>
        <w:rPr>
          <w:sz w:val="2"/>
          <w:szCs w:val="2"/>
        </w:rPr>
      </w:pPr>
    </w:p>
    <w:p w14:paraId="00000078" w14:textId="77777777" w:rsidR="00C15823" w:rsidRPr="003B3D6C" w:rsidRDefault="00B63BA7">
      <w:pPr>
        <w:spacing w:line="480" w:lineRule="auto"/>
        <w:jc w:val="both"/>
        <w:rPr>
          <w:i/>
        </w:rPr>
      </w:pPr>
      <w:bookmarkStart w:id="3" w:name="_heading=h.3znysh7" w:colFirst="0" w:colLast="0"/>
      <w:bookmarkEnd w:id="3"/>
      <w:r w:rsidRPr="003B3D6C">
        <w:rPr>
          <w:i/>
        </w:rPr>
        <w:t>Habitual physical activity</w:t>
      </w:r>
    </w:p>
    <w:p w14:paraId="46A6423A" w14:textId="6EFBF8B1" w:rsidR="00C64C19" w:rsidRDefault="00C64C19" w:rsidP="00C64C19">
      <w:pPr>
        <w:shd w:val="clear" w:color="auto" w:fill="FFFFFF"/>
        <w:spacing w:after="0" w:line="480" w:lineRule="auto"/>
        <w:jc w:val="both"/>
      </w:pPr>
      <w:r>
        <w:t>Habitual p</w:t>
      </w:r>
      <w:r w:rsidRPr="003B3D6C">
        <w:t xml:space="preserve">hysical activity (PA) was assessed using </w:t>
      </w:r>
      <w:proofErr w:type="spellStart"/>
      <w:r w:rsidRPr="003B3D6C">
        <w:t>GENEActiv</w:t>
      </w:r>
      <w:proofErr w:type="spellEnd"/>
      <w:r w:rsidRPr="003B3D6C">
        <w:t xml:space="preserve"> (</w:t>
      </w:r>
      <w:proofErr w:type="spellStart"/>
      <w:r w:rsidRPr="003B3D6C">
        <w:t>Activinsights</w:t>
      </w:r>
      <w:proofErr w:type="spellEnd"/>
      <w:r w:rsidRPr="003B3D6C">
        <w:t>, Kimbolton, Cambridge, UK) accelerometers</w:t>
      </w:r>
      <w:r>
        <w:t xml:space="preserve">, which are accurate and reliable for assessing PA and sedentary </w:t>
      </w:r>
      <w:r>
        <w:rPr>
          <w:color w:val="1F1F1F"/>
          <w:highlight w:val="white"/>
        </w:rPr>
        <w:t xml:space="preserve">time in adults </w:t>
      </w:r>
      <w:r>
        <w:rPr>
          <w:color w:val="1F1F1F"/>
          <w:highlight w:val="white"/>
        </w:rPr>
        <w:fldChar w:fldCharType="begin" w:fldLock="1"/>
      </w:r>
      <w:r w:rsidR="00AA5A2F">
        <w:rPr>
          <w:color w:val="1F1F1F"/>
          <w:highlight w:val="white"/>
        </w:rPr>
        <w:instrText xml:space="preserve"> ADDIN ZOTERO_ITEM CSL_CITATION {"citationID":"GNRSkm4P","properties":{"formattedCitation":"(Esliger {\\i{}et al.}, 2011; Pavey {\\i{}et al.}, 2016)","plainCitation":"(Esliger et al., 2011; Pavey et al., 2016)","noteIndex":0},"citationItems":[{"id":427,"uris":["http://www.mendeley.com/documents/?uuid=b14a1e2f-66c4-479c-9a5c-2ab64d8c62c5","http://zotero.org/users/17561370/items/4E42PVPJ"],"itemData":{"id":427,"type":"article-journal","abstract":"Purpose: The study aims were: 1) to assess the technical reliability and validity of the GENEA using a mechanical shaker; 2) to perform a GENEA value calibration to develop thresholds for sedentary and light-, moderate-, and vigorous-intensity physical activity; and 3) to compare the intensity classification of the GENEA with two widely used accelerometers. Methods: A total of 47 GENEA accelerometers were attached to a shaker and vertically accelerated, generating 15 conditions of varying acceleration and/or frequency. Reliability was calculated using SD and intrainstrument and interinstrument coefficients of variation, whereas validity was assessed using Pearson correlation with the shaker acceleration as the criterion. Next, 60 adults wore a GENEA on each wrist and on the waist (alongside an ActiGraph and RT3 accelerometer) while completing 10-12 activity tasks. A portable metabolic gas analyzer provided the criterion measure of physical activity. Analyses involved the use of Pearson correlations to establish criterion and concurrent validity and receiver operating characteristic curves to establish intensity cut points. Results: The GENEA demonstrated excellent technical reliability (CVintra = 1.4%, CVinter = 2.1%) and validity (r = 0.98, P &lt; 0.001) using the mechanical shaker. The GENEA demonstrated excellent criterion validity using V̇O 2 as the criterion (left wrist, r = 0.86; right wrist, r = 0.83; waist, r = 0.87), on par with the waist-worn ActiGraph and RT3. The GENEA demonstrated excellent concurrent validity compared with the ActiGraph (r = 0.92) and the RT3 (r = 0.97). The waist-worn GENEA had the greatest classification accuracy (area under the receiver operating characteristic curve (AUC) = 0.95), followed by the left (AUC = 0.93) and then the right wrist (AUC = 0.90). The accuracy of the waist-worn GENEA was virtually identical with that of the ActiGraph (AUC = 0.94) and RT3 (AUC = 0.95). CONCLUSION:: The GENEA is a reliable and valid measurement tool capable of classifying the intensity of physical activity in adults. © 2011 by the American College of Sports Medicine.","container-title":"Medicine and Science in Sports and Exercise","DOI":"10.1249/MSS.0b013e31820513be","ISSN":"01959131","issue":"6","page":"1085-1093","PMID":"21088628","title":"Validation of the GENEA accelerometer","volume":"43","author":[{"family":"Esliger","given":"Dale W."},{"family":"Rowlands","given":"Ann V."},{"family":"Hurst","given":"Tina L."},{"family":"Catt","given":"Michael"},{"family":"Murray","given":"Peter"},{"family":"Eston","given":"Roger G."}],"issued":{"date-parts":[["2011"]]}}},{"id":1070,"uris":["http://www.mendeley.com/documents/?uuid=39d9d9dd-a8ca-33d3-9cc4-32ae6da39f65","http://zotero.org/users/17561370/items/J2MCHCZS"],"itemData":{"id":1070,"type":"article-journal","abstract":"Objectives: Based on self-reported measures, sedentary time has been associated with chronic disease and mortality. This study examined the validity of the wrist-worn GENEactiv accelerometer for measuring sedentary time (i.e. sitting and lying) by posture classification, during waking hours in free living adults. Design: Fifty-seven participants (age = 18-55 years 52% male) were recruited using convenience sampling from a large metropolitan Australian university. Methods: Participants wore a GENEActiv accelerometer on their non-dominant wrist and an activPAL device attached to their right thigh for 24-h (00:00 to 23:59:59). Pearson's Correlation Coefficient was used to examine the convergent validity of the GENEActiv and the activPAL for estimating total sedentary time during waking hours. Agreement was illustrated using Bland and Altman plots, and intra-individual agreement for posture was assessed with the Kappa statistic. Results: Estimates of average total sedentary time over 24-h were 623 (SD 103) min/day from the GENEActiv, and 626 (SD 123) min/day from the activPAL, with an Intraclass Correlation Coefficient of 0.80 (95% confidence intervals 0.68-0.88). Bland and Altman plots showed slight underestimation of mean total sedentary time for GENEActiv relative to activPAL (mean difference: -3.44 min/day), with moderate limits of agreement (-144 to 137 min/day). Mean Kappa for posture was 0.53 (SD 0.12), indicating moderate agreement for this sample at the individual level. Conclusions: The estimation of sedentary time by posture classification of the wrist-worn GENEActiv accelerometer was comparable to the activPAL. The GENEActiv may provide an alternative, easy to wear device based measure for descriptive estimates of sedentary time in population samples.","container-title":"Journal of Science and Medicine in Sport","DOI":"10.1016/J.JSAMS.2015.04.007","ISSN":"1440-2440","issue":"5","page":"395-399","PMID":"25956687","publisher":"Elsevier","title":"The validity of the GENEActiv wrist-worn accelerometer for measuring adult sedentary time in free living","volume":"19","author":[{"family":"Pavey","given":"Toby G."},{"family":"Gomersall","given":"Sjaan R."},{"family":"Clark","given":"Bronwyn K."},{"family":"Brown","given":"Wendy J."}],"issued":{"date-parts":[["2016",5,1]]}}}],"schema":"https://github.com/citation-style-language/schema/raw/master/csl-citation.json"} </w:instrText>
      </w:r>
      <w:r>
        <w:rPr>
          <w:color w:val="1F1F1F"/>
          <w:highlight w:val="white"/>
        </w:rPr>
        <w:fldChar w:fldCharType="separate"/>
      </w:r>
      <w:r w:rsidRPr="005C33DC">
        <w:t xml:space="preserve">(Esliger </w:t>
      </w:r>
      <w:r w:rsidRPr="005C33DC">
        <w:rPr>
          <w:i/>
          <w:iCs/>
        </w:rPr>
        <w:t>et al.</w:t>
      </w:r>
      <w:r w:rsidRPr="005C33DC">
        <w:t xml:space="preserve">, 2011; Pavey </w:t>
      </w:r>
      <w:r w:rsidRPr="005C33DC">
        <w:rPr>
          <w:i/>
          <w:iCs/>
        </w:rPr>
        <w:t>et al.</w:t>
      </w:r>
      <w:r w:rsidRPr="005C33DC">
        <w:t>, 2016)</w:t>
      </w:r>
      <w:r>
        <w:rPr>
          <w:color w:val="1F1F1F"/>
          <w:highlight w:val="white"/>
        </w:rPr>
        <w:fldChar w:fldCharType="end"/>
      </w:r>
      <w:r w:rsidRPr="003B3D6C">
        <w:t>.</w:t>
      </w:r>
      <w:r>
        <w:t xml:space="preserve"> </w:t>
      </w:r>
      <w:r w:rsidRPr="003B3D6C">
        <w:t xml:space="preserve">In the CON arm, participants wore the accelerometer during the first and final week. In the HWI arm, participants wore the accelerometer for a baseline </w:t>
      </w:r>
      <w:r>
        <w:t>seven-day</w:t>
      </w:r>
      <w:r w:rsidRPr="003B3D6C">
        <w:t xml:space="preserve"> period before the first HWI session, and during the final week of HWI. The</w:t>
      </w:r>
      <w:r>
        <w:t xml:space="preserve"> wrist worn</w:t>
      </w:r>
      <w:r w:rsidRPr="003B3D6C">
        <w:t xml:space="preserve"> </w:t>
      </w:r>
      <w:proofErr w:type="spellStart"/>
      <w:r w:rsidRPr="003B3D6C">
        <w:t>GENEActiv</w:t>
      </w:r>
      <w:proofErr w:type="spellEnd"/>
      <w:r w:rsidRPr="003B3D6C">
        <w:t xml:space="preserve"> accelerometers </w:t>
      </w:r>
      <w:r>
        <w:t>were set at a sampling</w:t>
      </w:r>
      <w:r w:rsidRPr="003B3D6C">
        <w:t xml:space="preserve"> frequency of 100 Hz</w:t>
      </w:r>
      <w:r>
        <w:t xml:space="preserve"> and worn</w:t>
      </w:r>
      <w:r w:rsidRPr="003B3D6C">
        <w:t xml:space="preserve"> continuously over a period of seven days. Following the measurement periods, data were downloaded using manufacturer’s software and processed in R (version 4.2.2. R Core Team, Vienna, Austria)</w:t>
      </w:r>
      <w:r>
        <w:t>,</w:t>
      </w:r>
      <w:r w:rsidRPr="003B3D6C">
        <w:t xml:space="preserve"> using the open source </w:t>
      </w:r>
      <w:r w:rsidRPr="003B3D6C">
        <w:rPr>
          <w:i/>
        </w:rPr>
        <w:t>GGIR</w:t>
      </w:r>
      <w:r w:rsidRPr="003B3D6C">
        <w:t xml:space="preserve"> software package (http://cran.r-project.org/package=</w:t>
      </w:r>
      <w:r w:rsidRPr="003B3D6C">
        <w:rPr>
          <w:i/>
        </w:rPr>
        <w:t>GGIR</w:t>
      </w:r>
      <w:r w:rsidRPr="003B3D6C">
        <w:t>). Previously validated acceleration threshold values were used to quantify the time (min‧day</w:t>
      </w:r>
      <w:r w:rsidRPr="003B3D6C">
        <w:rPr>
          <w:vertAlign w:val="superscript"/>
        </w:rPr>
        <w:t>-1</w:t>
      </w:r>
      <w:r w:rsidRPr="003B3D6C">
        <w:t xml:space="preserve">) spent on average in each PA intensity category </w:t>
      </w:r>
      <w:r>
        <w:fldChar w:fldCharType="begin" w:fldLock="1"/>
      </w:r>
      <w:r w:rsidR="00AA5A2F">
        <w:instrText xml:space="preserve"> ADDIN ZOTERO_ITEM CSL_CITATION {"citationID":"YHJFdmI5","properties":{"formattedCitation":"(Fraysse {\\i{}et al.}, 2021)","plainCitation":"(Fraysse et al., 2021)","noteIndex":0},"citationItems":[{"id":394,"uris":["http://www.mendeley.com/documents/?uuid=99c5bb0d-f280-38ca-8c85-d28800d5fb6d","http://zotero.org/users/17561370/items/3NN46BYF"],"itemData":{"id":394,"type":"article-journal","abstract":"Purpose: This study aims to 1) Establish GENEActiv intensity cut-points in older adults, and 2) Compare the classification accuracy between dominant (D) or non-dominant (ND) wrist, using both laboratory and free-living data. Methods: 31 older adults participated in the study. They wore a GENEActiv Original on each wrist and performed 9 activities of daily living. A portable gas analyser was used to measure energy expenditure for each task. Testing was performed on two occasions separated by at least 8 days. Some of the same participants (n=13) also wore one device on each wrist during 3 days of free-living. ROC analysis was performed to establish the optimal cutpoints. Results: For sedentary time, both dominant and non-dominant wrist had excellent classification accuracy (sensitivity 0.99 and 0.97, respectively; specificity 0.91 and 0.86, respectively). For MVPA, the non-dominant wrist device had better accuracy (ND sensitivity: 0.90, specificity 0.79; D sensitivity: 0.90, specificity 0.64). The corresponding cutpoints for sedentary-to-light were 255 and 375 g.min (epoch independent: 42.5 and 62.5 mg), and for the light-to-moderate 588 and 555 g.min (epoch-independent: 98.0 and 92.5 mg) for the non-dominant and dominant wrist, respectively. For free-living data, the dominant wrist device resulted in significantly more sedentary time and significantly less light and MVPA time compared to the non-dominant wrist.","container-title":"Frontiers in Sports and Active Living","DOI":"10.3389/FSPOR.2020.579278","ISSN":"2624-9367","page":"579278","publisher":"Frontiers","title":"Physical Activity Intensity Cut-Points for Wrist-Worn GENEActiv in Older Adults","volume":"2","author":[{"family":"Fraysse","given":"François"},{"family":"Post","given":"Dannielle"},{"family":"Eston","given":"Roger"},{"family":"Kasai","given":"Daiki"},{"family":"Rowlands","given":"Alex V."},{"family":"Parfitt","given":"Gaynor"}],"issued":{"date-parts":[["2021",1,15]]}}}],"schema":"https://github.com/citation-style-language/schema/raw/master/csl-citation.json"} </w:instrText>
      </w:r>
      <w:r>
        <w:fldChar w:fldCharType="separate"/>
      </w:r>
      <w:r w:rsidRPr="005C33DC">
        <w:t xml:space="preserve">(Fraysse </w:t>
      </w:r>
      <w:r w:rsidRPr="005C33DC">
        <w:rPr>
          <w:i/>
          <w:iCs/>
        </w:rPr>
        <w:t>et al.</w:t>
      </w:r>
      <w:r w:rsidRPr="005C33DC">
        <w:t>, 2021)</w:t>
      </w:r>
      <w:r>
        <w:fldChar w:fldCharType="end"/>
      </w:r>
      <w:r w:rsidRPr="003B3D6C">
        <w:t>. Participants who recorded &lt; four days with 16 hours wear-time were excluded.</w:t>
      </w:r>
    </w:p>
    <w:p w14:paraId="1F248AF3" w14:textId="77777777" w:rsidR="006B0984" w:rsidRPr="003B3D6C" w:rsidRDefault="006B0984">
      <w:pPr>
        <w:shd w:val="clear" w:color="auto" w:fill="FFFFFF"/>
        <w:spacing w:after="0" w:line="480" w:lineRule="auto"/>
        <w:jc w:val="both"/>
      </w:pPr>
    </w:p>
    <w:p w14:paraId="152E5898" w14:textId="77777777" w:rsidR="00417351" w:rsidRPr="00064581" w:rsidRDefault="00417351" w:rsidP="00417351">
      <w:pPr>
        <w:shd w:val="clear" w:color="auto" w:fill="FFFFFF"/>
        <w:spacing w:after="0" w:line="480" w:lineRule="auto"/>
        <w:jc w:val="both"/>
        <w:rPr>
          <w:b/>
        </w:rPr>
      </w:pPr>
      <w:r w:rsidRPr="00064581">
        <w:rPr>
          <w:b/>
        </w:rPr>
        <w:t>Data analysis</w:t>
      </w:r>
    </w:p>
    <w:p w14:paraId="6275BD48" w14:textId="356B69D3" w:rsidR="007B3CA5" w:rsidRDefault="00B63BA7">
      <w:pPr>
        <w:shd w:val="clear" w:color="auto" w:fill="FFFFFF"/>
        <w:spacing w:after="0" w:line="480" w:lineRule="auto"/>
        <w:jc w:val="both"/>
        <w:rPr>
          <w:b/>
        </w:rPr>
      </w:pPr>
      <w:bookmarkStart w:id="4" w:name="_heading=h.2et92p0" w:colFirst="0" w:colLast="0"/>
      <w:bookmarkEnd w:id="4"/>
      <w:r w:rsidRPr="003B3D6C">
        <w:t xml:space="preserve">Statistical analyses were conducted using SPSS Statistics, version </w:t>
      </w:r>
      <w:r w:rsidR="00051316">
        <w:t>30</w:t>
      </w:r>
      <w:r w:rsidRPr="003B3D6C">
        <w:t xml:space="preserve">.0 (Chicago, IL, USA). Data are presented as mean </w:t>
      </w:r>
      <w:r w:rsidRPr="003B3D6C">
        <w:rPr>
          <w:color w:val="000000"/>
        </w:rPr>
        <w:t>± standard deviations (</w:t>
      </w:r>
      <w:r w:rsidRPr="003B3D6C">
        <w:t xml:space="preserve">SD) unless otherwise stated, with statistical significance set at </w:t>
      </w:r>
      <w:r w:rsidR="00383B1C">
        <w:rPr>
          <w:i/>
        </w:rPr>
        <w:t>P</w:t>
      </w:r>
      <w:r w:rsidR="00383B1C" w:rsidRPr="003B3D6C">
        <w:t xml:space="preserve"> </w:t>
      </w:r>
      <w:r w:rsidRPr="003B3D6C">
        <w:t xml:space="preserve">&lt; 0.05. Main and interaction effects for </w:t>
      </w:r>
      <w:r w:rsidR="00051316">
        <w:t>strength</w:t>
      </w:r>
      <w:r w:rsidR="002F6815">
        <w:t xml:space="preserve">, </w:t>
      </w:r>
      <w:r w:rsidR="006D2FE0">
        <w:t xml:space="preserve">lower body kinetics, </w:t>
      </w:r>
      <w:r w:rsidR="002F6815">
        <w:t>gait measures</w:t>
      </w:r>
      <w:r w:rsidR="00051316">
        <w:t xml:space="preserve"> and the SPPB</w:t>
      </w:r>
      <w:r w:rsidRPr="003B3D6C">
        <w:t xml:space="preserve"> were evaluated using </w:t>
      </w:r>
      <w:r w:rsidR="00F83C9B">
        <w:t xml:space="preserve">a </w:t>
      </w:r>
      <w:r w:rsidR="00724A9D">
        <w:t>2 x 2</w:t>
      </w:r>
      <w:r w:rsidR="00F83C9B">
        <w:t xml:space="preserve"> linear mixed model</w:t>
      </w:r>
      <w:r w:rsidR="00D736BA">
        <w:t>, which</w:t>
      </w:r>
      <w:r w:rsidR="00F83C9B">
        <w:t xml:space="preserve"> account</w:t>
      </w:r>
      <w:r w:rsidR="00D736BA">
        <w:t>ed</w:t>
      </w:r>
      <w:r w:rsidR="00F83C9B">
        <w:t xml:space="preserve"> for </w:t>
      </w:r>
      <w:r w:rsidR="00F83C9B">
        <w:lastRenderedPageBreak/>
        <w:t xml:space="preserve">missing data points </w:t>
      </w:r>
      <w:r w:rsidR="00D736BA">
        <w:t xml:space="preserve">within our lower body kinetics and accelerometry data </w:t>
      </w:r>
      <w:r w:rsidR="00F83C9B">
        <w:t>(</w:t>
      </w:r>
      <w:r w:rsidR="00724A9D">
        <w:t xml:space="preserve">CON for </w:t>
      </w:r>
      <w:r w:rsidR="00724A9D" w:rsidRPr="00064581">
        <w:rPr>
          <w:i/>
        </w:rPr>
        <w:t>n</w:t>
      </w:r>
      <w:r w:rsidR="00724A9D">
        <w:t xml:space="preserve"> = 2, post-CON for </w:t>
      </w:r>
      <w:r w:rsidR="00724A9D" w:rsidRPr="00064581">
        <w:rPr>
          <w:i/>
        </w:rPr>
        <w:t>n</w:t>
      </w:r>
      <w:r w:rsidR="00724A9D">
        <w:t xml:space="preserve"> = 2, post-HWI for </w:t>
      </w:r>
      <w:r w:rsidR="00724A9D">
        <w:rPr>
          <w:i/>
          <w:iCs/>
        </w:rPr>
        <w:t>n</w:t>
      </w:r>
      <w:r w:rsidR="00724A9D">
        <w:t xml:space="preserve"> = 1 for knee moment and knee power; </w:t>
      </w:r>
      <w:r w:rsidR="00F83C9B">
        <w:t xml:space="preserve">CON for </w:t>
      </w:r>
      <w:r w:rsidR="00F83C9B" w:rsidRPr="00064581">
        <w:rPr>
          <w:i/>
        </w:rPr>
        <w:t>n</w:t>
      </w:r>
      <w:r w:rsidR="00F83C9B">
        <w:t xml:space="preserve"> = 2, post-CON for </w:t>
      </w:r>
      <w:r w:rsidR="00F83C9B" w:rsidRPr="00064581">
        <w:rPr>
          <w:i/>
        </w:rPr>
        <w:t>n</w:t>
      </w:r>
      <w:r w:rsidR="00F83C9B">
        <w:t xml:space="preserve"> = 3 for all </w:t>
      </w:r>
      <w:r w:rsidR="00724A9D">
        <w:t xml:space="preserve">accelerometry </w:t>
      </w:r>
      <w:r w:rsidR="00F83C9B">
        <w:t>variables)</w:t>
      </w:r>
      <w:r w:rsidR="00051316">
        <w:t xml:space="preserve">. </w:t>
      </w:r>
      <w:r w:rsidR="00EE66F6">
        <w:t>I</w:t>
      </w:r>
      <w:r w:rsidR="00D53B09">
        <w:t xml:space="preserve">f </w:t>
      </w:r>
      <w:r w:rsidR="00EE66F6">
        <w:t xml:space="preserve">residuals </w:t>
      </w:r>
      <w:r w:rsidR="00FC732C">
        <w:t>w</w:t>
      </w:r>
      <w:r w:rsidR="0037003C">
        <w:t>ere</w:t>
      </w:r>
      <w:r w:rsidR="00FC732C">
        <w:t xml:space="preserve"> not normally distributed</w:t>
      </w:r>
      <w:r w:rsidR="00D53B09">
        <w:t xml:space="preserve">, a </w:t>
      </w:r>
      <w:proofErr w:type="spellStart"/>
      <w:r w:rsidR="00D53B09">
        <w:t>generalised</w:t>
      </w:r>
      <w:proofErr w:type="spellEnd"/>
      <w:r w:rsidR="00D53B09">
        <w:t xml:space="preserve"> linear mixed model was performed. </w:t>
      </w:r>
      <w:r w:rsidRPr="003B3D6C">
        <w:t xml:space="preserve">Significant interactions were followed by post-hoc analysis with </w:t>
      </w:r>
      <w:r w:rsidR="00CA04CB">
        <w:t>a Bonferroni correction</w:t>
      </w:r>
      <w:r w:rsidRPr="003B3D6C">
        <w:t>.</w:t>
      </w:r>
      <w:r w:rsidR="008A7790">
        <w:t xml:space="preserve"> </w:t>
      </w:r>
      <w:r w:rsidR="00E32F8C">
        <w:t xml:space="preserve">Mean differences </w:t>
      </w:r>
      <w:r w:rsidR="0062478C">
        <w:t xml:space="preserve">and 95% confidence intervals </w:t>
      </w:r>
      <w:r w:rsidR="00341BA6">
        <w:t xml:space="preserve">were calculated for interaction and main effects. </w:t>
      </w:r>
      <w:r w:rsidR="008A7790">
        <w:t>E</w:t>
      </w:r>
      <w:r w:rsidR="008A7790" w:rsidRPr="0063200F">
        <w:t>ffect sizes were reported as partial eta squared (η</w:t>
      </w:r>
      <w:r w:rsidR="008A7790" w:rsidRPr="0063200F">
        <w:rPr>
          <w:vertAlign w:val="superscript"/>
        </w:rPr>
        <w:t>2</w:t>
      </w:r>
      <w:r w:rsidR="008A7790" w:rsidRPr="0063200F">
        <w:rPr>
          <w:vertAlign w:val="subscript"/>
        </w:rPr>
        <w:t>p</w:t>
      </w:r>
      <w:r w:rsidR="008A7790" w:rsidRPr="0063200F">
        <w:t>; small = 0.01, medium = 0.06 and large = 0.14)</w:t>
      </w:r>
      <w:r w:rsidR="008A7790">
        <w:t xml:space="preserve"> </w:t>
      </w:r>
      <w:r w:rsidR="008A7790">
        <w:fldChar w:fldCharType="begin"/>
      </w:r>
      <w:r w:rsidR="00AA5A2F">
        <w:instrText xml:space="preserve"> ADDIN ZOTERO_ITEM CSL_CITATION {"citationID":"ogc2EPao","properties":{"formattedCitation":"(Lakens, 2013)","plainCitation":"(Lakens, 2013)","noteIndex":0},"citationItems":[{"id":166,"uris":["http://zotero.org/users/17561370/items/UDZL75VS"],"itemData":{"id":166,"type":"article-journal","abstract":"Effect sizes are the most important outcome of empirical studies. Most articles on effect sizes highlight their importance to communicate the practical significance of results. For scientists themselves, effect sizes are most useful because they facilitate cumulative science. Effect sizes can be used to determine the sample size for follow-up studies, or examining effects across studies. This article aims to provide a practical primer on how to calculate and report effect sizes for t-tests and ANOVA’s such that effect sizes can be used in a-priori power analyses and meta-analyses. Whereas many articles about effect sizes focus on between-subjects designs and address within-subjects designs only briefly, I provide a detailed overview of the similarities and differences between within- and between-subjects designs. I suggest that some research questions in experimental psychology examine inherently intra-individual effects, which makes effect sizes that incorporate the correlation between measures the best summary of the results. Finally, a supplementary spreadsheet is provided to make it as easy as possible for researchers to incorporate effect size calculations into their workflow.","container-title":"Frontiers in Psychology","ISSN":"1664-1078","source":"Frontiers","title":"Calculating and reporting effect sizes to facilitate cumulative science: a practical primer for t-tests and ANOVAs","title-short":"Calculating and reporting effect sizes to facilitate cumulative science","URL":"https://www.frontiersin.org/journals/psychology/articles/10.3389/fpsyg.2013.00863","volume":"Volume 4 - 2013","author":[{"family":"Lakens","given":"Daniel"}],"accessed":{"date-parts":[["2025",12,18]]},"issued":{"date-parts":[["2013"]]}}}],"schema":"https://github.com/citation-style-language/schema/raw/master/csl-citation.json"} </w:instrText>
      </w:r>
      <w:r w:rsidR="008A7790">
        <w:fldChar w:fldCharType="separate"/>
      </w:r>
      <w:r w:rsidR="008A7790" w:rsidRPr="0063200F">
        <w:t>(Lakens, 2013)</w:t>
      </w:r>
      <w:r w:rsidR="008A7790">
        <w:fldChar w:fldCharType="end"/>
      </w:r>
      <w:r w:rsidR="008A7790">
        <w:t>.</w:t>
      </w:r>
      <w:r w:rsidR="00751AE7">
        <w:t xml:space="preserve"> To assess potential order (i.e., learning) effects, a </w:t>
      </w:r>
      <w:r w:rsidR="004F5E84">
        <w:t xml:space="preserve">one-way repeated measures </w:t>
      </w:r>
      <w:r w:rsidR="009667AB">
        <w:t>linear mixed model</w:t>
      </w:r>
      <w:r w:rsidR="004F5E84">
        <w:t xml:space="preserve"> (for parametric data) or </w:t>
      </w:r>
      <w:proofErr w:type="spellStart"/>
      <w:r w:rsidR="009667AB">
        <w:t>generalised</w:t>
      </w:r>
      <w:proofErr w:type="spellEnd"/>
      <w:r w:rsidR="009667AB">
        <w:t xml:space="preserve"> </w:t>
      </w:r>
      <w:r w:rsidR="0037003C">
        <w:t xml:space="preserve">linear </w:t>
      </w:r>
      <w:r w:rsidR="009667AB">
        <w:t>mixed model</w:t>
      </w:r>
      <w:r w:rsidR="004F5E84">
        <w:t xml:space="preserve"> (for non</w:t>
      </w:r>
      <w:r w:rsidR="00B400E3">
        <w:t xml:space="preserve">-parametric data) </w:t>
      </w:r>
      <w:r w:rsidR="009667AB">
        <w:t>was</w:t>
      </w:r>
      <w:r w:rsidR="00B400E3">
        <w:t xml:space="preserve"> conducted.</w:t>
      </w:r>
    </w:p>
    <w:p w14:paraId="3B9AEEF0" w14:textId="77777777" w:rsidR="007B3CA5" w:rsidRDefault="007B3CA5">
      <w:pPr>
        <w:shd w:val="clear" w:color="auto" w:fill="FFFFFF"/>
        <w:spacing w:after="0" w:line="480" w:lineRule="auto"/>
        <w:jc w:val="both"/>
        <w:rPr>
          <w:b/>
        </w:rPr>
      </w:pPr>
    </w:p>
    <w:p w14:paraId="0000007D" w14:textId="7D14BC64" w:rsidR="00C15823" w:rsidRDefault="00570FD4">
      <w:pPr>
        <w:shd w:val="clear" w:color="auto" w:fill="FFFFFF"/>
        <w:spacing w:after="0" w:line="480" w:lineRule="auto"/>
        <w:jc w:val="both"/>
        <w:rPr>
          <w:b/>
        </w:rPr>
      </w:pPr>
      <w:r w:rsidRPr="0004749D">
        <w:rPr>
          <w:b/>
        </w:rPr>
        <w:t>RESULTS</w:t>
      </w:r>
    </w:p>
    <w:p w14:paraId="30DE72F9" w14:textId="6AEC9324" w:rsidR="00960DA8" w:rsidRDefault="00960DA8">
      <w:pPr>
        <w:shd w:val="clear" w:color="auto" w:fill="FFFFFF"/>
        <w:spacing w:after="0" w:line="480" w:lineRule="auto"/>
        <w:jc w:val="both"/>
        <w:rPr>
          <w:bCs/>
        </w:rPr>
      </w:pPr>
      <w:r>
        <w:rPr>
          <w:bCs/>
        </w:rPr>
        <w:t xml:space="preserve">Nineteen participants (Table 1) were </w:t>
      </w:r>
      <w:r w:rsidR="006D7561">
        <w:rPr>
          <w:bCs/>
        </w:rPr>
        <w:t>recruited,</w:t>
      </w:r>
      <w:r>
        <w:rPr>
          <w:bCs/>
        </w:rPr>
        <w:t xml:space="preserve"> of whom twelve completed the study (Figure </w:t>
      </w:r>
      <w:r w:rsidR="00226905">
        <w:rPr>
          <w:bCs/>
        </w:rPr>
        <w:t>2</w:t>
      </w:r>
      <w:r>
        <w:rPr>
          <w:bCs/>
        </w:rPr>
        <w:t xml:space="preserve">). </w:t>
      </w:r>
      <w:r w:rsidR="004A5DC1">
        <w:rPr>
          <w:bCs/>
        </w:rPr>
        <w:t>Attrition</w:t>
      </w:r>
      <w:r>
        <w:rPr>
          <w:bCs/>
        </w:rPr>
        <w:t xml:space="preserve"> was </w:t>
      </w:r>
      <w:r w:rsidR="004A5DC1">
        <w:rPr>
          <w:bCs/>
        </w:rPr>
        <w:t xml:space="preserve">due to </w:t>
      </w:r>
      <w:r>
        <w:rPr>
          <w:bCs/>
        </w:rPr>
        <w:t>change in personal circumstances (</w:t>
      </w:r>
      <w:r>
        <w:rPr>
          <w:bCs/>
          <w:i/>
        </w:rPr>
        <w:t xml:space="preserve">n </w:t>
      </w:r>
      <w:r>
        <w:rPr>
          <w:bCs/>
        </w:rPr>
        <w:t>= 3), health reasons (</w:t>
      </w:r>
      <w:r>
        <w:rPr>
          <w:bCs/>
          <w:i/>
        </w:rPr>
        <w:t xml:space="preserve">n </w:t>
      </w:r>
      <w:r>
        <w:rPr>
          <w:bCs/>
        </w:rPr>
        <w:t>= 1), withdrawn consent (</w:t>
      </w:r>
      <w:r>
        <w:rPr>
          <w:bCs/>
          <w:i/>
        </w:rPr>
        <w:t xml:space="preserve">n </w:t>
      </w:r>
      <w:r>
        <w:rPr>
          <w:bCs/>
        </w:rPr>
        <w:t>= 1)</w:t>
      </w:r>
      <w:r w:rsidR="00FD0F5B">
        <w:rPr>
          <w:bCs/>
        </w:rPr>
        <w:t>,</w:t>
      </w:r>
      <w:r>
        <w:rPr>
          <w:bCs/>
        </w:rPr>
        <w:t xml:space="preserve"> and </w:t>
      </w:r>
      <w:r w:rsidR="004E506D">
        <w:rPr>
          <w:bCs/>
        </w:rPr>
        <w:t xml:space="preserve">two </w:t>
      </w:r>
      <w:r>
        <w:rPr>
          <w:bCs/>
        </w:rPr>
        <w:t>adverse events (</w:t>
      </w:r>
      <w:r>
        <w:rPr>
          <w:bCs/>
          <w:i/>
        </w:rPr>
        <w:t xml:space="preserve">n </w:t>
      </w:r>
      <w:r>
        <w:rPr>
          <w:bCs/>
        </w:rPr>
        <w:t>= 2)</w:t>
      </w:r>
      <w:r w:rsidR="004E506D">
        <w:rPr>
          <w:bCs/>
        </w:rPr>
        <w:t>, in which both participants withdrew following vasovagal syncope during venous cannulation</w:t>
      </w:r>
      <w:r w:rsidR="004D51F8">
        <w:rPr>
          <w:bCs/>
        </w:rPr>
        <w:t xml:space="preserve"> </w:t>
      </w:r>
      <w:r w:rsidR="003F0DAB">
        <w:rPr>
          <w:bCs/>
        </w:rPr>
        <w:t xml:space="preserve">that took place </w:t>
      </w:r>
      <w:r w:rsidR="009B5E1B">
        <w:rPr>
          <w:bCs/>
        </w:rPr>
        <w:t>within the larger trial</w:t>
      </w:r>
      <w:r>
        <w:rPr>
          <w:bCs/>
        </w:rPr>
        <w:t>.</w:t>
      </w:r>
      <w:r w:rsidR="004927D3">
        <w:rPr>
          <w:bCs/>
        </w:rPr>
        <w:t xml:space="preserve"> Due to equipment failure during the trial, only seven participants completed </w:t>
      </w:r>
      <w:r w:rsidR="004A5DC1">
        <w:rPr>
          <w:bCs/>
        </w:rPr>
        <w:t xml:space="preserve">the primary outcome measure of </w:t>
      </w:r>
      <w:r w:rsidR="004927D3">
        <w:rPr>
          <w:bCs/>
        </w:rPr>
        <w:t>maximal quadriceps strength testing on the IKD</w:t>
      </w:r>
      <w:r w:rsidR="0077122A">
        <w:rPr>
          <w:bCs/>
        </w:rPr>
        <w:t>, therefore results for this outcome measure</w:t>
      </w:r>
      <w:r w:rsidR="000724DD">
        <w:rPr>
          <w:bCs/>
        </w:rPr>
        <w:t xml:space="preserve"> did not have adequate statistical power</w:t>
      </w:r>
      <w:r w:rsidR="004927D3">
        <w:rPr>
          <w:bCs/>
        </w:rPr>
        <w:t>.</w:t>
      </w:r>
      <w:r w:rsidR="004F1C34">
        <w:rPr>
          <w:bCs/>
        </w:rPr>
        <w:t xml:space="preserve"> </w:t>
      </w:r>
      <w:proofErr w:type="spellStart"/>
      <w:r w:rsidR="00003667">
        <w:rPr>
          <w:bCs/>
        </w:rPr>
        <w:t>Thermophysiological</w:t>
      </w:r>
      <w:proofErr w:type="spellEnd"/>
      <w:r w:rsidR="00003667">
        <w:rPr>
          <w:bCs/>
        </w:rPr>
        <w:t xml:space="preserve"> responses during</w:t>
      </w:r>
      <w:r w:rsidR="00CF3B83">
        <w:rPr>
          <w:bCs/>
        </w:rPr>
        <w:t xml:space="preserve"> </w:t>
      </w:r>
      <w:r w:rsidR="00003667">
        <w:rPr>
          <w:bCs/>
        </w:rPr>
        <w:t xml:space="preserve">the </w:t>
      </w:r>
      <w:r w:rsidR="004F1C34">
        <w:rPr>
          <w:bCs/>
        </w:rPr>
        <w:t xml:space="preserve">HWI </w:t>
      </w:r>
      <w:r w:rsidR="00003667">
        <w:rPr>
          <w:bCs/>
        </w:rPr>
        <w:t xml:space="preserve">intervention </w:t>
      </w:r>
      <w:r w:rsidR="004F1C34">
        <w:rPr>
          <w:bCs/>
        </w:rPr>
        <w:t xml:space="preserve">are detailed </w:t>
      </w:r>
      <w:r w:rsidR="00C85B6F">
        <w:rPr>
          <w:bCs/>
        </w:rPr>
        <w:t xml:space="preserve">in full </w:t>
      </w:r>
      <w:r w:rsidR="004F1C34">
        <w:rPr>
          <w:bCs/>
        </w:rPr>
        <w:t xml:space="preserve">by </w:t>
      </w:r>
      <w:r w:rsidR="00B063DA">
        <w:rPr>
          <w:bCs/>
        </w:rPr>
        <w:fldChar w:fldCharType="begin"/>
      </w:r>
      <w:r w:rsidR="00AA5A2F">
        <w:rPr>
          <w:bCs/>
        </w:rPr>
        <w:instrText xml:space="preserve"> ADDIN ZOTERO_ITEM CSL_CITATION {"citationID":"Vg257ROj","properties":{"formattedCitation":"(Piccolo {\\i{}et al.}, Submitted for review)","plainCitation":"(Piccolo et al., Submitted for review)","noteIndex":0},"citationItems":[{"id":165,"uris":["http://zotero.org/users/17561370/items/I6HA2BUA"],"itemData":{"id":165,"type":"article-journal","title":"Effect of repeated hot water immersion on cognitive performance, cerebrovascular function, sleep, and biomarkers of neurodegeneration in older adults","author":[{"family":"Piccolo","given":"Daniel D."},{"family":"Corbett","given":"Jo"},{"family":"Costello","given":"Joseph T."},{"family":"Williams","given":"Thomas B."},{"family":"James","given":"Thomas J."},{"family":"Shute","given":"Janis K."},{"family":"Alnajjar","given":"Mohammad G. A."},{"family":"Hudson","given":"Luke C."},{"family":"Marsh","given":"Poppy A."},{"family":"Praskacova","given":"Veronika"},{"family":"McNarry","given":"Melitta A."},{"family":"Mackintosh","given":"Kelly A."},{"family":"Saynor","given":"Zoe L."},{"family":"Shepherd","given":"Anthony I."}],"issued":{"literal":"Submitted for review"}}}],"schema":"https://github.com/citation-style-language/schema/raw/master/csl-citation.json"} </w:instrText>
      </w:r>
      <w:r w:rsidR="00B063DA">
        <w:rPr>
          <w:bCs/>
        </w:rPr>
        <w:fldChar w:fldCharType="separate"/>
      </w:r>
      <w:r w:rsidR="00B063DA" w:rsidRPr="00B063DA">
        <w:t xml:space="preserve">(Piccolo </w:t>
      </w:r>
      <w:r w:rsidR="00B063DA" w:rsidRPr="00B063DA">
        <w:rPr>
          <w:i/>
          <w:iCs/>
        </w:rPr>
        <w:t>et al.</w:t>
      </w:r>
      <w:r w:rsidR="00B063DA" w:rsidRPr="00B063DA">
        <w:t>, Submitted for review)</w:t>
      </w:r>
      <w:r w:rsidR="00B063DA">
        <w:rPr>
          <w:bCs/>
        </w:rPr>
        <w:fldChar w:fldCharType="end"/>
      </w:r>
      <w:r w:rsidR="00BA248C">
        <w:rPr>
          <w:bCs/>
        </w:rPr>
        <w:t>.</w:t>
      </w:r>
      <w:r w:rsidR="00283F9F">
        <w:rPr>
          <w:bCs/>
        </w:rPr>
        <w:t xml:space="preserve"> </w:t>
      </w:r>
      <w:r w:rsidR="00E67892">
        <w:rPr>
          <w:bCs/>
        </w:rPr>
        <w:t xml:space="preserve">Grand mean </w:t>
      </w:r>
      <w:r w:rsidR="005E168A">
        <w:rPr>
          <w:bCs/>
        </w:rPr>
        <w:t xml:space="preserve">starting and </w:t>
      </w:r>
      <w:r w:rsidR="00E67892">
        <w:rPr>
          <w:bCs/>
        </w:rPr>
        <w:t xml:space="preserve">peak </w:t>
      </w:r>
      <w:proofErr w:type="spellStart"/>
      <w:r w:rsidR="00E67892" w:rsidRPr="00982187">
        <w:rPr>
          <w:bCs/>
          <w:i/>
          <w:iCs/>
        </w:rPr>
        <w:t>T</w:t>
      </w:r>
      <w:r w:rsidR="00E67892" w:rsidRPr="00982187">
        <w:rPr>
          <w:bCs/>
          <w:vertAlign w:val="subscript"/>
        </w:rPr>
        <w:t>rec</w:t>
      </w:r>
      <w:proofErr w:type="spellEnd"/>
      <w:r w:rsidR="00E67892">
        <w:rPr>
          <w:bCs/>
        </w:rPr>
        <w:t xml:space="preserve"> for each HWI session </w:t>
      </w:r>
      <w:r w:rsidR="00A3424D">
        <w:rPr>
          <w:bCs/>
        </w:rPr>
        <w:t>was</w:t>
      </w:r>
      <w:r w:rsidR="005E168A">
        <w:rPr>
          <w:bCs/>
        </w:rPr>
        <w:t xml:space="preserve"> </w:t>
      </w:r>
      <w:r w:rsidR="00732A24">
        <w:rPr>
          <w:bCs/>
        </w:rPr>
        <w:t>37.13</w:t>
      </w:r>
      <w:r w:rsidR="00A3424D">
        <w:rPr>
          <w:bCs/>
        </w:rPr>
        <w:t xml:space="preserve"> ± 0.19</w:t>
      </w:r>
      <w:r w:rsidR="00732A24">
        <w:rPr>
          <w:bCs/>
        </w:rPr>
        <w:t>°C and</w:t>
      </w:r>
      <w:r w:rsidR="00E67892">
        <w:rPr>
          <w:bCs/>
        </w:rPr>
        <w:t xml:space="preserve"> 38.81</w:t>
      </w:r>
      <w:r w:rsidR="00A3424D">
        <w:rPr>
          <w:bCs/>
        </w:rPr>
        <w:t xml:space="preserve"> ± 0.09</w:t>
      </w:r>
      <w:r w:rsidR="00E67892">
        <w:rPr>
          <w:bCs/>
        </w:rPr>
        <w:t>°C</w:t>
      </w:r>
      <w:r w:rsidR="002A7AF3">
        <w:rPr>
          <w:bCs/>
        </w:rPr>
        <w:t xml:space="preserve">, </w:t>
      </w:r>
      <w:r w:rsidR="00732A24">
        <w:rPr>
          <w:bCs/>
        </w:rPr>
        <w:t xml:space="preserve">respectively, </w:t>
      </w:r>
      <w:r w:rsidR="002A7AF3">
        <w:rPr>
          <w:bCs/>
        </w:rPr>
        <w:t>and p</w:t>
      </w:r>
      <w:r w:rsidR="00283F9F">
        <w:rPr>
          <w:bCs/>
        </w:rPr>
        <w:t>articipants complet</w:t>
      </w:r>
      <w:r w:rsidR="00BA248C">
        <w:rPr>
          <w:bCs/>
        </w:rPr>
        <w:t>ed</w:t>
      </w:r>
      <w:r w:rsidR="00283F9F">
        <w:rPr>
          <w:bCs/>
        </w:rPr>
        <w:t xml:space="preserve"> 13-18 HWIs</w:t>
      </w:r>
      <w:r w:rsidR="00BA248C">
        <w:rPr>
          <w:bCs/>
        </w:rPr>
        <w:t xml:space="preserve">, with all but one participant completing </w:t>
      </w:r>
      <w:r w:rsidR="002877D8">
        <w:rPr>
          <w:bCs/>
        </w:rPr>
        <w:t xml:space="preserve">at least </w:t>
      </w:r>
      <w:r w:rsidR="00BA248C">
        <w:rPr>
          <w:bCs/>
        </w:rPr>
        <w:t>15 sessions</w:t>
      </w:r>
      <w:r w:rsidR="00B063DA">
        <w:rPr>
          <w:bCs/>
        </w:rPr>
        <w:t>.</w:t>
      </w:r>
      <w:r w:rsidR="003C2B89">
        <w:rPr>
          <w:bCs/>
        </w:rPr>
        <w:t xml:space="preserve"> </w:t>
      </w:r>
      <w:r w:rsidR="00B063DA" w:rsidRPr="00B063DA">
        <w:rPr>
          <w:bCs/>
        </w:rPr>
        <w:t xml:space="preserve">The full </w:t>
      </w:r>
      <w:proofErr w:type="spellStart"/>
      <w:r w:rsidR="00B063DA" w:rsidRPr="00B063DA">
        <w:rPr>
          <w:bCs/>
        </w:rPr>
        <w:t>anonymised</w:t>
      </w:r>
      <w:proofErr w:type="spellEnd"/>
      <w:r w:rsidR="00B063DA" w:rsidRPr="00B063DA">
        <w:rPr>
          <w:bCs/>
        </w:rPr>
        <w:t xml:space="preserve"> dataset has been made freely available as supplementary material on our University </w:t>
      </w:r>
      <w:r w:rsidR="00B063DA" w:rsidRPr="00B063DA">
        <w:rPr>
          <w:bCs/>
        </w:rPr>
        <w:lastRenderedPageBreak/>
        <w:t>repository</w:t>
      </w:r>
      <w:r w:rsidR="00B063DA">
        <w:rPr>
          <w:bCs/>
        </w:rPr>
        <w:t xml:space="preserve"> </w:t>
      </w:r>
      <w:r w:rsidR="00B063DA">
        <w:t>(</w:t>
      </w:r>
      <w:hyperlink r:id="rId8" w:history="1">
        <w:r w:rsidR="00B063DA" w:rsidRPr="00142EE7">
          <w:rPr>
            <w:rStyle w:val="Hyperlink"/>
          </w:rPr>
          <w:t>https://doi.org/10.17029/40adb0f3-23ed-48c0-9cd3-ff7083c9d2f4</w:t>
        </w:r>
      </w:hyperlink>
      <w:r w:rsidR="00B063DA">
        <w:t>)</w:t>
      </w:r>
      <w:r w:rsidR="00104DF4">
        <w:t>.</w:t>
      </w:r>
      <w:r w:rsidR="0032655C">
        <w:t xml:space="preserve"> </w:t>
      </w:r>
      <w:r w:rsidR="00104DF4">
        <w:t xml:space="preserve">Please </w:t>
      </w:r>
      <w:r w:rsidR="0032655C">
        <w:t xml:space="preserve">also </w:t>
      </w:r>
      <w:r w:rsidR="00104DF4">
        <w:t xml:space="preserve">see the supplementary materials for </w:t>
      </w:r>
      <w:r w:rsidR="0032655C">
        <w:t>m</w:t>
      </w:r>
      <w:r w:rsidR="003170DA">
        <w:t>ain and o</w:t>
      </w:r>
      <w:r w:rsidR="001B6866">
        <w:t xml:space="preserve">rder effects </w:t>
      </w:r>
      <w:r w:rsidR="0032655C">
        <w:t>tables</w:t>
      </w:r>
      <w:r w:rsidR="007F3826">
        <w:t>.</w:t>
      </w:r>
    </w:p>
    <w:p w14:paraId="1CFC28AF" w14:textId="77777777" w:rsidR="004A5DC1" w:rsidRPr="00064581" w:rsidRDefault="004A5DC1">
      <w:pPr>
        <w:shd w:val="clear" w:color="auto" w:fill="FFFFFF"/>
        <w:spacing w:after="0" w:line="480" w:lineRule="auto"/>
        <w:jc w:val="both"/>
        <w:rPr>
          <w:b/>
        </w:rPr>
      </w:pPr>
    </w:p>
    <w:tbl>
      <w:tblPr>
        <w:tblStyle w:val="a"/>
        <w:tblW w:w="8287" w:type="dxa"/>
        <w:tblLayout w:type="fixed"/>
        <w:tblLook w:val="0400" w:firstRow="0" w:lastRow="0" w:firstColumn="0" w:lastColumn="0" w:noHBand="0" w:noVBand="1"/>
      </w:tblPr>
      <w:tblGrid>
        <w:gridCol w:w="5150"/>
        <w:gridCol w:w="3137"/>
      </w:tblGrid>
      <w:tr w:rsidR="00960DA8" w:rsidRPr="003B3D6C" w14:paraId="62554FA9" w14:textId="77777777" w:rsidTr="00064581">
        <w:trPr>
          <w:trHeight w:val="317"/>
        </w:trPr>
        <w:tc>
          <w:tcPr>
            <w:tcW w:w="8287" w:type="dxa"/>
            <w:gridSpan w:val="2"/>
            <w:tcBorders>
              <w:top w:val="nil"/>
              <w:left w:val="nil"/>
              <w:bottom w:val="single" w:sz="4" w:space="0" w:color="000000"/>
              <w:right w:val="nil"/>
            </w:tcBorders>
            <w:vAlign w:val="bottom"/>
          </w:tcPr>
          <w:p w14:paraId="323625CF" w14:textId="4D8C8072" w:rsidR="00960DA8" w:rsidRPr="003B3D6C" w:rsidRDefault="00960DA8" w:rsidP="00064581">
            <w:pPr>
              <w:spacing w:after="0" w:line="360" w:lineRule="auto"/>
              <w:jc w:val="both"/>
              <w:rPr>
                <w:color w:val="000000"/>
              </w:rPr>
            </w:pPr>
            <w:r w:rsidRPr="003B3D6C">
              <w:rPr>
                <w:b/>
                <w:color w:val="000000"/>
              </w:rPr>
              <w:t>Table 1.</w:t>
            </w:r>
            <w:r w:rsidRPr="003B3D6C">
              <w:rPr>
                <w:color w:val="000000"/>
              </w:rPr>
              <w:t xml:space="preserve"> Participant characteristics (</w:t>
            </w:r>
            <w:r w:rsidRPr="003B3D6C">
              <w:rPr>
                <w:i/>
                <w:color w:val="000000"/>
              </w:rPr>
              <w:t>n</w:t>
            </w:r>
            <w:r w:rsidRPr="003B3D6C">
              <w:rPr>
                <w:color w:val="000000"/>
              </w:rPr>
              <w:t xml:space="preserve"> = 1</w:t>
            </w:r>
            <w:r>
              <w:rPr>
                <w:color w:val="000000"/>
              </w:rPr>
              <w:t>2</w:t>
            </w:r>
            <w:r w:rsidRPr="003B3D6C">
              <w:rPr>
                <w:color w:val="000000"/>
              </w:rPr>
              <w:t>)</w:t>
            </w:r>
            <w:r>
              <w:rPr>
                <w:color w:val="000000"/>
              </w:rPr>
              <w:t xml:space="preserve">. </w:t>
            </w:r>
          </w:p>
        </w:tc>
      </w:tr>
      <w:tr w:rsidR="00960DA8" w:rsidRPr="003B3D6C" w14:paraId="48200AC8" w14:textId="77777777" w:rsidTr="00064581">
        <w:trPr>
          <w:trHeight w:val="317"/>
        </w:trPr>
        <w:tc>
          <w:tcPr>
            <w:tcW w:w="5150" w:type="dxa"/>
            <w:tcBorders>
              <w:top w:val="nil"/>
              <w:left w:val="nil"/>
              <w:bottom w:val="single" w:sz="4" w:space="0" w:color="000000"/>
              <w:right w:val="nil"/>
            </w:tcBorders>
            <w:vAlign w:val="bottom"/>
          </w:tcPr>
          <w:p w14:paraId="7DDE01F3" w14:textId="77777777" w:rsidR="00960DA8" w:rsidRPr="003B3D6C" w:rsidRDefault="00960DA8" w:rsidP="00064581">
            <w:pPr>
              <w:spacing w:after="0" w:line="360" w:lineRule="auto"/>
              <w:jc w:val="both"/>
              <w:rPr>
                <w:b/>
                <w:color w:val="000000"/>
              </w:rPr>
            </w:pPr>
            <w:r w:rsidRPr="003B3D6C">
              <w:rPr>
                <w:b/>
                <w:color w:val="000000"/>
              </w:rPr>
              <w:t>Parameter</w:t>
            </w:r>
          </w:p>
        </w:tc>
        <w:tc>
          <w:tcPr>
            <w:tcW w:w="3137" w:type="dxa"/>
            <w:tcBorders>
              <w:top w:val="nil"/>
              <w:left w:val="nil"/>
              <w:bottom w:val="single" w:sz="4" w:space="0" w:color="000000"/>
              <w:right w:val="nil"/>
            </w:tcBorders>
            <w:vAlign w:val="center"/>
          </w:tcPr>
          <w:p w14:paraId="48FDB546" w14:textId="77777777" w:rsidR="00960DA8" w:rsidRPr="003B3D6C" w:rsidRDefault="00960DA8" w:rsidP="00064581">
            <w:pPr>
              <w:spacing w:after="0" w:line="360" w:lineRule="auto"/>
              <w:jc w:val="center"/>
              <w:rPr>
                <w:b/>
                <w:color w:val="000000"/>
              </w:rPr>
            </w:pPr>
            <w:r w:rsidRPr="003B3D6C">
              <w:rPr>
                <w:b/>
                <w:color w:val="000000"/>
              </w:rPr>
              <w:t>Value</w:t>
            </w:r>
          </w:p>
        </w:tc>
      </w:tr>
      <w:tr w:rsidR="00960DA8" w:rsidRPr="003B3D6C" w14:paraId="3CFA3873" w14:textId="77777777" w:rsidTr="00064581">
        <w:trPr>
          <w:trHeight w:val="317"/>
        </w:trPr>
        <w:tc>
          <w:tcPr>
            <w:tcW w:w="5150" w:type="dxa"/>
            <w:tcBorders>
              <w:top w:val="nil"/>
              <w:left w:val="nil"/>
              <w:bottom w:val="nil"/>
              <w:right w:val="nil"/>
            </w:tcBorders>
            <w:vAlign w:val="bottom"/>
          </w:tcPr>
          <w:p w14:paraId="104A7805" w14:textId="6C49DC8C" w:rsidR="00960DA8" w:rsidRPr="003B3D6C" w:rsidRDefault="00960DA8" w:rsidP="00064581">
            <w:pPr>
              <w:spacing w:after="0" w:line="360" w:lineRule="auto"/>
              <w:jc w:val="both"/>
              <w:rPr>
                <w:color w:val="000000"/>
              </w:rPr>
            </w:pPr>
            <w:r>
              <w:rPr>
                <w:color w:val="000000"/>
              </w:rPr>
              <w:t>Age (years)</w:t>
            </w:r>
          </w:p>
        </w:tc>
        <w:tc>
          <w:tcPr>
            <w:tcW w:w="3137" w:type="dxa"/>
            <w:tcBorders>
              <w:top w:val="nil"/>
              <w:left w:val="nil"/>
              <w:bottom w:val="nil"/>
              <w:right w:val="nil"/>
            </w:tcBorders>
            <w:vAlign w:val="bottom"/>
          </w:tcPr>
          <w:p w14:paraId="13EB17BC" w14:textId="343EBCD6" w:rsidR="00960DA8" w:rsidRPr="003B3D6C" w:rsidRDefault="00960DA8" w:rsidP="00064581">
            <w:pPr>
              <w:spacing w:after="0" w:line="360" w:lineRule="auto"/>
              <w:jc w:val="center"/>
              <w:rPr>
                <w:color w:val="000000"/>
              </w:rPr>
            </w:pPr>
            <w:r>
              <w:rPr>
                <w:color w:val="000000"/>
              </w:rPr>
              <w:t>69</w:t>
            </w:r>
            <w:r w:rsidR="00383B1C">
              <w:rPr>
                <w:color w:val="000000"/>
              </w:rPr>
              <w:t>.2</w:t>
            </w:r>
            <w:r>
              <w:rPr>
                <w:color w:val="000000"/>
              </w:rPr>
              <w:t xml:space="preserve"> ± 10</w:t>
            </w:r>
            <w:r w:rsidR="004F1C34">
              <w:rPr>
                <w:color w:val="000000"/>
              </w:rPr>
              <w:t>.0</w:t>
            </w:r>
          </w:p>
        </w:tc>
      </w:tr>
      <w:tr w:rsidR="00960DA8" w:rsidRPr="003B3D6C" w14:paraId="57EF5B2E" w14:textId="77777777" w:rsidTr="00064581">
        <w:trPr>
          <w:trHeight w:val="317"/>
        </w:trPr>
        <w:tc>
          <w:tcPr>
            <w:tcW w:w="5150" w:type="dxa"/>
            <w:tcBorders>
              <w:top w:val="nil"/>
              <w:left w:val="nil"/>
              <w:bottom w:val="nil"/>
              <w:right w:val="nil"/>
            </w:tcBorders>
            <w:vAlign w:val="bottom"/>
          </w:tcPr>
          <w:p w14:paraId="6654739C" w14:textId="7904866A" w:rsidR="00960DA8" w:rsidRPr="003B3D6C" w:rsidRDefault="00960DA8" w:rsidP="00064581">
            <w:pPr>
              <w:spacing w:after="0" w:line="360" w:lineRule="auto"/>
              <w:jc w:val="both"/>
              <w:rPr>
                <w:color w:val="000000"/>
              </w:rPr>
            </w:pPr>
            <w:r>
              <w:rPr>
                <w:color w:val="000000"/>
              </w:rPr>
              <w:t>Males (</w:t>
            </w:r>
            <w:r>
              <w:rPr>
                <w:i/>
                <w:iCs/>
                <w:color w:val="000000"/>
              </w:rPr>
              <w:t>n</w:t>
            </w:r>
            <w:r>
              <w:rPr>
                <w:color w:val="000000"/>
              </w:rPr>
              <w:t>)</w:t>
            </w:r>
          </w:p>
        </w:tc>
        <w:tc>
          <w:tcPr>
            <w:tcW w:w="3137" w:type="dxa"/>
            <w:tcBorders>
              <w:top w:val="nil"/>
              <w:left w:val="nil"/>
              <w:bottom w:val="nil"/>
              <w:right w:val="nil"/>
            </w:tcBorders>
            <w:vAlign w:val="bottom"/>
          </w:tcPr>
          <w:p w14:paraId="50E40DB9" w14:textId="3DA58D44" w:rsidR="00960DA8" w:rsidRPr="003B3D6C" w:rsidRDefault="00960DA8" w:rsidP="00064581">
            <w:pPr>
              <w:spacing w:after="0" w:line="360" w:lineRule="auto"/>
              <w:jc w:val="center"/>
              <w:rPr>
                <w:color w:val="000000"/>
              </w:rPr>
            </w:pPr>
            <w:r>
              <w:rPr>
                <w:color w:val="000000"/>
              </w:rPr>
              <w:t>4</w:t>
            </w:r>
          </w:p>
        </w:tc>
      </w:tr>
      <w:tr w:rsidR="00960DA8" w:rsidRPr="003B3D6C" w14:paraId="595E60CB" w14:textId="77777777" w:rsidTr="00064581">
        <w:trPr>
          <w:trHeight w:val="317"/>
        </w:trPr>
        <w:tc>
          <w:tcPr>
            <w:tcW w:w="5150" w:type="dxa"/>
            <w:tcBorders>
              <w:top w:val="nil"/>
              <w:left w:val="nil"/>
              <w:bottom w:val="nil"/>
              <w:right w:val="nil"/>
            </w:tcBorders>
            <w:vAlign w:val="bottom"/>
          </w:tcPr>
          <w:p w14:paraId="1489DFE9" w14:textId="08093FB9" w:rsidR="00960DA8" w:rsidRPr="003B3D6C" w:rsidRDefault="00960DA8" w:rsidP="00064581">
            <w:pPr>
              <w:spacing w:after="0" w:line="360" w:lineRule="auto"/>
              <w:jc w:val="both"/>
              <w:rPr>
                <w:color w:val="000000"/>
              </w:rPr>
            </w:pPr>
            <w:r>
              <w:rPr>
                <w:color w:val="000000"/>
              </w:rPr>
              <w:t>Females (</w:t>
            </w:r>
            <w:r>
              <w:rPr>
                <w:i/>
                <w:iCs/>
                <w:color w:val="000000"/>
              </w:rPr>
              <w:t>n</w:t>
            </w:r>
            <w:r>
              <w:rPr>
                <w:color w:val="000000"/>
              </w:rPr>
              <w:t>)</w:t>
            </w:r>
          </w:p>
        </w:tc>
        <w:tc>
          <w:tcPr>
            <w:tcW w:w="3137" w:type="dxa"/>
            <w:tcBorders>
              <w:top w:val="nil"/>
              <w:left w:val="nil"/>
              <w:bottom w:val="nil"/>
              <w:right w:val="nil"/>
            </w:tcBorders>
            <w:vAlign w:val="bottom"/>
          </w:tcPr>
          <w:p w14:paraId="085FAC37" w14:textId="65DE4A83" w:rsidR="00960DA8" w:rsidRPr="003B3D6C" w:rsidRDefault="00960DA8" w:rsidP="00064581">
            <w:pPr>
              <w:spacing w:after="0" w:line="360" w:lineRule="auto"/>
              <w:jc w:val="center"/>
              <w:rPr>
                <w:color w:val="000000"/>
              </w:rPr>
            </w:pPr>
            <w:r>
              <w:rPr>
                <w:color w:val="000000"/>
              </w:rPr>
              <w:t>8</w:t>
            </w:r>
          </w:p>
        </w:tc>
      </w:tr>
      <w:tr w:rsidR="00960DA8" w:rsidRPr="003B3D6C" w14:paraId="6096D49E" w14:textId="77777777" w:rsidTr="00064581">
        <w:trPr>
          <w:trHeight w:val="317"/>
        </w:trPr>
        <w:tc>
          <w:tcPr>
            <w:tcW w:w="5150" w:type="dxa"/>
            <w:tcBorders>
              <w:top w:val="nil"/>
              <w:left w:val="nil"/>
              <w:bottom w:val="nil"/>
              <w:right w:val="nil"/>
            </w:tcBorders>
            <w:vAlign w:val="bottom"/>
          </w:tcPr>
          <w:p w14:paraId="14B42909" w14:textId="7A82EBC0" w:rsidR="00960DA8" w:rsidRPr="003B3D6C" w:rsidRDefault="00960DA8" w:rsidP="00064581">
            <w:pPr>
              <w:spacing w:after="0" w:line="360" w:lineRule="auto"/>
              <w:jc w:val="both"/>
              <w:rPr>
                <w:color w:val="000000"/>
              </w:rPr>
            </w:pPr>
            <w:r>
              <w:rPr>
                <w:color w:val="000000"/>
              </w:rPr>
              <w:t>Height (cm)</w:t>
            </w:r>
          </w:p>
        </w:tc>
        <w:tc>
          <w:tcPr>
            <w:tcW w:w="3137" w:type="dxa"/>
            <w:tcBorders>
              <w:top w:val="nil"/>
              <w:left w:val="nil"/>
              <w:bottom w:val="nil"/>
              <w:right w:val="nil"/>
            </w:tcBorders>
            <w:vAlign w:val="bottom"/>
          </w:tcPr>
          <w:p w14:paraId="5E96F737" w14:textId="5025AF48" w:rsidR="00960DA8" w:rsidRPr="003B3D6C" w:rsidRDefault="00960DA8" w:rsidP="00064581">
            <w:pPr>
              <w:spacing w:after="0" w:line="360" w:lineRule="auto"/>
              <w:jc w:val="center"/>
              <w:rPr>
                <w:color w:val="000000"/>
              </w:rPr>
            </w:pPr>
            <w:r>
              <w:rPr>
                <w:color w:val="000000"/>
              </w:rPr>
              <w:t>16</w:t>
            </w:r>
            <w:r w:rsidR="00CD07E1">
              <w:rPr>
                <w:color w:val="000000"/>
              </w:rPr>
              <w:t>8.</w:t>
            </w:r>
            <w:r>
              <w:rPr>
                <w:color w:val="000000"/>
              </w:rPr>
              <w:t>9 ± 10</w:t>
            </w:r>
            <w:r w:rsidR="00CD07E1">
              <w:rPr>
                <w:color w:val="000000"/>
              </w:rPr>
              <w:t>.0</w:t>
            </w:r>
          </w:p>
        </w:tc>
      </w:tr>
      <w:tr w:rsidR="00960DA8" w:rsidRPr="003B3D6C" w14:paraId="7810EE91" w14:textId="77777777" w:rsidTr="00064581">
        <w:trPr>
          <w:trHeight w:val="317"/>
        </w:trPr>
        <w:tc>
          <w:tcPr>
            <w:tcW w:w="5150" w:type="dxa"/>
            <w:tcBorders>
              <w:top w:val="nil"/>
              <w:left w:val="nil"/>
              <w:bottom w:val="nil"/>
              <w:right w:val="nil"/>
            </w:tcBorders>
            <w:vAlign w:val="bottom"/>
          </w:tcPr>
          <w:p w14:paraId="156790DC" w14:textId="69EBA630" w:rsidR="00960DA8" w:rsidRPr="003B3D6C" w:rsidRDefault="00960DA8" w:rsidP="00064581">
            <w:pPr>
              <w:spacing w:after="0" w:line="360" w:lineRule="auto"/>
              <w:jc w:val="both"/>
              <w:rPr>
                <w:color w:val="000000"/>
              </w:rPr>
            </w:pPr>
            <w:r>
              <w:rPr>
                <w:color w:val="000000"/>
              </w:rPr>
              <w:t>Mass (kg)</w:t>
            </w:r>
          </w:p>
        </w:tc>
        <w:tc>
          <w:tcPr>
            <w:tcW w:w="3137" w:type="dxa"/>
            <w:tcBorders>
              <w:top w:val="nil"/>
              <w:left w:val="nil"/>
              <w:bottom w:val="nil"/>
              <w:right w:val="nil"/>
            </w:tcBorders>
            <w:vAlign w:val="bottom"/>
          </w:tcPr>
          <w:p w14:paraId="412D0B22" w14:textId="4F96EFDA" w:rsidR="00960DA8" w:rsidRPr="003B3D6C" w:rsidRDefault="00960DA8" w:rsidP="00064581">
            <w:pPr>
              <w:spacing w:after="0" w:line="360" w:lineRule="auto"/>
              <w:jc w:val="center"/>
              <w:rPr>
                <w:color w:val="000000"/>
              </w:rPr>
            </w:pPr>
            <w:r>
              <w:rPr>
                <w:color w:val="000000"/>
              </w:rPr>
              <w:t>72.4 ± 16.8</w:t>
            </w:r>
          </w:p>
        </w:tc>
      </w:tr>
      <w:tr w:rsidR="00960DA8" w:rsidRPr="003B3D6C" w14:paraId="0EE72256" w14:textId="77777777" w:rsidTr="00064581">
        <w:trPr>
          <w:trHeight w:val="317"/>
        </w:trPr>
        <w:tc>
          <w:tcPr>
            <w:tcW w:w="5150" w:type="dxa"/>
            <w:tcBorders>
              <w:top w:val="nil"/>
              <w:left w:val="nil"/>
              <w:bottom w:val="nil"/>
              <w:right w:val="nil"/>
            </w:tcBorders>
            <w:vAlign w:val="bottom"/>
          </w:tcPr>
          <w:p w14:paraId="3C9D1B00" w14:textId="63AD7B89" w:rsidR="00960DA8" w:rsidRPr="003B3D6C" w:rsidRDefault="00960DA8" w:rsidP="00064581">
            <w:pPr>
              <w:spacing w:after="0" w:line="360" w:lineRule="auto"/>
              <w:jc w:val="both"/>
              <w:rPr>
                <w:color w:val="000000"/>
              </w:rPr>
            </w:pPr>
            <w:r>
              <w:rPr>
                <w:color w:val="000000"/>
              </w:rPr>
              <w:t>BMI (kg</w:t>
            </w:r>
            <w:r w:rsidR="00D07D85">
              <w:t>·</w:t>
            </w:r>
            <w:r>
              <w:rPr>
                <w:color w:val="000000"/>
              </w:rPr>
              <w:t>m</w:t>
            </w:r>
            <w:r w:rsidR="003859B6">
              <w:rPr>
                <w:color w:val="000000"/>
                <w:vertAlign w:val="superscript"/>
              </w:rPr>
              <w:t>-2</w:t>
            </w:r>
            <w:r>
              <w:rPr>
                <w:color w:val="000000"/>
              </w:rPr>
              <w:t>)</w:t>
            </w:r>
          </w:p>
        </w:tc>
        <w:tc>
          <w:tcPr>
            <w:tcW w:w="3137" w:type="dxa"/>
            <w:tcBorders>
              <w:top w:val="nil"/>
              <w:left w:val="nil"/>
              <w:bottom w:val="nil"/>
              <w:right w:val="nil"/>
            </w:tcBorders>
            <w:vAlign w:val="bottom"/>
          </w:tcPr>
          <w:p w14:paraId="72219F3F" w14:textId="1CF1E151" w:rsidR="00960DA8" w:rsidRPr="003B3D6C" w:rsidRDefault="00960DA8" w:rsidP="00064581">
            <w:pPr>
              <w:spacing w:after="0" w:line="360" w:lineRule="auto"/>
              <w:jc w:val="center"/>
              <w:rPr>
                <w:color w:val="000000"/>
              </w:rPr>
            </w:pPr>
            <w:r>
              <w:rPr>
                <w:color w:val="000000"/>
              </w:rPr>
              <w:t>25.2 ± 4.1</w:t>
            </w:r>
          </w:p>
        </w:tc>
      </w:tr>
      <w:tr w:rsidR="00960DA8" w:rsidRPr="003B3D6C" w14:paraId="133ECBC7" w14:textId="77777777" w:rsidTr="00064581">
        <w:trPr>
          <w:trHeight w:val="317"/>
        </w:trPr>
        <w:tc>
          <w:tcPr>
            <w:tcW w:w="5150" w:type="dxa"/>
            <w:tcBorders>
              <w:top w:val="nil"/>
              <w:left w:val="nil"/>
              <w:bottom w:val="nil"/>
              <w:right w:val="nil"/>
            </w:tcBorders>
            <w:vAlign w:val="bottom"/>
          </w:tcPr>
          <w:p w14:paraId="541CE6D4" w14:textId="7AA69300" w:rsidR="00960DA8" w:rsidRPr="003B3D6C" w:rsidRDefault="00960DA8" w:rsidP="00064581">
            <w:pPr>
              <w:spacing w:after="0" w:line="360" w:lineRule="auto"/>
              <w:jc w:val="both"/>
              <w:rPr>
                <w:color w:val="000000"/>
              </w:rPr>
            </w:pPr>
            <w:r>
              <w:rPr>
                <w:color w:val="000000"/>
              </w:rPr>
              <w:t>SBP</w:t>
            </w:r>
            <w:r w:rsidR="00383B1C">
              <w:rPr>
                <w:color w:val="000000"/>
              </w:rPr>
              <w:t xml:space="preserve"> (mmHg)</w:t>
            </w:r>
          </w:p>
        </w:tc>
        <w:tc>
          <w:tcPr>
            <w:tcW w:w="3137" w:type="dxa"/>
            <w:tcBorders>
              <w:top w:val="nil"/>
              <w:left w:val="nil"/>
              <w:bottom w:val="nil"/>
              <w:right w:val="nil"/>
            </w:tcBorders>
            <w:vAlign w:val="bottom"/>
          </w:tcPr>
          <w:p w14:paraId="73D02595" w14:textId="4EA6BA99" w:rsidR="00960DA8" w:rsidRPr="003B3D6C" w:rsidRDefault="00960DA8" w:rsidP="00064581">
            <w:pPr>
              <w:spacing w:after="0" w:line="360" w:lineRule="auto"/>
              <w:jc w:val="center"/>
              <w:rPr>
                <w:color w:val="000000"/>
              </w:rPr>
            </w:pPr>
            <w:r>
              <w:rPr>
                <w:color w:val="000000"/>
              </w:rPr>
              <w:t>131 ± 10</w:t>
            </w:r>
          </w:p>
        </w:tc>
      </w:tr>
      <w:tr w:rsidR="00960DA8" w:rsidRPr="003B3D6C" w14:paraId="6B89D996" w14:textId="77777777" w:rsidTr="00064581">
        <w:trPr>
          <w:trHeight w:val="317"/>
        </w:trPr>
        <w:tc>
          <w:tcPr>
            <w:tcW w:w="5150" w:type="dxa"/>
            <w:tcBorders>
              <w:top w:val="nil"/>
              <w:left w:val="nil"/>
              <w:bottom w:val="nil"/>
              <w:right w:val="nil"/>
            </w:tcBorders>
            <w:vAlign w:val="bottom"/>
          </w:tcPr>
          <w:p w14:paraId="6B1C5480" w14:textId="6FF5CFCC" w:rsidR="00960DA8" w:rsidRPr="003B3D6C" w:rsidRDefault="00960DA8" w:rsidP="00064581">
            <w:pPr>
              <w:spacing w:after="0" w:line="360" w:lineRule="auto"/>
              <w:jc w:val="both"/>
              <w:rPr>
                <w:color w:val="000000"/>
              </w:rPr>
            </w:pPr>
            <w:r>
              <w:rPr>
                <w:color w:val="000000"/>
              </w:rPr>
              <w:t>DBP</w:t>
            </w:r>
            <w:r w:rsidR="00383B1C">
              <w:rPr>
                <w:color w:val="000000"/>
              </w:rPr>
              <w:t xml:space="preserve"> (mmHg)</w:t>
            </w:r>
          </w:p>
        </w:tc>
        <w:tc>
          <w:tcPr>
            <w:tcW w:w="3137" w:type="dxa"/>
            <w:tcBorders>
              <w:top w:val="nil"/>
              <w:left w:val="nil"/>
              <w:bottom w:val="nil"/>
              <w:right w:val="nil"/>
            </w:tcBorders>
            <w:vAlign w:val="bottom"/>
          </w:tcPr>
          <w:p w14:paraId="38E2B015" w14:textId="66B4E0D3" w:rsidR="00960DA8" w:rsidRPr="003B3D6C" w:rsidRDefault="00960DA8" w:rsidP="00064581">
            <w:pPr>
              <w:spacing w:after="0" w:line="360" w:lineRule="auto"/>
              <w:jc w:val="center"/>
              <w:rPr>
                <w:color w:val="000000"/>
              </w:rPr>
            </w:pPr>
            <w:r>
              <w:rPr>
                <w:color w:val="000000"/>
              </w:rPr>
              <w:t>78 ± 7</w:t>
            </w:r>
          </w:p>
        </w:tc>
      </w:tr>
      <w:tr w:rsidR="00960DA8" w:rsidRPr="003B3D6C" w14:paraId="6FD6ED7A" w14:textId="77777777" w:rsidTr="00064581">
        <w:trPr>
          <w:trHeight w:val="302"/>
        </w:trPr>
        <w:tc>
          <w:tcPr>
            <w:tcW w:w="5150" w:type="dxa"/>
            <w:tcBorders>
              <w:top w:val="nil"/>
              <w:left w:val="nil"/>
              <w:bottom w:val="nil"/>
              <w:right w:val="nil"/>
            </w:tcBorders>
            <w:vAlign w:val="bottom"/>
          </w:tcPr>
          <w:p w14:paraId="226D4608" w14:textId="77777777" w:rsidR="00960DA8" w:rsidRPr="003B3D6C" w:rsidRDefault="00960DA8" w:rsidP="00064581">
            <w:pPr>
              <w:spacing w:after="0" w:line="360" w:lineRule="auto"/>
              <w:jc w:val="both"/>
              <w:rPr>
                <w:color w:val="000000"/>
              </w:rPr>
            </w:pPr>
          </w:p>
        </w:tc>
        <w:tc>
          <w:tcPr>
            <w:tcW w:w="3137" w:type="dxa"/>
            <w:tcBorders>
              <w:top w:val="nil"/>
              <w:left w:val="nil"/>
              <w:bottom w:val="nil"/>
              <w:right w:val="nil"/>
            </w:tcBorders>
            <w:vAlign w:val="bottom"/>
          </w:tcPr>
          <w:p w14:paraId="5524622B" w14:textId="77777777" w:rsidR="00960DA8" w:rsidRPr="003B3D6C" w:rsidRDefault="00960DA8" w:rsidP="00064581">
            <w:pPr>
              <w:spacing w:after="0" w:line="360" w:lineRule="auto"/>
              <w:jc w:val="center"/>
            </w:pPr>
          </w:p>
        </w:tc>
      </w:tr>
      <w:tr w:rsidR="00960DA8" w:rsidRPr="003B3D6C" w14:paraId="71CE4C78" w14:textId="77777777" w:rsidTr="00064581">
        <w:trPr>
          <w:trHeight w:val="317"/>
        </w:trPr>
        <w:tc>
          <w:tcPr>
            <w:tcW w:w="5150" w:type="dxa"/>
            <w:tcBorders>
              <w:top w:val="nil"/>
              <w:left w:val="nil"/>
              <w:bottom w:val="nil"/>
              <w:right w:val="nil"/>
            </w:tcBorders>
            <w:vAlign w:val="bottom"/>
          </w:tcPr>
          <w:p w14:paraId="236143B4" w14:textId="77777777" w:rsidR="00960DA8" w:rsidRPr="003B3D6C" w:rsidRDefault="00960DA8" w:rsidP="00064581">
            <w:pPr>
              <w:spacing w:after="0" w:line="360" w:lineRule="auto"/>
              <w:jc w:val="both"/>
              <w:rPr>
                <w:i/>
                <w:color w:val="000000"/>
              </w:rPr>
            </w:pPr>
            <w:r w:rsidRPr="003B3D6C">
              <w:rPr>
                <w:i/>
                <w:color w:val="000000"/>
              </w:rPr>
              <w:t>Medications</w:t>
            </w:r>
          </w:p>
        </w:tc>
        <w:tc>
          <w:tcPr>
            <w:tcW w:w="3137" w:type="dxa"/>
            <w:tcBorders>
              <w:top w:val="nil"/>
              <w:left w:val="nil"/>
              <w:bottom w:val="nil"/>
              <w:right w:val="nil"/>
            </w:tcBorders>
            <w:vAlign w:val="bottom"/>
          </w:tcPr>
          <w:p w14:paraId="656F16E5" w14:textId="77777777" w:rsidR="00960DA8" w:rsidRPr="003B3D6C" w:rsidRDefault="00960DA8" w:rsidP="00064581">
            <w:pPr>
              <w:spacing w:after="0" w:line="360" w:lineRule="auto"/>
              <w:jc w:val="center"/>
              <w:rPr>
                <w:i/>
                <w:color w:val="000000"/>
              </w:rPr>
            </w:pPr>
          </w:p>
        </w:tc>
      </w:tr>
      <w:tr w:rsidR="00960DA8" w:rsidRPr="003B3D6C" w14:paraId="68DD5889" w14:textId="77777777" w:rsidTr="00064581">
        <w:trPr>
          <w:trHeight w:val="317"/>
        </w:trPr>
        <w:tc>
          <w:tcPr>
            <w:tcW w:w="5150" w:type="dxa"/>
            <w:tcBorders>
              <w:top w:val="nil"/>
              <w:left w:val="nil"/>
              <w:bottom w:val="nil"/>
              <w:right w:val="nil"/>
            </w:tcBorders>
            <w:vAlign w:val="bottom"/>
          </w:tcPr>
          <w:p w14:paraId="12588C69" w14:textId="766908CB" w:rsidR="00960DA8" w:rsidRPr="003B3D6C" w:rsidRDefault="004E506D" w:rsidP="00064581">
            <w:pPr>
              <w:spacing w:after="0" w:line="360" w:lineRule="auto"/>
              <w:jc w:val="both"/>
              <w:rPr>
                <w:color w:val="000000"/>
              </w:rPr>
            </w:pPr>
            <w:r>
              <w:rPr>
                <w:color w:val="000000"/>
              </w:rPr>
              <w:t xml:space="preserve">   </w:t>
            </w:r>
            <w:proofErr w:type="spellStart"/>
            <w:r w:rsidR="00960DA8" w:rsidRPr="003B3D6C">
              <w:rPr>
                <w:color w:val="000000"/>
              </w:rPr>
              <w:t>Alendronic</w:t>
            </w:r>
            <w:proofErr w:type="spellEnd"/>
            <w:r w:rsidR="00960DA8" w:rsidRPr="003B3D6C">
              <w:rPr>
                <w:color w:val="000000"/>
              </w:rPr>
              <w:t xml:space="preserve"> acid (</w:t>
            </w:r>
            <w:r w:rsidR="00960DA8" w:rsidRPr="003B3D6C">
              <w:rPr>
                <w:i/>
                <w:color w:val="000000"/>
              </w:rPr>
              <w:t>n</w:t>
            </w:r>
            <w:r w:rsidR="00960DA8" w:rsidRPr="003B3D6C">
              <w:rPr>
                <w:color w:val="000000"/>
              </w:rPr>
              <w:t>)</w:t>
            </w:r>
          </w:p>
        </w:tc>
        <w:tc>
          <w:tcPr>
            <w:tcW w:w="3137" w:type="dxa"/>
            <w:tcBorders>
              <w:top w:val="nil"/>
              <w:left w:val="nil"/>
              <w:bottom w:val="nil"/>
              <w:right w:val="nil"/>
            </w:tcBorders>
            <w:vAlign w:val="bottom"/>
          </w:tcPr>
          <w:p w14:paraId="6A0F5283" w14:textId="77777777" w:rsidR="00960DA8" w:rsidRPr="003B3D6C" w:rsidRDefault="00960DA8" w:rsidP="00064581">
            <w:pPr>
              <w:spacing w:after="0" w:line="360" w:lineRule="auto"/>
              <w:jc w:val="center"/>
              <w:rPr>
                <w:color w:val="000000"/>
              </w:rPr>
            </w:pPr>
            <w:r w:rsidRPr="003B3D6C">
              <w:rPr>
                <w:color w:val="000000"/>
              </w:rPr>
              <w:t>1</w:t>
            </w:r>
          </w:p>
        </w:tc>
      </w:tr>
      <w:tr w:rsidR="00960DA8" w:rsidRPr="003B3D6C" w14:paraId="6B6B6A74" w14:textId="77777777" w:rsidTr="00064581">
        <w:trPr>
          <w:trHeight w:val="317"/>
        </w:trPr>
        <w:tc>
          <w:tcPr>
            <w:tcW w:w="5150" w:type="dxa"/>
            <w:tcBorders>
              <w:top w:val="nil"/>
              <w:left w:val="nil"/>
              <w:bottom w:val="nil"/>
              <w:right w:val="nil"/>
            </w:tcBorders>
            <w:vAlign w:val="bottom"/>
          </w:tcPr>
          <w:p w14:paraId="0E9A5DA8" w14:textId="7AC134BA" w:rsidR="00960DA8" w:rsidRPr="003B3D6C" w:rsidRDefault="004E506D" w:rsidP="00064581">
            <w:pPr>
              <w:spacing w:after="0" w:line="360" w:lineRule="auto"/>
              <w:jc w:val="both"/>
              <w:rPr>
                <w:color w:val="000000"/>
              </w:rPr>
            </w:pPr>
            <w:r>
              <w:rPr>
                <w:color w:val="000000"/>
              </w:rPr>
              <w:t xml:space="preserve">   </w:t>
            </w:r>
            <w:r w:rsidR="00960DA8" w:rsidRPr="003B3D6C">
              <w:rPr>
                <w:color w:val="000000"/>
              </w:rPr>
              <w:t>Amitriptyline (</w:t>
            </w:r>
            <w:r w:rsidR="00960DA8" w:rsidRPr="003B3D6C">
              <w:rPr>
                <w:i/>
                <w:color w:val="000000"/>
              </w:rPr>
              <w:t>n</w:t>
            </w:r>
            <w:r w:rsidR="00960DA8" w:rsidRPr="003B3D6C">
              <w:rPr>
                <w:color w:val="000000"/>
              </w:rPr>
              <w:t>)</w:t>
            </w:r>
          </w:p>
        </w:tc>
        <w:tc>
          <w:tcPr>
            <w:tcW w:w="3137" w:type="dxa"/>
            <w:tcBorders>
              <w:top w:val="nil"/>
              <w:left w:val="nil"/>
              <w:bottom w:val="nil"/>
              <w:right w:val="nil"/>
            </w:tcBorders>
            <w:vAlign w:val="bottom"/>
          </w:tcPr>
          <w:p w14:paraId="5307C05C" w14:textId="77777777" w:rsidR="00960DA8" w:rsidRPr="003B3D6C" w:rsidRDefault="00960DA8" w:rsidP="00064581">
            <w:pPr>
              <w:spacing w:after="0" w:line="360" w:lineRule="auto"/>
              <w:jc w:val="center"/>
              <w:rPr>
                <w:color w:val="000000"/>
              </w:rPr>
            </w:pPr>
            <w:r w:rsidRPr="003B3D6C">
              <w:rPr>
                <w:color w:val="000000"/>
              </w:rPr>
              <w:t>2</w:t>
            </w:r>
          </w:p>
        </w:tc>
      </w:tr>
      <w:tr w:rsidR="00960DA8" w:rsidRPr="003B3D6C" w14:paraId="05AF571F" w14:textId="77777777" w:rsidTr="00064581">
        <w:trPr>
          <w:trHeight w:val="317"/>
        </w:trPr>
        <w:tc>
          <w:tcPr>
            <w:tcW w:w="5150" w:type="dxa"/>
            <w:tcBorders>
              <w:top w:val="nil"/>
              <w:left w:val="nil"/>
              <w:bottom w:val="nil"/>
              <w:right w:val="nil"/>
            </w:tcBorders>
            <w:vAlign w:val="bottom"/>
          </w:tcPr>
          <w:p w14:paraId="12DFC699" w14:textId="281D5D86" w:rsidR="00960DA8" w:rsidRPr="003B3D6C" w:rsidRDefault="004E506D" w:rsidP="00064581">
            <w:pPr>
              <w:spacing w:after="0" w:line="360" w:lineRule="auto"/>
              <w:jc w:val="both"/>
              <w:rPr>
                <w:color w:val="000000"/>
              </w:rPr>
            </w:pPr>
            <w:r>
              <w:rPr>
                <w:color w:val="000000"/>
              </w:rPr>
              <w:t xml:space="preserve">   </w:t>
            </w:r>
            <w:r w:rsidR="00960DA8" w:rsidRPr="003B3D6C">
              <w:rPr>
                <w:color w:val="000000"/>
              </w:rPr>
              <w:t>Amlodipine (</w:t>
            </w:r>
            <w:r w:rsidR="00960DA8" w:rsidRPr="003B3D6C">
              <w:rPr>
                <w:i/>
                <w:color w:val="000000"/>
              </w:rPr>
              <w:t>n</w:t>
            </w:r>
            <w:r w:rsidR="00960DA8" w:rsidRPr="003B3D6C">
              <w:rPr>
                <w:color w:val="000000"/>
              </w:rPr>
              <w:t>)</w:t>
            </w:r>
          </w:p>
        </w:tc>
        <w:tc>
          <w:tcPr>
            <w:tcW w:w="3137" w:type="dxa"/>
            <w:tcBorders>
              <w:top w:val="nil"/>
              <w:left w:val="nil"/>
              <w:bottom w:val="nil"/>
              <w:right w:val="nil"/>
            </w:tcBorders>
            <w:vAlign w:val="bottom"/>
          </w:tcPr>
          <w:p w14:paraId="2DD2A922" w14:textId="77777777" w:rsidR="00960DA8" w:rsidRPr="003B3D6C" w:rsidRDefault="00960DA8" w:rsidP="00064581">
            <w:pPr>
              <w:spacing w:after="0" w:line="360" w:lineRule="auto"/>
              <w:jc w:val="center"/>
              <w:rPr>
                <w:color w:val="000000"/>
              </w:rPr>
            </w:pPr>
            <w:r w:rsidRPr="003B3D6C">
              <w:rPr>
                <w:color w:val="000000"/>
              </w:rPr>
              <w:t>1</w:t>
            </w:r>
          </w:p>
        </w:tc>
      </w:tr>
      <w:tr w:rsidR="00960DA8" w:rsidRPr="003B3D6C" w14:paraId="14CEE75B" w14:textId="77777777" w:rsidTr="00064581">
        <w:trPr>
          <w:trHeight w:val="317"/>
        </w:trPr>
        <w:tc>
          <w:tcPr>
            <w:tcW w:w="5150" w:type="dxa"/>
            <w:tcBorders>
              <w:top w:val="nil"/>
              <w:left w:val="nil"/>
              <w:bottom w:val="nil"/>
              <w:right w:val="nil"/>
            </w:tcBorders>
            <w:vAlign w:val="bottom"/>
          </w:tcPr>
          <w:p w14:paraId="32ADE49A" w14:textId="3D6B3373" w:rsidR="00960DA8" w:rsidRPr="003B3D6C" w:rsidRDefault="004E506D" w:rsidP="00064581">
            <w:pPr>
              <w:spacing w:after="0" w:line="360" w:lineRule="auto"/>
              <w:jc w:val="both"/>
              <w:rPr>
                <w:color w:val="000000"/>
              </w:rPr>
            </w:pPr>
            <w:r>
              <w:rPr>
                <w:color w:val="000000"/>
              </w:rPr>
              <w:t xml:space="preserve">   </w:t>
            </w:r>
            <w:proofErr w:type="spellStart"/>
            <w:r w:rsidR="00960DA8" w:rsidRPr="003B3D6C">
              <w:rPr>
                <w:color w:val="000000"/>
              </w:rPr>
              <w:t>Beclometasone</w:t>
            </w:r>
            <w:proofErr w:type="spellEnd"/>
            <w:r w:rsidR="00960DA8" w:rsidRPr="003B3D6C">
              <w:rPr>
                <w:color w:val="000000"/>
              </w:rPr>
              <w:t xml:space="preserve"> (</w:t>
            </w:r>
            <w:r w:rsidR="00960DA8" w:rsidRPr="003B3D6C">
              <w:rPr>
                <w:i/>
                <w:color w:val="000000"/>
              </w:rPr>
              <w:t>n</w:t>
            </w:r>
            <w:r w:rsidR="00960DA8" w:rsidRPr="003B3D6C">
              <w:rPr>
                <w:color w:val="000000"/>
              </w:rPr>
              <w:t>)</w:t>
            </w:r>
          </w:p>
        </w:tc>
        <w:tc>
          <w:tcPr>
            <w:tcW w:w="3137" w:type="dxa"/>
            <w:tcBorders>
              <w:top w:val="nil"/>
              <w:left w:val="nil"/>
              <w:bottom w:val="nil"/>
              <w:right w:val="nil"/>
            </w:tcBorders>
            <w:vAlign w:val="bottom"/>
          </w:tcPr>
          <w:p w14:paraId="5427C574" w14:textId="77777777" w:rsidR="00960DA8" w:rsidRPr="003B3D6C" w:rsidRDefault="00960DA8" w:rsidP="00064581">
            <w:pPr>
              <w:spacing w:after="0" w:line="360" w:lineRule="auto"/>
              <w:jc w:val="center"/>
              <w:rPr>
                <w:color w:val="000000"/>
              </w:rPr>
            </w:pPr>
            <w:r w:rsidRPr="003B3D6C">
              <w:rPr>
                <w:color w:val="000000"/>
              </w:rPr>
              <w:t>1</w:t>
            </w:r>
          </w:p>
        </w:tc>
      </w:tr>
      <w:tr w:rsidR="00960DA8" w:rsidRPr="003B3D6C" w14:paraId="0E2A9BE1" w14:textId="77777777" w:rsidTr="00064581">
        <w:trPr>
          <w:trHeight w:val="317"/>
        </w:trPr>
        <w:tc>
          <w:tcPr>
            <w:tcW w:w="5150" w:type="dxa"/>
            <w:tcBorders>
              <w:top w:val="nil"/>
              <w:left w:val="nil"/>
              <w:bottom w:val="nil"/>
              <w:right w:val="nil"/>
            </w:tcBorders>
            <w:vAlign w:val="bottom"/>
          </w:tcPr>
          <w:p w14:paraId="608E5D55" w14:textId="6E3C69C7" w:rsidR="00960DA8" w:rsidRPr="003B3D6C" w:rsidRDefault="004E506D" w:rsidP="00064581">
            <w:pPr>
              <w:spacing w:after="0" w:line="360" w:lineRule="auto"/>
              <w:jc w:val="both"/>
              <w:rPr>
                <w:color w:val="000000"/>
              </w:rPr>
            </w:pPr>
            <w:r>
              <w:rPr>
                <w:color w:val="000000"/>
              </w:rPr>
              <w:t xml:space="preserve">   </w:t>
            </w:r>
            <w:r w:rsidR="00960DA8" w:rsidRPr="003B3D6C">
              <w:rPr>
                <w:color w:val="000000"/>
              </w:rPr>
              <w:t>Finasteride (</w:t>
            </w:r>
            <w:r w:rsidR="00960DA8" w:rsidRPr="003B3D6C">
              <w:rPr>
                <w:i/>
                <w:color w:val="000000"/>
              </w:rPr>
              <w:t>n</w:t>
            </w:r>
            <w:r w:rsidR="00960DA8" w:rsidRPr="003B3D6C">
              <w:rPr>
                <w:color w:val="000000"/>
              </w:rPr>
              <w:t>)</w:t>
            </w:r>
          </w:p>
        </w:tc>
        <w:tc>
          <w:tcPr>
            <w:tcW w:w="3137" w:type="dxa"/>
            <w:tcBorders>
              <w:top w:val="nil"/>
              <w:left w:val="nil"/>
              <w:bottom w:val="nil"/>
              <w:right w:val="nil"/>
            </w:tcBorders>
            <w:vAlign w:val="bottom"/>
          </w:tcPr>
          <w:p w14:paraId="509F6676" w14:textId="77777777" w:rsidR="00960DA8" w:rsidRPr="003B3D6C" w:rsidRDefault="00960DA8" w:rsidP="00064581">
            <w:pPr>
              <w:spacing w:after="0" w:line="360" w:lineRule="auto"/>
              <w:jc w:val="center"/>
              <w:rPr>
                <w:color w:val="000000"/>
              </w:rPr>
            </w:pPr>
            <w:r w:rsidRPr="003B3D6C">
              <w:rPr>
                <w:color w:val="000000"/>
              </w:rPr>
              <w:t>1</w:t>
            </w:r>
          </w:p>
        </w:tc>
      </w:tr>
      <w:tr w:rsidR="00960DA8" w:rsidRPr="003B3D6C" w14:paraId="7980331F" w14:textId="77777777" w:rsidTr="00064581">
        <w:trPr>
          <w:trHeight w:val="317"/>
        </w:trPr>
        <w:tc>
          <w:tcPr>
            <w:tcW w:w="5150" w:type="dxa"/>
            <w:tcBorders>
              <w:top w:val="nil"/>
              <w:left w:val="nil"/>
              <w:bottom w:val="nil"/>
              <w:right w:val="nil"/>
            </w:tcBorders>
            <w:vAlign w:val="bottom"/>
          </w:tcPr>
          <w:p w14:paraId="13AAC681" w14:textId="313AD32C" w:rsidR="00960DA8" w:rsidRPr="0011150E" w:rsidRDefault="004E506D" w:rsidP="00064581">
            <w:pPr>
              <w:spacing w:after="0" w:line="360" w:lineRule="auto"/>
              <w:jc w:val="both"/>
              <w:rPr>
                <w:color w:val="000000"/>
              </w:rPr>
            </w:pPr>
            <w:r>
              <w:rPr>
                <w:color w:val="000000"/>
              </w:rPr>
              <w:t xml:space="preserve">   </w:t>
            </w:r>
            <w:r w:rsidR="00960DA8">
              <w:rPr>
                <w:color w:val="000000"/>
              </w:rPr>
              <w:t>Glucosamine (</w:t>
            </w:r>
            <w:r w:rsidR="00960DA8">
              <w:rPr>
                <w:i/>
                <w:color w:val="000000"/>
              </w:rPr>
              <w:t>n</w:t>
            </w:r>
            <w:r w:rsidR="00960DA8">
              <w:rPr>
                <w:color w:val="000000"/>
              </w:rPr>
              <w:t>)</w:t>
            </w:r>
          </w:p>
        </w:tc>
        <w:tc>
          <w:tcPr>
            <w:tcW w:w="3137" w:type="dxa"/>
            <w:tcBorders>
              <w:top w:val="nil"/>
              <w:left w:val="nil"/>
              <w:bottom w:val="nil"/>
              <w:right w:val="nil"/>
            </w:tcBorders>
            <w:vAlign w:val="bottom"/>
          </w:tcPr>
          <w:p w14:paraId="198E0C72" w14:textId="77777777" w:rsidR="00960DA8" w:rsidRPr="003B3D6C" w:rsidRDefault="00960DA8" w:rsidP="00064581">
            <w:pPr>
              <w:spacing w:after="0" w:line="360" w:lineRule="auto"/>
              <w:jc w:val="center"/>
              <w:rPr>
                <w:color w:val="000000"/>
              </w:rPr>
            </w:pPr>
            <w:r>
              <w:rPr>
                <w:color w:val="000000"/>
              </w:rPr>
              <w:t>1</w:t>
            </w:r>
          </w:p>
        </w:tc>
      </w:tr>
      <w:tr w:rsidR="00960DA8" w:rsidRPr="003B3D6C" w14:paraId="5D0F9A94" w14:textId="77777777" w:rsidTr="00064581">
        <w:trPr>
          <w:trHeight w:val="317"/>
        </w:trPr>
        <w:tc>
          <w:tcPr>
            <w:tcW w:w="5150" w:type="dxa"/>
            <w:tcBorders>
              <w:top w:val="nil"/>
              <w:left w:val="nil"/>
              <w:bottom w:val="nil"/>
              <w:right w:val="nil"/>
            </w:tcBorders>
            <w:vAlign w:val="bottom"/>
          </w:tcPr>
          <w:p w14:paraId="463637EE" w14:textId="78E0F6D7" w:rsidR="00960DA8" w:rsidRPr="003B3D6C" w:rsidRDefault="004E506D" w:rsidP="00064581">
            <w:pPr>
              <w:spacing w:after="0" w:line="360" w:lineRule="auto"/>
              <w:jc w:val="both"/>
              <w:rPr>
                <w:color w:val="000000"/>
              </w:rPr>
            </w:pPr>
            <w:r>
              <w:rPr>
                <w:color w:val="000000"/>
              </w:rPr>
              <w:t xml:space="preserve">   </w:t>
            </w:r>
            <w:r w:rsidR="00960DA8">
              <w:rPr>
                <w:color w:val="000000"/>
              </w:rPr>
              <w:t>Levot</w:t>
            </w:r>
            <w:r w:rsidR="00960DA8" w:rsidRPr="003B3D6C">
              <w:rPr>
                <w:color w:val="000000"/>
              </w:rPr>
              <w:t>hyroxine (</w:t>
            </w:r>
            <w:r w:rsidR="00960DA8" w:rsidRPr="003B3D6C">
              <w:rPr>
                <w:i/>
                <w:color w:val="000000"/>
              </w:rPr>
              <w:t>n</w:t>
            </w:r>
            <w:r w:rsidR="00960DA8" w:rsidRPr="003B3D6C">
              <w:rPr>
                <w:color w:val="000000"/>
              </w:rPr>
              <w:t>)</w:t>
            </w:r>
          </w:p>
        </w:tc>
        <w:tc>
          <w:tcPr>
            <w:tcW w:w="3137" w:type="dxa"/>
            <w:tcBorders>
              <w:top w:val="nil"/>
              <w:left w:val="nil"/>
              <w:bottom w:val="nil"/>
              <w:right w:val="nil"/>
            </w:tcBorders>
            <w:vAlign w:val="bottom"/>
          </w:tcPr>
          <w:p w14:paraId="290C6F1E" w14:textId="77777777" w:rsidR="00960DA8" w:rsidRPr="003B3D6C" w:rsidRDefault="00960DA8" w:rsidP="00064581">
            <w:pPr>
              <w:spacing w:after="0" w:line="360" w:lineRule="auto"/>
              <w:jc w:val="center"/>
              <w:rPr>
                <w:color w:val="000000"/>
              </w:rPr>
            </w:pPr>
            <w:r w:rsidRPr="003B3D6C">
              <w:rPr>
                <w:color w:val="000000"/>
              </w:rPr>
              <w:t>1</w:t>
            </w:r>
          </w:p>
        </w:tc>
      </w:tr>
      <w:tr w:rsidR="00960DA8" w:rsidRPr="003B3D6C" w14:paraId="5B2A7FDB" w14:textId="77777777" w:rsidTr="00064581">
        <w:trPr>
          <w:trHeight w:val="317"/>
        </w:trPr>
        <w:tc>
          <w:tcPr>
            <w:tcW w:w="5150" w:type="dxa"/>
            <w:tcBorders>
              <w:top w:val="nil"/>
              <w:left w:val="nil"/>
              <w:bottom w:val="nil"/>
              <w:right w:val="nil"/>
            </w:tcBorders>
            <w:vAlign w:val="bottom"/>
          </w:tcPr>
          <w:p w14:paraId="3AAA00F3" w14:textId="1729D5F6" w:rsidR="00960DA8" w:rsidRPr="003B3D6C" w:rsidRDefault="004E506D" w:rsidP="00064581">
            <w:pPr>
              <w:spacing w:after="0" w:line="360" w:lineRule="auto"/>
              <w:jc w:val="both"/>
              <w:rPr>
                <w:color w:val="000000"/>
              </w:rPr>
            </w:pPr>
            <w:r>
              <w:rPr>
                <w:color w:val="000000"/>
              </w:rPr>
              <w:t xml:space="preserve">   </w:t>
            </w:r>
            <w:r w:rsidR="00960DA8" w:rsidRPr="003B3D6C">
              <w:rPr>
                <w:color w:val="000000"/>
              </w:rPr>
              <w:t>Salbutamol (</w:t>
            </w:r>
            <w:r w:rsidR="00960DA8" w:rsidRPr="003B3D6C">
              <w:rPr>
                <w:i/>
                <w:color w:val="000000"/>
              </w:rPr>
              <w:t>n</w:t>
            </w:r>
            <w:r w:rsidR="00960DA8" w:rsidRPr="003B3D6C">
              <w:rPr>
                <w:color w:val="000000"/>
              </w:rPr>
              <w:t>)</w:t>
            </w:r>
          </w:p>
        </w:tc>
        <w:tc>
          <w:tcPr>
            <w:tcW w:w="3137" w:type="dxa"/>
            <w:tcBorders>
              <w:top w:val="nil"/>
              <w:left w:val="nil"/>
              <w:bottom w:val="nil"/>
              <w:right w:val="nil"/>
            </w:tcBorders>
            <w:vAlign w:val="bottom"/>
          </w:tcPr>
          <w:p w14:paraId="26F3344F" w14:textId="77777777" w:rsidR="00960DA8" w:rsidRPr="003B3D6C" w:rsidRDefault="00960DA8" w:rsidP="00064581">
            <w:pPr>
              <w:spacing w:after="0" w:line="360" w:lineRule="auto"/>
              <w:jc w:val="center"/>
              <w:rPr>
                <w:color w:val="000000"/>
              </w:rPr>
            </w:pPr>
            <w:r w:rsidRPr="003B3D6C">
              <w:rPr>
                <w:color w:val="000000"/>
              </w:rPr>
              <w:t>2</w:t>
            </w:r>
          </w:p>
        </w:tc>
      </w:tr>
      <w:tr w:rsidR="00960DA8" w:rsidRPr="003B3D6C" w14:paraId="39857A55" w14:textId="77777777" w:rsidTr="00064581">
        <w:trPr>
          <w:trHeight w:val="317"/>
        </w:trPr>
        <w:tc>
          <w:tcPr>
            <w:tcW w:w="5150" w:type="dxa"/>
            <w:tcBorders>
              <w:top w:val="nil"/>
              <w:left w:val="nil"/>
              <w:bottom w:val="nil"/>
              <w:right w:val="nil"/>
            </w:tcBorders>
            <w:vAlign w:val="bottom"/>
          </w:tcPr>
          <w:p w14:paraId="0877E781" w14:textId="3CCB2AAD" w:rsidR="00960DA8" w:rsidRPr="003B3D6C" w:rsidRDefault="004E506D" w:rsidP="00064581">
            <w:pPr>
              <w:spacing w:after="0" w:line="360" w:lineRule="auto"/>
              <w:jc w:val="both"/>
              <w:rPr>
                <w:color w:val="000000"/>
              </w:rPr>
            </w:pPr>
            <w:r>
              <w:rPr>
                <w:color w:val="000000"/>
              </w:rPr>
              <w:t xml:space="preserve">   </w:t>
            </w:r>
            <w:r w:rsidR="00960DA8" w:rsidRPr="003B3D6C">
              <w:rPr>
                <w:color w:val="000000"/>
              </w:rPr>
              <w:t>Simvastatin (</w:t>
            </w:r>
            <w:r w:rsidR="00960DA8" w:rsidRPr="003B3D6C">
              <w:rPr>
                <w:i/>
                <w:color w:val="000000"/>
              </w:rPr>
              <w:t>n</w:t>
            </w:r>
            <w:r w:rsidR="00960DA8" w:rsidRPr="003B3D6C">
              <w:rPr>
                <w:color w:val="000000"/>
              </w:rPr>
              <w:t>)</w:t>
            </w:r>
          </w:p>
        </w:tc>
        <w:tc>
          <w:tcPr>
            <w:tcW w:w="3137" w:type="dxa"/>
            <w:tcBorders>
              <w:top w:val="nil"/>
              <w:left w:val="nil"/>
              <w:bottom w:val="nil"/>
              <w:right w:val="nil"/>
            </w:tcBorders>
            <w:vAlign w:val="bottom"/>
          </w:tcPr>
          <w:p w14:paraId="7AF8E566" w14:textId="0D8ACB10" w:rsidR="00960DA8" w:rsidRPr="003B3D6C" w:rsidRDefault="00960DA8" w:rsidP="00064581">
            <w:pPr>
              <w:spacing w:after="0" w:line="360" w:lineRule="auto"/>
              <w:jc w:val="center"/>
              <w:rPr>
                <w:color w:val="000000"/>
              </w:rPr>
            </w:pPr>
            <w:r>
              <w:rPr>
                <w:color w:val="000000"/>
              </w:rPr>
              <w:t>4</w:t>
            </w:r>
          </w:p>
        </w:tc>
      </w:tr>
      <w:tr w:rsidR="00960DA8" w:rsidRPr="003B3D6C" w14:paraId="1CFE7F18" w14:textId="77777777" w:rsidTr="00064581">
        <w:trPr>
          <w:trHeight w:val="317"/>
        </w:trPr>
        <w:tc>
          <w:tcPr>
            <w:tcW w:w="5150" w:type="dxa"/>
            <w:tcBorders>
              <w:top w:val="nil"/>
              <w:left w:val="nil"/>
              <w:bottom w:val="nil"/>
              <w:right w:val="nil"/>
            </w:tcBorders>
            <w:vAlign w:val="bottom"/>
          </w:tcPr>
          <w:p w14:paraId="50B2E785" w14:textId="70E75716" w:rsidR="00960DA8" w:rsidRPr="003B3D6C" w:rsidRDefault="004E506D" w:rsidP="00064581">
            <w:pPr>
              <w:spacing w:after="0" w:line="360" w:lineRule="auto"/>
              <w:jc w:val="both"/>
              <w:rPr>
                <w:color w:val="000000"/>
              </w:rPr>
            </w:pPr>
            <w:r>
              <w:rPr>
                <w:color w:val="000000"/>
              </w:rPr>
              <w:t xml:space="preserve">   </w:t>
            </w:r>
            <w:proofErr w:type="spellStart"/>
            <w:r w:rsidR="00960DA8" w:rsidRPr="003B3D6C">
              <w:rPr>
                <w:color w:val="000000"/>
              </w:rPr>
              <w:t>Solifenacin</w:t>
            </w:r>
            <w:proofErr w:type="spellEnd"/>
            <w:r w:rsidR="00960DA8" w:rsidRPr="003B3D6C">
              <w:rPr>
                <w:color w:val="000000"/>
              </w:rPr>
              <w:t xml:space="preserve"> (</w:t>
            </w:r>
            <w:r w:rsidR="00960DA8" w:rsidRPr="003B3D6C">
              <w:rPr>
                <w:i/>
                <w:color w:val="000000"/>
              </w:rPr>
              <w:t>n</w:t>
            </w:r>
            <w:r w:rsidR="00960DA8" w:rsidRPr="003B3D6C">
              <w:rPr>
                <w:color w:val="000000"/>
              </w:rPr>
              <w:t>)</w:t>
            </w:r>
          </w:p>
        </w:tc>
        <w:tc>
          <w:tcPr>
            <w:tcW w:w="3137" w:type="dxa"/>
            <w:tcBorders>
              <w:top w:val="nil"/>
              <w:left w:val="nil"/>
              <w:bottom w:val="nil"/>
              <w:right w:val="nil"/>
            </w:tcBorders>
            <w:vAlign w:val="bottom"/>
          </w:tcPr>
          <w:p w14:paraId="7A68AE95" w14:textId="77777777" w:rsidR="00960DA8" w:rsidRPr="003B3D6C" w:rsidRDefault="00960DA8" w:rsidP="00064581">
            <w:pPr>
              <w:spacing w:after="0" w:line="360" w:lineRule="auto"/>
              <w:jc w:val="center"/>
              <w:rPr>
                <w:color w:val="000000"/>
              </w:rPr>
            </w:pPr>
            <w:r w:rsidRPr="003B3D6C">
              <w:rPr>
                <w:color w:val="000000"/>
              </w:rPr>
              <w:t>1</w:t>
            </w:r>
          </w:p>
        </w:tc>
      </w:tr>
      <w:tr w:rsidR="00960DA8" w:rsidRPr="003B3D6C" w14:paraId="42D6C2BC" w14:textId="77777777" w:rsidTr="00064581">
        <w:trPr>
          <w:trHeight w:val="317"/>
        </w:trPr>
        <w:tc>
          <w:tcPr>
            <w:tcW w:w="5150" w:type="dxa"/>
            <w:tcBorders>
              <w:top w:val="nil"/>
              <w:left w:val="nil"/>
              <w:bottom w:val="nil"/>
              <w:right w:val="nil"/>
            </w:tcBorders>
            <w:vAlign w:val="bottom"/>
          </w:tcPr>
          <w:p w14:paraId="6A5E8406" w14:textId="0DDD7C1E" w:rsidR="00960DA8" w:rsidRPr="003B3D6C" w:rsidRDefault="004E506D" w:rsidP="00064581">
            <w:pPr>
              <w:spacing w:after="0" w:line="360" w:lineRule="auto"/>
              <w:jc w:val="both"/>
              <w:rPr>
                <w:color w:val="000000"/>
              </w:rPr>
            </w:pPr>
            <w:r>
              <w:rPr>
                <w:color w:val="000000"/>
              </w:rPr>
              <w:t xml:space="preserve">   </w:t>
            </w:r>
            <w:r w:rsidR="00960DA8">
              <w:rPr>
                <w:color w:val="000000"/>
              </w:rPr>
              <w:t>Tramadol</w:t>
            </w:r>
            <w:r>
              <w:rPr>
                <w:color w:val="000000"/>
              </w:rPr>
              <w:t xml:space="preserve"> </w:t>
            </w:r>
            <w:r w:rsidRPr="003B3D6C">
              <w:rPr>
                <w:color w:val="000000"/>
              </w:rPr>
              <w:t>(</w:t>
            </w:r>
            <w:r w:rsidRPr="003B3D6C">
              <w:rPr>
                <w:i/>
                <w:color w:val="000000"/>
              </w:rPr>
              <w:t>n</w:t>
            </w:r>
            <w:r w:rsidRPr="003B3D6C">
              <w:rPr>
                <w:color w:val="000000"/>
              </w:rPr>
              <w:t>)</w:t>
            </w:r>
          </w:p>
        </w:tc>
        <w:tc>
          <w:tcPr>
            <w:tcW w:w="3137" w:type="dxa"/>
            <w:tcBorders>
              <w:top w:val="nil"/>
              <w:left w:val="nil"/>
              <w:bottom w:val="nil"/>
              <w:right w:val="nil"/>
            </w:tcBorders>
            <w:vAlign w:val="bottom"/>
          </w:tcPr>
          <w:p w14:paraId="46FBBEE2" w14:textId="77777777" w:rsidR="00960DA8" w:rsidRPr="003B3D6C" w:rsidRDefault="00960DA8" w:rsidP="00064581">
            <w:pPr>
              <w:spacing w:after="0" w:line="360" w:lineRule="auto"/>
              <w:jc w:val="center"/>
              <w:rPr>
                <w:color w:val="000000"/>
              </w:rPr>
            </w:pPr>
            <w:r>
              <w:rPr>
                <w:color w:val="000000"/>
              </w:rPr>
              <w:t>1</w:t>
            </w:r>
          </w:p>
        </w:tc>
      </w:tr>
      <w:tr w:rsidR="00960DA8" w:rsidRPr="003B3D6C" w14:paraId="2C846EAB" w14:textId="77777777" w:rsidTr="00064581">
        <w:trPr>
          <w:trHeight w:val="317"/>
        </w:trPr>
        <w:tc>
          <w:tcPr>
            <w:tcW w:w="5150" w:type="dxa"/>
            <w:tcBorders>
              <w:top w:val="nil"/>
              <w:left w:val="nil"/>
              <w:bottom w:val="nil"/>
              <w:right w:val="nil"/>
            </w:tcBorders>
            <w:vAlign w:val="bottom"/>
          </w:tcPr>
          <w:p w14:paraId="0EE72F12" w14:textId="55D87FE3" w:rsidR="00960DA8" w:rsidRPr="003B3D6C" w:rsidRDefault="004E506D" w:rsidP="00064581">
            <w:pPr>
              <w:spacing w:after="0" w:line="360" w:lineRule="auto"/>
              <w:jc w:val="both"/>
              <w:rPr>
                <w:color w:val="000000"/>
              </w:rPr>
            </w:pPr>
            <w:r>
              <w:rPr>
                <w:color w:val="000000"/>
              </w:rPr>
              <w:t xml:space="preserve">   </w:t>
            </w:r>
            <w:r w:rsidR="00960DA8" w:rsidRPr="003B3D6C">
              <w:rPr>
                <w:color w:val="000000"/>
              </w:rPr>
              <w:t>Zopiclone (</w:t>
            </w:r>
            <w:r w:rsidR="00960DA8" w:rsidRPr="003B3D6C">
              <w:rPr>
                <w:i/>
                <w:color w:val="000000"/>
              </w:rPr>
              <w:t>n</w:t>
            </w:r>
            <w:r w:rsidR="00960DA8" w:rsidRPr="003B3D6C">
              <w:rPr>
                <w:color w:val="000000"/>
              </w:rPr>
              <w:t>)</w:t>
            </w:r>
          </w:p>
        </w:tc>
        <w:tc>
          <w:tcPr>
            <w:tcW w:w="3137" w:type="dxa"/>
            <w:tcBorders>
              <w:top w:val="nil"/>
              <w:left w:val="nil"/>
              <w:bottom w:val="nil"/>
              <w:right w:val="nil"/>
            </w:tcBorders>
            <w:vAlign w:val="bottom"/>
          </w:tcPr>
          <w:p w14:paraId="56058321" w14:textId="77777777" w:rsidR="00960DA8" w:rsidRPr="003B3D6C" w:rsidRDefault="00960DA8" w:rsidP="00064581">
            <w:pPr>
              <w:spacing w:after="0" w:line="360" w:lineRule="auto"/>
              <w:jc w:val="center"/>
              <w:rPr>
                <w:color w:val="000000"/>
              </w:rPr>
            </w:pPr>
            <w:r w:rsidRPr="003B3D6C">
              <w:rPr>
                <w:color w:val="000000"/>
              </w:rPr>
              <w:t>1</w:t>
            </w:r>
          </w:p>
        </w:tc>
      </w:tr>
      <w:tr w:rsidR="00960DA8" w:rsidRPr="003B3D6C" w14:paraId="765E040C" w14:textId="77777777" w:rsidTr="00064581">
        <w:trPr>
          <w:trHeight w:val="216"/>
        </w:trPr>
        <w:tc>
          <w:tcPr>
            <w:tcW w:w="8287" w:type="dxa"/>
            <w:gridSpan w:val="2"/>
            <w:tcBorders>
              <w:top w:val="single" w:sz="4" w:space="0" w:color="000000"/>
              <w:left w:val="nil"/>
              <w:bottom w:val="nil"/>
              <w:right w:val="nil"/>
            </w:tcBorders>
          </w:tcPr>
          <w:p w14:paraId="6F965C40" w14:textId="3BB386A5" w:rsidR="00960DA8" w:rsidRPr="003B3D6C" w:rsidRDefault="00960DA8" w:rsidP="00064581">
            <w:pPr>
              <w:spacing w:after="0" w:line="240" w:lineRule="auto"/>
              <w:jc w:val="both"/>
              <w:rPr>
                <w:color w:val="000000"/>
              </w:rPr>
            </w:pPr>
            <w:r w:rsidRPr="003B3D6C">
              <w:rPr>
                <w:color w:val="000000"/>
              </w:rPr>
              <w:t>Data are expressed as mean ± SD unless otherwise stated. BMI, body mass index; DBP, diastolic blood pressure; SBP, systolic blood pressure.</w:t>
            </w:r>
          </w:p>
        </w:tc>
      </w:tr>
    </w:tbl>
    <w:p w14:paraId="75BE18CD" w14:textId="77777777" w:rsidR="002D5784" w:rsidRDefault="002D5784">
      <w:pPr>
        <w:shd w:val="clear" w:color="auto" w:fill="FFFFFF"/>
        <w:spacing w:after="0" w:line="480" w:lineRule="auto"/>
        <w:jc w:val="both"/>
        <w:rPr>
          <w:b/>
        </w:rPr>
        <w:sectPr w:rsidR="002D5784">
          <w:pgSz w:w="12240" w:h="15840"/>
          <w:pgMar w:top="1440" w:right="1440" w:bottom="1440" w:left="1440" w:header="720" w:footer="720" w:gutter="0"/>
          <w:lnNumType w:countBy="1" w:restart="continuous"/>
          <w:cols w:space="720"/>
        </w:sectPr>
      </w:pPr>
    </w:p>
    <w:p w14:paraId="7F9E28F9" w14:textId="58BA14D5" w:rsidR="00960DA8" w:rsidRDefault="00960DA8">
      <w:pPr>
        <w:shd w:val="clear" w:color="auto" w:fill="FFFFFF"/>
        <w:spacing w:after="0" w:line="480" w:lineRule="auto"/>
        <w:jc w:val="both"/>
        <w:rPr>
          <w:b/>
        </w:rPr>
      </w:pPr>
    </w:p>
    <w:p w14:paraId="72957DCA" w14:textId="63AA30F9" w:rsidR="002D5784" w:rsidRDefault="00B82E8A">
      <w:pPr>
        <w:shd w:val="clear" w:color="auto" w:fill="FFFFFF"/>
        <w:spacing w:after="0" w:line="480" w:lineRule="auto"/>
        <w:jc w:val="both"/>
        <w:rPr>
          <w:b/>
        </w:rPr>
      </w:pPr>
      <w:r>
        <w:rPr>
          <w:b/>
          <w:noProof/>
        </w:rPr>
        <w:drawing>
          <wp:inline distT="0" distB="0" distL="0" distR="0" wp14:anchorId="480AECC0" wp14:editId="426684AA">
            <wp:extent cx="8962639" cy="4953000"/>
            <wp:effectExtent l="0" t="0" r="0" b="0"/>
            <wp:docPr id="1301743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70817" cy="4957520"/>
                    </a:xfrm>
                    <a:prstGeom prst="rect">
                      <a:avLst/>
                    </a:prstGeom>
                    <a:noFill/>
                  </pic:spPr>
                </pic:pic>
              </a:graphicData>
            </a:graphic>
          </wp:inline>
        </w:drawing>
      </w:r>
    </w:p>
    <w:p w14:paraId="73B2D64E" w14:textId="300E05C1" w:rsidR="002D5784" w:rsidRDefault="002D5784">
      <w:pPr>
        <w:shd w:val="clear" w:color="auto" w:fill="FFFFFF"/>
        <w:spacing w:after="0" w:line="480" w:lineRule="auto"/>
        <w:jc w:val="both"/>
        <w:rPr>
          <w:b/>
        </w:rPr>
      </w:pPr>
      <w:r>
        <w:rPr>
          <w:b/>
        </w:rPr>
        <w:t xml:space="preserve">Figure </w:t>
      </w:r>
      <w:r w:rsidR="00226905">
        <w:rPr>
          <w:b/>
        </w:rPr>
        <w:t>2</w:t>
      </w:r>
      <w:r>
        <w:rPr>
          <w:b/>
        </w:rPr>
        <w:t xml:space="preserve">. </w:t>
      </w:r>
      <w:r>
        <w:t>Participant flow through the trial.</w:t>
      </w:r>
    </w:p>
    <w:p w14:paraId="0D24312B" w14:textId="77777777" w:rsidR="002D5784" w:rsidRDefault="002D5784">
      <w:pPr>
        <w:shd w:val="clear" w:color="auto" w:fill="FFFFFF"/>
        <w:spacing w:after="0" w:line="480" w:lineRule="auto"/>
        <w:jc w:val="both"/>
        <w:rPr>
          <w:b/>
        </w:rPr>
        <w:sectPr w:rsidR="002D5784" w:rsidSect="002D5784">
          <w:pgSz w:w="15840" w:h="12240" w:orient="landscape"/>
          <w:pgMar w:top="1440" w:right="1440" w:bottom="1440" w:left="1440" w:header="720" w:footer="720" w:gutter="0"/>
          <w:lnNumType w:countBy="1" w:restart="continuous"/>
          <w:cols w:space="720"/>
          <w:docGrid w:linePitch="326"/>
        </w:sectPr>
      </w:pPr>
    </w:p>
    <w:p w14:paraId="0EE4F7A1" w14:textId="02EF04E8" w:rsidR="00570FD4" w:rsidRDefault="00570FD4">
      <w:pPr>
        <w:shd w:val="clear" w:color="auto" w:fill="FFFFFF"/>
        <w:spacing w:after="0" w:line="480" w:lineRule="auto"/>
        <w:jc w:val="both"/>
        <w:rPr>
          <w:b/>
        </w:rPr>
      </w:pPr>
      <w:r>
        <w:rPr>
          <w:b/>
        </w:rPr>
        <w:lastRenderedPageBreak/>
        <w:t>Strength</w:t>
      </w:r>
    </w:p>
    <w:p w14:paraId="2A55A2CE" w14:textId="0E4737A7" w:rsidR="0004749D" w:rsidRDefault="000E4E16" w:rsidP="0004749D">
      <w:pPr>
        <w:shd w:val="clear" w:color="auto" w:fill="FFFFFF"/>
        <w:spacing w:after="0" w:line="480" w:lineRule="auto"/>
        <w:jc w:val="both"/>
        <w:rPr>
          <w:b/>
        </w:rPr>
      </w:pPr>
      <w:r>
        <w:t>There was no change in</w:t>
      </w:r>
      <w:r w:rsidR="00380382">
        <w:t xml:space="preserve"> the primary outcome, </w:t>
      </w:r>
      <w:r w:rsidR="00570FD4">
        <w:t xml:space="preserve">peak </w:t>
      </w:r>
      <w:r w:rsidR="000D7A93">
        <w:t xml:space="preserve">quadriceps </w:t>
      </w:r>
      <w:r w:rsidR="00570FD4">
        <w:t>torque</w:t>
      </w:r>
      <w:r w:rsidR="00061D42">
        <w:t xml:space="preserve"> </w:t>
      </w:r>
      <w:r>
        <w:t xml:space="preserve">following repeated HWI </w:t>
      </w:r>
      <w:r w:rsidR="00061D42">
        <w:t>(</w:t>
      </w:r>
      <w:r w:rsidR="00CD0CCC">
        <w:t>i</w:t>
      </w:r>
      <w:r w:rsidR="002477FE">
        <w:t>nteraction:</w:t>
      </w:r>
      <w:r w:rsidR="00EF1C43">
        <w:t xml:space="preserve"> mean difference: </w:t>
      </w:r>
      <w:r w:rsidR="00A66F0F">
        <w:t>-15.0</w:t>
      </w:r>
      <w:r w:rsidR="00CD789F">
        <w:t>0</w:t>
      </w:r>
      <w:r w:rsidR="008D0FD5">
        <w:t xml:space="preserve"> Nm</w:t>
      </w:r>
      <w:r w:rsidR="00ED1B17">
        <w:t xml:space="preserve">; 95% CI: </w:t>
      </w:r>
      <w:r w:rsidR="00A66F0F">
        <w:t>-34.</w:t>
      </w:r>
      <w:r w:rsidR="00CD789F">
        <w:t>6</w:t>
      </w:r>
      <w:r w:rsidR="00A66F0F">
        <w:t xml:space="preserve">7 </w:t>
      </w:r>
      <w:r w:rsidR="008D0FD5">
        <w:t>–</w:t>
      </w:r>
      <w:r w:rsidR="00A66F0F">
        <w:t xml:space="preserve"> </w:t>
      </w:r>
      <w:r w:rsidR="008D0FD5">
        <w:t>4.</w:t>
      </w:r>
      <w:r w:rsidR="00CC295D">
        <w:t>6</w:t>
      </w:r>
      <w:r w:rsidR="008D0FD5">
        <w:t>7;</w:t>
      </w:r>
      <w:r w:rsidR="002477FE">
        <w:t xml:space="preserve"> </w:t>
      </w:r>
      <w:proofErr w:type="gramStart"/>
      <w:r w:rsidR="00061D42" w:rsidRPr="00C533F9">
        <w:rPr>
          <w:i/>
        </w:rPr>
        <w:t>F</w:t>
      </w:r>
      <w:r w:rsidR="00061D42" w:rsidRPr="00C533F9">
        <w:rPr>
          <w:vertAlign w:val="subscript"/>
        </w:rPr>
        <w:t>(</w:t>
      </w:r>
      <w:proofErr w:type="gramEnd"/>
      <w:r w:rsidR="00061D42" w:rsidRPr="00C533F9">
        <w:rPr>
          <w:vertAlign w:val="subscript"/>
        </w:rPr>
        <w:t>1,</w:t>
      </w:r>
      <w:r w:rsidR="00233F5F">
        <w:rPr>
          <w:vertAlign w:val="subscript"/>
        </w:rPr>
        <w:t>18</w:t>
      </w:r>
      <w:r w:rsidR="00061D42" w:rsidRPr="00C533F9">
        <w:rPr>
          <w:vertAlign w:val="subscript"/>
        </w:rPr>
        <w:t>)</w:t>
      </w:r>
      <w:r w:rsidR="00061D42">
        <w:t xml:space="preserve"> = </w:t>
      </w:r>
      <w:r w:rsidR="00233F5F">
        <w:t>2.566</w:t>
      </w:r>
      <w:r w:rsidR="00061D42">
        <w:t xml:space="preserve">, </w:t>
      </w:r>
      <w:r w:rsidR="00061D42" w:rsidRPr="00C533F9">
        <w:rPr>
          <w:i/>
        </w:rPr>
        <w:t>P</w:t>
      </w:r>
      <w:r w:rsidR="00061D42">
        <w:t xml:space="preserve"> = </w:t>
      </w:r>
      <w:proofErr w:type="gramStart"/>
      <w:r w:rsidR="00061D42">
        <w:t>0.</w:t>
      </w:r>
      <w:r w:rsidR="00233F5F">
        <w:t>.</w:t>
      </w:r>
      <w:proofErr w:type="gramEnd"/>
      <w:r w:rsidR="00233F5F">
        <w:t>127</w:t>
      </w:r>
      <w:r w:rsidR="00061D42">
        <w:t xml:space="preserve">, </w:t>
      </w:r>
      <w:r w:rsidR="00A318DC" w:rsidRPr="00B80E03">
        <w:t>η</w:t>
      </w:r>
      <w:r w:rsidR="00A318DC" w:rsidRPr="00A055A6">
        <w:rPr>
          <w:vertAlign w:val="superscript"/>
        </w:rPr>
        <w:t>2</w:t>
      </w:r>
      <w:proofErr w:type="gramStart"/>
      <w:r w:rsidR="00A318DC" w:rsidRPr="00E65854">
        <w:rPr>
          <w:vertAlign w:val="subscript"/>
        </w:rPr>
        <w:t>p</w:t>
      </w:r>
      <w:r w:rsidR="00A318DC" w:rsidRPr="00B80E03">
        <w:t xml:space="preserve"> </w:t>
      </w:r>
      <w:r w:rsidR="00061D42">
        <w:t xml:space="preserve"> =</w:t>
      </w:r>
      <w:proofErr w:type="gramEnd"/>
      <w:r w:rsidR="00061D42">
        <w:t xml:space="preserve"> 0.</w:t>
      </w:r>
      <w:r w:rsidR="00636CE4" w:rsidRPr="007A5808">
        <w:t>125</w:t>
      </w:r>
      <w:r w:rsidR="00061D42">
        <w:t>)</w:t>
      </w:r>
      <w:r>
        <w:t xml:space="preserve">. </w:t>
      </w:r>
      <w:r w:rsidR="00E2442E">
        <w:t xml:space="preserve">There was a significant interaction for </w:t>
      </w:r>
      <w:r w:rsidR="002F6815">
        <w:t>grip strength</w:t>
      </w:r>
      <w:r w:rsidR="008B19E5">
        <w:t xml:space="preserve"> (</w:t>
      </w:r>
      <w:r w:rsidR="00290C79">
        <w:t>mean difference: -2.</w:t>
      </w:r>
      <w:r w:rsidR="00CC295D">
        <w:t>18</w:t>
      </w:r>
      <w:r w:rsidR="00DA7A8A">
        <w:t xml:space="preserve"> kg;</w:t>
      </w:r>
      <w:r w:rsidR="00290C79">
        <w:t xml:space="preserve"> 95% CI: -4.</w:t>
      </w:r>
      <w:r w:rsidR="00DA7A8A">
        <w:t>0</w:t>
      </w:r>
      <w:r w:rsidR="00CC295D">
        <w:t>5</w:t>
      </w:r>
      <w:r w:rsidR="00290C79">
        <w:t xml:space="preserve"> – </w:t>
      </w:r>
      <w:r w:rsidR="00DA7A8A">
        <w:t>-0.3</w:t>
      </w:r>
      <w:r w:rsidR="00CC295D">
        <w:t>2</w:t>
      </w:r>
      <w:r w:rsidR="00290C79">
        <w:t xml:space="preserve">; </w:t>
      </w:r>
      <w:proofErr w:type="gramStart"/>
      <w:r w:rsidR="00A318DC" w:rsidRPr="00C533F9">
        <w:rPr>
          <w:i/>
        </w:rPr>
        <w:t>F</w:t>
      </w:r>
      <w:r w:rsidR="00A318DC" w:rsidRPr="00C533F9">
        <w:rPr>
          <w:vertAlign w:val="subscript"/>
        </w:rPr>
        <w:t>(</w:t>
      </w:r>
      <w:proofErr w:type="gramEnd"/>
      <w:r w:rsidR="00A318DC" w:rsidRPr="00C533F9">
        <w:rPr>
          <w:vertAlign w:val="subscript"/>
        </w:rPr>
        <w:t>1,</w:t>
      </w:r>
      <w:r w:rsidR="00C36EE2">
        <w:rPr>
          <w:vertAlign w:val="subscript"/>
        </w:rPr>
        <w:t>44</w:t>
      </w:r>
      <w:r w:rsidR="00A318DC" w:rsidRPr="00C533F9">
        <w:rPr>
          <w:vertAlign w:val="subscript"/>
        </w:rPr>
        <w:t>)</w:t>
      </w:r>
      <w:r w:rsidR="00A318DC">
        <w:t xml:space="preserve"> = </w:t>
      </w:r>
      <w:r w:rsidR="00145DA0">
        <w:t>5</w:t>
      </w:r>
      <w:r w:rsidR="00C36EE2">
        <w:t>.585</w:t>
      </w:r>
      <w:r w:rsidR="00A318DC">
        <w:t xml:space="preserve">, </w:t>
      </w:r>
      <w:r w:rsidR="00A318DC" w:rsidRPr="00C533F9">
        <w:rPr>
          <w:i/>
        </w:rPr>
        <w:t>P</w:t>
      </w:r>
      <w:r w:rsidR="00A318DC">
        <w:t xml:space="preserve"> = 0.</w:t>
      </w:r>
      <w:r w:rsidR="00145DA0">
        <w:t>0</w:t>
      </w:r>
      <w:r w:rsidR="004E4E98">
        <w:t>23</w:t>
      </w:r>
      <w:r w:rsidR="00A318DC">
        <w:t xml:space="preserve">, </w:t>
      </w:r>
      <w:r w:rsidR="00A318DC" w:rsidRPr="00B80E03">
        <w:t>η</w:t>
      </w:r>
      <w:r w:rsidR="00A318DC" w:rsidRPr="00A055A6">
        <w:rPr>
          <w:vertAlign w:val="superscript"/>
        </w:rPr>
        <w:t>2</w:t>
      </w:r>
      <w:r w:rsidR="00A318DC" w:rsidRPr="00E65854">
        <w:rPr>
          <w:vertAlign w:val="subscript"/>
        </w:rPr>
        <w:t>p</w:t>
      </w:r>
      <w:r w:rsidR="00A318DC">
        <w:t xml:space="preserve"> = 0.</w:t>
      </w:r>
      <w:r w:rsidR="00963815">
        <w:t>113</w:t>
      </w:r>
      <w:r w:rsidR="008B19E5">
        <w:t>)</w:t>
      </w:r>
      <w:r w:rsidR="002B1551">
        <w:t xml:space="preserve">, with post-hoc tests revealing </w:t>
      </w:r>
      <w:r w:rsidR="00760AA3">
        <w:t>an increase at CON post compared to CON baseline (</w:t>
      </w:r>
      <w:r w:rsidR="00760AA3" w:rsidRPr="00064581">
        <w:rPr>
          <w:i/>
        </w:rPr>
        <w:t>P</w:t>
      </w:r>
      <w:r w:rsidR="00760AA3">
        <w:t xml:space="preserve"> = 0.</w:t>
      </w:r>
      <w:r w:rsidR="00850B7C">
        <w:t>004</w:t>
      </w:r>
      <w:r w:rsidR="00760AA3">
        <w:t>)</w:t>
      </w:r>
      <w:r w:rsidR="00413629">
        <w:t>,</w:t>
      </w:r>
      <w:r w:rsidR="00760AA3">
        <w:t xml:space="preserve"> while </w:t>
      </w:r>
      <w:r w:rsidR="00410881">
        <w:t xml:space="preserve">HWI </w:t>
      </w:r>
      <w:r w:rsidR="00E93FC4">
        <w:t xml:space="preserve">post </w:t>
      </w:r>
      <w:r w:rsidR="00410881">
        <w:t xml:space="preserve">was </w:t>
      </w:r>
      <w:r w:rsidR="00400951">
        <w:t xml:space="preserve">lower than CON </w:t>
      </w:r>
      <w:r w:rsidR="00E93FC4">
        <w:t xml:space="preserve">post </w:t>
      </w:r>
      <w:r w:rsidR="00400951">
        <w:t>(</w:t>
      </w:r>
      <w:r w:rsidR="00400951" w:rsidRPr="00CA20D5">
        <w:rPr>
          <w:i/>
          <w:iCs/>
        </w:rPr>
        <w:t>P</w:t>
      </w:r>
      <w:r w:rsidR="00400951">
        <w:t xml:space="preserve"> = 0.039)</w:t>
      </w:r>
      <w:r w:rsidR="009D5F22">
        <w:t xml:space="preserve">. </w:t>
      </w:r>
    </w:p>
    <w:p w14:paraId="5757D05A" w14:textId="65A889F0" w:rsidR="00ED1201" w:rsidRDefault="00C93621">
      <w:pPr>
        <w:shd w:val="clear" w:color="auto" w:fill="FFFFFF"/>
        <w:spacing w:after="0" w:line="480" w:lineRule="auto"/>
        <w:jc w:val="both"/>
      </w:pPr>
      <w:r>
        <w:object w:dxaOrig="5606" w:dyaOrig="9223" w14:anchorId="555ED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462pt" o:ole="">
            <v:imagedata r:id="rId10" o:title=""/>
          </v:shape>
          <o:OLEObject Type="Embed" ProgID="Prism10.Document" ShapeID="_x0000_i1025" DrawAspect="Content" ObjectID="_1836574257" r:id="rId11"/>
        </w:object>
      </w:r>
    </w:p>
    <w:p w14:paraId="3EC6E83F" w14:textId="21CECE4C" w:rsidR="008B19E5" w:rsidRDefault="009C7757">
      <w:pPr>
        <w:shd w:val="clear" w:color="auto" w:fill="FFFFFF"/>
        <w:spacing w:after="0" w:line="480" w:lineRule="auto"/>
        <w:jc w:val="both"/>
        <w:rPr>
          <w:sz w:val="20"/>
        </w:rPr>
      </w:pPr>
      <w:bookmarkStart w:id="5" w:name="OLE_LINK1"/>
      <w:r w:rsidRPr="00422278">
        <w:rPr>
          <w:b/>
          <w:bCs/>
          <w:sz w:val="20"/>
        </w:rPr>
        <w:t xml:space="preserve">Figure </w:t>
      </w:r>
      <w:r w:rsidR="00B82E8A">
        <w:rPr>
          <w:b/>
          <w:bCs/>
          <w:sz w:val="20"/>
        </w:rPr>
        <w:t>3</w:t>
      </w:r>
      <w:r>
        <w:rPr>
          <w:sz w:val="20"/>
        </w:rPr>
        <w:t xml:space="preserve">. </w:t>
      </w:r>
      <w:r w:rsidR="000D7A93">
        <w:rPr>
          <w:sz w:val="20"/>
        </w:rPr>
        <w:t>Peak q</w:t>
      </w:r>
      <w:r>
        <w:rPr>
          <w:sz w:val="20"/>
        </w:rPr>
        <w:t>uadriceps and grip strength</w:t>
      </w:r>
      <w:r w:rsidR="000D7A93">
        <w:rPr>
          <w:sz w:val="20"/>
        </w:rPr>
        <w:t xml:space="preserve"> </w:t>
      </w:r>
      <w:r w:rsidR="000D7A93">
        <w:rPr>
          <w:sz w:val="20"/>
          <w:szCs w:val="20"/>
        </w:rPr>
        <w:t>at baseline (BL) and post for control (CON) and hot water immersion arms (</w:t>
      </w:r>
      <w:r w:rsidR="000D7A93" w:rsidRPr="00FE283D">
        <w:rPr>
          <w:sz w:val="20"/>
          <w:szCs w:val="20"/>
        </w:rPr>
        <w:t>HWI</w:t>
      </w:r>
      <w:r w:rsidR="000D7A93">
        <w:rPr>
          <w:sz w:val="20"/>
          <w:szCs w:val="20"/>
        </w:rPr>
        <w:t>).</w:t>
      </w:r>
    </w:p>
    <w:p w14:paraId="0E1DD3AE" w14:textId="2781AC01" w:rsidR="009C7757" w:rsidRPr="00064581" w:rsidRDefault="00D33217" w:rsidP="00857873">
      <w:pPr>
        <w:jc w:val="both"/>
        <w:rPr>
          <w:sz w:val="20"/>
        </w:rPr>
      </w:pPr>
      <w:r>
        <w:rPr>
          <w:sz w:val="20"/>
          <w:szCs w:val="20"/>
        </w:rPr>
        <w:t>I</w:t>
      </w:r>
      <w:r w:rsidR="00AE28F0">
        <w:rPr>
          <w:sz w:val="20"/>
          <w:szCs w:val="20"/>
        </w:rPr>
        <w:t xml:space="preserve">ndividual data points </w:t>
      </w:r>
      <w:r>
        <w:rPr>
          <w:sz w:val="20"/>
          <w:szCs w:val="20"/>
        </w:rPr>
        <w:t xml:space="preserve">with means and </w:t>
      </w:r>
      <w:r w:rsidR="00AD26FE">
        <w:rPr>
          <w:sz w:val="20"/>
          <w:szCs w:val="20"/>
        </w:rPr>
        <w:t xml:space="preserve">95% confidence intervals </w:t>
      </w:r>
      <w:r w:rsidR="007B264B" w:rsidRPr="00FE283D">
        <w:rPr>
          <w:sz w:val="20"/>
          <w:szCs w:val="20"/>
        </w:rPr>
        <w:t xml:space="preserve">for A) </w:t>
      </w:r>
      <w:r w:rsidR="007B264B">
        <w:rPr>
          <w:sz w:val="20"/>
          <w:szCs w:val="20"/>
        </w:rPr>
        <w:t>peak</w:t>
      </w:r>
      <w:r w:rsidR="00857873">
        <w:rPr>
          <w:sz w:val="20"/>
          <w:szCs w:val="20"/>
        </w:rPr>
        <w:t xml:space="preserve"> quadriceps</w:t>
      </w:r>
      <w:r w:rsidR="007B264B">
        <w:rPr>
          <w:sz w:val="20"/>
          <w:szCs w:val="20"/>
        </w:rPr>
        <w:t xml:space="preserve"> torque</w:t>
      </w:r>
      <w:r w:rsidR="007B264B" w:rsidRPr="00FE283D">
        <w:rPr>
          <w:sz w:val="20"/>
          <w:szCs w:val="20"/>
        </w:rPr>
        <w:t xml:space="preserve"> (</w:t>
      </w:r>
      <w:r w:rsidR="007B264B" w:rsidRPr="00FE283D">
        <w:rPr>
          <w:i/>
          <w:sz w:val="20"/>
          <w:szCs w:val="20"/>
        </w:rPr>
        <w:t>n</w:t>
      </w:r>
      <w:r w:rsidR="007B264B" w:rsidRPr="00FE283D">
        <w:rPr>
          <w:sz w:val="20"/>
          <w:szCs w:val="20"/>
        </w:rPr>
        <w:t xml:space="preserve"> = </w:t>
      </w:r>
      <w:r w:rsidR="007B264B">
        <w:rPr>
          <w:sz w:val="20"/>
          <w:szCs w:val="20"/>
        </w:rPr>
        <w:t>7</w:t>
      </w:r>
      <w:r w:rsidR="007B264B" w:rsidRPr="00FE283D">
        <w:rPr>
          <w:sz w:val="20"/>
          <w:szCs w:val="20"/>
        </w:rPr>
        <w:t>)</w:t>
      </w:r>
      <w:r w:rsidR="007B264B">
        <w:rPr>
          <w:sz w:val="20"/>
          <w:szCs w:val="20"/>
        </w:rPr>
        <w:t xml:space="preserve"> and </w:t>
      </w:r>
      <w:r w:rsidR="007B264B" w:rsidRPr="00FE283D">
        <w:rPr>
          <w:sz w:val="20"/>
          <w:szCs w:val="20"/>
        </w:rPr>
        <w:t>B)</w:t>
      </w:r>
      <w:r w:rsidR="007B264B">
        <w:rPr>
          <w:sz w:val="20"/>
          <w:szCs w:val="20"/>
        </w:rPr>
        <w:t xml:space="preserve"> grip strength </w:t>
      </w:r>
      <w:r w:rsidR="007B264B" w:rsidRPr="00FE283D">
        <w:rPr>
          <w:sz w:val="20"/>
          <w:szCs w:val="20"/>
        </w:rPr>
        <w:t>(</w:t>
      </w:r>
      <w:r w:rsidR="007B264B" w:rsidRPr="00FE283D">
        <w:rPr>
          <w:i/>
          <w:sz w:val="20"/>
          <w:szCs w:val="20"/>
        </w:rPr>
        <w:t>n</w:t>
      </w:r>
      <w:r w:rsidR="007B264B" w:rsidRPr="00FE283D">
        <w:rPr>
          <w:sz w:val="20"/>
          <w:szCs w:val="20"/>
        </w:rPr>
        <w:t xml:space="preserve"> = 1</w:t>
      </w:r>
      <w:r w:rsidR="007B264B">
        <w:rPr>
          <w:sz w:val="20"/>
          <w:szCs w:val="20"/>
        </w:rPr>
        <w:t>2</w:t>
      </w:r>
      <w:r w:rsidR="007B264B" w:rsidRPr="00FE283D">
        <w:rPr>
          <w:sz w:val="20"/>
          <w:szCs w:val="20"/>
        </w:rPr>
        <w:t xml:space="preserve">) </w:t>
      </w:r>
      <w:bookmarkEnd w:id="5"/>
      <w:r w:rsidR="00857873">
        <w:rPr>
          <w:sz w:val="20"/>
          <w:szCs w:val="20"/>
        </w:rPr>
        <w:t>at baseline (BL) and post for control (CON) and hot water immersion arm (</w:t>
      </w:r>
      <w:r w:rsidR="00857873" w:rsidRPr="00FE283D">
        <w:rPr>
          <w:sz w:val="20"/>
          <w:szCs w:val="20"/>
        </w:rPr>
        <w:t>HWI</w:t>
      </w:r>
      <w:r w:rsidR="00857873">
        <w:rPr>
          <w:sz w:val="20"/>
          <w:szCs w:val="20"/>
        </w:rPr>
        <w:t>).</w:t>
      </w:r>
      <w:r w:rsidR="00857873" w:rsidRPr="00FE283D">
        <w:rPr>
          <w:sz w:val="20"/>
          <w:szCs w:val="20"/>
        </w:rPr>
        <w:t xml:space="preserve"> </w:t>
      </w:r>
      <w:r w:rsidR="00673566">
        <w:rPr>
          <w:sz w:val="20"/>
          <w:szCs w:val="20"/>
        </w:rPr>
        <w:t>O</w:t>
      </w:r>
      <w:r w:rsidR="00773B89">
        <w:rPr>
          <w:sz w:val="20"/>
          <w:szCs w:val="20"/>
        </w:rPr>
        <w:t>pen circles</w:t>
      </w:r>
      <w:r w:rsidR="00857873" w:rsidRPr="00FE283D">
        <w:rPr>
          <w:sz w:val="20"/>
          <w:szCs w:val="20"/>
        </w:rPr>
        <w:t xml:space="preserve"> represent </w:t>
      </w:r>
      <w:r w:rsidR="00857873">
        <w:rPr>
          <w:sz w:val="20"/>
          <w:szCs w:val="20"/>
        </w:rPr>
        <w:t xml:space="preserve">the CON </w:t>
      </w:r>
      <w:proofErr w:type="gramStart"/>
      <w:r w:rsidR="00857873">
        <w:rPr>
          <w:sz w:val="20"/>
          <w:szCs w:val="20"/>
        </w:rPr>
        <w:t>arm</w:t>
      </w:r>
      <w:proofErr w:type="gramEnd"/>
      <w:r w:rsidR="00857873" w:rsidRPr="00FE283D">
        <w:rPr>
          <w:sz w:val="20"/>
          <w:szCs w:val="20"/>
        </w:rPr>
        <w:t xml:space="preserve"> and </w:t>
      </w:r>
      <w:r w:rsidR="00773B89">
        <w:rPr>
          <w:sz w:val="20"/>
          <w:szCs w:val="20"/>
        </w:rPr>
        <w:t xml:space="preserve">closed circles </w:t>
      </w:r>
      <w:r w:rsidR="00857873" w:rsidRPr="00FE283D">
        <w:rPr>
          <w:sz w:val="20"/>
          <w:szCs w:val="20"/>
        </w:rPr>
        <w:t xml:space="preserve">represent </w:t>
      </w:r>
      <w:r w:rsidR="00857873">
        <w:rPr>
          <w:sz w:val="20"/>
          <w:szCs w:val="20"/>
        </w:rPr>
        <w:t>the HWI arm</w:t>
      </w:r>
      <w:r w:rsidR="00857873" w:rsidRPr="00FE283D">
        <w:rPr>
          <w:sz w:val="20"/>
          <w:szCs w:val="20"/>
        </w:rPr>
        <w:t>.</w:t>
      </w:r>
      <w:r w:rsidR="00380382">
        <w:rPr>
          <w:sz w:val="20"/>
          <w:szCs w:val="20"/>
        </w:rPr>
        <w:t xml:space="preserve"> Data </w:t>
      </w:r>
      <w:r w:rsidR="00161A29">
        <w:rPr>
          <w:sz w:val="20"/>
          <w:szCs w:val="20"/>
        </w:rPr>
        <w:t xml:space="preserve">were </w:t>
      </w:r>
      <w:proofErr w:type="spellStart"/>
      <w:r w:rsidR="00380382">
        <w:rPr>
          <w:sz w:val="20"/>
          <w:szCs w:val="20"/>
        </w:rPr>
        <w:t>analysed</w:t>
      </w:r>
      <w:proofErr w:type="spellEnd"/>
      <w:r w:rsidR="00380382">
        <w:rPr>
          <w:sz w:val="20"/>
          <w:szCs w:val="20"/>
        </w:rPr>
        <w:t xml:space="preserve"> using a two-way repeated measures </w:t>
      </w:r>
      <w:r w:rsidR="00C62A5D">
        <w:rPr>
          <w:sz w:val="20"/>
          <w:szCs w:val="20"/>
        </w:rPr>
        <w:t>linear mixed model</w:t>
      </w:r>
      <w:r w:rsidR="00380382">
        <w:rPr>
          <w:sz w:val="20"/>
          <w:szCs w:val="20"/>
        </w:rPr>
        <w:t>.</w:t>
      </w:r>
      <w:r w:rsidR="00326253">
        <w:rPr>
          <w:sz w:val="20"/>
          <w:szCs w:val="20"/>
        </w:rPr>
        <w:t xml:space="preserve"> *</w:t>
      </w:r>
      <w:r w:rsidR="00326253" w:rsidRPr="00927B7F">
        <w:rPr>
          <w:i/>
          <w:iCs/>
          <w:sz w:val="20"/>
          <w:szCs w:val="20"/>
        </w:rPr>
        <w:t>P</w:t>
      </w:r>
      <w:r w:rsidR="00326253" w:rsidRPr="00326253">
        <w:rPr>
          <w:sz w:val="20"/>
          <w:szCs w:val="20"/>
        </w:rPr>
        <w:t xml:space="preserve"> &lt; 0.05 significant </w:t>
      </w:r>
      <w:r w:rsidR="00C62A5D">
        <w:rPr>
          <w:sz w:val="20"/>
          <w:szCs w:val="20"/>
        </w:rPr>
        <w:t>difference</w:t>
      </w:r>
      <w:r w:rsidR="00326253">
        <w:rPr>
          <w:sz w:val="20"/>
          <w:szCs w:val="20"/>
        </w:rPr>
        <w:t>.</w:t>
      </w:r>
    </w:p>
    <w:p w14:paraId="49DEF512" w14:textId="77777777" w:rsidR="003377EE" w:rsidRPr="00D10AA6" w:rsidRDefault="003377EE">
      <w:pPr>
        <w:shd w:val="clear" w:color="auto" w:fill="FFFFFF"/>
        <w:spacing w:after="0" w:line="480" w:lineRule="auto"/>
        <w:jc w:val="both"/>
        <w:rPr>
          <w:bCs/>
        </w:rPr>
      </w:pPr>
    </w:p>
    <w:p w14:paraId="5A3219A5" w14:textId="15F266FD" w:rsidR="003C5566" w:rsidRDefault="00C930A7">
      <w:pPr>
        <w:shd w:val="clear" w:color="auto" w:fill="FFFFFF"/>
        <w:spacing w:after="0" w:line="480" w:lineRule="auto"/>
        <w:jc w:val="both"/>
        <w:rPr>
          <w:b/>
        </w:rPr>
      </w:pPr>
      <w:r>
        <w:rPr>
          <w:b/>
        </w:rPr>
        <w:t>Short physical performance battery</w:t>
      </w:r>
    </w:p>
    <w:p w14:paraId="08F70611" w14:textId="53476115" w:rsidR="00D70F96" w:rsidRDefault="001B3D17">
      <w:pPr>
        <w:shd w:val="clear" w:color="auto" w:fill="FFFFFF"/>
        <w:spacing w:after="0" w:line="480" w:lineRule="auto"/>
        <w:jc w:val="both"/>
      </w:pPr>
      <w:r>
        <w:lastRenderedPageBreak/>
        <w:t>Repeated</w:t>
      </w:r>
      <w:r w:rsidR="00941038">
        <w:t xml:space="preserve"> HWI had no effect </w:t>
      </w:r>
      <w:r w:rsidR="00757376">
        <w:t xml:space="preserve">total </w:t>
      </w:r>
      <w:r w:rsidR="0090279A">
        <w:t>SPPB</w:t>
      </w:r>
      <w:r w:rsidR="00326253">
        <w:t xml:space="preserve"> (</w:t>
      </w:r>
      <w:r w:rsidR="00296AD0">
        <w:t>i</w:t>
      </w:r>
      <w:r w:rsidR="00592879">
        <w:t xml:space="preserve">nteraction: </w:t>
      </w:r>
      <w:r w:rsidR="002C5DFD">
        <w:t>mean difference: -0</w:t>
      </w:r>
      <w:r w:rsidR="00531F36">
        <w:t>.6</w:t>
      </w:r>
      <w:r w:rsidR="002C5DFD">
        <w:t>; 95% CI: -</w:t>
      </w:r>
      <w:r w:rsidR="008764E4">
        <w:t>0</w:t>
      </w:r>
      <w:r w:rsidR="0041126B">
        <w:t>.2 – 1.4;</w:t>
      </w:r>
      <w:r w:rsidR="002C5DFD">
        <w:t xml:space="preserve"> </w:t>
      </w:r>
      <w:r w:rsidR="00326253" w:rsidRPr="00A055A6">
        <w:rPr>
          <w:i/>
        </w:rPr>
        <w:t>F</w:t>
      </w:r>
      <w:r w:rsidR="00326253" w:rsidRPr="00A055A6">
        <w:rPr>
          <w:vertAlign w:val="subscript"/>
        </w:rPr>
        <w:t>(1,</w:t>
      </w:r>
      <w:r w:rsidR="003F6306">
        <w:rPr>
          <w:vertAlign w:val="subscript"/>
        </w:rPr>
        <w:t>44</w:t>
      </w:r>
      <w:r w:rsidR="00326253" w:rsidRPr="00A055A6">
        <w:rPr>
          <w:vertAlign w:val="subscript"/>
        </w:rPr>
        <w:t>)</w:t>
      </w:r>
      <w:r w:rsidR="00326253">
        <w:t xml:space="preserve"> = </w:t>
      </w:r>
      <w:r w:rsidR="003F6306">
        <w:t>2.039</w:t>
      </w:r>
      <w:r w:rsidR="00326253">
        <w:t xml:space="preserve">, </w:t>
      </w:r>
      <w:r w:rsidR="00326253" w:rsidRPr="00E65854">
        <w:rPr>
          <w:i/>
        </w:rPr>
        <w:t>P</w:t>
      </w:r>
      <w:r w:rsidR="00326253">
        <w:t xml:space="preserve"> = 0.</w:t>
      </w:r>
      <w:r w:rsidR="003F6306">
        <w:t>160</w:t>
      </w:r>
      <w:r w:rsidR="00326253">
        <w:t xml:space="preserve">, </w:t>
      </w:r>
      <w:r w:rsidR="00326253" w:rsidRPr="00B80E03">
        <w:t>η</w:t>
      </w:r>
      <w:r w:rsidR="00326253" w:rsidRPr="00A055A6">
        <w:rPr>
          <w:vertAlign w:val="superscript"/>
        </w:rPr>
        <w:t>2</w:t>
      </w:r>
      <w:r w:rsidR="00326253" w:rsidRPr="00E65854">
        <w:rPr>
          <w:vertAlign w:val="subscript"/>
        </w:rPr>
        <w:t>p</w:t>
      </w:r>
      <w:r w:rsidR="00326253">
        <w:rPr>
          <w:vertAlign w:val="subscript"/>
        </w:rPr>
        <w:t xml:space="preserve"> </w:t>
      </w:r>
      <w:r w:rsidR="00326253">
        <w:t>= 0.</w:t>
      </w:r>
      <w:r w:rsidR="004471D1">
        <w:t>044</w:t>
      </w:r>
      <w:r w:rsidR="00326253">
        <w:t>), balance (</w:t>
      </w:r>
      <w:r w:rsidR="0092601F">
        <w:t xml:space="preserve">mean difference: </w:t>
      </w:r>
      <w:r w:rsidR="00F61C3C">
        <w:t>0.3</w:t>
      </w:r>
      <w:r w:rsidR="0092601F">
        <w:t>; 95% CI: -</w:t>
      </w:r>
      <w:r w:rsidR="008764E4">
        <w:t>0</w:t>
      </w:r>
      <w:r w:rsidR="0092601F">
        <w:t>.</w:t>
      </w:r>
      <w:r w:rsidR="00F61C3C">
        <w:t>1</w:t>
      </w:r>
      <w:r w:rsidR="0092601F">
        <w:t xml:space="preserve"> – </w:t>
      </w:r>
      <w:r w:rsidR="00F61C3C">
        <w:t>0</w:t>
      </w:r>
      <w:r w:rsidR="0092601F">
        <w:t>.</w:t>
      </w:r>
      <w:r w:rsidR="00F61C3C">
        <w:t>7</w:t>
      </w:r>
      <w:r w:rsidR="0092601F">
        <w:t xml:space="preserve">; </w:t>
      </w:r>
      <w:r w:rsidR="00326253" w:rsidRPr="00A055A6">
        <w:rPr>
          <w:i/>
        </w:rPr>
        <w:t>F</w:t>
      </w:r>
      <w:r w:rsidR="00326253" w:rsidRPr="00A055A6">
        <w:rPr>
          <w:vertAlign w:val="subscript"/>
        </w:rPr>
        <w:t>(1,</w:t>
      </w:r>
      <w:r w:rsidR="0028063A">
        <w:rPr>
          <w:vertAlign w:val="subscript"/>
        </w:rPr>
        <w:t>44</w:t>
      </w:r>
      <w:r w:rsidR="00326253" w:rsidRPr="00A055A6">
        <w:rPr>
          <w:vertAlign w:val="subscript"/>
        </w:rPr>
        <w:t>)</w:t>
      </w:r>
      <w:r w:rsidR="00326253">
        <w:t xml:space="preserve"> = </w:t>
      </w:r>
      <w:r w:rsidR="0028063A">
        <w:t>2.694</w:t>
      </w:r>
      <w:r w:rsidR="00326253">
        <w:t xml:space="preserve">, </w:t>
      </w:r>
      <w:r w:rsidR="00326253" w:rsidRPr="00E65854">
        <w:rPr>
          <w:i/>
        </w:rPr>
        <w:t>P</w:t>
      </w:r>
      <w:r w:rsidR="00326253">
        <w:t xml:space="preserve"> = 0.10</w:t>
      </w:r>
      <w:r w:rsidR="0028063A">
        <w:t>8</w:t>
      </w:r>
      <w:r w:rsidR="00326253">
        <w:t xml:space="preserve">, </w:t>
      </w:r>
      <w:r w:rsidR="00326253" w:rsidRPr="00B80E03">
        <w:t>η</w:t>
      </w:r>
      <w:r w:rsidR="00326253" w:rsidRPr="00A055A6">
        <w:rPr>
          <w:vertAlign w:val="superscript"/>
        </w:rPr>
        <w:t>2</w:t>
      </w:r>
      <w:r w:rsidR="00326253" w:rsidRPr="00E65854">
        <w:rPr>
          <w:vertAlign w:val="subscript"/>
        </w:rPr>
        <w:t>p</w:t>
      </w:r>
      <w:r w:rsidR="00326253">
        <w:rPr>
          <w:vertAlign w:val="subscript"/>
        </w:rPr>
        <w:t xml:space="preserve"> </w:t>
      </w:r>
      <w:r w:rsidR="00326253">
        <w:t>= 0.</w:t>
      </w:r>
      <w:r w:rsidR="0028063A">
        <w:t>058</w:t>
      </w:r>
      <w:r w:rsidR="00326253">
        <w:t>), four-meter walk (</w:t>
      </w:r>
      <w:r w:rsidR="007B2129">
        <w:t>mean difference: 0.0; 95% CI: -</w:t>
      </w:r>
      <w:r w:rsidR="008764E4">
        <w:t>0</w:t>
      </w:r>
      <w:r w:rsidR="007B2129">
        <w:t xml:space="preserve">.2 – 0.2; </w:t>
      </w:r>
      <w:r w:rsidR="00326253" w:rsidRPr="00A055A6">
        <w:rPr>
          <w:i/>
        </w:rPr>
        <w:t>F</w:t>
      </w:r>
      <w:r w:rsidR="00326253" w:rsidRPr="00A055A6">
        <w:rPr>
          <w:vertAlign w:val="subscript"/>
        </w:rPr>
        <w:t>(1,</w:t>
      </w:r>
      <w:r w:rsidR="00BB75C9">
        <w:rPr>
          <w:vertAlign w:val="subscript"/>
        </w:rPr>
        <w:t>44</w:t>
      </w:r>
      <w:r w:rsidR="00326253" w:rsidRPr="00A055A6">
        <w:rPr>
          <w:vertAlign w:val="subscript"/>
        </w:rPr>
        <w:t>)</w:t>
      </w:r>
      <w:r w:rsidR="00326253">
        <w:t xml:space="preserve"> = 0.000, </w:t>
      </w:r>
      <w:r w:rsidR="00326253" w:rsidRPr="00E65854">
        <w:rPr>
          <w:i/>
        </w:rPr>
        <w:t>P</w:t>
      </w:r>
      <w:r w:rsidR="00326253">
        <w:t xml:space="preserve"> = 1.000, </w:t>
      </w:r>
      <w:r w:rsidR="00326253" w:rsidRPr="00B80E03">
        <w:t>η</w:t>
      </w:r>
      <w:r w:rsidR="00326253" w:rsidRPr="00A055A6">
        <w:rPr>
          <w:vertAlign w:val="superscript"/>
        </w:rPr>
        <w:t>2</w:t>
      </w:r>
      <w:r w:rsidR="00326253" w:rsidRPr="00E65854">
        <w:rPr>
          <w:vertAlign w:val="subscript"/>
        </w:rPr>
        <w:t>p</w:t>
      </w:r>
      <w:r w:rsidR="00326253">
        <w:rPr>
          <w:vertAlign w:val="subscript"/>
        </w:rPr>
        <w:t xml:space="preserve"> </w:t>
      </w:r>
      <w:r w:rsidR="00326253">
        <w:t xml:space="preserve">= 0.000) or </w:t>
      </w:r>
      <w:r w:rsidR="00BB75C9">
        <w:t>STS</w:t>
      </w:r>
      <w:r w:rsidR="0090279A">
        <w:t xml:space="preserve"> </w:t>
      </w:r>
      <w:r w:rsidR="005C6049">
        <w:t>score</w:t>
      </w:r>
      <w:r w:rsidR="00326253">
        <w:t>s (</w:t>
      </w:r>
      <w:r w:rsidR="009D3E77">
        <w:t>mean difference: 0.3; 95% CI: -</w:t>
      </w:r>
      <w:r w:rsidR="008764E4">
        <w:t>0</w:t>
      </w:r>
      <w:r w:rsidR="009D3E77">
        <w:t xml:space="preserve">.5 – 1.0; </w:t>
      </w:r>
      <w:r w:rsidR="00326253" w:rsidRPr="00A055A6">
        <w:rPr>
          <w:i/>
        </w:rPr>
        <w:t>F</w:t>
      </w:r>
      <w:r w:rsidR="00326253" w:rsidRPr="00A055A6">
        <w:rPr>
          <w:vertAlign w:val="subscript"/>
        </w:rPr>
        <w:t>(1,</w:t>
      </w:r>
      <w:r w:rsidR="00E02E86">
        <w:rPr>
          <w:vertAlign w:val="subscript"/>
        </w:rPr>
        <w:t>44</w:t>
      </w:r>
      <w:r w:rsidR="00326253" w:rsidRPr="00A055A6">
        <w:rPr>
          <w:vertAlign w:val="subscript"/>
        </w:rPr>
        <w:t>)</w:t>
      </w:r>
      <w:r w:rsidR="00326253">
        <w:t xml:space="preserve"> = </w:t>
      </w:r>
      <w:r w:rsidR="00E02E86">
        <w:t>0.488</w:t>
      </w:r>
      <w:r w:rsidR="00326253">
        <w:t xml:space="preserve">, </w:t>
      </w:r>
      <w:r w:rsidR="00326253" w:rsidRPr="00E65854">
        <w:rPr>
          <w:i/>
        </w:rPr>
        <w:t>P</w:t>
      </w:r>
      <w:r w:rsidR="00326253">
        <w:t xml:space="preserve"> = 0.</w:t>
      </w:r>
      <w:r w:rsidR="00E02E86">
        <w:t>489</w:t>
      </w:r>
      <w:r w:rsidR="00326253">
        <w:t xml:space="preserve">, </w:t>
      </w:r>
      <w:r w:rsidR="00326253" w:rsidRPr="00B80E03">
        <w:t>η</w:t>
      </w:r>
      <w:r w:rsidR="00326253" w:rsidRPr="00A055A6">
        <w:rPr>
          <w:vertAlign w:val="superscript"/>
        </w:rPr>
        <w:t>2</w:t>
      </w:r>
      <w:r w:rsidR="00326253" w:rsidRPr="00E65854">
        <w:rPr>
          <w:vertAlign w:val="subscript"/>
        </w:rPr>
        <w:t>p</w:t>
      </w:r>
      <w:r w:rsidR="00326253">
        <w:rPr>
          <w:vertAlign w:val="subscript"/>
        </w:rPr>
        <w:t xml:space="preserve"> </w:t>
      </w:r>
      <w:r w:rsidR="00326253">
        <w:t>= 0.</w:t>
      </w:r>
      <w:r w:rsidR="00C6570F">
        <w:t>011</w:t>
      </w:r>
      <w:r w:rsidR="00326253">
        <w:t>).</w:t>
      </w:r>
      <w:r w:rsidR="0090279A">
        <w:t xml:space="preserve"> </w:t>
      </w:r>
      <w:r>
        <w:t>Repeated</w:t>
      </w:r>
      <w:r w:rsidR="00EA0A92">
        <w:t xml:space="preserve"> HWI had no effect on </w:t>
      </w:r>
      <w:r w:rsidR="00757376">
        <w:t xml:space="preserve">times for </w:t>
      </w:r>
      <w:r w:rsidR="00215896">
        <w:t>tandem balance (</w:t>
      </w:r>
      <w:r w:rsidR="00296AD0">
        <w:t>interaction:</w:t>
      </w:r>
      <w:r w:rsidR="00E547D8">
        <w:t xml:space="preserve"> mean difference: </w:t>
      </w:r>
      <w:r w:rsidR="0027662C">
        <w:t>1</w:t>
      </w:r>
      <w:r w:rsidR="00E547D8">
        <w:t>.</w:t>
      </w:r>
      <w:r w:rsidR="0027662C">
        <w:t>6</w:t>
      </w:r>
      <w:r w:rsidR="00AF4A28">
        <w:t>4</w:t>
      </w:r>
      <w:r w:rsidR="008742E2">
        <w:t xml:space="preserve"> s</w:t>
      </w:r>
      <w:r w:rsidR="00E547D8">
        <w:t>; 95% CI: -</w:t>
      </w:r>
      <w:r w:rsidR="008764E4">
        <w:t>0</w:t>
      </w:r>
      <w:r w:rsidR="00E547D8">
        <w:t>.</w:t>
      </w:r>
      <w:r w:rsidR="00AF4A28">
        <w:t>28</w:t>
      </w:r>
      <w:r w:rsidR="00E547D8">
        <w:t xml:space="preserve"> – </w:t>
      </w:r>
      <w:r w:rsidR="008742E2">
        <w:t>3.</w:t>
      </w:r>
      <w:r w:rsidR="0057312A">
        <w:t>5</w:t>
      </w:r>
      <w:r w:rsidR="008742E2">
        <w:t>6</w:t>
      </w:r>
      <w:r w:rsidR="00E547D8">
        <w:t xml:space="preserve">; </w:t>
      </w:r>
      <w:r w:rsidR="00296AD0">
        <w:t xml:space="preserve"> </w:t>
      </w:r>
      <w:r w:rsidR="00215896" w:rsidRPr="00A055A6">
        <w:rPr>
          <w:i/>
        </w:rPr>
        <w:t>F</w:t>
      </w:r>
      <w:r w:rsidR="00215896" w:rsidRPr="00A055A6">
        <w:rPr>
          <w:vertAlign w:val="subscript"/>
        </w:rPr>
        <w:t>(1,</w:t>
      </w:r>
      <w:r w:rsidR="006D62ED">
        <w:rPr>
          <w:vertAlign w:val="subscript"/>
        </w:rPr>
        <w:t>44</w:t>
      </w:r>
      <w:r w:rsidR="00215896" w:rsidRPr="00A055A6">
        <w:rPr>
          <w:vertAlign w:val="subscript"/>
        </w:rPr>
        <w:t>)</w:t>
      </w:r>
      <w:r w:rsidR="00215896">
        <w:t xml:space="preserve"> = 2.</w:t>
      </w:r>
      <w:r w:rsidR="006D62ED">
        <w:t>958</w:t>
      </w:r>
      <w:r w:rsidR="00215896">
        <w:t xml:space="preserve">, </w:t>
      </w:r>
      <w:r w:rsidR="00215896" w:rsidRPr="00064581">
        <w:rPr>
          <w:i/>
        </w:rPr>
        <w:t>P</w:t>
      </w:r>
      <w:r w:rsidR="00215896">
        <w:t xml:space="preserve"> = 0.</w:t>
      </w:r>
      <w:r w:rsidR="006D62ED">
        <w:t>092</w:t>
      </w:r>
      <w:r w:rsidR="00215896">
        <w:t xml:space="preserve">, </w:t>
      </w:r>
      <w:r w:rsidR="00215896" w:rsidRPr="00B80E03">
        <w:t>η</w:t>
      </w:r>
      <w:r w:rsidR="00215896" w:rsidRPr="00A055A6">
        <w:rPr>
          <w:vertAlign w:val="superscript"/>
        </w:rPr>
        <w:t>2</w:t>
      </w:r>
      <w:r w:rsidR="00215896" w:rsidRPr="00A055A6">
        <w:rPr>
          <w:vertAlign w:val="subscript"/>
        </w:rPr>
        <w:t>p</w:t>
      </w:r>
      <w:r w:rsidR="00215896">
        <w:t xml:space="preserve"> = 0.</w:t>
      </w:r>
      <w:r w:rsidR="00B43E78">
        <w:t>063</w:t>
      </w:r>
      <w:r w:rsidR="00215896">
        <w:t>), four-meter walk (</w:t>
      </w:r>
      <w:r w:rsidR="00E547D8">
        <w:t xml:space="preserve">mean difference: </w:t>
      </w:r>
      <w:r w:rsidR="008764E4">
        <w:t>-</w:t>
      </w:r>
      <w:r w:rsidR="00E547D8">
        <w:t>0.</w:t>
      </w:r>
      <w:r w:rsidR="0057312A">
        <w:t>09</w:t>
      </w:r>
      <w:r w:rsidR="0095634E">
        <w:t xml:space="preserve"> s</w:t>
      </w:r>
      <w:r w:rsidR="00E547D8">
        <w:t>; 95% CI: -</w:t>
      </w:r>
      <w:r w:rsidR="008764E4">
        <w:t>0</w:t>
      </w:r>
      <w:r w:rsidR="00E547D8">
        <w:t>.</w:t>
      </w:r>
      <w:r w:rsidR="008764E4">
        <w:t>5</w:t>
      </w:r>
      <w:r w:rsidR="0057312A">
        <w:t>4</w:t>
      </w:r>
      <w:r w:rsidR="00E547D8">
        <w:t xml:space="preserve"> – </w:t>
      </w:r>
      <w:r w:rsidR="008764E4">
        <w:t>0</w:t>
      </w:r>
      <w:r w:rsidR="00E547D8">
        <w:t>.</w:t>
      </w:r>
      <w:r w:rsidR="0057312A">
        <w:t>35</w:t>
      </w:r>
      <w:r w:rsidR="00E547D8">
        <w:t xml:space="preserve">; </w:t>
      </w:r>
      <w:r w:rsidR="00215896" w:rsidRPr="00A055A6">
        <w:rPr>
          <w:i/>
        </w:rPr>
        <w:t>F</w:t>
      </w:r>
      <w:r w:rsidR="00215896" w:rsidRPr="00A055A6">
        <w:rPr>
          <w:vertAlign w:val="subscript"/>
        </w:rPr>
        <w:t>(1,</w:t>
      </w:r>
      <w:r w:rsidR="00B43E78">
        <w:rPr>
          <w:vertAlign w:val="subscript"/>
        </w:rPr>
        <w:t>44</w:t>
      </w:r>
      <w:r w:rsidR="00215896" w:rsidRPr="00A055A6">
        <w:rPr>
          <w:vertAlign w:val="subscript"/>
        </w:rPr>
        <w:t>)</w:t>
      </w:r>
      <w:r w:rsidR="00215896">
        <w:t xml:space="preserve"> = 0.</w:t>
      </w:r>
      <w:r w:rsidR="003E2DA6">
        <w:t>175</w:t>
      </w:r>
      <w:r w:rsidR="00215896">
        <w:t xml:space="preserve">, </w:t>
      </w:r>
      <w:r w:rsidR="00215896" w:rsidRPr="00064581">
        <w:rPr>
          <w:i/>
        </w:rPr>
        <w:t>P</w:t>
      </w:r>
      <w:r w:rsidR="00215896">
        <w:t xml:space="preserve"> = 0.</w:t>
      </w:r>
      <w:r w:rsidR="003E2DA6">
        <w:t>678</w:t>
      </w:r>
      <w:r w:rsidR="00215896">
        <w:t xml:space="preserve">, </w:t>
      </w:r>
      <w:r w:rsidR="00215896" w:rsidRPr="00B80E03">
        <w:t>η</w:t>
      </w:r>
      <w:r w:rsidR="00215896" w:rsidRPr="00A055A6">
        <w:rPr>
          <w:vertAlign w:val="superscript"/>
        </w:rPr>
        <w:t>2</w:t>
      </w:r>
      <w:r w:rsidR="00215896" w:rsidRPr="00A055A6">
        <w:rPr>
          <w:vertAlign w:val="subscript"/>
        </w:rPr>
        <w:t>p</w:t>
      </w:r>
      <w:r w:rsidR="00215896">
        <w:t xml:space="preserve"> = 0.</w:t>
      </w:r>
      <w:r w:rsidR="003E2DA6">
        <w:t>004</w:t>
      </w:r>
      <w:r w:rsidR="00215896">
        <w:t>) or STS times (</w:t>
      </w:r>
      <w:r w:rsidR="00E547D8">
        <w:t xml:space="preserve">mean difference: </w:t>
      </w:r>
      <w:r w:rsidR="0095634E">
        <w:t>-</w:t>
      </w:r>
      <w:r w:rsidR="00E547D8">
        <w:t>0.</w:t>
      </w:r>
      <w:r w:rsidR="0095634E">
        <w:t>04 s</w:t>
      </w:r>
      <w:r w:rsidR="00E547D8">
        <w:t>; 95% CI: -</w:t>
      </w:r>
      <w:r w:rsidR="0095634E">
        <w:t>1</w:t>
      </w:r>
      <w:r w:rsidR="00E547D8">
        <w:t>.</w:t>
      </w:r>
      <w:r w:rsidR="00D201C9">
        <w:t>88</w:t>
      </w:r>
      <w:r w:rsidR="00E547D8">
        <w:t xml:space="preserve"> – </w:t>
      </w:r>
      <w:r w:rsidR="0095634E">
        <w:t>1</w:t>
      </w:r>
      <w:r w:rsidR="00E547D8">
        <w:t>.</w:t>
      </w:r>
      <w:r w:rsidR="00B82372">
        <w:t>8</w:t>
      </w:r>
      <w:r w:rsidR="00D201C9">
        <w:t>0</w:t>
      </w:r>
      <w:r w:rsidR="00E547D8">
        <w:t xml:space="preserve">; </w:t>
      </w:r>
      <w:r w:rsidR="00215896" w:rsidRPr="00A055A6">
        <w:rPr>
          <w:i/>
        </w:rPr>
        <w:t>F</w:t>
      </w:r>
      <w:r w:rsidR="00215896" w:rsidRPr="00A055A6">
        <w:rPr>
          <w:vertAlign w:val="subscript"/>
        </w:rPr>
        <w:t>(1,</w:t>
      </w:r>
      <w:r w:rsidR="00296AD0">
        <w:rPr>
          <w:vertAlign w:val="subscript"/>
        </w:rPr>
        <w:t>44</w:t>
      </w:r>
      <w:r w:rsidR="00215896" w:rsidRPr="00A055A6">
        <w:rPr>
          <w:vertAlign w:val="subscript"/>
        </w:rPr>
        <w:t>)</w:t>
      </w:r>
      <w:r w:rsidR="00215896">
        <w:t xml:space="preserve"> = 0.00</w:t>
      </w:r>
      <w:r w:rsidR="00296AD0">
        <w:t>2</w:t>
      </w:r>
      <w:r w:rsidR="00215896">
        <w:t xml:space="preserve">, </w:t>
      </w:r>
      <w:r w:rsidR="00215896" w:rsidRPr="00064581">
        <w:rPr>
          <w:i/>
        </w:rPr>
        <w:t>P</w:t>
      </w:r>
      <w:r w:rsidR="00215896">
        <w:t xml:space="preserve"> = 0.</w:t>
      </w:r>
      <w:r w:rsidR="00296AD0">
        <w:t>968</w:t>
      </w:r>
      <w:r w:rsidR="00215896">
        <w:t xml:space="preserve">, </w:t>
      </w:r>
      <w:r w:rsidR="00215896" w:rsidRPr="00B80E03">
        <w:t>η</w:t>
      </w:r>
      <w:r w:rsidR="00215896" w:rsidRPr="00A055A6">
        <w:rPr>
          <w:vertAlign w:val="superscript"/>
        </w:rPr>
        <w:t>2</w:t>
      </w:r>
      <w:r w:rsidR="00215896" w:rsidRPr="00A055A6">
        <w:rPr>
          <w:vertAlign w:val="subscript"/>
        </w:rPr>
        <w:t>p</w:t>
      </w:r>
      <w:r w:rsidR="00215896">
        <w:t xml:space="preserve"> = 0.000).</w:t>
      </w:r>
    </w:p>
    <w:p w14:paraId="417C3C68" w14:textId="77777777" w:rsidR="00D70F96" w:rsidRDefault="00D70F96">
      <w:pPr>
        <w:shd w:val="clear" w:color="auto" w:fill="FFFFFF"/>
        <w:spacing w:after="0" w:line="480" w:lineRule="auto"/>
        <w:jc w:val="both"/>
      </w:pPr>
    </w:p>
    <w:tbl>
      <w:tblPr>
        <w:tblW w:w="9714" w:type="dxa"/>
        <w:tblLook w:val="04A0" w:firstRow="1" w:lastRow="0" w:firstColumn="1" w:lastColumn="0" w:noHBand="0" w:noVBand="1"/>
      </w:tblPr>
      <w:tblGrid>
        <w:gridCol w:w="3171"/>
        <w:gridCol w:w="1635"/>
        <w:gridCol w:w="1635"/>
        <w:gridCol w:w="1635"/>
        <w:gridCol w:w="1638"/>
      </w:tblGrid>
      <w:tr w:rsidR="00D07D85" w:rsidRPr="00D07D85" w14:paraId="7CAD369A" w14:textId="77777777" w:rsidTr="00CF3B83">
        <w:trPr>
          <w:trHeight w:val="474"/>
        </w:trPr>
        <w:tc>
          <w:tcPr>
            <w:tcW w:w="9714" w:type="dxa"/>
            <w:gridSpan w:val="5"/>
            <w:tcBorders>
              <w:top w:val="nil"/>
              <w:left w:val="nil"/>
              <w:bottom w:val="single" w:sz="4" w:space="0" w:color="auto"/>
              <w:right w:val="nil"/>
            </w:tcBorders>
            <w:noWrap/>
            <w:vAlign w:val="center"/>
            <w:hideMark/>
          </w:tcPr>
          <w:p w14:paraId="132E923F" w14:textId="57553513" w:rsidR="00D07D85" w:rsidRPr="00D07D85" w:rsidRDefault="00D07D85" w:rsidP="00D07D85">
            <w:pPr>
              <w:spacing w:after="0" w:line="240" w:lineRule="auto"/>
              <w:rPr>
                <w:color w:val="000000"/>
                <w:lang w:eastAsia="en-US"/>
              </w:rPr>
            </w:pPr>
            <w:r w:rsidRPr="00CF3B83">
              <w:rPr>
                <w:b/>
                <w:bCs/>
                <w:color w:val="000000"/>
                <w:lang w:eastAsia="en-US"/>
              </w:rPr>
              <w:t xml:space="preserve">Table </w:t>
            </w:r>
            <w:r w:rsidR="008F6A95">
              <w:rPr>
                <w:b/>
                <w:bCs/>
                <w:color w:val="000000"/>
                <w:lang w:eastAsia="en-US"/>
              </w:rPr>
              <w:t>2</w:t>
            </w:r>
            <w:r w:rsidRPr="00D07D85">
              <w:rPr>
                <w:color w:val="000000"/>
                <w:lang w:eastAsia="en-US"/>
              </w:rPr>
              <w:t xml:space="preserve">. Short </w:t>
            </w:r>
            <w:r w:rsidR="00B95504">
              <w:rPr>
                <w:color w:val="000000"/>
                <w:lang w:eastAsia="en-US"/>
              </w:rPr>
              <w:t>P</w:t>
            </w:r>
            <w:r w:rsidRPr="00D07D85">
              <w:rPr>
                <w:color w:val="000000"/>
                <w:lang w:eastAsia="en-US"/>
              </w:rPr>
              <w:t xml:space="preserve">hysical </w:t>
            </w:r>
            <w:r w:rsidR="00B95504">
              <w:rPr>
                <w:color w:val="000000"/>
                <w:lang w:eastAsia="en-US"/>
              </w:rPr>
              <w:t>P</w:t>
            </w:r>
            <w:r w:rsidRPr="00D07D85">
              <w:rPr>
                <w:color w:val="000000"/>
                <w:lang w:eastAsia="en-US"/>
              </w:rPr>
              <w:t xml:space="preserve">erformance </w:t>
            </w:r>
            <w:r w:rsidR="00B95504">
              <w:rPr>
                <w:color w:val="000000"/>
                <w:lang w:eastAsia="en-US"/>
              </w:rPr>
              <w:t>B</w:t>
            </w:r>
            <w:r w:rsidRPr="00D07D85">
              <w:rPr>
                <w:color w:val="000000"/>
                <w:lang w:eastAsia="en-US"/>
              </w:rPr>
              <w:t xml:space="preserve">attery </w:t>
            </w:r>
            <w:r w:rsidR="00CF3B83">
              <w:rPr>
                <w:color w:val="000000"/>
                <w:lang w:eastAsia="en-US"/>
              </w:rPr>
              <w:t>results</w:t>
            </w:r>
            <w:r w:rsidR="00CF3B83" w:rsidRPr="00D07D85">
              <w:rPr>
                <w:color w:val="000000"/>
                <w:lang w:eastAsia="en-US"/>
              </w:rPr>
              <w:t xml:space="preserve"> </w:t>
            </w:r>
            <w:r w:rsidRPr="00D07D85">
              <w:rPr>
                <w:color w:val="000000"/>
                <w:lang w:eastAsia="en-US"/>
              </w:rPr>
              <w:t>(</w:t>
            </w:r>
            <w:r w:rsidRPr="00D07D85">
              <w:rPr>
                <w:i/>
                <w:iCs/>
                <w:color w:val="000000"/>
                <w:lang w:eastAsia="en-US"/>
              </w:rPr>
              <w:t xml:space="preserve">n </w:t>
            </w:r>
            <w:r w:rsidRPr="00D07D85">
              <w:rPr>
                <w:color w:val="000000"/>
                <w:lang w:eastAsia="en-US"/>
              </w:rPr>
              <w:t>= 12).</w:t>
            </w:r>
          </w:p>
        </w:tc>
      </w:tr>
      <w:tr w:rsidR="00D07D85" w:rsidRPr="00D07D85" w14:paraId="23A3B052" w14:textId="77777777" w:rsidTr="00514A48">
        <w:trPr>
          <w:trHeight w:val="474"/>
        </w:trPr>
        <w:tc>
          <w:tcPr>
            <w:tcW w:w="3171" w:type="dxa"/>
            <w:tcBorders>
              <w:top w:val="nil"/>
              <w:left w:val="nil"/>
              <w:bottom w:val="single" w:sz="4" w:space="0" w:color="auto"/>
              <w:right w:val="nil"/>
            </w:tcBorders>
            <w:noWrap/>
            <w:vAlign w:val="center"/>
            <w:hideMark/>
          </w:tcPr>
          <w:p w14:paraId="1C14A93C" w14:textId="77777777" w:rsidR="00D07D85" w:rsidRPr="00D07D85" w:rsidRDefault="00D07D85" w:rsidP="00D07D85">
            <w:pPr>
              <w:spacing w:after="0" w:line="240" w:lineRule="auto"/>
              <w:rPr>
                <w:color w:val="000000"/>
                <w:lang w:eastAsia="en-US"/>
              </w:rPr>
            </w:pPr>
            <w:r w:rsidRPr="00D07D85">
              <w:rPr>
                <w:color w:val="000000"/>
                <w:lang w:eastAsia="en-US"/>
              </w:rPr>
              <w:t>Parameter</w:t>
            </w:r>
          </w:p>
        </w:tc>
        <w:tc>
          <w:tcPr>
            <w:tcW w:w="1635" w:type="dxa"/>
            <w:tcBorders>
              <w:top w:val="nil"/>
              <w:left w:val="nil"/>
              <w:bottom w:val="single" w:sz="4" w:space="0" w:color="auto"/>
              <w:right w:val="nil"/>
            </w:tcBorders>
            <w:noWrap/>
            <w:vAlign w:val="center"/>
            <w:hideMark/>
          </w:tcPr>
          <w:p w14:paraId="5FAD1CDD" w14:textId="77777777" w:rsidR="00D07D85" w:rsidRPr="00D07D85" w:rsidRDefault="00D07D85" w:rsidP="00D07D85">
            <w:pPr>
              <w:spacing w:after="0" w:line="240" w:lineRule="auto"/>
              <w:jc w:val="center"/>
              <w:rPr>
                <w:color w:val="000000"/>
                <w:lang w:eastAsia="en-US"/>
              </w:rPr>
            </w:pPr>
            <w:r w:rsidRPr="00D07D85">
              <w:rPr>
                <w:color w:val="000000"/>
                <w:lang w:eastAsia="en-US"/>
              </w:rPr>
              <w:t>CON BL</w:t>
            </w:r>
          </w:p>
        </w:tc>
        <w:tc>
          <w:tcPr>
            <w:tcW w:w="1635" w:type="dxa"/>
            <w:tcBorders>
              <w:top w:val="nil"/>
              <w:left w:val="nil"/>
              <w:bottom w:val="single" w:sz="4" w:space="0" w:color="auto"/>
              <w:right w:val="nil"/>
            </w:tcBorders>
            <w:noWrap/>
            <w:vAlign w:val="center"/>
            <w:hideMark/>
          </w:tcPr>
          <w:p w14:paraId="0F3941B9" w14:textId="77777777" w:rsidR="00D07D85" w:rsidRPr="00D07D85" w:rsidRDefault="00D07D85" w:rsidP="00D07D85">
            <w:pPr>
              <w:spacing w:after="0" w:line="240" w:lineRule="auto"/>
              <w:jc w:val="center"/>
              <w:rPr>
                <w:color w:val="000000"/>
                <w:lang w:eastAsia="en-US"/>
              </w:rPr>
            </w:pPr>
            <w:r w:rsidRPr="00D07D85">
              <w:rPr>
                <w:color w:val="000000"/>
                <w:lang w:eastAsia="en-US"/>
              </w:rPr>
              <w:t>CON Post</w:t>
            </w:r>
          </w:p>
        </w:tc>
        <w:tc>
          <w:tcPr>
            <w:tcW w:w="1635" w:type="dxa"/>
            <w:tcBorders>
              <w:top w:val="nil"/>
              <w:left w:val="nil"/>
              <w:bottom w:val="single" w:sz="4" w:space="0" w:color="auto"/>
              <w:right w:val="nil"/>
            </w:tcBorders>
            <w:noWrap/>
            <w:vAlign w:val="center"/>
            <w:hideMark/>
          </w:tcPr>
          <w:p w14:paraId="229B1E37" w14:textId="77777777" w:rsidR="00D07D85" w:rsidRPr="00D07D85" w:rsidRDefault="00D07D85" w:rsidP="00D07D85">
            <w:pPr>
              <w:spacing w:after="0" w:line="240" w:lineRule="auto"/>
              <w:jc w:val="center"/>
              <w:rPr>
                <w:color w:val="000000"/>
                <w:lang w:eastAsia="en-US"/>
              </w:rPr>
            </w:pPr>
            <w:r w:rsidRPr="00D07D85">
              <w:rPr>
                <w:color w:val="000000"/>
                <w:lang w:eastAsia="en-US"/>
              </w:rPr>
              <w:t>HWI BL</w:t>
            </w:r>
          </w:p>
        </w:tc>
        <w:tc>
          <w:tcPr>
            <w:tcW w:w="1638" w:type="dxa"/>
            <w:tcBorders>
              <w:top w:val="nil"/>
              <w:left w:val="nil"/>
              <w:bottom w:val="single" w:sz="4" w:space="0" w:color="auto"/>
              <w:right w:val="nil"/>
            </w:tcBorders>
            <w:noWrap/>
            <w:vAlign w:val="center"/>
            <w:hideMark/>
          </w:tcPr>
          <w:p w14:paraId="33E2ECD0" w14:textId="77777777" w:rsidR="00D07D85" w:rsidRPr="00D07D85" w:rsidRDefault="00D07D85" w:rsidP="00D07D85">
            <w:pPr>
              <w:spacing w:after="0" w:line="240" w:lineRule="auto"/>
              <w:jc w:val="center"/>
              <w:rPr>
                <w:color w:val="000000"/>
                <w:lang w:eastAsia="en-US"/>
              </w:rPr>
            </w:pPr>
            <w:r w:rsidRPr="00D07D85">
              <w:rPr>
                <w:color w:val="000000"/>
                <w:lang w:eastAsia="en-US"/>
              </w:rPr>
              <w:t>HWI Post</w:t>
            </w:r>
          </w:p>
        </w:tc>
      </w:tr>
      <w:tr w:rsidR="00D07D85" w:rsidRPr="00D07D85" w14:paraId="23FC7817" w14:textId="77777777" w:rsidTr="00514A48">
        <w:trPr>
          <w:trHeight w:val="474"/>
        </w:trPr>
        <w:tc>
          <w:tcPr>
            <w:tcW w:w="3171" w:type="dxa"/>
            <w:tcBorders>
              <w:top w:val="nil"/>
              <w:left w:val="nil"/>
              <w:bottom w:val="nil"/>
              <w:right w:val="nil"/>
            </w:tcBorders>
            <w:noWrap/>
            <w:vAlign w:val="bottom"/>
            <w:hideMark/>
          </w:tcPr>
          <w:p w14:paraId="59AFFB93" w14:textId="77777777" w:rsidR="00D07D85" w:rsidRPr="00D07D85" w:rsidRDefault="00D07D85" w:rsidP="00D07D85">
            <w:pPr>
              <w:spacing w:after="0" w:line="240" w:lineRule="auto"/>
              <w:rPr>
                <w:color w:val="000000"/>
                <w:lang w:eastAsia="en-US"/>
              </w:rPr>
            </w:pPr>
            <w:r w:rsidRPr="00D07D85">
              <w:rPr>
                <w:color w:val="000000"/>
                <w:lang w:eastAsia="en-US"/>
              </w:rPr>
              <w:t>Total score</w:t>
            </w:r>
          </w:p>
        </w:tc>
        <w:tc>
          <w:tcPr>
            <w:tcW w:w="1635" w:type="dxa"/>
            <w:tcBorders>
              <w:top w:val="nil"/>
              <w:left w:val="nil"/>
              <w:bottom w:val="nil"/>
              <w:right w:val="nil"/>
            </w:tcBorders>
            <w:noWrap/>
            <w:vAlign w:val="bottom"/>
            <w:hideMark/>
          </w:tcPr>
          <w:p w14:paraId="4F5322AC" w14:textId="77777777" w:rsidR="00D07D85" w:rsidRPr="00D07D85" w:rsidRDefault="00D07D85" w:rsidP="00D07D85">
            <w:pPr>
              <w:spacing w:after="0" w:line="240" w:lineRule="auto"/>
              <w:jc w:val="center"/>
              <w:rPr>
                <w:color w:val="000000"/>
                <w:lang w:eastAsia="en-US"/>
              </w:rPr>
            </w:pPr>
            <w:r w:rsidRPr="00D07D85">
              <w:rPr>
                <w:color w:val="000000"/>
                <w:lang w:eastAsia="en-US"/>
              </w:rPr>
              <w:t>10.8 ± 1.2</w:t>
            </w:r>
          </w:p>
        </w:tc>
        <w:tc>
          <w:tcPr>
            <w:tcW w:w="1635" w:type="dxa"/>
            <w:tcBorders>
              <w:top w:val="nil"/>
              <w:left w:val="nil"/>
              <w:bottom w:val="nil"/>
              <w:right w:val="nil"/>
            </w:tcBorders>
            <w:noWrap/>
            <w:vAlign w:val="bottom"/>
            <w:hideMark/>
          </w:tcPr>
          <w:p w14:paraId="43660C62" w14:textId="77777777" w:rsidR="00D07D85" w:rsidRPr="00D07D85" w:rsidRDefault="00D07D85" w:rsidP="00D07D85">
            <w:pPr>
              <w:spacing w:after="0" w:line="240" w:lineRule="auto"/>
              <w:jc w:val="center"/>
              <w:rPr>
                <w:color w:val="000000"/>
                <w:lang w:eastAsia="en-US"/>
              </w:rPr>
            </w:pPr>
            <w:r w:rsidRPr="00D07D85">
              <w:rPr>
                <w:color w:val="000000"/>
                <w:lang w:eastAsia="en-US"/>
              </w:rPr>
              <w:t>10.8 ± 1.5</w:t>
            </w:r>
          </w:p>
        </w:tc>
        <w:tc>
          <w:tcPr>
            <w:tcW w:w="1635" w:type="dxa"/>
            <w:tcBorders>
              <w:top w:val="nil"/>
              <w:left w:val="nil"/>
              <w:bottom w:val="nil"/>
              <w:right w:val="nil"/>
            </w:tcBorders>
            <w:noWrap/>
            <w:vAlign w:val="bottom"/>
            <w:hideMark/>
          </w:tcPr>
          <w:p w14:paraId="3CF5D4A8" w14:textId="77777777" w:rsidR="00D07D85" w:rsidRPr="00D07D85" w:rsidRDefault="00D07D85" w:rsidP="00D07D85">
            <w:pPr>
              <w:spacing w:after="0" w:line="240" w:lineRule="auto"/>
              <w:jc w:val="center"/>
              <w:rPr>
                <w:color w:val="000000"/>
                <w:lang w:eastAsia="en-US"/>
              </w:rPr>
            </w:pPr>
            <w:r w:rsidRPr="00D07D85">
              <w:rPr>
                <w:color w:val="000000"/>
                <w:lang w:eastAsia="en-US"/>
              </w:rPr>
              <w:t>10.8 ± 1.2</w:t>
            </w:r>
          </w:p>
        </w:tc>
        <w:tc>
          <w:tcPr>
            <w:tcW w:w="1638" w:type="dxa"/>
            <w:tcBorders>
              <w:top w:val="nil"/>
              <w:left w:val="nil"/>
              <w:bottom w:val="nil"/>
              <w:right w:val="nil"/>
            </w:tcBorders>
            <w:noWrap/>
            <w:vAlign w:val="bottom"/>
            <w:hideMark/>
          </w:tcPr>
          <w:p w14:paraId="3DEC0EB1" w14:textId="77777777" w:rsidR="00D07D85" w:rsidRPr="00D07D85" w:rsidRDefault="00D07D85" w:rsidP="00D07D85">
            <w:pPr>
              <w:spacing w:after="0" w:line="240" w:lineRule="auto"/>
              <w:jc w:val="center"/>
              <w:rPr>
                <w:color w:val="000000"/>
                <w:lang w:eastAsia="en-US"/>
              </w:rPr>
            </w:pPr>
            <w:r w:rsidRPr="00D07D85">
              <w:rPr>
                <w:color w:val="000000"/>
                <w:lang w:eastAsia="en-US"/>
              </w:rPr>
              <w:t>11.4 ± 0.9</w:t>
            </w:r>
          </w:p>
        </w:tc>
      </w:tr>
      <w:tr w:rsidR="00D07D85" w:rsidRPr="00D07D85" w14:paraId="604755C7" w14:textId="77777777" w:rsidTr="00514A48">
        <w:trPr>
          <w:trHeight w:val="474"/>
        </w:trPr>
        <w:tc>
          <w:tcPr>
            <w:tcW w:w="3171" w:type="dxa"/>
            <w:tcBorders>
              <w:top w:val="nil"/>
              <w:left w:val="nil"/>
              <w:bottom w:val="nil"/>
              <w:right w:val="nil"/>
            </w:tcBorders>
            <w:noWrap/>
            <w:vAlign w:val="bottom"/>
            <w:hideMark/>
          </w:tcPr>
          <w:p w14:paraId="2797D164" w14:textId="66B57B84" w:rsidR="00D07D85" w:rsidRPr="00D07D85" w:rsidRDefault="00D07D85" w:rsidP="00D07D85">
            <w:pPr>
              <w:spacing w:after="0" w:line="240" w:lineRule="auto"/>
              <w:rPr>
                <w:color w:val="000000"/>
                <w:lang w:eastAsia="en-US"/>
              </w:rPr>
            </w:pPr>
            <w:r w:rsidRPr="00D07D85">
              <w:rPr>
                <w:color w:val="000000"/>
                <w:lang w:eastAsia="en-US"/>
              </w:rPr>
              <w:t xml:space="preserve">     Balance</w:t>
            </w:r>
            <w:r w:rsidR="00074175">
              <w:rPr>
                <w:color w:val="000000"/>
                <w:lang w:eastAsia="en-US"/>
              </w:rPr>
              <w:t xml:space="preserve"> (score)</w:t>
            </w:r>
          </w:p>
        </w:tc>
        <w:tc>
          <w:tcPr>
            <w:tcW w:w="1635" w:type="dxa"/>
            <w:tcBorders>
              <w:top w:val="nil"/>
              <w:left w:val="nil"/>
              <w:bottom w:val="nil"/>
              <w:right w:val="nil"/>
            </w:tcBorders>
            <w:noWrap/>
            <w:vAlign w:val="bottom"/>
            <w:hideMark/>
          </w:tcPr>
          <w:p w14:paraId="0648A44D" w14:textId="77777777" w:rsidR="00D07D85" w:rsidRPr="00D07D85" w:rsidRDefault="00D07D85" w:rsidP="00D07D85">
            <w:pPr>
              <w:spacing w:after="0" w:line="240" w:lineRule="auto"/>
              <w:jc w:val="center"/>
              <w:rPr>
                <w:color w:val="000000"/>
                <w:lang w:eastAsia="en-US"/>
              </w:rPr>
            </w:pPr>
            <w:r w:rsidRPr="00D07D85">
              <w:rPr>
                <w:color w:val="000000"/>
                <w:lang w:eastAsia="en-US"/>
              </w:rPr>
              <w:t>3.8 ± 0.6</w:t>
            </w:r>
          </w:p>
        </w:tc>
        <w:tc>
          <w:tcPr>
            <w:tcW w:w="1635" w:type="dxa"/>
            <w:tcBorders>
              <w:top w:val="nil"/>
              <w:left w:val="nil"/>
              <w:bottom w:val="nil"/>
              <w:right w:val="nil"/>
            </w:tcBorders>
            <w:noWrap/>
            <w:vAlign w:val="bottom"/>
            <w:hideMark/>
          </w:tcPr>
          <w:p w14:paraId="2BD3CF94" w14:textId="77777777" w:rsidR="00D07D85" w:rsidRPr="00D07D85" w:rsidRDefault="00D07D85" w:rsidP="00D07D85">
            <w:pPr>
              <w:spacing w:after="0" w:line="240" w:lineRule="auto"/>
              <w:jc w:val="center"/>
              <w:rPr>
                <w:color w:val="000000"/>
                <w:lang w:eastAsia="en-US"/>
              </w:rPr>
            </w:pPr>
            <w:r w:rsidRPr="00D07D85">
              <w:rPr>
                <w:color w:val="000000"/>
                <w:lang w:eastAsia="en-US"/>
              </w:rPr>
              <w:t>3.6 ± 0.8</w:t>
            </w:r>
          </w:p>
        </w:tc>
        <w:tc>
          <w:tcPr>
            <w:tcW w:w="1635" w:type="dxa"/>
            <w:tcBorders>
              <w:top w:val="nil"/>
              <w:left w:val="nil"/>
              <w:bottom w:val="nil"/>
              <w:right w:val="nil"/>
            </w:tcBorders>
            <w:noWrap/>
            <w:vAlign w:val="bottom"/>
            <w:hideMark/>
          </w:tcPr>
          <w:p w14:paraId="77CF1DAE" w14:textId="77777777" w:rsidR="00D07D85" w:rsidRPr="00D07D85" w:rsidRDefault="00D07D85" w:rsidP="00D07D85">
            <w:pPr>
              <w:spacing w:after="0" w:line="240" w:lineRule="auto"/>
              <w:jc w:val="center"/>
              <w:rPr>
                <w:color w:val="000000"/>
                <w:lang w:eastAsia="en-US"/>
              </w:rPr>
            </w:pPr>
            <w:r w:rsidRPr="00D07D85">
              <w:rPr>
                <w:color w:val="000000"/>
                <w:lang w:eastAsia="en-US"/>
              </w:rPr>
              <w:t>3.7 ± 0.7</w:t>
            </w:r>
          </w:p>
        </w:tc>
        <w:tc>
          <w:tcPr>
            <w:tcW w:w="1638" w:type="dxa"/>
            <w:tcBorders>
              <w:top w:val="nil"/>
              <w:left w:val="nil"/>
              <w:bottom w:val="nil"/>
              <w:right w:val="nil"/>
            </w:tcBorders>
            <w:noWrap/>
            <w:vAlign w:val="bottom"/>
            <w:hideMark/>
          </w:tcPr>
          <w:p w14:paraId="5FB28FE6" w14:textId="77777777" w:rsidR="00D07D85" w:rsidRPr="00D07D85" w:rsidRDefault="00D07D85" w:rsidP="00D07D85">
            <w:pPr>
              <w:spacing w:after="0" w:line="240" w:lineRule="auto"/>
              <w:jc w:val="center"/>
              <w:rPr>
                <w:color w:val="000000"/>
                <w:lang w:eastAsia="en-US"/>
              </w:rPr>
            </w:pPr>
            <w:r w:rsidRPr="00D07D85">
              <w:rPr>
                <w:color w:val="000000"/>
                <w:lang w:eastAsia="en-US"/>
              </w:rPr>
              <w:t>3.8 ± 0.6</w:t>
            </w:r>
          </w:p>
        </w:tc>
      </w:tr>
      <w:tr w:rsidR="00D07D85" w:rsidRPr="00D07D85" w14:paraId="09A4C9D1" w14:textId="77777777" w:rsidTr="00514A48">
        <w:trPr>
          <w:trHeight w:val="474"/>
        </w:trPr>
        <w:tc>
          <w:tcPr>
            <w:tcW w:w="3171" w:type="dxa"/>
            <w:tcBorders>
              <w:top w:val="nil"/>
              <w:left w:val="nil"/>
              <w:bottom w:val="nil"/>
              <w:right w:val="nil"/>
            </w:tcBorders>
            <w:noWrap/>
            <w:vAlign w:val="bottom"/>
            <w:hideMark/>
          </w:tcPr>
          <w:p w14:paraId="2BB28A5C" w14:textId="37A8A3B1" w:rsidR="00D07D85" w:rsidRPr="00D07D85" w:rsidRDefault="00D07D85" w:rsidP="00D07D85">
            <w:pPr>
              <w:spacing w:after="0" w:line="240" w:lineRule="auto"/>
              <w:rPr>
                <w:color w:val="000000"/>
                <w:lang w:eastAsia="en-US"/>
              </w:rPr>
            </w:pPr>
            <w:r w:rsidRPr="00D07D85">
              <w:rPr>
                <w:color w:val="000000"/>
                <w:lang w:eastAsia="en-US"/>
              </w:rPr>
              <w:t xml:space="preserve">     </w:t>
            </w:r>
            <w:r w:rsidR="00B95504" w:rsidRPr="00D07D85">
              <w:rPr>
                <w:color w:val="000000"/>
                <w:lang w:eastAsia="en-US"/>
              </w:rPr>
              <w:t>Four-meter</w:t>
            </w:r>
            <w:r w:rsidRPr="00D07D85">
              <w:rPr>
                <w:color w:val="000000"/>
                <w:lang w:eastAsia="en-US"/>
              </w:rPr>
              <w:t xml:space="preserve"> walk</w:t>
            </w:r>
            <w:r w:rsidR="00074175">
              <w:rPr>
                <w:color w:val="000000"/>
                <w:lang w:eastAsia="en-US"/>
              </w:rPr>
              <w:t xml:space="preserve"> (score)</w:t>
            </w:r>
          </w:p>
        </w:tc>
        <w:tc>
          <w:tcPr>
            <w:tcW w:w="1635" w:type="dxa"/>
            <w:tcBorders>
              <w:top w:val="nil"/>
              <w:left w:val="nil"/>
              <w:bottom w:val="nil"/>
              <w:right w:val="nil"/>
            </w:tcBorders>
            <w:noWrap/>
            <w:vAlign w:val="bottom"/>
            <w:hideMark/>
          </w:tcPr>
          <w:p w14:paraId="7B72C7CE" w14:textId="77777777" w:rsidR="00D07D85" w:rsidRPr="00D07D85" w:rsidRDefault="00D07D85" w:rsidP="00D07D85">
            <w:pPr>
              <w:spacing w:after="0" w:line="240" w:lineRule="auto"/>
              <w:jc w:val="center"/>
              <w:rPr>
                <w:color w:val="000000"/>
                <w:lang w:eastAsia="en-US"/>
              </w:rPr>
            </w:pPr>
            <w:r w:rsidRPr="00D07D85">
              <w:rPr>
                <w:color w:val="000000"/>
                <w:lang w:eastAsia="en-US"/>
              </w:rPr>
              <w:t>3.8 ± 0.4</w:t>
            </w:r>
          </w:p>
        </w:tc>
        <w:tc>
          <w:tcPr>
            <w:tcW w:w="1635" w:type="dxa"/>
            <w:tcBorders>
              <w:top w:val="nil"/>
              <w:left w:val="nil"/>
              <w:bottom w:val="nil"/>
              <w:right w:val="nil"/>
            </w:tcBorders>
            <w:noWrap/>
            <w:vAlign w:val="bottom"/>
            <w:hideMark/>
          </w:tcPr>
          <w:p w14:paraId="7D68289C" w14:textId="77777777" w:rsidR="00D07D85" w:rsidRPr="00D07D85" w:rsidRDefault="00D07D85" w:rsidP="00D07D85">
            <w:pPr>
              <w:spacing w:after="0" w:line="240" w:lineRule="auto"/>
              <w:jc w:val="center"/>
              <w:rPr>
                <w:color w:val="000000"/>
                <w:lang w:eastAsia="en-US"/>
              </w:rPr>
            </w:pPr>
            <w:r w:rsidRPr="00D07D85">
              <w:rPr>
                <w:color w:val="000000"/>
                <w:lang w:eastAsia="en-US"/>
              </w:rPr>
              <w:t>3.8 ± 0.6</w:t>
            </w:r>
          </w:p>
        </w:tc>
        <w:tc>
          <w:tcPr>
            <w:tcW w:w="1635" w:type="dxa"/>
            <w:tcBorders>
              <w:top w:val="nil"/>
              <w:left w:val="nil"/>
              <w:bottom w:val="nil"/>
              <w:right w:val="nil"/>
            </w:tcBorders>
            <w:noWrap/>
            <w:vAlign w:val="bottom"/>
            <w:hideMark/>
          </w:tcPr>
          <w:p w14:paraId="1FEAF5C4" w14:textId="77777777" w:rsidR="00D07D85" w:rsidRPr="00D07D85" w:rsidRDefault="00D07D85" w:rsidP="00D07D85">
            <w:pPr>
              <w:spacing w:after="0" w:line="240" w:lineRule="auto"/>
              <w:jc w:val="center"/>
              <w:rPr>
                <w:color w:val="000000"/>
                <w:lang w:eastAsia="en-US"/>
              </w:rPr>
            </w:pPr>
            <w:r w:rsidRPr="00D07D85">
              <w:rPr>
                <w:color w:val="000000"/>
                <w:lang w:eastAsia="en-US"/>
              </w:rPr>
              <w:t>3.9 ± 0.3</w:t>
            </w:r>
          </w:p>
        </w:tc>
        <w:tc>
          <w:tcPr>
            <w:tcW w:w="1638" w:type="dxa"/>
            <w:tcBorders>
              <w:top w:val="nil"/>
              <w:left w:val="nil"/>
              <w:bottom w:val="nil"/>
              <w:right w:val="nil"/>
            </w:tcBorders>
            <w:noWrap/>
            <w:vAlign w:val="bottom"/>
            <w:hideMark/>
          </w:tcPr>
          <w:p w14:paraId="13E314E1" w14:textId="77777777" w:rsidR="00D07D85" w:rsidRPr="00D07D85" w:rsidRDefault="00D07D85" w:rsidP="00D07D85">
            <w:pPr>
              <w:spacing w:after="0" w:line="240" w:lineRule="auto"/>
              <w:jc w:val="center"/>
              <w:rPr>
                <w:color w:val="000000"/>
                <w:lang w:eastAsia="en-US"/>
              </w:rPr>
            </w:pPr>
            <w:r w:rsidRPr="00D07D85">
              <w:rPr>
                <w:color w:val="000000"/>
                <w:lang w:eastAsia="en-US"/>
              </w:rPr>
              <w:t>3.9 ± 0.3</w:t>
            </w:r>
          </w:p>
        </w:tc>
      </w:tr>
      <w:tr w:rsidR="00D07D85" w:rsidRPr="00D07D85" w14:paraId="749E4B72" w14:textId="77777777" w:rsidTr="00514A48">
        <w:trPr>
          <w:trHeight w:val="474"/>
        </w:trPr>
        <w:tc>
          <w:tcPr>
            <w:tcW w:w="3171" w:type="dxa"/>
            <w:tcBorders>
              <w:top w:val="nil"/>
              <w:left w:val="nil"/>
              <w:bottom w:val="nil"/>
              <w:right w:val="nil"/>
            </w:tcBorders>
            <w:noWrap/>
            <w:vAlign w:val="bottom"/>
            <w:hideMark/>
          </w:tcPr>
          <w:p w14:paraId="11DF14BF" w14:textId="3C20A9C7" w:rsidR="00D07D85" w:rsidRPr="00D07D85" w:rsidRDefault="00D07D85" w:rsidP="00D07D85">
            <w:pPr>
              <w:spacing w:after="0" w:line="240" w:lineRule="auto"/>
              <w:rPr>
                <w:color w:val="000000"/>
                <w:lang w:eastAsia="en-US"/>
              </w:rPr>
            </w:pPr>
            <w:r w:rsidRPr="00D07D85">
              <w:rPr>
                <w:color w:val="000000"/>
                <w:lang w:eastAsia="en-US"/>
              </w:rPr>
              <w:t xml:space="preserve">     Sit to stand</w:t>
            </w:r>
            <w:r w:rsidR="00074175">
              <w:rPr>
                <w:color w:val="000000"/>
                <w:lang w:eastAsia="en-US"/>
              </w:rPr>
              <w:t xml:space="preserve"> (score)</w:t>
            </w:r>
          </w:p>
        </w:tc>
        <w:tc>
          <w:tcPr>
            <w:tcW w:w="1635" w:type="dxa"/>
            <w:tcBorders>
              <w:top w:val="nil"/>
              <w:left w:val="nil"/>
              <w:bottom w:val="nil"/>
              <w:right w:val="nil"/>
            </w:tcBorders>
            <w:noWrap/>
            <w:vAlign w:val="bottom"/>
            <w:hideMark/>
          </w:tcPr>
          <w:p w14:paraId="362B913E" w14:textId="77777777" w:rsidR="00D07D85" w:rsidRPr="00D07D85" w:rsidRDefault="00D07D85" w:rsidP="00D07D85">
            <w:pPr>
              <w:spacing w:after="0" w:line="240" w:lineRule="auto"/>
              <w:jc w:val="center"/>
              <w:rPr>
                <w:color w:val="000000"/>
                <w:lang w:eastAsia="en-US"/>
              </w:rPr>
            </w:pPr>
            <w:r w:rsidRPr="00D07D85">
              <w:rPr>
                <w:color w:val="000000"/>
                <w:lang w:eastAsia="en-US"/>
              </w:rPr>
              <w:t>3.2 ± 0.8</w:t>
            </w:r>
          </w:p>
        </w:tc>
        <w:tc>
          <w:tcPr>
            <w:tcW w:w="1635" w:type="dxa"/>
            <w:tcBorders>
              <w:top w:val="nil"/>
              <w:left w:val="nil"/>
              <w:bottom w:val="nil"/>
              <w:right w:val="nil"/>
            </w:tcBorders>
            <w:noWrap/>
            <w:vAlign w:val="bottom"/>
            <w:hideMark/>
          </w:tcPr>
          <w:p w14:paraId="406FD7A8" w14:textId="77777777" w:rsidR="00D07D85" w:rsidRPr="00D07D85" w:rsidRDefault="00D07D85" w:rsidP="00D07D85">
            <w:pPr>
              <w:spacing w:after="0" w:line="240" w:lineRule="auto"/>
              <w:jc w:val="center"/>
              <w:rPr>
                <w:color w:val="000000"/>
                <w:lang w:eastAsia="en-US"/>
              </w:rPr>
            </w:pPr>
            <w:r w:rsidRPr="00D07D85">
              <w:rPr>
                <w:color w:val="000000"/>
                <w:lang w:eastAsia="en-US"/>
              </w:rPr>
              <w:t>3.4 ± 0.7</w:t>
            </w:r>
          </w:p>
        </w:tc>
        <w:tc>
          <w:tcPr>
            <w:tcW w:w="1635" w:type="dxa"/>
            <w:tcBorders>
              <w:top w:val="nil"/>
              <w:left w:val="nil"/>
              <w:bottom w:val="nil"/>
              <w:right w:val="nil"/>
            </w:tcBorders>
            <w:noWrap/>
            <w:vAlign w:val="bottom"/>
            <w:hideMark/>
          </w:tcPr>
          <w:p w14:paraId="1DB12399" w14:textId="77777777" w:rsidR="00D07D85" w:rsidRPr="00D07D85" w:rsidRDefault="00D07D85" w:rsidP="00D07D85">
            <w:pPr>
              <w:spacing w:after="0" w:line="240" w:lineRule="auto"/>
              <w:jc w:val="center"/>
              <w:rPr>
                <w:color w:val="000000"/>
                <w:lang w:eastAsia="en-US"/>
              </w:rPr>
            </w:pPr>
            <w:r w:rsidRPr="00D07D85">
              <w:rPr>
                <w:color w:val="000000"/>
                <w:lang w:eastAsia="en-US"/>
              </w:rPr>
              <w:t>3.2 ± 1.0</w:t>
            </w:r>
          </w:p>
        </w:tc>
        <w:tc>
          <w:tcPr>
            <w:tcW w:w="1638" w:type="dxa"/>
            <w:tcBorders>
              <w:top w:val="nil"/>
              <w:left w:val="nil"/>
              <w:bottom w:val="nil"/>
              <w:right w:val="nil"/>
            </w:tcBorders>
            <w:noWrap/>
            <w:vAlign w:val="bottom"/>
            <w:hideMark/>
          </w:tcPr>
          <w:p w14:paraId="2FAF56B6" w14:textId="77777777" w:rsidR="00D07D85" w:rsidRPr="00D07D85" w:rsidRDefault="00D07D85" w:rsidP="00D07D85">
            <w:pPr>
              <w:spacing w:after="0" w:line="240" w:lineRule="auto"/>
              <w:jc w:val="center"/>
              <w:rPr>
                <w:color w:val="000000"/>
                <w:lang w:eastAsia="en-US"/>
              </w:rPr>
            </w:pPr>
            <w:r w:rsidRPr="00D07D85">
              <w:rPr>
                <w:color w:val="000000"/>
                <w:lang w:eastAsia="en-US"/>
              </w:rPr>
              <w:t>3.7 ± 0.5</w:t>
            </w:r>
          </w:p>
        </w:tc>
      </w:tr>
      <w:tr w:rsidR="00D07D85" w:rsidRPr="00D07D85" w14:paraId="10D20698" w14:textId="77777777" w:rsidTr="00514A48">
        <w:trPr>
          <w:trHeight w:val="474"/>
        </w:trPr>
        <w:tc>
          <w:tcPr>
            <w:tcW w:w="3171" w:type="dxa"/>
            <w:tcBorders>
              <w:top w:val="nil"/>
              <w:left w:val="nil"/>
              <w:bottom w:val="nil"/>
              <w:right w:val="nil"/>
            </w:tcBorders>
            <w:noWrap/>
            <w:vAlign w:val="bottom"/>
            <w:hideMark/>
          </w:tcPr>
          <w:p w14:paraId="77C1519E" w14:textId="77777777" w:rsidR="00D07D85" w:rsidRPr="00D07D85" w:rsidRDefault="00D07D85" w:rsidP="00D07D85">
            <w:pPr>
              <w:spacing w:after="0" w:line="240" w:lineRule="auto"/>
              <w:jc w:val="center"/>
              <w:rPr>
                <w:color w:val="000000"/>
                <w:lang w:eastAsia="en-US"/>
              </w:rPr>
            </w:pPr>
          </w:p>
        </w:tc>
        <w:tc>
          <w:tcPr>
            <w:tcW w:w="1635" w:type="dxa"/>
            <w:tcBorders>
              <w:top w:val="nil"/>
              <w:left w:val="nil"/>
              <w:bottom w:val="nil"/>
              <w:right w:val="nil"/>
            </w:tcBorders>
            <w:noWrap/>
            <w:vAlign w:val="bottom"/>
            <w:hideMark/>
          </w:tcPr>
          <w:p w14:paraId="4E650851" w14:textId="77777777" w:rsidR="00D07D85" w:rsidRPr="00D07D85" w:rsidRDefault="00D07D85" w:rsidP="00D07D85">
            <w:pPr>
              <w:spacing w:after="0" w:line="240" w:lineRule="auto"/>
              <w:rPr>
                <w:sz w:val="20"/>
                <w:szCs w:val="20"/>
                <w:lang w:eastAsia="en-US"/>
              </w:rPr>
            </w:pPr>
          </w:p>
        </w:tc>
        <w:tc>
          <w:tcPr>
            <w:tcW w:w="1635" w:type="dxa"/>
            <w:tcBorders>
              <w:top w:val="nil"/>
              <w:left w:val="nil"/>
              <w:bottom w:val="nil"/>
              <w:right w:val="nil"/>
            </w:tcBorders>
            <w:noWrap/>
            <w:vAlign w:val="bottom"/>
            <w:hideMark/>
          </w:tcPr>
          <w:p w14:paraId="14FCF740" w14:textId="77777777" w:rsidR="00D07D85" w:rsidRPr="00D07D85" w:rsidRDefault="00D07D85" w:rsidP="00D07D85">
            <w:pPr>
              <w:spacing w:after="0" w:line="240" w:lineRule="auto"/>
              <w:jc w:val="center"/>
              <w:rPr>
                <w:sz w:val="20"/>
                <w:szCs w:val="20"/>
                <w:lang w:eastAsia="en-US"/>
              </w:rPr>
            </w:pPr>
          </w:p>
        </w:tc>
        <w:tc>
          <w:tcPr>
            <w:tcW w:w="1635" w:type="dxa"/>
            <w:tcBorders>
              <w:top w:val="nil"/>
              <w:left w:val="nil"/>
              <w:bottom w:val="nil"/>
              <w:right w:val="nil"/>
            </w:tcBorders>
            <w:noWrap/>
            <w:vAlign w:val="bottom"/>
            <w:hideMark/>
          </w:tcPr>
          <w:p w14:paraId="47A61456" w14:textId="77777777" w:rsidR="00D07D85" w:rsidRPr="00D07D85" w:rsidRDefault="00D07D85" w:rsidP="00D07D85">
            <w:pPr>
              <w:spacing w:after="0" w:line="240" w:lineRule="auto"/>
              <w:jc w:val="center"/>
              <w:rPr>
                <w:sz w:val="20"/>
                <w:szCs w:val="20"/>
                <w:lang w:eastAsia="en-US"/>
              </w:rPr>
            </w:pPr>
          </w:p>
        </w:tc>
        <w:tc>
          <w:tcPr>
            <w:tcW w:w="1638" w:type="dxa"/>
            <w:tcBorders>
              <w:top w:val="nil"/>
              <w:left w:val="nil"/>
              <w:bottom w:val="nil"/>
              <w:right w:val="nil"/>
            </w:tcBorders>
            <w:noWrap/>
            <w:vAlign w:val="bottom"/>
            <w:hideMark/>
          </w:tcPr>
          <w:p w14:paraId="49670906" w14:textId="77777777" w:rsidR="00D07D85" w:rsidRPr="00D07D85" w:rsidRDefault="00D07D85" w:rsidP="00D07D85">
            <w:pPr>
              <w:spacing w:after="0" w:line="240" w:lineRule="auto"/>
              <w:jc w:val="center"/>
              <w:rPr>
                <w:sz w:val="20"/>
                <w:szCs w:val="20"/>
                <w:lang w:eastAsia="en-US"/>
              </w:rPr>
            </w:pPr>
          </w:p>
        </w:tc>
      </w:tr>
      <w:tr w:rsidR="00D07D85" w:rsidRPr="00D07D85" w14:paraId="12FCC2E0" w14:textId="77777777" w:rsidTr="00514A48">
        <w:trPr>
          <w:trHeight w:val="474"/>
        </w:trPr>
        <w:tc>
          <w:tcPr>
            <w:tcW w:w="3171" w:type="dxa"/>
            <w:tcBorders>
              <w:top w:val="nil"/>
              <w:left w:val="nil"/>
              <w:bottom w:val="nil"/>
              <w:right w:val="nil"/>
            </w:tcBorders>
            <w:noWrap/>
            <w:vAlign w:val="bottom"/>
            <w:hideMark/>
          </w:tcPr>
          <w:p w14:paraId="6453BFC5" w14:textId="77777777" w:rsidR="00D07D85" w:rsidRPr="00D07D85" w:rsidRDefault="00D07D85" w:rsidP="00D07D85">
            <w:pPr>
              <w:spacing w:after="0" w:line="240" w:lineRule="auto"/>
              <w:rPr>
                <w:color w:val="000000"/>
                <w:lang w:eastAsia="en-US"/>
              </w:rPr>
            </w:pPr>
            <w:r w:rsidRPr="00D07D85">
              <w:rPr>
                <w:color w:val="000000"/>
                <w:lang w:eastAsia="en-US"/>
              </w:rPr>
              <w:t>Tandem balance time (s)</w:t>
            </w:r>
          </w:p>
        </w:tc>
        <w:tc>
          <w:tcPr>
            <w:tcW w:w="1635" w:type="dxa"/>
            <w:tcBorders>
              <w:top w:val="nil"/>
              <w:left w:val="nil"/>
              <w:bottom w:val="nil"/>
              <w:right w:val="nil"/>
            </w:tcBorders>
            <w:noWrap/>
            <w:vAlign w:val="bottom"/>
            <w:hideMark/>
          </w:tcPr>
          <w:p w14:paraId="7BF0DE80" w14:textId="77777777" w:rsidR="00D07D85" w:rsidRPr="00D07D85" w:rsidRDefault="00D07D85" w:rsidP="00D07D85">
            <w:pPr>
              <w:spacing w:after="0" w:line="240" w:lineRule="auto"/>
              <w:jc w:val="center"/>
              <w:rPr>
                <w:color w:val="000000"/>
                <w:lang w:eastAsia="en-US"/>
              </w:rPr>
            </w:pPr>
            <w:r w:rsidRPr="00D07D85">
              <w:rPr>
                <w:color w:val="000000"/>
                <w:lang w:eastAsia="en-US"/>
              </w:rPr>
              <w:t>8.87 ± 2.98</w:t>
            </w:r>
          </w:p>
        </w:tc>
        <w:tc>
          <w:tcPr>
            <w:tcW w:w="1635" w:type="dxa"/>
            <w:tcBorders>
              <w:top w:val="nil"/>
              <w:left w:val="nil"/>
              <w:bottom w:val="nil"/>
              <w:right w:val="nil"/>
            </w:tcBorders>
            <w:noWrap/>
            <w:vAlign w:val="bottom"/>
            <w:hideMark/>
          </w:tcPr>
          <w:p w14:paraId="6294D0F4" w14:textId="77777777" w:rsidR="00D07D85" w:rsidRPr="00D07D85" w:rsidRDefault="00D07D85" w:rsidP="00D07D85">
            <w:pPr>
              <w:spacing w:after="0" w:line="240" w:lineRule="auto"/>
              <w:jc w:val="center"/>
              <w:rPr>
                <w:color w:val="000000"/>
                <w:lang w:eastAsia="en-US"/>
              </w:rPr>
            </w:pPr>
            <w:r w:rsidRPr="00D07D85">
              <w:rPr>
                <w:color w:val="000000"/>
                <w:lang w:eastAsia="en-US"/>
              </w:rPr>
              <w:t>7.94 ± 3.95</w:t>
            </w:r>
          </w:p>
        </w:tc>
        <w:tc>
          <w:tcPr>
            <w:tcW w:w="1635" w:type="dxa"/>
            <w:tcBorders>
              <w:top w:val="nil"/>
              <w:left w:val="nil"/>
              <w:bottom w:val="nil"/>
              <w:right w:val="nil"/>
            </w:tcBorders>
            <w:noWrap/>
            <w:vAlign w:val="bottom"/>
            <w:hideMark/>
          </w:tcPr>
          <w:p w14:paraId="0221159C" w14:textId="77777777" w:rsidR="00D07D85" w:rsidRPr="00D07D85" w:rsidRDefault="00D07D85" w:rsidP="00D07D85">
            <w:pPr>
              <w:spacing w:after="0" w:line="240" w:lineRule="auto"/>
              <w:jc w:val="center"/>
              <w:rPr>
                <w:color w:val="000000"/>
                <w:lang w:eastAsia="en-US"/>
              </w:rPr>
            </w:pPr>
            <w:r w:rsidRPr="00D07D85">
              <w:rPr>
                <w:color w:val="000000"/>
                <w:lang w:eastAsia="en-US"/>
              </w:rPr>
              <w:t>8.45 ± 3.24</w:t>
            </w:r>
          </w:p>
        </w:tc>
        <w:tc>
          <w:tcPr>
            <w:tcW w:w="1638" w:type="dxa"/>
            <w:tcBorders>
              <w:top w:val="nil"/>
              <w:left w:val="nil"/>
              <w:bottom w:val="nil"/>
              <w:right w:val="nil"/>
            </w:tcBorders>
            <w:noWrap/>
            <w:vAlign w:val="bottom"/>
            <w:hideMark/>
          </w:tcPr>
          <w:p w14:paraId="4A46A38A" w14:textId="77777777" w:rsidR="00D07D85" w:rsidRPr="00D07D85" w:rsidRDefault="00D07D85" w:rsidP="00D07D85">
            <w:pPr>
              <w:spacing w:after="0" w:line="240" w:lineRule="auto"/>
              <w:jc w:val="center"/>
              <w:rPr>
                <w:color w:val="000000"/>
                <w:lang w:eastAsia="en-US"/>
              </w:rPr>
            </w:pPr>
            <w:r w:rsidRPr="00D07D85">
              <w:rPr>
                <w:color w:val="000000"/>
                <w:lang w:eastAsia="en-US"/>
              </w:rPr>
              <w:t>9.17 ± 2.89</w:t>
            </w:r>
          </w:p>
        </w:tc>
      </w:tr>
      <w:tr w:rsidR="00514A48" w:rsidRPr="00D07D85" w14:paraId="57E242DF" w14:textId="77777777" w:rsidTr="00514A48">
        <w:trPr>
          <w:trHeight w:val="474"/>
        </w:trPr>
        <w:tc>
          <w:tcPr>
            <w:tcW w:w="3171" w:type="dxa"/>
            <w:tcBorders>
              <w:top w:val="nil"/>
              <w:left w:val="nil"/>
              <w:bottom w:val="nil"/>
              <w:right w:val="nil"/>
            </w:tcBorders>
            <w:noWrap/>
            <w:vAlign w:val="bottom"/>
            <w:hideMark/>
          </w:tcPr>
          <w:p w14:paraId="05CCB869" w14:textId="009D3FCA" w:rsidR="00514A48" w:rsidRPr="00D07D85" w:rsidRDefault="00514A48" w:rsidP="00514A48">
            <w:pPr>
              <w:spacing w:after="0" w:line="240" w:lineRule="auto"/>
              <w:rPr>
                <w:color w:val="000000"/>
                <w:lang w:eastAsia="en-US"/>
              </w:rPr>
            </w:pPr>
            <w:r w:rsidRPr="00F259CF">
              <w:rPr>
                <w:color w:val="000000"/>
                <w:lang w:val="en-GB"/>
              </w:rPr>
              <w:t>Four meter walk time (s)</w:t>
            </w:r>
          </w:p>
        </w:tc>
        <w:tc>
          <w:tcPr>
            <w:tcW w:w="1635" w:type="dxa"/>
            <w:tcBorders>
              <w:top w:val="nil"/>
              <w:left w:val="nil"/>
              <w:bottom w:val="nil"/>
              <w:right w:val="nil"/>
            </w:tcBorders>
            <w:noWrap/>
            <w:vAlign w:val="bottom"/>
            <w:hideMark/>
          </w:tcPr>
          <w:p w14:paraId="19CB4DFE" w14:textId="6D34A85F" w:rsidR="00514A48" w:rsidRPr="00D07D85" w:rsidRDefault="00514A48" w:rsidP="00514A48">
            <w:pPr>
              <w:spacing w:after="0" w:line="240" w:lineRule="auto"/>
              <w:jc w:val="center"/>
              <w:rPr>
                <w:color w:val="000000"/>
                <w:lang w:eastAsia="en-US"/>
              </w:rPr>
            </w:pPr>
            <w:r w:rsidRPr="00F259CF">
              <w:rPr>
                <w:color w:val="000000"/>
                <w:lang w:val="en-GB"/>
              </w:rPr>
              <w:t>3.71 ± 0.84</w:t>
            </w:r>
          </w:p>
        </w:tc>
        <w:tc>
          <w:tcPr>
            <w:tcW w:w="1635" w:type="dxa"/>
            <w:tcBorders>
              <w:top w:val="nil"/>
              <w:left w:val="nil"/>
              <w:bottom w:val="nil"/>
              <w:right w:val="nil"/>
            </w:tcBorders>
            <w:noWrap/>
            <w:vAlign w:val="bottom"/>
            <w:hideMark/>
          </w:tcPr>
          <w:p w14:paraId="277BC571" w14:textId="71D86A6B" w:rsidR="00514A48" w:rsidRPr="00D07D85" w:rsidRDefault="00514A48" w:rsidP="00514A48">
            <w:pPr>
              <w:spacing w:after="0" w:line="240" w:lineRule="auto"/>
              <w:jc w:val="center"/>
              <w:rPr>
                <w:color w:val="000000"/>
                <w:lang w:eastAsia="en-US"/>
              </w:rPr>
            </w:pPr>
            <w:r w:rsidRPr="00F259CF">
              <w:rPr>
                <w:color w:val="000000"/>
                <w:lang w:val="en-GB"/>
              </w:rPr>
              <w:t>3.78 ± 1.05</w:t>
            </w:r>
          </w:p>
        </w:tc>
        <w:tc>
          <w:tcPr>
            <w:tcW w:w="1635" w:type="dxa"/>
            <w:tcBorders>
              <w:top w:val="nil"/>
              <w:left w:val="nil"/>
              <w:bottom w:val="nil"/>
              <w:right w:val="nil"/>
            </w:tcBorders>
            <w:noWrap/>
            <w:vAlign w:val="bottom"/>
            <w:hideMark/>
          </w:tcPr>
          <w:p w14:paraId="5252546B" w14:textId="00E8E335" w:rsidR="00514A48" w:rsidRPr="00D07D85" w:rsidRDefault="00514A48" w:rsidP="00514A48">
            <w:pPr>
              <w:spacing w:after="0" w:line="240" w:lineRule="auto"/>
              <w:jc w:val="center"/>
              <w:rPr>
                <w:color w:val="000000"/>
                <w:lang w:eastAsia="en-US"/>
              </w:rPr>
            </w:pPr>
            <w:r w:rsidRPr="00F259CF">
              <w:rPr>
                <w:color w:val="000000"/>
                <w:lang w:val="en-GB"/>
              </w:rPr>
              <w:t>3.68 ± 0.70</w:t>
            </w:r>
          </w:p>
        </w:tc>
        <w:tc>
          <w:tcPr>
            <w:tcW w:w="1638" w:type="dxa"/>
            <w:tcBorders>
              <w:top w:val="nil"/>
              <w:left w:val="nil"/>
              <w:bottom w:val="nil"/>
              <w:right w:val="nil"/>
            </w:tcBorders>
            <w:noWrap/>
            <w:vAlign w:val="bottom"/>
            <w:hideMark/>
          </w:tcPr>
          <w:p w14:paraId="3B7D7AF1" w14:textId="02A5E6D0" w:rsidR="00514A48" w:rsidRPr="00D07D85" w:rsidRDefault="00514A48" w:rsidP="00514A48">
            <w:pPr>
              <w:spacing w:after="0" w:line="240" w:lineRule="auto"/>
              <w:jc w:val="center"/>
              <w:rPr>
                <w:color w:val="000000"/>
                <w:lang w:eastAsia="en-US"/>
              </w:rPr>
            </w:pPr>
            <w:r w:rsidRPr="00F259CF">
              <w:rPr>
                <w:color w:val="000000"/>
                <w:lang w:val="en-GB"/>
              </w:rPr>
              <w:t>3.66 ± 0.73</w:t>
            </w:r>
          </w:p>
        </w:tc>
      </w:tr>
      <w:tr w:rsidR="00D07D85" w:rsidRPr="00D07D85" w14:paraId="19742593" w14:textId="77777777" w:rsidTr="00514A48">
        <w:trPr>
          <w:trHeight w:val="474"/>
        </w:trPr>
        <w:tc>
          <w:tcPr>
            <w:tcW w:w="3171" w:type="dxa"/>
            <w:tcBorders>
              <w:top w:val="nil"/>
              <w:left w:val="nil"/>
              <w:bottom w:val="single" w:sz="4" w:space="0" w:color="auto"/>
              <w:right w:val="nil"/>
            </w:tcBorders>
            <w:noWrap/>
            <w:vAlign w:val="bottom"/>
            <w:hideMark/>
          </w:tcPr>
          <w:p w14:paraId="1E2C3E41" w14:textId="77777777" w:rsidR="00D07D85" w:rsidRPr="00D07D85" w:rsidRDefault="00D07D85" w:rsidP="00D07D85">
            <w:pPr>
              <w:spacing w:after="0" w:line="240" w:lineRule="auto"/>
              <w:rPr>
                <w:color w:val="000000"/>
                <w:lang w:eastAsia="en-US"/>
              </w:rPr>
            </w:pPr>
            <w:r w:rsidRPr="00D07D85">
              <w:rPr>
                <w:color w:val="000000"/>
                <w:lang w:eastAsia="en-US"/>
              </w:rPr>
              <w:t>Sit to stand time (s)</w:t>
            </w:r>
          </w:p>
        </w:tc>
        <w:tc>
          <w:tcPr>
            <w:tcW w:w="1635" w:type="dxa"/>
            <w:tcBorders>
              <w:top w:val="nil"/>
              <w:left w:val="nil"/>
              <w:bottom w:val="single" w:sz="4" w:space="0" w:color="auto"/>
              <w:right w:val="nil"/>
            </w:tcBorders>
            <w:noWrap/>
            <w:vAlign w:val="bottom"/>
            <w:hideMark/>
          </w:tcPr>
          <w:p w14:paraId="225D03E7" w14:textId="77777777" w:rsidR="00D07D85" w:rsidRPr="00D07D85" w:rsidRDefault="00D07D85" w:rsidP="00D07D85">
            <w:pPr>
              <w:spacing w:after="0" w:line="240" w:lineRule="auto"/>
              <w:jc w:val="center"/>
              <w:rPr>
                <w:color w:val="000000"/>
                <w:lang w:eastAsia="en-US"/>
              </w:rPr>
            </w:pPr>
            <w:r w:rsidRPr="00D07D85">
              <w:rPr>
                <w:color w:val="000000"/>
                <w:lang w:eastAsia="en-US"/>
              </w:rPr>
              <w:t>12.14 ± 2.97</w:t>
            </w:r>
          </w:p>
        </w:tc>
        <w:tc>
          <w:tcPr>
            <w:tcW w:w="1635" w:type="dxa"/>
            <w:tcBorders>
              <w:top w:val="nil"/>
              <w:left w:val="nil"/>
              <w:bottom w:val="single" w:sz="4" w:space="0" w:color="auto"/>
              <w:right w:val="nil"/>
            </w:tcBorders>
            <w:noWrap/>
            <w:vAlign w:val="bottom"/>
            <w:hideMark/>
          </w:tcPr>
          <w:p w14:paraId="656B88E9" w14:textId="77777777" w:rsidR="00D07D85" w:rsidRPr="00D07D85" w:rsidRDefault="00D07D85" w:rsidP="00D07D85">
            <w:pPr>
              <w:spacing w:after="0" w:line="240" w:lineRule="auto"/>
              <w:jc w:val="center"/>
              <w:rPr>
                <w:color w:val="000000"/>
                <w:lang w:eastAsia="en-US"/>
              </w:rPr>
            </w:pPr>
            <w:r w:rsidRPr="00D07D85">
              <w:rPr>
                <w:color w:val="000000"/>
                <w:lang w:eastAsia="en-US"/>
              </w:rPr>
              <w:t>11.14 ± 1.69</w:t>
            </w:r>
          </w:p>
        </w:tc>
        <w:tc>
          <w:tcPr>
            <w:tcW w:w="1635" w:type="dxa"/>
            <w:tcBorders>
              <w:top w:val="nil"/>
              <w:left w:val="nil"/>
              <w:bottom w:val="single" w:sz="4" w:space="0" w:color="auto"/>
              <w:right w:val="nil"/>
            </w:tcBorders>
            <w:noWrap/>
            <w:vAlign w:val="bottom"/>
            <w:hideMark/>
          </w:tcPr>
          <w:p w14:paraId="6970443C" w14:textId="77777777" w:rsidR="00D07D85" w:rsidRPr="00D07D85" w:rsidRDefault="00D07D85" w:rsidP="00D07D85">
            <w:pPr>
              <w:spacing w:after="0" w:line="240" w:lineRule="auto"/>
              <w:jc w:val="center"/>
              <w:rPr>
                <w:color w:val="000000"/>
                <w:lang w:eastAsia="en-US"/>
              </w:rPr>
            </w:pPr>
            <w:r w:rsidRPr="00D07D85">
              <w:rPr>
                <w:color w:val="000000"/>
                <w:lang w:eastAsia="en-US"/>
              </w:rPr>
              <w:t>11.90 ± 2.58</w:t>
            </w:r>
          </w:p>
        </w:tc>
        <w:tc>
          <w:tcPr>
            <w:tcW w:w="1638" w:type="dxa"/>
            <w:tcBorders>
              <w:top w:val="nil"/>
              <w:left w:val="nil"/>
              <w:bottom w:val="single" w:sz="4" w:space="0" w:color="auto"/>
              <w:right w:val="nil"/>
            </w:tcBorders>
            <w:noWrap/>
            <w:vAlign w:val="bottom"/>
            <w:hideMark/>
          </w:tcPr>
          <w:p w14:paraId="12F699BA" w14:textId="77777777" w:rsidR="00D07D85" w:rsidRPr="00D07D85" w:rsidRDefault="00D07D85" w:rsidP="00D07D85">
            <w:pPr>
              <w:spacing w:after="0" w:line="240" w:lineRule="auto"/>
              <w:jc w:val="center"/>
              <w:rPr>
                <w:color w:val="000000"/>
                <w:lang w:eastAsia="en-US"/>
              </w:rPr>
            </w:pPr>
            <w:r w:rsidRPr="00D07D85">
              <w:rPr>
                <w:color w:val="000000"/>
                <w:lang w:eastAsia="en-US"/>
              </w:rPr>
              <w:t>10.85 ± 1.67</w:t>
            </w:r>
          </w:p>
        </w:tc>
      </w:tr>
      <w:tr w:rsidR="00D07D85" w:rsidRPr="00D07D85" w14:paraId="797933E7" w14:textId="77777777" w:rsidTr="00CF3B83">
        <w:trPr>
          <w:trHeight w:val="474"/>
        </w:trPr>
        <w:tc>
          <w:tcPr>
            <w:tcW w:w="9714" w:type="dxa"/>
            <w:gridSpan w:val="5"/>
            <w:tcBorders>
              <w:top w:val="single" w:sz="4" w:space="0" w:color="auto"/>
              <w:left w:val="nil"/>
              <w:bottom w:val="nil"/>
              <w:right w:val="nil"/>
            </w:tcBorders>
            <w:noWrap/>
            <w:vAlign w:val="bottom"/>
            <w:hideMark/>
          </w:tcPr>
          <w:p w14:paraId="17D24A4D" w14:textId="51B532BA" w:rsidR="00D07D85" w:rsidRPr="00D07D85" w:rsidRDefault="00D07D85" w:rsidP="00D07D85">
            <w:pPr>
              <w:spacing w:after="0" w:line="240" w:lineRule="auto"/>
              <w:rPr>
                <w:color w:val="000000"/>
                <w:lang w:eastAsia="en-US"/>
              </w:rPr>
            </w:pPr>
            <w:r w:rsidRPr="00D07D85">
              <w:rPr>
                <w:color w:val="000000"/>
                <w:lang w:eastAsia="en-US"/>
              </w:rPr>
              <w:t>BL, baseline; CON, control; HWI, hot water immersion.</w:t>
            </w:r>
            <w:r w:rsidR="00B95504">
              <w:rPr>
                <w:color w:val="000000"/>
                <w:lang w:eastAsia="en-US"/>
              </w:rPr>
              <w:t xml:space="preserve"> Total </w:t>
            </w:r>
            <w:r w:rsidR="00B95504" w:rsidRPr="00D07D85">
              <w:rPr>
                <w:color w:val="000000"/>
                <w:lang w:eastAsia="en-US"/>
              </w:rPr>
              <w:t xml:space="preserve">Short </w:t>
            </w:r>
            <w:r w:rsidR="00B95504">
              <w:rPr>
                <w:color w:val="000000"/>
                <w:lang w:eastAsia="en-US"/>
              </w:rPr>
              <w:t>P</w:t>
            </w:r>
            <w:r w:rsidR="00B95504" w:rsidRPr="00D07D85">
              <w:rPr>
                <w:color w:val="000000"/>
                <w:lang w:eastAsia="en-US"/>
              </w:rPr>
              <w:t xml:space="preserve">hysical </w:t>
            </w:r>
            <w:r w:rsidR="00B95504">
              <w:rPr>
                <w:color w:val="000000"/>
                <w:lang w:eastAsia="en-US"/>
              </w:rPr>
              <w:t>P</w:t>
            </w:r>
            <w:r w:rsidR="00B95504" w:rsidRPr="00D07D85">
              <w:rPr>
                <w:color w:val="000000"/>
                <w:lang w:eastAsia="en-US"/>
              </w:rPr>
              <w:t xml:space="preserve">erformance </w:t>
            </w:r>
            <w:r w:rsidR="00B95504">
              <w:rPr>
                <w:color w:val="000000"/>
                <w:lang w:eastAsia="en-US"/>
              </w:rPr>
              <w:t>B</w:t>
            </w:r>
            <w:r w:rsidR="00B95504" w:rsidRPr="00D07D85">
              <w:rPr>
                <w:color w:val="000000"/>
                <w:lang w:eastAsia="en-US"/>
              </w:rPr>
              <w:t>attery</w:t>
            </w:r>
            <w:r w:rsidR="00B95504">
              <w:rPr>
                <w:color w:val="000000"/>
                <w:lang w:eastAsia="en-US"/>
              </w:rPr>
              <w:t xml:space="preserve"> scores out of 12; individual component (balance, four-meter walk, sit to stand) scores out of 4.</w:t>
            </w:r>
          </w:p>
        </w:tc>
      </w:tr>
    </w:tbl>
    <w:p w14:paraId="6D4810A5" w14:textId="77777777" w:rsidR="00D07D85" w:rsidRDefault="00D07D85">
      <w:pPr>
        <w:shd w:val="clear" w:color="auto" w:fill="FFFFFF"/>
        <w:spacing w:after="0" w:line="480" w:lineRule="auto"/>
        <w:jc w:val="both"/>
      </w:pPr>
    </w:p>
    <w:p w14:paraId="5991B57F" w14:textId="2C667738" w:rsidR="00D07D85" w:rsidRDefault="00074175" w:rsidP="00D07D85">
      <w:pPr>
        <w:shd w:val="clear" w:color="auto" w:fill="FFFFFF"/>
        <w:spacing w:after="0" w:line="480" w:lineRule="auto"/>
        <w:jc w:val="both"/>
        <w:rPr>
          <w:b/>
        </w:rPr>
      </w:pPr>
      <w:r>
        <w:rPr>
          <w:b/>
        </w:rPr>
        <w:t>Motion capture</w:t>
      </w:r>
    </w:p>
    <w:p w14:paraId="1BA15D83" w14:textId="4B4181F7" w:rsidR="00642433" w:rsidRDefault="001B3D17" w:rsidP="000D7A93">
      <w:pPr>
        <w:shd w:val="clear" w:color="auto" w:fill="FFFFFF"/>
        <w:spacing w:after="0" w:line="480" w:lineRule="auto"/>
        <w:jc w:val="both"/>
      </w:pPr>
      <w:r>
        <w:t>Repeated</w:t>
      </w:r>
      <w:r w:rsidR="00D07D85">
        <w:t xml:space="preserve"> HWI had no effect on knee extension </w:t>
      </w:r>
      <w:r w:rsidR="00B80C22">
        <w:t>velocity (</w:t>
      </w:r>
      <w:r w:rsidR="00B628B3">
        <w:t xml:space="preserve">interaction: </w:t>
      </w:r>
      <w:r w:rsidR="00B93C96">
        <w:t xml:space="preserve">mean difference: </w:t>
      </w:r>
      <w:r w:rsidR="00182BA8">
        <w:t xml:space="preserve">2.08 </w:t>
      </w:r>
      <w:r w:rsidR="00182BA8" w:rsidRPr="00642433">
        <w:rPr>
          <w:color w:val="000000"/>
          <w:lang w:eastAsia="en-US"/>
        </w:rPr>
        <w:t>deg</w:t>
      </w:r>
      <w:r w:rsidR="00182BA8">
        <w:t>·</w:t>
      </w:r>
      <w:r w:rsidR="00182BA8" w:rsidRPr="00642433">
        <w:rPr>
          <w:color w:val="000000"/>
          <w:lang w:eastAsia="en-US"/>
        </w:rPr>
        <w:t>s</w:t>
      </w:r>
      <w:r w:rsidR="00182BA8" w:rsidRPr="00CF3B83">
        <w:rPr>
          <w:color w:val="000000"/>
          <w:vertAlign w:val="superscript"/>
          <w:lang w:eastAsia="en-US"/>
        </w:rPr>
        <w:t>-1</w:t>
      </w:r>
      <w:r w:rsidR="00B93C96">
        <w:t>; 95% CI: -</w:t>
      </w:r>
      <w:r w:rsidR="00182BA8">
        <w:t>29.00</w:t>
      </w:r>
      <w:r w:rsidR="00B93C96">
        <w:t xml:space="preserve"> – </w:t>
      </w:r>
      <w:r w:rsidR="00182BA8">
        <w:t>33</w:t>
      </w:r>
      <w:r w:rsidR="00B93C96">
        <w:t>.</w:t>
      </w:r>
      <w:r w:rsidR="00182BA8">
        <w:t>16</w:t>
      </w:r>
      <w:r w:rsidR="00B93C96">
        <w:t xml:space="preserve">; </w:t>
      </w:r>
      <w:r w:rsidR="00ED6471" w:rsidRPr="00C533F9">
        <w:rPr>
          <w:i/>
        </w:rPr>
        <w:t>F</w:t>
      </w:r>
      <w:r w:rsidR="00ED6471" w:rsidRPr="00C533F9">
        <w:rPr>
          <w:vertAlign w:val="subscript"/>
        </w:rPr>
        <w:t>(1,</w:t>
      </w:r>
      <w:r w:rsidR="0020101A">
        <w:rPr>
          <w:vertAlign w:val="subscript"/>
        </w:rPr>
        <w:t>30</w:t>
      </w:r>
      <w:r w:rsidR="00ED6471">
        <w:rPr>
          <w:vertAlign w:val="subscript"/>
        </w:rPr>
        <w:t xml:space="preserve">), </w:t>
      </w:r>
      <w:r w:rsidR="00ED6471" w:rsidRPr="00927B7F">
        <w:t>=</w:t>
      </w:r>
      <w:r w:rsidR="00ED6471">
        <w:rPr>
          <w:i/>
          <w:iCs/>
        </w:rPr>
        <w:t xml:space="preserve"> </w:t>
      </w:r>
      <w:r w:rsidR="00ED6471">
        <w:t>0.</w:t>
      </w:r>
      <w:r w:rsidR="000B28D5">
        <w:t>019</w:t>
      </w:r>
      <w:r w:rsidR="00ED6471">
        <w:t xml:space="preserve">, </w:t>
      </w:r>
      <w:r w:rsidR="00B80C22" w:rsidRPr="00525D20">
        <w:rPr>
          <w:i/>
          <w:iCs/>
        </w:rPr>
        <w:t>P</w:t>
      </w:r>
      <w:r w:rsidR="00B80C22">
        <w:t xml:space="preserve"> = 0.</w:t>
      </w:r>
      <w:r w:rsidR="000B28D5">
        <w:t>892</w:t>
      </w:r>
      <w:r w:rsidR="00B80C22">
        <w:t xml:space="preserve">, </w:t>
      </w:r>
      <w:r w:rsidR="00B80C22" w:rsidRPr="00B80E03">
        <w:t>η</w:t>
      </w:r>
      <w:r w:rsidR="00B80C22" w:rsidRPr="00A055A6">
        <w:rPr>
          <w:vertAlign w:val="superscript"/>
        </w:rPr>
        <w:t>2</w:t>
      </w:r>
      <w:r w:rsidR="00B80C22" w:rsidRPr="00A055A6">
        <w:rPr>
          <w:vertAlign w:val="subscript"/>
        </w:rPr>
        <w:t>p</w:t>
      </w:r>
      <w:r w:rsidR="00B80C22">
        <w:t xml:space="preserve"> </w:t>
      </w:r>
      <w:r w:rsidR="00350C6D">
        <w:t>=</w:t>
      </w:r>
      <w:r w:rsidR="00B80C22">
        <w:t xml:space="preserve"> 0.001), knee extension moment (</w:t>
      </w:r>
      <w:r w:rsidR="00182BA8">
        <w:t xml:space="preserve">mean </w:t>
      </w:r>
      <w:r w:rsidR="00182BA8">
        <w:lastRenderedPageBreak/>
        <w:t xml:space="preserve">difference: </w:t>
      </w:r>
      <w:r w:rsidR="007430A2">
        <w:t>0</w:t>
      </w:r>
      <w:r w:rsidR="00182BA8">
        <w:t>.0</w:t>
      </w:r>
      <w:r w:rsidR="007430A2">
        <w:t>7</w:t>
      </w:r>
      <w:r w:rsidR="00182BA8">
        <w:t xml:space="preserve"> </w:t>
      </w:r>
      <w:r w:rsidR="00265AB3" w:rsidRPr="00642433">
        <w:rPr>
          <w:color w:val="000000"/>
          <w:lang w:eastAsia="en-US"/>
        </w:rPr>
        <w:t>Nm</w:t>
      </w:r>
      <w:r w:rsidR="00265AB3">
        <w:t>·</w:t>
      </w:r>
      <w:r w:rsidR="00265AB3" w:rsidRPr="00642433">
        <w:rPr>
          <w:color w:val="000000"/>
          <w:lang w:eastAsia="en-US"/>
        </w:rPr>
        <w:t>kg</w:t>
      </w:r>
      <w:r w:rsidR="00265AB3" w:rsidRPr="00CF3B83">
        <w:rPr>
          <w:color w:val="000000"/>
          <w:vertAlign w:val="superscript"/>
          <w:lang w:eastAsia="en-US"/>
        </w:rPr>
        <w:t>-1</w:t>
      </w:r>
      <w:r w:rsidR="00182BA8">
        <w:t>; 95% CI: -</w:t>
      </w:r>
      <w:r w:rsidR="007430A2">
        <w:t>0.08</w:t>
      </w:r>
      <w:r w:rsidR="00182BA8">
        <w:t xml:space="preserve"> – </w:t>
      </w:r>
      <w:r w:rsidR="007430A2">
        <w:t>0.22</w:t>
      </w:r>
      <w:r w:rsidR="00182BA8">
        <w:t xml:space="preserve">; </w:t>
      </w:r>
      <w:r w:rsidR="00ED6471" w:rsidRPr="00C533F9">
        <w:rPr>
          <w:i/>
        </w:rPr>
        <w:t>F</w:t>
      </w:r>
      <w:r w:rsidR="00ED6471" w:rsidRPr="00C533F9">
        <w:rPr>
          <w:vertAlign w:val="subscript"/>
        </w:rPr>
        <w:t>(1,</w:t>
      </w:r>
      <w:r w:rsidR="007843FB">
        <w:rPr>
          <w:vertAlign w:val="subscript"/>
        </w:rPr>
        <w:t>25.32</w:t>
      </w:r>
      <w:r w:rsidR="00ED6471">
        <w:rPr>
          <w:vertAlign w:val="subscript"/>
        </w:rPr>
        <w:t xml:space="preserve">), </w:t>
      </w:r>
      <w:r w:rsidR="00ED6471" w:rsidRPr="00C45E59">
        <w:t>=</w:t>
      </w:r>
      <w:r w:rsidR="00ED6471">
        <w:rPr>
          <w:i/>
          <w:iCs/>
        </w:rPr>
        <w:t xml:space="preserve"> </w:t>
      </w:r>
      <w:r w:rsidR="00ED6471">
        <w:t>1.</w:t>
      </w:r>
      <w:r w:rsidR="00350C6D">
        <w:t>039</w:t>
      </w:r>
      <w:r w:rsidR="00ED6471">
        <w:t xml:space="preserve">, </w:t>
      </w:r>
      <w:r w:rsidR="00B80C22" w:rsidRPr="00927B7F">
        <w:rPr>
          <w:i/>
          <w:iCs/>
        </w:rPr>
        <w:t>P</w:t>
      </w:r>
      <w:r w:rsidR="00B80C22">
        <w:t xml:space="preserve"> = 0.</w:t>
      </w:r>
      <w:r w:rsidR="007843FB">
        <w:t>318</w:t>
      </w:r>
      <w:r w:rsidR="00B80C22">
        <w:t xml:space="preserve">, </w:t>
      </w:r>
      <w:r w:rsidR="00B80C22" w:rsidRPr="00B80E03">
        <w:t>η</w:t>
      </w:r>
      <w:r w:rsidR="00B80C22" w:rsidRPr="00A055A6">
        <w:rPr>
          <w:vertAlign w:val="superscript"/>
        </w:rPr>
        <w:t>2</w:t>
      </w:r>
      <w:r w:rsidR="00B80C22" w:rsidRPr="00A055A6">
        <w:rPr>
          <w:vertAlign w:val="subscript"/>
        </w:rPr>
        <w:t>p</w:t>
      </w:r>
      <w:r w:rsidR="00B80C22">
        <w:t xml:space="preserve"> = 0.039) or knee extension power </w:t>
      </w:r>
      <w:r w:rsidR="00D07D85">
        <w:t>(</w:t>
      </w:r>
      <w:r w:rsidR="00182BA8">
        <w:t xml:space="preserve">mean difference: </w:t>
      </w:r>
      <w:r w:rsidR="00265AB3">
        <w:t>0.37</w:t>
      </w:r>
      <w:r w:rsidR="00182BA8">
        <w:t xml:space="preserve"> </w:t>
      </w:r>
      <w:r w:rsidR="00265AB3">
        <w:rPr>
          <w:color w:val="000000"/>
          <w:lang w:eastAsia="en-US"/>
        </w:rPr>
        <w:t>W</w:t>
      </w:r>
      <w:r w:rsidR="007430A2">
        <w:t>·</w:t>
      </w:r>
      <w:r w:rsidR="007430A2" w:rsidRPr="00642433">
        <w:rPr>
          <w:color w:val="000000"/>
          <w:lang w:eastAsia="en-US"/>
        </w:rPr>
        <w:t>kg</w:t>
      </w:r>
      <w:r w:rsidR="007430A2" w:rsidRPr="00CF3B83">
        <w:rPr>
          <w:color w:val="000000"/>
          <w:vertAlign w:val="superscript"/>
          <w:lang w:eastAsia="en-US"/>
        </w:rPr>
        <w:t>-1</w:t>
      </w:r>
      <w:r w:rsidR="00182BA8">
        <w:t>; 95% CI: -</w:t>
      </w:r>
      <w:r w:rsidR="00265AB3">
        <w:t>0.10</w:t>
      </w:r>
      <w:r w:rsidR="00182BA8">
        <w:t xml:space="preserve"> – </w:t>
      </w:r>
      <w:r w:rsidR="00265AB3">
        <w:t>0</w:t>
      </w:r>
      <w:r w:rsidR="00182BA8">
        <w:t>.</w:t>
      </w:r>
      <w:r w:rsidR="00265AB3">
        <w:t>83</w:t>
      </w:r>
      <w:r w:rsidR="00182BA8">
        <w:t xml:space="preserve">; </w:t>
      </w:r>
      <w:r w:rsidR="00ED6471" w:rsidRPr="00C533F9">
        <w:rPr>
          <w:i/>
        </w:rPr>
        <w:t>F</w:t>
      </w:r>
      <w:r w:rsidR="00ED6471" w:rsidRPr="00C533F9">
        <w:rPr>
          <w:vertAlign w:val="subscript"/>
        </w:rPr>
        <w:t>(1,</w:t>
      </w:r>
      <w:r w:rsidR="00FB676D">
        <w:rPr>
          <w:vertAlign w:val="subscript"/>
        </w:rPr>
        <w:t>35</w:t>
      </w:r>
      <w:r w:rsidR="00ED6471">
        <w:rPr>
          <w:vertAlign w:val="subscript"/>
        </w:rPr>
        <w:t xml:space="preserve">), </w:t>
      </w:r>
      <w:r w:rsidR="00ED6471" w:rsidRPr="00C45E59">
        <w:t>=</w:t>
      </w:r>
      <w:r w:rsidR="00ED6471">
        <w:rPr>
          <w:i/>
          <w:iCs/>
        </w:rPr>
        <w:t xml:space="preserve"> </w:t>
      </w:r>
      <w:r w:rsidR="00ED6471">
        <w:t>2</w:t>
      </w:r>
      <w:r w:rsidR="00FB676D">
        <w:t>.569</w:t>
      </w:r>
      <w:r w:rsidR="00ED6471">
        <w:t xml:space="preserve">, </w:t>
      </w:r>
      <w:r w:rsidR="00D07D85">
        <w:rPr>
          <w:i/>
        </w:rPr>
        <w:t>P</w:t>
      </w:r>
      <w:r w:rsidR="00D07D85">
        <w:t xml:space="preserve"> </w:t>
      </w:r>
      <w:r w:rsidR="00B80C22">
        <w:t>=</w:t>
      </w:r>
      <w:r w:rsidR="00D07D85">
        <w:t xml:space="preserve"> 0.</w:t>
      </w:r>
      <w:r w:rsidR="00FB676D">
        <w:t>118</w:t>
      </w:r>
      <w:r w:rsidR="00B80C22">
        <w:t xml:space="preserve">, </w:t>
      </w:r>
      <w:r w:rsidR="00B80C22" w:rsidRPr="00B80E03">
        <w:t>η</w:t>
      </w:r>
      <w:r w:rsidR="00B80C22" w:rsidRPr="00A055A6">
        <w:rPr>
          <w:vertAlign w:val="superscript"/>
        </w:rPr>
        <w:t>2</w:t>
      </w:r>
      <w:r w:rsidR="00B80C22" w:rsidRPr="00A055A6">
        <w:rPr>
          <w:vertAlign w:val="subscript"/>
        </w:rPr>
        <w:t>p</w:t>
      </w:r>
      <w:r w:rsidR="00B80C22">
        <w:t xml:space="preserve"> = 0.</w:t>
      </w:r>
      <w:r w:rsidR="00B628B3">
        <w:t>068</w:t>
      </w:r>
      <w:r w:rsidR="00D07D85">
        <w:t>).</w:t>
      </w:r>
      <w:r w:rsidR="00074175">
        <w:t xml:space="preserve"> </w:t>
      </w:r>
      <w:r>
        <w:t>Repeated</w:t>
      </w:r>
      <w:r w:rsidR="000D7A93">
        <w:t xml:space="preserve"> HWI had no effect on </w:t>
      </w:r>
      <w:r w:rsidR="00215896">
        <w:t>stride length (</w:t>
      </w:r>
      <w:r w:rsidR="00493B2F">
        <w:t xml:space="preserve">interaction: </w:t>
      </w:r>
      <w:r w:rsidR="00416F7B">
        <w:t xml:space="preserve">mean difference: </w:t>
      </w:r>
      <w:r w:rsidR="00073ECE">
        <w:t>-</w:t>
      </w:r>
      <w:r w:rsidR="00416F7B">
        <w:t>0.</w:t>
      </w:r>
      <w:r w:rsidR="00073ECE">
        <w:t>01</w:t>
      </w:r>
      <w:r w:rsidR="00416F7B">
        <w:t xml:space="preserve"> </w:t>
      </w:r>
      <w:r w:rsidR="00B7442B">
        <w:t>m</w:t>
      </w:r>
      <w:r w:rsidR="00416F7B">
        <w:t>; 95% CI: -0.</w:t>
      </w:r>
      <w:r w:rsidR="00073ECE">
        <w:t>06</w:t>
      </w:r>
      <w:r w:rsidR="00416F7B">
        <w:t xml:space="preserve"> – 0.</w:t>
      </w:r>
      <w:r w:rsidR="00073ECE">
        <w:t>04</w:t>
      </w:r>
      <w:r w:rsidR="00416F7B">
        <w:t xml:space="preserve">; </w:t>
      </w:r>
      <w:r w:rsidR="00215896" w:rsidRPr="00C533F9">
        <w:rPr>
          <w:i/>
        </w:rPr>
        <w:t>F</w:t>
      </w:r>
      <w:r w:rsidR="00215896" w:rsidRPr="00C533F9">
        <w:rPr>
          <w:vertAlign w:val="subscript"/>
        </w:rPr>
        <w:t>(1,</w:t>
      </w:r>
      <w:r w:rsidR="00493B2F">
        <w:rPr>
          <w:vertAlign w:val="subscript"/>
        </w:rPr>
        <w:t>39</w:t>
      </w:r>
      <w:r w:rsidR="00215896">
        <w:rPr>
          <w:vertAlign w:val="subscript"/>
        </w:rPr>
        <w:t xml:space="preserve">), </w:t>
      </w:r>
      <w:r w:rsidR="00215896" w:rsidRPr="00C45E59">
        <w:t>=</w:t>
      </w:r>
      <w:r w:rsidR="00215896">
        <w:rPr>
          <w:i/>
          <w:iCs/>
        </w:rPr>
        <w:t xml:space="preserve"> </w:t>
      </w:r>
      <w:r w:rsidR="009B6A1E">
        <w:t>0.</w:t>
      </w:r>
      <w:r w:rsidR="00741DC5">
        <w:t>183</w:t>
      </w:r>
      <w:r w:rsidR="00215896">
        <w:t xml:space="preserve">, </w:t>
      </w:r>
      <w:r w:rsidR="00215896">
        <w:rPr>
          <w:i/>
        </w:rPr>
        <w:t>P</w:t>
      </w:r>
      <w:r w:rsidR="00215896">
        <w:t xml:space="preserve"> = 0.</w:t>
      </w:r>
      <w:r w:rsidR="00741DC5">
        <w:t>671</w:t>
      </w:r>
      <w:r w:rsidR="00215896">
        <w:t xml:space="preserve">, </w:t>
      </w:r>
      <w:r w:rsidR="00215896" w:rsidRPr="00B80E03">
        <w:t>η</w:t>
      </w:r>
      <w:r w:rsidR="00215896" w:rsidRPr="00A055A6">
        <w:rPr>
          <w:vertAlign w:val="superscript"/>
        </w:rPr>
        <w:t>2</w:t>
      </w:r>
      <w:r w:rsidR="00215896" w:rsidRPr="00A055A6">
        <w:rPr>
          <w:vertAlign w:val="subscript"/>
        </w:rPr>
        <w:t>p</w:t>
      </w:r>
      <w:r w:rsidR="00215896">
        <w:t xml:space="preserve"> = 0.</w:t>
      </w:r>
      <w:r w:rsidR="009B6A1E">
        <w:t>00</w:t>
      </w:r>
      <w:r w:rsidR="00741DC5">
        <w:t>4</w:t>
      </w:r>
      <w:r w:rsidR="00215896">
        <w:t>), stride frequency (</w:t>
      </w:r>
      <w:r w:rsidR="00416F7B">
        <w:t>mean difference: 0.</w:t>
      </w:r>
      <w:r w:rsidR="00114DBF">
        <w:t>01</w:t>
      </w:r>
      <w:r w:rsidR="00416F7B">
        <w:t xml:space="preserve"> </w:t>
      </w:r>
      <w:r w:rsidR="00B7442B" w:rsidRPr="00642433">
        <w:rPr>
          <w:color w:val="000000"/>
          <w:lang w:eastAsia="en-US"/>
        </w:rPr>
        <w:t>strides</w:t>
      </w:r>
      <w:r w:rsidR="00B7442B">
        <w:t>·</w:t>
      </w:r>
      <w:r w:rsidR="00B7442B" w:rsidRPr="00642433">
        <w:rPr>
          <w:color w:val="000000"/>
          <w:lang w:eastAsia="en-US"/>
        </w:rPr>
        <w:t>s</w:t>
      </w:r>
      <w:r w:rsidR="00B7442B" w:rsidRPr="00CF3B83">
        <w:rPr>
          <w:color w:val="000000"/>
          <w:vertAlign w:val="superscript"/>
          <w:lang w:eastAsia="en-US"/>
        </w:rPr>
        <w:t>-1</w:t>
      </w:r>
      <w:r w:rsidR="00416F7B">
        <w:t>; 95% CI: -0.</w:t>
      </w:r>
      <w:r w:rsidR="00114DBF">
        <w:t>02</w:t>
      </w:r>
      <w:r w:rsidR="00416F7B">
        <w:t xml:space="preserve"> – 0.</w:t>
      </w:r>
      <w:r w:rsidR="00114DBF">
        <w:t>04</w:t>
      </w:r>
      <w:r w:rsidR="00416F7B">
        <w:t xml:space="preserve">; </w:t>
      </w:r>
      <w:r w:rsidR="00215896" w:rsidRPr="00C533F9">
        <w:rPr>
          <w:i/>
        </w:rPr>
        <w:t>F</w:t>
      </w:r>
      <w:r w:rsidR="00215896" w:rsidRPr="00C533F9">
        <w:rPr>
          <w:vertAlign w:val="subscript"/>
        </w:rPr>
        <w:t>(1,</w:t>
      </w:r>
      <w:r w:rsidR="00884EB0">
        <w:rPr>
          <w:vertAlign w:val="subscript"/>
        </w:rPr>
        <w:t>2</w:t>
      </w:r>
      <w:r w:rsidR="009B6A1E">
        <w:rPr>
          <w:vertAlign w:val="subscript"/>
        </w:rPr>
        <w:t>9</w:t>
      </w:r>
      <w:r w:rsidR="00884EB0">
        <w:rPr>
          <w:vertAlign w:val="subscript"/>
        </w:rPr>
        <w:t>.017</w:t>
      </w:r>
      <w:r w:rsidR="00215896">
        <w:rPr>
          <w:vertAlign w:val="subscript"/>
        </w:rPr>
        <w:t xml:space="preserve">), </w:t>
      </w:r>
      <w:r w:rsidR="00215896" w:rsidRPr="00C45E59">
        <w:t>=</w:t>
      </w:r>
      <w:r w:rsidR="00215896">
        <w:rPr>
          <w:i/>
          <w:iCs/>
        </w:rPr>
        <w:t xml:space="preserve"> </w:t>
      </w:r>
      <w:r w:rsidR="009B6A1E">
        <w:t>0.</w:t>
      </w:r>
      <w:r w:rsidR="00884EB0">
        <w:t>662</w:t>
      </w:r>
      <w:r w:rsidR="00215896">
        <w:t xml:space="preserve">, </w:t>
      </w:r>
      <w:r w:rsidR="00215896">
        <w:rPr>
          <w:i/>
        </w:rPr>
        <w:t>P</w:t>
      </w:r>
      <w:r w:rsidR="00215896">
        <w:t xml:space="preserve"> = 0.</w:t>
      </w:r>
      <w:r w:rsidR="00884EB0">
        <w:t>422</w:t>
      </w:r>
      <w:r w:rsidR="00215896">
        <w:t xml:space="preserve">, </w:t>
      </w:r>
      <w:r w:rsidR="00215896" w:rsidRPr="00B80E03">
        <w:t>η</w:t>
      </w:r>
      <w:r w:rsidR="00215896" w:rsidRPr="00A055A6">
        <w:rPr>
          <w:vertAlign w:val="superscript"/>
        </w:rPr>
        <w:t>2</w:t>
      </w:r>
      <w:r w:rsidR="00215896" w:rsidRPr="00A055A6">
        <w:rPr>
          <w:vertAlign w:val="subscript"/>
        </w:rPr>
        <w:t>p</w:t>
      </w:r>
      <w:r w:rsidR="00215896">
        <w:t xml:space="preserve"> = 0.</w:t>
      </w:r>
      <w:r w:rsidR="005F7232">
        <w:t>022</w:t>
      </w:r>
      <w:r w:rsidR="00215896">
        <w:t>) or stride velocity (</w:t>
      </w:r>
      <w:r w:rsidR="00416F7B">
        <w:t>mean difference: 0.</w:t>
      </w:r>
      <w:r w:rsidR="00136D16">
        <w:t>01</w:t>
      </w:r>
      <w:r w:rsidR="00416F7B">
        <w:t xml:space="preserve"> </w:t>
      </w:r>
      <w:r w:rsidR="00114DBF" w:rsidRPr="00642433">
        <w:rPr>
          <w:color w:val="000000"/>
          <w:lang w:eastAsia="en-US"/>
        </w:rPr>
        <w:t>m</w:t>
      </w:r>
      <w:r w:rsidR="00114DBF">
        <w:t>·</w:t>
      </w:r>
      <w:r w:rsidR="00114DBF" w:rsidRPr="00642433">
        <w:rPr>
          <w:color w:val="000000"/>
          <w:lang w:eastAsia="en-US"/>
        </w:rPr>
        <w:t>s</w:t>
      </w:r>
      <w:r w:rsidR="00114DBF" w:rsidRPr="00CF3B83">
        <w:rPr>
          <w:color w:val="000000"/>
          <w:vertAlign w:val="superscript"/>
          <w:lang w:eastAsia="en-US"/>
        </w:rPr>
        <w:t>-1</w:t>
      </w:r>
      <w:r w:rsidR="00416F7B">
        <w:t>; 95% CI: -0.0</w:t>
      </w:r>
      <w:r w:rsidR="00136D16">
        <w:t>7</w:t>
      </w:r>
      <w:r w:rsidR="00416F7B">
        <w:t xml:space="preserve"> – 0.</w:t>
      </w:r>
      <w:r w:rsidR="00136D16">
        <w:t>0</w:t>
      </w:r>
      <w:r w:rsidR="00416F7B">
        <w:t xml:space="preserve">8; </w:t>
      </w:r>
      <w:r w:rsidR="00215896" w:rsidRPr="00C533F9">
        <w:rPr>
          <w:i/>
        </w:rPr>
        <w:t>F</w:t>
      </w:r>
      <w:r w:rsidR="00215896" w:rsidRPr="00C533F9">
        <w:rPr>
          <w:vertAlign w:val="subscript"/>
        </w:rPr>
        <w:t>(1,</w:t>
      </w:r>
      <w:r w:rsidR="005F7232">
        <w:rPr>
          <w:vertAlign w:val="subscript"/>
        </w:rPr>
        <w:t>3</w:t>
      </w:r>
      <w:r w:rsidR="009B6A1E">
        <w:rPr>
          <w:vertAlign w:val="subscript"/>
        </w:rPr>
        <w:t>9</w:t>
      </w:r>
      <w:r w:rsidR="00215896">
        <w:rPr>
          <w:vertAlign w:val="subscript"/>
        </w:rPr>
        <w:t xml:space="preserve">), </w:t>
      </w:r>
      <w:r w:rsidR="00215896" w:rsidRPr="00C45E59">
        <w:t>=</w:t>
      </w:r>
      <w:r w:rsidR="00215896">
        <w:rPr>
          <w:i/>
          <w:iCs/>
        </w:rPr>
        <w:t xml:space="preserve"> </w:t>
      </w:r>
      <w:r w:rsidR="009B6A1E">
        <w:t>0.</w:t>
      </w:r>
      <w:r w:rsidR="005F7232">
        <w:t>040</w:t>
      </w:r>
      <w:r w:rsidR="00215896">
        <w:t xml:space="preserve">, </w:t>
      </w:r>
      <w:r w:rsidR="00215896">
        <w:rPr>
          <w:i/>
        </w:rPr>
        <w:t>P</w:t>
      </w:r>
      <w:r w:rsidR="00215896">
        <w:t xml:space="preserve"> = 0.</w:t>
      </w:r>
      <w:r w:rsidR="005F7232">
        <w:t>843</w:t>
      </w:r>
      <w:r w:rsidR="00215896">
        <w:t xml:space="preserve">, </w:t>
      </w:r>
      <w:r w:rsidR="00215896" w:rsidRPr="00B80E03">
        <w:t>η</w:t>
      </w:r>
      <w:r w:rsidR="00215896" w:rsidRPr="00A055A6">
        <w:rPr>
          <w:vertAlign w:val="superscript"/>
        </w:rPr>
        <w:t>2</w:t>
      </w:r>
      <w:r w:rsidR="00215896" w:rsidRPr="00A055A6">
        <w:rPr>
          <w:vertAlign w:val="subscript"/>
        </w:rPr>
        <w:t>p</w:t>
      </w:r>
      <w:r w:rsidR="00215896">
        <w:t xml:space="preserve"> = 0.</w:t>
      </w:r>
      <w:r w:rsidR="00990F79">
        <w:t>001</w:t>
      </w:r>
      <w:r w:rsidR="00215896">
        <w:t>).</w:t>
      </w:r>
    </w:p>
    <w:p w14:paraId="4380FF6C" w14:textId="77777777" w:rsidR="00295E54" w:rsidRDefault="00295E54" w:rsidP="000D7A93">
      <w:pPr>
        <w:shd w:val="clear" w:color="auto" w:fill="FFFFFF"/>
        <w:spacing w:after="0" w:line="480" w:lineRule="auto"/>
        <w:jc w:val="both"/>
      </w:pPr>
    </w:p>
    <w:tbl>
      <w:tblPr>
        <w:tblW w:w="10765" w:type="dxa"/>
        <w:tblInd w:w="-270" w:type="dxa"/>
        <w:tblLook w:val="04A0" w:firstRow="1" w:lastRow="0" w:firstColumn="1" w:lastColumn="0" w:noHBand="0" w:noVBand="1"/>
      </w:tblPr>
      <w:tblGrid>
        <w:gridCol w:w="3960"/>
        <w:gridCol w:w="1710"/>
        <w:gridCol w:w="1710"/>
        <w:gridCol w:w="1710"/>
        <w:gridCol w:w="1675"/>
      </w:tblGrid>
      <w:tr w:rsidR="00D07D85" w:rsidRPr="00642433" w14:paraId="7E585CFE" w14:textId="77777777" w:rsidTr="00CF3B83">
        <w:trPr>
          <w:trHeight w:val="438"/>
        </w:trPr>
        <w:tc>
          <w:tcPr>
            <w:tcW w:w="10765" w:type="dxa"/>
            <w:gridSpan w:val="5"/>
            <w:tcBorders>
              <w:top w:val="nil"/>
              <w:left w:val="nil"/>
              <w:bottom w:val="single" w:sz="4" w:space="0" w:color="auto"/>
              <w:right w:val="nil"/>
            </w:tcBorders>
            <w:noWrap/>
            <w:vAlign w:val="center"/>
            <w:hideMark/>
          </w:tcPr>
          <w:p w14:paraId="488A57D5" w14:textId="09559FD3" w:rsidR="00642433" w:rsidRPr="00642433" w:rsidRDefault="00642433" w:rsidP="007206DF">
            <w:pPr>
              <w:keepNext/>
              <w:keepLines/>
              <w:spacing w:after="0" w:line="240" w:lineRule="auto"/>
              <w:rPr>
                <w:color w:val="000000"/>
                <w:lang w:eastAsia="en-US"/>
              </w:rPr>
            </w:pPr>
            <w:r w:rsidRPr="00CF3B83">
              <w:rPr>
                <w:b/>
                <w:bCs/>
                <w:color w:val="000000"/>
                <w:lang w:eastAsia="en-US"/>
              </w:rPr>
              <w:t xml:space="preserve">Table </w:t>
            </w:r>
            <w:r w:rsidR="008F6A95">
              <w:rPr>
                <w:b/>
                <w:bCs/>
                <w:color w:val="000000"/>
                <w:lang w:eastAsia="en-US"/>
              </w:rPr>
              <w:t>3</w:t>
            </w:r>
            <w:r w:rsidRPr="00642433">
              <w:rPr>
                <w:color w:val="000000"/>
                <w:lang w:eastAsia="en-US"/>
              </w:rPr>
              <w:t>. Knee extension kinetics and gait measures</w:t>
            </w:r>
            <w:r w:rsidR="00426ACF">
              <w:rPr>
                <w:color w:val="000000"/>
                <w:lang w:eastAsia="en-US"/>
              </w:rPr>
              <w:t xml:space="preserve"> </w:t>
            </w:r>
            <w:r w:rsidR="00426ACF" w:rsidRPr="00642433">
              <w:rPr>
                <w:color w:val="000000"/>
                <w:lang w:eastAsia="en-US"/>
              </w:rPr>
              <w:t>(</w:t>
            </w:r>
            <w:r w:rsidR="00426ACF" w:rsidRPr="00642433">
              <w:rPr>
                <w:i/>
                <w:iCs/>
                <w:color w:val="000000"/>
                <w:lang w:eastAsia="en-US"/>
              </w:rPr>
              <w:t>n</w:t>
            </w:r>
            <w:r w:rsidR="00426ACF" w:rsidRPr="00642433">
              <w:rPr>
                <w:color w:val="000000"/>
                <w:lang w:eastAsia="en-US"/>
              </w:rPr>
              <w:t xml:space="preserve"> = 11).</w:t>
            </w:r>
          </w:p>
        </w:tc>
      </w:tr>
      <w:tr w:rsidR="00D07D85" w:rsidRPr="00642433" w14:paraId="47F604A1" w14:textId="77777777" w:rsidTr="00CF3B83">
        <w:trPr>
          <w:trHeight w:val="438"/>
        </w:trPr>
        <w:tc>
          <w:tcPr>
            <w:tcW w:w="3960" w:type="dxa"/>
            <w:tcBorders>
              <w:top w:val="nil"/>
              <w:left w:val="nil"/>
              <w:bottom w:val="single" w:sz="4" w:space="0" w:color="auto"/>
              <w:right w:val="nil"/>
            </w:tcBorders>
            <w:noWrap/>
            <w:vAlign w:val="center"/>
            <w:hideMark/>
          </w:tcPr>
          <w:p w14:paraId="1EF47B94" w14:textId="77777777" w:rsidR="00642433" w:rsidRPr="00642433" w:rsidRDefault="00642433" w:rsidP="007206DF">
            <w:pPr>
              <w:keepNext/>
              <w:keepLines/>
              <w:spacing w:after="0" w:line="240" w:lineRule="auto"/>
              <w:rPr>
                <w:color w:val="000000"/>
                <w:lang w:eastAsia="en-US"/>
              </w:rPr>
            </w:pPr>
            <w:r w:rsidRPr="00642433">
              <w:rPr>
                <w:color w:val="000000"/>
                <w:lang w:eastAsia="en-US"/>
              </w:rPr>
              <w:t>Parameter</w:t>
            </w:r>
          </w:p>
        </w:tc>
        <w:tc>
          <w:tcPr>
            <w:tcW w:w="1710" w:type="dxa"/>
            <w:tcBorders>
              <w:top w:val="nil"/>
              <w:left w:val="nil"/>
              <w:bottom w:val="single" w:sz="4" w:space="0" w:color="auto"/>
              <w:right w:val="nil"/>
            </w:tcBorders>
            <w:noWrap/>
            <w:vAlign w:val="center"/>
            <w:hideMark/>
          </w:tcPr>
          <w:p w14:paraId="2435A79F"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CON BL</w:t>
            </w:r>
          </w:p>
        </w:tc>
        <w:tc>
          <w:tcPr>
            <w:tcW w:w="1710" w:type="dxa"/>
            <w:tcBorders>
              <w:top w:val="nil"/>
              <w:left w:val="nil"/>
              <w:bottom w:val="single" w:sz="4" w:space="0" w:color="auto"/>
              <w:right w:val="nil"/>
            </w:tcBorders>
            <w:noWrap/>
            <w:vAlign w:val="center"/>
            <w:hideMark/>
          </w:tcPr>
          <w:p w14:paraId="396C43D9"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CON Post</w:t>
            </w:r>
          </w:p>
        </w:tc>
        <w:tc>
          <w:tcPr>
            <w:tcW w:w="1710" w:type="dxa"/>
            <w:tcBorders>
              <w:top w:val="nil"/>
              <w:left w:val="nil"/>
              <w:bottom w:val="single" w:sz="4" w:space="0" w:color="auto"/>
              <w:right w:val="nil"/>
            </w:tcBorders>
            <w:noWrap/>
            <w:vAlign w:val="center"/>
            <w:hideMark/>
          </w:tcPr>
          <w:p w14:paraId="0973A172"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HWI BL</w:t>
            </w:r>
          </w:p>
        </w:tc>
        <w:tc>
          <w:tcPr>
            <w:tcW w:w="1675" w:type="dxa"/>
            <w:tcBorders>
              <w:top w:val="nil"/>
              <w:left w:val="nil"/>
              <w:bottom w:val="single" w:sz="4" w:space="0" w:color="auto"/>
              <w:right w:val="nil"/>
            </w:tcBorders>
            <w:noWrap/>
            <w:vAlign w:val="center"/>
            <w:hideMark/>
          </w:tcPr>
          <w:p w14:paraId="34053C13"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HWI Post</w:t>
            </w:r>
          </w:p>
        </w:tc>
      </w:tr>
      <w:tr w:rsidR="00D07D85" w:rsidRPr="00642433" w14:paraId="32E439B7" w14:textId="77777777" w:rsidTr="00CF3B83">
        <w:trPr>
          <w:trHeight w:val="438"/>
        </w:trPr>
        <w:tc>
          <w:tcPr>
            <w:tcW w:w="3960" w:type="dxa"/>
            <w:tcBorders>
              <w:top w:val="nil"/>
              <w:left w:val="nil"/>
              <w:bottom w:val="nil"/>
              <w:right w:val="nil"/>
            </w:tcBorders>
            <w:noWrap/>
            <w:vAlign w:val="bottom"/>
            <w:hideMark/>
          </w:tcPr>
          <w:p w14:paraId="3DA59137" w14:textId="49050E5B" w:rsidR="00642433" w:rsidRPr="00642433" w:rsidRDefault="00642433" w:rsidP="007206DF">
            <w:pPr>
              <w:keepNext/>
              <w:keepLines/>
              <w:spacing w:after="0" w:line="240" w:lineRule="auto"/>
              <w:rPr>
                <w:color w:val="000000"/>
                <w:lang w:eastAsia="en-US"/>
              </w:rPr>
            </w:pPr>
            <w:r w:rsidRPr="00642433">
              <w:rPr>
                <w:color w:val="000000"/>
                <w:lang w:eastAsia="en-US"/>
              </w:rPr>
              <w:t>Knee extension kinetics</w:t>
            </w:r>
          </w:p>
        </w:tc>
        <w:tc>
          <w:tcPr>
            <w:tcW w:w="1710" w:type="dxa"/>
            <w:tcBorders>
              <w:top w:val="nil"/>
              <w:left w:val="nil"/>
              <w:bottom w:val="nil"/>
              <w:right w:val="nil"/>
            </w:tcBorders>
            <w:noWrap/>
            <w:vAlign w:val="bottom"/>
            <w:hideMark/>
          </w:tcPr>
          <w:p w14:paraId="13C0AE7E" w14:textId="77777777" w:rsidR="00642433" w:rsidRPr="00642433" w:rsidRDefault="00642433" w:rsidP="007206DF">
            <w:pPr>
              <w:keepNext/>
              <w:keepLines/>
              <w:spacing w:after="0" w:line="240" w:lineRule="auto"/>
              <w:rPr>
                <w:color w:val="000000"/>
                <w:lang w:eastAsia="en-US"/>
              </w:rPr>
            </w:pPr>
          </w:p>
        </w:tc>
        <w:tc>
          <w:tcPr>
            <w:tcW w:w="1710" w:type="dxa"/>
            <w:tcBorders>
              <w:top w:val="nil"/>
              <w:left w:val="nil"/>
              <w:bottom w:val="nil"/>
              <w:right w:val="nil"/>
            </w:tcBorders>
            <w:noWrap/>
            <w:vAlign w:val="bottom"/>
            <w:hideMark/>
          </w:tcPr>
          <w:p w14:paraId="61F2E480" w14:textId="77777777" w:rsidR="00642433" w:rsidRPr="00642433" w:rsidRDefault="00642433" w:rsidP="007206DF">
            <w:pPr>
              <w:keepNext/>
              <w:keepLines/>
              <w:spacing w:after="0" w:line="240" w:lineRule="auto"/>
              <w:jc w:val="center"/>
              <w:rPr>
                <w:sz w:val="20"/>
                <w:szCs w:val="20"/>
                <w:lang w:eastAsia="en-US"/>
              </w:rPr>
            </w:pPr>
          </w:p>
        </w:tc>
        <w:tc>
          <w:tcPr>
            <w:tcW w:w="1710" w:type="dxa"/>
            <w:tcBorders>
              <w:top w:val="nil"/>
              <w:left w:val="nil"/>
              <w:bottom w:val="nil"/>
              <w:right w:val="nil"/>
            </w:tcBorders>
            <w:noWrap/>
            <w:vAlign w:val="bottom"/>
            <w:hideMark/>
          </w:tcPr>
          <w:p w14:paraId="3E34DC57" w14:textId="77777777" w:rsidR="00642433" w:rsidRPr="00642433" w:rsidRDefault="00642433" w:rsidP="007206DF">
            <w:pPr>
              <w:keepNext/>
              <w:keepLines/>
              <w:spacing w:after="0" w:line="240" w:lineRule="auto"/>
              <w:jc w:val="center"/>
              <w:rPr>
                <w:sz w:val="20"/>
                <w:szCs w:val="20"/>
                <w:lang w:eastAsia="en-US"/>
              </w:rPr>
            </w:pPr>
          </w:p>
        </w:tc>
        <w:tc>
          <w:tcPr>
            <w:tcW w:w="1675" w:type="dxa"/>
            <w:tcBorders>
              <w:top w:val="nil"/>
              <w:left w:val="nil"/>
              <w:bottom w:val="nil"/>
              <w:right w:val="nil"/>
            </w:tcBorders>
            <w:noWrap/>
            <w:vAlign w:val="bottom"/>
            <w:hideMark/>
          </w:tcPr>
          <w:p w14:paraId="0CF5C748" w14:textId="77777777" w:rsidR="00642433" w:rsidRPr="00642433" w:rsidRDefault="00642433" w:rsidP="007206DF">
            <w:pPr>
              <w:keepNext/>
              <w:keepLines/>
              <w:spacing w:after="0" w:line="240" w:lineRule="auto"/>
              <w:jc w:val="center"/>
              <w:rPr>
                <w:sz w:val="20"/>
                <w:szCs w:val="20"/>
                <w:lang w:eastAsia="en-US"/>
              </w:rPr>
            </w:pPr>
          </w:p>
        </w:tc>
      </w:tr>
      <w:tr w:rsidR="00D07D85" w:rsidRPr="00642433" w14:paraId="1B999CEE" w14:textId="77777777" w:rsidTr="00CF3B83">
        <w:trPr>
          <w:trHeight w:val="438"/>
        </w:trPr>
        <w:tc>
          <w:tcPr>
            <w:tcW w:w="3960" w:type="dxa"/>
            <w:tcBorders>
              <w:top w:val="nil"/>
              <w:left w:val="nil"/>
              <w:bottom w:val="nil"/>
              <w:right w:val="nil"/>
            </w:tcBorders>
            <w:noWrap/>
            <w:vAlign w:val="bottom"/>
            <w:hideMark/>
          </w:tcPr>
          <w:p w14:paraId="090E814E" w14:textId="706219C3" w:rsidR="00642433" w:rsidRPr="00642433" w:rsidRDefault="00642433" w:rsidP="007206DF">
            <w:pPr>
              <w:keepNext/>
              <w:keepLines/>
              <w:spacing w:after="0" w:line="240" w:lineRule="auto"/>
              <w:rPr>
                <w:color w:val="000000"/>
                <w:lang w:eastAsia="en-US"/>
              </w:rPr>
            </w:pPr>
            <w:r w:rsidRPr="00642433">
              <w:rPr>
                <w:color w:val="000000"/>
                <w:lang w:eastAsia="en-US"/>
              </w:rPr>
              <w:t xml:space="preserve">     Knee extension velocity (deg</w:t>
            </w:r>
            <w:r w:rsidR="00D07D85">
              <w:t>·</w:t>
            </w:r>
            <w:r w:rsidRPr="00642433">
              <w:rPr>
                <w:color w:val="000000"/>
                <w:lang w:eastAsia="en-US"/>
              </w:rPr>
              <w:t>s</w:t>
            </w:r>
            <w:r w:rsidRPr="00CF3B83">
              <w:rPr>
                <w:color w:val="000000"/>
                <w:vertAlign w:val="superscript"/>
                <w:lang w:eastAsia="en-US"/>
              </w:rPr>
              <w:t>-1</w:t>
            </w:r>
            <w:r w:rsidRPr="00642433">
              <w:rPr>
                <w:color w:val="000000"/>
                <w:lang w:eastAsia="en-US"/>
              </w:rPr>
              <w:t>)</w:t>
            </w:r>
          </w:p>
        </w:tc>
        <w:tc>
          <w:tcPr>
            <w:tcW w:w="1710" w:type="dxa"/>
            <w:tcBorders>
              <w:top w:val="nil"/>
              <w:left w:val="nil"/>
              <w:bottom w:val="nil"/>
              <w:right w:val="nil"/>
            </w:tcBorders>
            <w:noWrap/>
            <w:vAlign w:val="bottom"/>
            <w:hideMark/>
          </w:tcPr>
          <w:p w14:paraId="0C8332BB"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195.24 ± 57.53</w:t>
            </w:r>
          </w:p>
        </w:tc>
        <w:tc>
          <w:tcPr>
            <w:tcW w:w="1710" w:type="dxa"/>
            <w:tcBorders>
              <w:top w:val="nil"/>
              <w:left w:val="nil"/>
              <w:bottom w:val="nil"/>
              <w:right w:val="nil"/>
            </w:tcBorders>
            <w:noWrap/>
            <w:vAlign w:val="bottom"/>
            <w:hideMark/>
          </w:tcPr>
          <w:p w14:paraId="203DD58D"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202.98 ± 61.62</w:t>
            </w:r>
          </w:p>
        </w:tc>
        <w:tc>
          <w:tcPr>
            <w:tcW w:w="1710" w:type="dxa"/>
            <w:tcBorders>
              <w:top w:val="nil"/>
              <w:left w:val="nil"/>
              <w:bottom w:val="nil"/>
              <w:right w:val="nil"/>
            </w:tcBorders>
            <w:noWrap/>
            <w:vAlign w:val="bottom"/>
            <w:hideMark/>
          </w:tcPr>
          <w:p w14:paraId="7F363CBD"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194.45 ± 55.61</w:t>
            </w:r>
          </w:p>
        </w:tc>
        <w:tc>
          <w:tcPr>
            <w:tcW w:w="1675" w:type="dxa"/>
            <w:tcBorders>
              <w:top w:val="nil"/>
              <w:left w:val="nil"/>
              <w:bottom w:val="nil"/>
              <w:right w:val="nil"/>
            </w:tcBorders>
            <w:noWrap/>
            <w:vAlign w:val="bottom"/>
            <w:hideMark/>
          </w:tcPr>
          <w:p w14:paraId="5EC5198A"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204.28 ± 44.33</w:t>
            </w:r>
          </w:p>
        </w:tc>
      </w:tr>
      <w:tr w:rsidR="00D07D85" w:rsidRPr="00642433" w14:paraId="413A63B3" w14:textId="77777777" w:rsidTr="00CF3B83">
        <w:trPr>
          <w:trHeight w:val="438"/>
        </w:trPr>
        <w:tc>
          <w:tcPr>
            <w:tcW w:w="3960" w:type="dxa"/>
            <w:tcBorders>
              <w:top w:val="nil"/>
              <w:left w:val="nil"/>
              <w:bottom w:val="nil"/>
              <w:right w:val="nil"/>
            </w:tcBorders>
            <w:noWrap/>
            <w:vAlign w:val="bottom"/>
            <w:hideMark/>
          </w:tcPr>
          <w:p w14:paraId="08BE9329" w14:textId="1D91B5B7" w:rsidR="00642433" w:rsidRPr="00642433" w:rsidRDefault="00642433" w:rsidP="007206DF">
            <w:pPr>
              <w:keepNext/>
              <w:keepLines/>
              <w:spacing w:after="0" w:line="240" w:lineRule="auto"/>
              <w:rPr>
                <w:color w:val="000000"/>
                <w:lang w:eastAsia="en-US"/>
              </w:rPr>
            </w:pPr>
            <w:r w:rsidRPr="00642433">
              <w:rPr>
                <w:color w:val="000000"/>
                <w:lang w:eastAsia="en-US"/>
              </w:rPr>
              <w:t xml:space="preserve">     Knee extension moment (Nm</w:t>
            </w:r>
            <w:r w:rsidR="00D07D85">
              <w:t>·</w:t>
            </w:r>
            <w:r w:rsidRPr="00642433">
              <w:rPr>
                <w:color w:val="000000"/>
                <w:lang w:eastAsia="en-US"/>
              </w:rPr>
              <w:t>kg</w:t>
            </w:r>
            <w:r w:rsidRPr="00CF3B83">
              <w:rPr>
                <w:color w:val="000000"/>
                <w:vertAlign w:val="superscript"/>
                <w:lang w:eastAsia="en-US"/>
              </w:rPr>
              <w:t>-1</w:t>
            </w:r>
            <w:r w:rsidRPr="00642433">
              <w:rPr>
                <w:color w:val="000000"/>
                <w:lang w:eastAsia="en-US"/>
              </w:rPr>
              <w:t>)</w:t>
            </w:r>
          </w:p>
        </w:tc>
        <w:tc>
          <w:tcPr>
            <w:tcW w:w="1710" w:type="dxa"/>
            <w:tcBorders>
              <w:top w:val="nil"/>
              <w:left w:val="nil"/>
              <w:bottom w:val="nil"/>
              <w:right w:val="nil"/>
            </w:tcBorders>
            <w:noWrap/>
            <w:vAlign w:val="bottom"/>
            <w:hideMark/>
          </w:tcPr>
          <w:p w14:paraId="12203F86"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0.85 ± 0.26</w:t>
            </w:r>
          </w:p>
        </w:tc>
        <w:tc>
          <w:tcPr>
            <w:tcW w:w="1710" w:type="dxa"/>
            <w:tcBorders>
              <w:top w:val="nil"/>
              <w:left w:val="nil"/>
              <w:bottom w:val="nil"/>
              <w:right w:val="nil"/>
            </w:tcBorders>
            <w:noWrap/>
            <w:vAlign w:val="bottom"/>
            <w:hideMark/>
          </w:tcPr>
          <w:p w14:paraId="7A31B0EC"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0.78 ± 0.18</w:t>
            </w:r>
          </w:p>
        </w:tc>
        <w:tc>
          <w:tcPr>
            <w:tcW w:w="1710" w:type="dxa"/>
            <w:tcBorders>
              <w:top w:val="nil"/>
              <w:left w:val="nil"/>
              <w:bottom w:val="nil"/>
              <w:right w:val="nil"/>
            </w:tcBorders>
            <w:noWrap/>
            <w:vAlign w:val="bottom"/>
            <w:hideMark/>
          </w:tcPr>
          <w:p w14:paraId="5F5D453E"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0.76 ± 0.20</w:t>
            </w:r>
          </w:p>
        </w:tc>
        <w:tc>
          <w:tcPr>
            <w:tcW w:w="1675" w:type="dxa"/>
            <w:tcBorders>
              <w:top w:val="nil"/>
              <w:left w:val="nil"/>
              <w:bottom w:val="nil"/>
              <w:right w:val="nil"/>
            </w:tcBorders>
            <w:noWrap/>
            <w:vAlign w:val="bottom"/>
            <w:hideMark/>
          </w:tcPr>
          <w:p w14:paraId="183650F0"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0.78 ± 0.21</w:t>
            </w:r>
          </w:p>
        </w:tc>
      </w:tr>
      <w:tr w:rsidR="00D07D85" w:rsidRPr="00642433" w14:paraId="0D9C7495" w14:textId="77777777" w:rsidTr="00CF3B83">
        <w:trPr>
          <w:trHeight w:val="438"/>
        </w:trPr>
        <w:tc>
          <w:tcPr>
            <w:tcW w:w="3960" w:type="dxa"/>
            <w:tcBorders>
              <w:top w:val="nil"/>
              <w:left w:val="nil"/>
              <w:bottom w:val="nil"/>
              <w:right w:val="nil"/>
            </w:tcBorders>
            <w:noWrap/>
            <w:vAlign w:val="bottom"/>
            <w:hideMark/>
          </w:tcPr>
          <w:p w14:paraId="046553A9" w14:textId="4946567A" w:rsidR="00642433" w:rsidRPr="00642433" w:rsidRDefault="00642433" w:rsidP="007206DF">
            <w:pPr>
              <w:keepNext/>
              <w:keepLines/>
              <w:spacing w:after="0" w:line="240" w:lineRule="auto"/>
              <w:rPr>
                <w:color w:val="000000"/>
                <w:lang w:eastAsia="en-US"/>
              </w:rPr>
            </w:pPr>
            <w:r w:rsidRPr="00642433">
              <w:rPr>
                <w:color w:val="000000"/>
                <w:lang w:eastAsia="en-US"/>
              </w:rPr>
              <w:t xml:space="preserve">     Knee extension power (W</w:t>
            </w:r>
            <w:r w:rsidR="00D07D85">
              <w:t>·</w:t>
            </w:r>
            <w:r w:rsidRPr="00642433">
              <w:rPr>
                <w:color w:val="000000"/>
                <w:lang w:eastAsia="en-US"/>
              </w:rPr>
              <w:t>kg</w:t>
            </w:r>
            <w:r w:rsidRPr="00CF3B83">
              <w:rPr>
                <w:color w:val="000000"/>
                <w:vertAlign w:val="superscript"/>
                <w:lang w:eastAsia="en-US"/>
              </w:rPr>
              <w:t>-1</w:t>
            </w:r>
            <w:r w:rsidRPr="00642433">
              <w:rPr>
                <w:color w:val="000000"/>
                <w:lang w:eastAsia="en-US"/>
              </w:rPr>
              <w:t>)</w:t>
            </w:r>
          </w:p>
        </w:tc>
        <w:tc>
          <w:tcPr>
            <w:tcW w:w="1710" w:type="dxa"/>
            <w:tcBorders>
              <w:top w:val="nil"/>
              <w:left w:val="nil"/>
              <w:bottom w:val="nil"/>
              <w:right w:val="nil"/>
            </w:tcBorders>
            <w:noWrap/>
            <w:vAlign w:val="bottom"/>
            <w:hideMark/>
          </w:tcPr>
          <w:p w14:paraId="3E47391C"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1.83 ± 1.18</w:t>
            </w:r>
          </w:p>
        </w:tc>
        <w:tc>
          <w:tcPr>
            <w:tcW w:w="1710" w:type="dxa"/>
            <w:tcBorders>
              <w:top w:val="nil"/>
              <w:left w:val="nil"/>
              <w:bottom w:val="nil"/>
              <w:right w:val="nil"/>
            </w:tcBorders>
            <w:noWrap/>
            <w:vAlign w:val="bottom"/>
            <w:hideMark/>
          </w:tcPr>
          <w:p w14:paraId="4D66C249"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1.61 ± 0.94</w:t>
            </w:r>
          </w:p>
        </w:tc>
        <w:tc>
          <w:tcPr>
            <w:tcW w:w="1710" w:type="dxa"/>
            <w:tcBorders>
              <w:top w:val="nil"/>
              <w:left w:val="nil"/>
              <w:bottom w:val="nil"/>
              <w:right w:val="nil"/>
            </w:tcBorders>
            <w:noWrap/>
            <w:vAlign w:val="bottom"/>
            <w:hideMark/>
          </w:tcPr>
          <w:p w14:paraId="7A383F8F"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1.37 ± 0.63</w:t>
            </w:r>
          </w:p>
        </w:tc>
        <w:tc>
          <w:tcPr>
            <w:tcW w:w="1675" w:type="dxa"/>
            <w:tcBorders>
              <w:top w:val="nil"/>
              <w:left w:val="nil"/>
              <w:bottom w:val="nil"/>
              <w:right w:val="nil"/>
            </w:tcBorders>
            <w:noWrap/>
            <w:vAlign w:val="bottom"/>
            <w:hideMark/>
          </w:tcPr>
          <w:p w14:paraId="5AEB575F" w14:textId="1716CD89" w:rsidR="00642433" w:rsidRPr="00642433" w:rsidRDefault="00642433" w:rsidP="007206DF">
            <w:pPr>
              <w:keepNext/>
              <w:keepLines/>
              <w:spacing w:after="0" w:line="240" w:lineRule="auto"/>
              <w:jc w:val="center"/>
              <w:rPr>
                <w:color w:val="000000"/>
                <w:lang w:eastAsia="en-US"/>
              </w:rPr>
            </w:pPr>
            <w:r w:rsidRPr="00642433">
              <w:rPr>
                <w:color w:val="000000"/>
                <w:lang w:eastAsia="en-US"/>
              </w:rPr>
              <w:t>1.53 ± 0.86</w:t>
            </w:r>
            <w:r w:rsidR="00A318DC">
              <w:rPr>
                <w:color w:val="000000"/>
                <w:lang w:eastAsia="en-US"/>
              </w:rPr>
              <w:t>*</w:t>
            </w:r>
          </w:p>
        </w:tc>
      </w:tr>
      <w:tr w:rsidR="00D07D85" w:rsidRPr="00642433" w14:paraId="7B49791C" w14:textId="77777777" w:rsidTr="00CF3B83">
        <w:trPr>
          <w:trHeight w:val="438"/>
        </w:trPr>
        <w:tc>
          <w:tcPr>
            <w:tcW w:w="3960" w:type="dxa"/>
            <w:tcBorders>
              <w:top w:val="nil"/>
              <w:left w:val="nil"/>
              <w:bottom w:val="nil"/>
              <w:right w:val="nil"/>
            </w:tcBorders>
            <w:noWrap/>
            <w:vAlign w:val="bottom"/>
            <w:hideMark/>
          </w:tcPr>
          <w:p w14:paraId="0374242A" w14:textId="77777777" w:rsidR="00642433" w:rsidRPr="00642433" w:rsidRDefault="00642433" w:rsidP="007206DF">
            <w:pPr>
              <w:keepNext/>
              <w:keepLines/>
              <w:spacing w:after="0" w:line="240" w:lineRule="auto"/>
              <w:jc w:val="center"/>
              <w:rPr>
                <w:color w:val="000000"/>
                <w:lang w:eastAsia="en-US"/>
              </w:rPr>
            </w:pPr>
          </w:p>
        </w:tc>
        <w:tc>
          <w:tcPr>
            <w:tcW w:w="1710" w:type="dxa"/>
            <w:tcBorders>
              <w:top w:val="nil"/>
              <w:left w:val="nil"/>
              <w:bottom w:val="nil"/>
              <w:right w:val="nil"/>
            </w:tcBorders>
            <w:noWrap/>
            <w:vAlign w:val="bottom"/>
            <w:hideMark/>
          </w:tcPr>
          <w:p w14:paraId="199C1DFA" w14:textId="77777777" w:rsidR="00642433" w:rsidRPr="00642433" w:rsidRDefault="00642433" w:rsidP="007206DF">
            <w:pPr>
              <w:keepNext/>
              <w:keepLines/>
              <w:spacing w:after="0" w:line="240" w:lineRule="auto"/>
              <w:rPr>
                <w:sz w:val="20"/>
                <w:szCs w:val="20"/>
                <w:lang w:eastAsia="en-US"/>
              </w:rPr>
            </w:pPr>
          </w:p>
        </w:tc>
        <w:tc>
          <w:tcPr>
            <w:tcW w:w="1710" w:type="dxa"/>
            <w:tcBorders>
              <w:top w:val="nil"/>
              <w:left w:val="nil"/>
              <w:bottom w:val="nil"/>
              <w:right w:val="nil"/>
            </w:tcBorders>
            <w:noWrap/>
            <w:vAlign w:val="bottom"/>
            <w:hideMark/>
          </w:tcPr>
          <w:p w14:paraId="1536B493" w14:textId="77777777" w:rsidR="00642433" w:rsidRPr="00642433" w:rsidRDefault="00642433" w:rsidP="007206DF">
            <w:pPr>
              <w:keepNext/>
              <w:keepLines/>
              <w:spacing w:after="0" w:line="240" w:lineRule="auto"/>
              <w:jc w:val="center"/>
              <w:rPr>
                <w:sz w:val="20"/>
                <w:szCs w:val="20"/>
                <w:lang w:eastAsia="en-US"/>
              </w:rPr>
            </w:pPr>
          </w:p>
        </w:tc>
        <w:tc>
          <w:tcPr>
            <w:tcW w:w="1710" w:type="dxa"/>
            <w:tcBorders>
              <w:top w:val="nil"/>
              <w:left w:val="nil"/>
              <w:bottom w:val="nil"/>
              <w:right w:val="nil"/>
            </w:tcBorders>
            <w:noWrap/>
            <w:vAlign w:val="bottom"/>
            <w:hideMark/>
          </w:tcPr>
          <w:p w14:paraId="6EBA1A15" w14:textId="77777777" w:rsidR="00642433" w:rsidRPr="00642433" w:rsidRDefault="00642433" w:rsidP="007206DF">
            <w:pPr>
              <w:keepNext/>
              <w:keepLines/>
              <w:spacing w:after="0" w:line="240" w:lineRule="auto"/>
              <w:jc w:val="center"/>
              <w:rPr>
                <w:sz w:val="20"/>
                <w:szCs w:val="20"/>
                <w:lang w:eastAsia="en-US"/>
              </w:rPr>
            </w:pPr>
          </w:p>
        </w:tc>
        <w:tc>
          <w:tcPr>
            <w:tcW w:w="1675" w:type="dxa"/>
            <w:tcBorders>
              <w:top w:val="nil"/>
              <w:left w:val="nil"/>
              <w:bottom w:val="nil"/>
              <w:right w:val="nil"/>
            </w:tcBorders>
            <w:noWrap/>
            <w:vAlign w:val="bottom"/>
            <w:hideMark/>
          </w:tcPr>
          <w:p w14:paraId="748777AF" w14:textId="77777777" w:rsidR="00642433" w:rsidRPr="00642433" w:rsidRDefault="00642433" w:rsidP="007206DF">
            <w:pPr>
              <w:keepNext/>
              <w:keepLines/>
              <w:spacing w:after="0" w:line="240" w:lineRule="auto"/>
              <w:jc w:val="center"/>
              <w:rPr>
                <w:sz w:val="20"/>
                <w:szCs w:val="20"/>
                <w:lang w:eastAsia="en-US"/>
              </w:rPr>
            </w:pPr>
          </w:p>
        </w:tc>
      </w:tr>
      <w:tr w:rsidR="00D07D85" w:rsidRPr="00642433" w14:paraId="1F5E3FE7" w14:textId="77777777" w:rsidTr="00CF3B83">
        <w:trPr>
          <w:trHeight w:val="438"/>
        </w:trPr>
        <w:tc>
          <w:tcPr>
            <w:tcW w:w="3960" w:type="dxa"/>
            <w:tcBorders>
              <w:top w:val="nil"/>
              <w:left w:val="nil"/>
              <w:bottom w:val="nil"/>
              <w:right w:val="nil"/>
            </w:tcBorders>
            <w:noWrap/>
            <w:vAlign w:val="bottom"/>
            <w:hideMark/>
          </w:tcPr>
          <w:p w14:paraId="145450D6" w14:textId="211D6F3B" w:rsidR="00642433" w:rsidRPr="00642433" w:rsidRDefault="00642433" w:rsidP="007206DF">
            <w:pPr>
              <w:keepNext/>
              <w:keepLines/>
              <w:spacing w:after="0" w:line="240" w:lineRule="auto"/>
              <w:rPr>
                <w:color w:val="000000"/>
                <w:lang w:eastAsia="en-US"/>
              </w:rPr>
            </w:pPr>
            <w:r w:rsidRPr="00642433">
              <w:rPr>
                <w:color w:val="000000"/>
                <w:lang w:eastAsia="en-US"/>
              </w:rPr>
              <w:t>Gait measures</w:t>
            </w:r>
          </w:p>
        </w:tc>
        <w:tc>
          <w:tcPr>
            <w:tcW w:w="1710" w:type="dxa"/>
            <w:tcBorders>
              <w:top w:val="nil"/>
              <w:left w:val="nil"/>
              <w:bottom w:val="nil"/>
              <w:right w:val="nil"/>
            </w:tcBorders>
            <w:noWrap/>
            <w:vAlign w:val="bottom"/>
            <w:hideMark/>
          </w:tcPr>
          <w:p w14:paraId="01ADE76E" w14:textId="77777777" w:rsidR="00642433" w:rsidRPr="00642433" w:rsidRDefault="00642433" w:rsidP="007206DF">
            <w:pPr>
              <w:keepNext/>
              <w:keepLines/>
              <w:spacing w:after="0" w:line="240" w:lineRule="auto"/>
              <w:rPr>
                <w:color w:val="000000"/>
                <w:lang w:eastAsia="en-US"/>
              </w:rPr>
            </w:pPr>
          </w:p>
        </w:tc>
        <w:tc>
          <w:tcPr>
            <w:tcW w:w="1710" w:type="dxa"/>
            <w:tcBorders>
              <w:top w:val="nil"/>
              <w:left w:val="nil"/>
              <w:bottom w:val="nil"/>
              <w:right w:val="nil"/>
            </w:tcBorders>
            <w:noWrap/>
            <w:vAlign w:val="bottom"/>
            <w:hideMark/>
          </w:tcPr>
          <w:p w14:paraId="07941798" w14:textId="77777777" w:rsidR="00642433" w:rsidRPr="00642433" w:rsidRDefault="00642433" w:rsidP="007206DF">
            <w:pPr>
              <w:keepNext/>
              <w:keepLines/>
              <w:spacing w:after="0" w:line="240" w:lineRule="auto"/>
              <w:jc w:val="center"/>
              <w:rPr>
                <w:sz w:val="20"/>
                <w:szCs w:val="20"/>
                <w:lang w:eastAsia="en-US"/>
              </w:rPr>
            </w:pPr>
          </w:p>
        </w:tc>
        <w:tc>
          <w:tcPr>
            <w:tcW w:w="1710" w:type="dxa"/>
            <w:tcBorders>
              <w:top w:val="nil"/>
              <w:left w:val="nil"/>
              <w:bottom w:val="nil"/>
              <w:right w:val="nil"/>
            </w:tcBorders>
            <w:noWrap/>
            <w:vAlign w:val="bottom"/>
            <w:hideMark/>
          </w:tcPr>
          <w:p w14:paraId="5759D146" w14:textId="77777777" w:rsidR="00642433" w:rsidRPr="00642433" w:rsidRDefault="00642433" w:rsidP="007206DF">
            <w:pPr>
              <w:keepNext/>
              <w:keepLines/>
              <w:spacing w:after="0" w:line="240" w:lineRule="auto"/>
              <w:jc w:val="center"/>
              <w:rPr>
                <w:sz w:val="20"/>
                <w:szCs w:val="20"/>
                <w:lang w:eastAsia="en-US"/>
              </w:rPr>
            </w:pPr>
          </w:p>
        </w:tc>
        <w:tc>
          <w:tcPr>
            <w:tcW w:w="1675" w:type="dxa"/>
            <w:tcBorders>
              <w:top w:val="nil"/>
              <w:left w:val="nil"/>
              <w:bottom w:val="nil"/>
              <w:right w:val="nil"/>
            </w:tcBorders>
            <w:noWrap/>
            <w:vAlign w:val="bottom"/>
            <w:hideMark/>
          </w:tcPr>
          <w:p w14:paraId="2BBE5DF6" w14:textId="77777777" w:rsidR="00642433" w:rsidRPr="00642433" w:rsidRDefault="00642433" w:rsidP="007206DF">
            <w:pPr>
              <w:keepNext/>
              <w:keepLines/>
              <w:spacing w:after="0" w:line="240" w:lineRule="auto"/>
              <w:jc w:val="center"/>
              <w:rPr>
                <w:sz w:val="20"/>
                <w:szCs w:val="20"/>
                <w:lang w:eastAsia="en-US"/>
              </w:rPr>
            </w:pPr>
          </w:p>
        </w:tc>
      </w:tr>
      <w:tr w:rsidR="00D07D85" w:rsidRPr="00642433" w14:paraId="6C0D3B50" w14:textId="77777777" w:rsidTr="00CF3B83">
        <w:trPr>
          <w:trHeight w:val="438"/>
        </w:trPr>
        <w:tc>
          <w:tcPr>
            <w:tcW w:w="3960" w:type="dxa"/>
            <w:tcBorders>
              <w:top w:val="nil"/>
              <w:left w:val="nil"/>
              <w:bottom w:val="nil"/>
              <w:right w:val="nil"/>
            </w:tcBorders>
            <w:noWrap/>
            <w:vAlign w:val="bottom"/>
            <w:hideMark/>
          </w:tcPr>
          <w:p w14:paraId="21A8175D" w14:textId="77777777" w:rsidR="00642433" w:rsidRPr="00642433" w:rsidRDefault="00642433" w:rsidP="007206DF">
            <w:pPr>
              <w:keepNext/>
              <w:keepLines/>
              <w:spacing w:after="0" w:line="240" w:lineRule="auto"/>
              <w:rPr>
                <w:color w:val="000000"/>
                <w:lang w:eastAsia="en-US"/>
              </w:rPr>
            </w:pPr>
            <w:r w:rsidRPr="00642433">
              <w:rPr>
                <w:color w:val="000000"/>
                <w:lang w:eastAsia="en-US"/>
              </w:rPr>
              <w:t xml:space="preserve">     Stride length (m)</w:t>
            </w:r>
          </w:p>
        </w:tc>
        <w:tc>
          <w:tcPr>
            <w:tcW w:w="1710" w:type="dxa"/>
            <w:tcBorders>
              <w:top w:val="nil"/>
              <w:left w:val="nil"/>
              <w:bottom w:val="nil"/>
              <w:right w:val="nil"/>
            </w:tcBorders>
            <w:noWrap/>
            <w:vAlign w:val="bottom"/>
            <w:hideMark/>
          </w:tcPr>
          <w:p w14:paraId="4894FCC3"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1.35 ± 0.17</w:t>
            </w:r>
          </w:p>
        </w:tc>
        <w:tc>
          <w:tcPr>
            <w:tcW w:w="1710" w:type="dxa"/>
            <w:tcBorders>
              <w:top w:val="nil"/>
              <w:left w:val="nil"/>
              <w:bottom w:val="nil"/>
              <w:right w:val="nil"/>
            </w:tcBorders>
            <w:noWrap/>
            <w:vAlign w:val="bottom"/>
            <w:hideMark/>
          </w:tcPr>
          <w:p w14:paraId="16B1A49A"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1.35 ± 0.20</w:t>
            </w:r>
          </w:p>
        </w:tc>
        <w:tc>
          <w:tcPr>
            <w:tcW w:w="1710" w:type="dxa"/>
            <w:tcBorders>
              <w:top w:val="nil"/>
              <w:left w:val="nil"/>
              <w:bottom w:val="nil"/>
              <w:right w:val="nil"/>
            </w:tcBorders>
            <w:noWrap/>
            <w:vAlign w:val="bottom"/>
            <w:hideMark/>
          </w:tcPr>
          <w:p w14:paraId="380460AB"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1.36 ± 0.20</w:t>
            </w:r>
          </w:p>
        </w:tc>
        <w:tc>
          <w:tcPr>
            <w:tcW w:w="1675" w:type="dxa"/>
            <w:tcBorders>
              <w:top w:val="nil"/>
              <w:left w:val="nil"/>
              <w:bottom w:val="nil"/>
              <w:right w:val="nil"/>
            </w:tcBorders>
            <w:noWrap/>
            <w:vAlign w:val="bottom"/>
            <w:hideMark/>
          </w:tcPr>
          <w:p w14:paraId="1AFD46DB"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1.32 ± 0.20</w:t>
            </w:r>
          </w:p>
        </w:tc>
      </w:tr>
      <w:tr w:rsidR="00D07D85" w:rsidRPr="00642433" w14:paraId="73EE6C84" w14:textId="77777777" w:rsidTr="00CF3B83">
        <w:trPr>
          <w:trHeight w:val="438"/>
        </w:trPr>
        <w:tc>
          <w:tcPr>
            <w:tcW w:w="3960" w:type="dxa"/>
            <w:tcBorders>
              <w:top w:val="nil"/>
              <w:left w:val="nil"/>
              <w:bottom w:val="nil"/>
              <w:right w:val="nil"/>
            </w:tcBorders>
            <w:noWrap/>
            <w:vAlign w:val="bottom"/>
            <w:hideMark/>
          </w:tcPr>
          <w:p w14:paraId="269152E8" w14:textId="1FDFD312" w:rsidR="00642433" w:rsidRPr="00642433" w:rsidRDefault="00642433" w:rsidP="007206DF">
            <w:pPr>
              <w:keepNext/>
              <w:keepLines/>
              <w:spacing w:after="0" w:line="240" w:lineRule="auto"/>
              <w:rPr>
                <w:color w:val="000000"/>
                <w:lang w:eastAsia="en-US"/>
              </w:rPr>
            </w:pPr>
            <w:r w:rsidRPr="00642433">
              <w:rPr>
                <w:color w:val="000000"/>
                <w:lang w:eastAsia="en-US"/>
              </w:rPr>
              <w:t xml:space="preserve">     Stride frequency (strides</w:t>
            </w:r>
            <w:r w:rsidR="00D07D85">
              <w:t>·</w:t>
            </w:r>
            <w:r w:rsidRPr="00642433">
              <w:rPr>
                <w:color w:val="000000"/>
                <w:lang w:eastAsia="en-US"/>
              </w:rPr>
              <w:t>s</w:t>
            </w:r>
            <w:r w:rsidR="00D07D85" w:rsidRPr="00CF3B83">
              <w:rPr>
                <w:color w:val="000000"/>
                <w:vertAlign w:val="superscript"/>
                <w:lang w:eastAsia="en-US"/>
              </w:rPr>
              <w:t>-</w:t>
            </w:r>
            <w:r w:rsidRPr="00CF3B83">
              <w:rPr>
                <w:color w:val="000000"/>
                <w:vertAlign w:val="superscript"/>
                <w:lang w:eastAsia="en-US"/>
              </w:rPr>
              <w:t>1</w:t>
            </w:r>
            <w:r w:rsidRPr="00642433">
              <w:rPr>
                <w:color w:val="000000"/>
                <w:lang w:eastAsia="en-US"/>
              </w:rPr>
              <w:t>)</w:t>
            </w:r>
          </w:p>
        </w:tc>
        <w:tc>
          <w:tcPr>
            <w:tcW w:w="1710" w:type="dxa"/>
            <w:tcBorders>
              <w:top w:val="nil"/>
              <w:left w:val="nil"/>
              <w:bottom w:val="nil"/>
              <w:right w:val="nil"/>
            </w:tcBorders>
            <w:noWrap/>
            <w:vAlign w:val="bottom"/>
            <w:hideMark/>
          </w:tcPr>
          <w:p w14:paraId="302649B4"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0.88 ± 0.08</w:t>
            </w:r>
          </w:p>
        </w:tc>
        <w:tc>
          <w:tcPr>
            <w:tcW w:w="1710" w:type="dxa"/>
            <w:tcBorders>
              <w:top w:val="nil"/>
              <w:left w:val="nil"/>
              <w:bottom w:val="nil"/>
              <w:right w:val="nil"/>
            </w:tcBorders>
            <w:noWrap/>
            <w:vAlign w:val="bottom"/>
            <w:hideMark/>
          </w:tcPr>
          <w:p w14:paraId="47E63EF1"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0.87 ± 0.07</w:t>
            </w:r>
          </w:p>
        </w:tc>
        <w:tc>
          <w:tcPr>
            <w:tcW w:w="1710" w:type="dxa"/>
            <w:tcBorders>
              <w:top w:val="nil"/>
              <w:left w:val="nil"/>
              <w:bottom w:val="nil"/>
              <w:right w:val="nil"/>
            </w:tcBorders>
            <w:noWrap/>
            <w:vAlign w:val="bottom"/>
            <w:hideMark/>
          </w:tcPr>
          <w:p w14:paraId="67097CC0"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0.88 ± 0.06</w:t>
            </w:r>
          </w:p>
        </w:tc>
        <w:tc>
          <w:tcPr>
            <w:tcW w:w="1675" w:type="dxa"/>
            <w:tcBorders>
              <w:top w:val="nil"/>
              <w:left w:val="nil"/>
              <w:bottom w:val="nil"/>
              <w:right w:val="nil"/>
            </w:tcBorders>
            <w:noWrap/>
            <w:vAlign w:val="bottom"/>
            <w:hideMark/>
          </w:tcPr>
          <w:p w14:paraId="7203C822"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0.88 ± 0.06</w:t>
            </w:r>
          </w:p>
        </w:tc>
      </w:tr>
      <w:tr w:rsidR="00D07D85" w:rsidRPr="00642433" w14:paraId="307D05B8" w14:textId="77777777" w:rsidTr="00CF3B83">
        <w:trPr>
          <w:trHeight w:val="438"/>
        </w:trPr>
        <w:tc>
          <w:tcPr>
            <w:tcW w:w="3960" w:type="dxa"/>
            <w:tcBorders>
              <w:top w:val="nil"/>
              <w:left w:val="nil"/>
              <w:bottom w:val="single" w:sz="4" w:space="0" w:color="auto"/>
              <w:right w:val="nil"/>
            </w:tcBorders>
            <w:noWrap/>
            <w:vAlign w:val="bottom"/>
            <w:hideMark/>
          </w:tcPr>
          <w:p w14:paraId="27D959DA" w14:textId="47F93AF1" w:rsidR="00642433" w:rsidRPr="00642433" w:rsidRDefault="00642433" w:rsidP="007206DF">
            <w:pPr>
              <w:keepNext/>
              <w:keepLines/>
              <w:spacing w:after="0" w:line="240" w:lineRule="auto"/>
              <w:rPr>
                <w:color w:val="000000"/>
                <w:lang w:eastAsia="en-US"/>
              </w:rPr>
            </w:pPr>
            <w:r w:rsidRPr="00642433">
              <w:rPr>
                <w:color w:val="000000"/>
                <w:lang w:eastAsia="en-US"/>
              </w:rPr>
              <w:t xml:space="preserve">     Stride velocity (m</w:t>
            </w:r>
            <w:r w:rsidR="00D07D85">
              <w:t>·</w:t>
            </w:r>
            <w:r w:rsidRPr="00642433">
              <w:rPr>
                <w:color w:val="000000"/>
                <w:lang w:eastAsia="en-US"/>
              </w:rPr>
              <w:t>s</w:t>
            </w:r>
            <w:r w:rsidRPr="00CF3B83">
              <w:rPr>
                <w:color w:val="000000"/>
                <w:vertAlign w:val="superscript"/>
                <w:lang w:eastAsia="en-US"/>
              </w:rPr>
              <w:t>-1</w:t>
            </w:r>
            <w:r w:rsidRPr="00642433">
              <w:rPr>
                <w:color w:val="000000"/>
                <w:lang w:eastAsia="en-US"/>
              </w:rPr>
              <w:t>)</w:t>
            </w:r>
          </w:p>
        </w:tc>
        <w:tc>
          <w:tcPr>
            <w:tcW w:w="1710" w:type="dxa"/>
            <w:tcBorders>
              <w:top w:val="nil"/>
              <w:left w:val="nil"/>
              <w:bottom w:val="single" w:sz="4" w:space="0" w:color="auto"/>
              <w:right w:val="nil"/>
            </w:tcBorders>
            <w:noWrap/>
            <w:vAlign w:val="bottom"/>
            <w:hideMark/>
          </w:tcPr>
          <w:p w14:paraId="5858CAAC"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1.20 ± 0.20</w:t>
            </w:r>
          </w:p>
        </w:tc>
        <w:tc>
          <w:tcPr>
            <w:tcW w:w="1710" w:type="dxa"/>
            <w:tcBorders>
              <w:top w:val="nil"/>
              <w:left w:val="nil"/>
              <w:bottom w:val="single" w:sz="4" w:space="0" w:color="auto"/>
              <w:right w:val="nil"/>
            </w:tcBorders>
            <w:noWrap/>
            <w:vAlign w:val="bottom"/>
            <w:hideMark/>
          </w:tcPr>
          <w:p w14:paraId="61641774"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1.18 ± 0.19</w:t>
            </w:r>
          </w:p>
        </w:tc>
        <w:tc>
          <w:tcPr>
            <w:tcW w:w="1710" w:type="dxa"/>
            <w:tcBorders>
              <w:top w:val="nil"/>
              <w:left w:val="nil"/>
              <w:bottom w:val="single" w:sz="4" w:space="0" w:color="auto"/>
              <w:right w:val="nil"/>
            </w:tcBorders>
            <w:noWrap/>
            <w:vAlign w:val="bottom"/>
            <w:hideMark/>
          </w:tcPr>
          <w:p w14:paraId="57E4975A"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1.19 ± 0.20</w:t>
            </w:r>
          </w:p>
        </w:tc>
        <w:tc>
          <w:tcPr>
            <w:tcW w:w="1675" w:type="dxa"/>
            <w:tcBorders>
              <w:top w:val="nil"/>
              <w:left w:val="nil"/>
              <w:bottom w:val="single" w:sz="4" w:space="0" w:color="auto"/>
              <w:right w:val="nil"/>
            </w:tcBorders>
            <w:noWrap/>
            <w:vAlign w:val="bottom"/>
            <w:hideMark/>
          </w:tcPr>
          <w:p w14:paraId="778F4C35" w14:textId="77777777" w:rsidR="00642433" w:rsidRPr="00642433" w:rsidRDefault="00642433" w:rsidP="007206DF">
            <w:pPr>
              <w:keepNext/>
              <w:keepLines/>
              <w:spacing w:after="0" w:line="240" w:lineRule="auto"/>
              <w:jc w:val="center"/>
              <w:rPr>
                <w:color w:val="000000"/>
                <w:lang w:eastAsia="en-US"/>
              </w:rPr>
            </w:pPr>
            <w:r w:rsidRPr="00642433">
              <w:rPr>
                <w:color w:val="000000"/>
                <w:lang w:eastAsia="en-US"/>
              </w:rPr>
              <w:t>1.17 ± 0.22</w:t>
            </w:r>
          </w:p>
        </w:tc>
      </w:tr>
      <w:tr w:rsidR="00D07D85" w:rsidRPr="00642433" w14:paraId="60BC8333" w14:textId="77777777" w:rsidTr="00CF3B83">
        <w:trPr>
          <w:trHeight w:val="438"/>
        </w:trPr>
        <w:tc>
          <w:tcPr>
            <w:tcW w:w="10765" w:type="dxa"/>
            <w:gridSpan w:val="5"/>
            <w:tcBorders>
              <w:top w:val="single" w:sz="4" w:space="0" w:color="auto"/>
              <w:left w:val="nil"/>
              <w:bottom w:val="nil"/>
              <w:right w:val="nil"/>
            </w:tcBorders>
            <w:noWrap/>
            <w:vAlign w:val="bottom"/>
            <w:hideMark/>
          </w:tcPr>
          <w:p w14:paraId="68F6D7AA" w14:textId="6F696834" w:rsidR="00642433" w:rsidRPr="00642433" w:rsidRDefault="00642433" w:rsidP="007206DF">
            <w:pPr>
              <w:keepNext/>
              <w:keepLines/>
              <w:spacing w:after="0" w:line="240" w:lineRule="auto"/>
              <w:rPr>
                <w:color w:val="000000"/>
                <w:lang w:eastAsia="en-US"/>
              </w:rPr>
            </w:pPr>
            <w:r w:rsidRPr="00642433">
              <w:rPr>
                <w:color w:val="000000"/>
                <w:lang w:eastAsia="en-US"/>
              </w:rPr>
              <w:t>BL, baseline; CON, control; HWI, hot water immersion. *</w:t>
            </w:r>
            <w:r w:rsidRPr="00642433">
              <w:rPr>
                <w:i/>
                <w:iCs/>
                <w:color w:val="000000"/>
                <w:lang w:eastAsia="en-US"/>
              </w:rPr>
              <w:t xml:space="preserve">P </w:t>
            </w:r>
            <w:r w:rsidRPr="00642433">
              <w:rPr>
                <w:color w:val="000000"/>
                <w:lang w:eastAsia="en-US"/>
              </w:rPr>
              <w:t xml:space="preserve">&lt; 0.05 significant main effect of </w:t>
            </w:r>
            <w:r w:rsidR="00A318DC">
              <w:rPr>
                <w:color w:val="000000"/>
                <w:lang w:eastAsia="en-US"/>
              </w:rPr>
              <w:t>condition</w:t>
            </w:r>
            <w:r w:rsidR="00773B89">
              <w:rPr>
                <w:color w:val="000000"/>
                <w:lang w:eastAsia="en-US"/>
              </w:rPr>
              <w:t xml:space="preserve"> for knee extension power</w:t>
            </w:r>
            <w:r w:rsidRPr="00642433">
              <w:rPr>
                <w:color w:val="000000"/>
                <w:lang w:eastAsia="en-US"/>
              </w:rPr>
              <w:t>.</w:t>
            </w:r>
          </w:p>
        </w:tc>
      </w:tr>
    </w:tbl>
    <w:p w14:paraId="32B511B1" w14:textId="77777777" w:rsidR="00642433" w:rsidRPr="00064581" w:rsidRDefault="00642433" w:rsidP="000D7A93">
      <w:pPr>
        <w:shd w:val="clear" w:color="auto" w:fill="FFFFFF"/>
        <w:spacing w:after="0" w:line="480" w:lineRule="auto"/>
        <w:jc w:val="both"/>
      </w:pPr>
    </w:p>
    <w:p w14:paraId="092E75F7" w14:textId="77777777" w:rsidR="00F4306B" w:rsidRDefault="00F4306B">
      <w:pPr>
        <w:shd w:val="clear" w:color="auto" w:fill="FFFFFF"/>
        <w:spacing w:after="0" w:line="480" w:lineRule="auto"/>
        <w:jc w:val="both"/>
        <w:rPr>
          <w:bCs/>
        </w:rPr>
      </w:pPr>
    </w:p>
    <w:p w14:paraId="718B8C89" w14:textId="4567E9ED" w:rsidR="003C5566" w:rsidRPr="00064581" w:rsidRDefault="00E14F39">
      <w:pPr>
        <w:shd w:val="clear" w:color="auto" w:fill="FFFFFF"/>
        <w:spacing w:after="0" w:line="480" w:lineRule="auto"/>
        <w:jc w:val="both"/>
        <w:rPr>
          <w:b/>
        </w:rPr>
      </w:pPr>
      <w:r w:rsidRPr="00064581">
        <w:rPr>
          <w:b/>
        </w:rPr>
        <w:t>Physical activity</w:t>
      </w:r>
      <w:r w:rsidR="006E6DB3">
        <w:rPr>
          <w:b/>
        </w:rPr>
        <w:t xml:space="preserve"> levels</w:t>
      </w:r>
    </w:p>
    <w:p w14:paraId="3CEDF576" w14:textId="19A92281" w:rsidR="00482913" w:rsidRDefault="001B3D17" w:rsidP="00482913">
      <w:pPr>
        <w:shd w:val="clear" w:color="auto" w:fill="FFFFFF"/>
        <w:spacing w:after="0" w:line="480" w:lineRule="auto"/>
        <w:jc w:val="both"/>
      </w:pPr>
      <w:r>
        <w:t>Repeated</w:t>
      </w:r>
      <w:r w:rsidR="00E14F39">
        <w:t xml:space="preserve"> HWI had no effect on</w:t>
      </w:r>
      <w:r w:rsidR="002B5A5F">
        <w:t xml:space="preserve"> </w:t>
      </w:r>
      <w:r w:rsidR="00636168">
        <w:t>total PA (</w:t>
      </w:r>
      <w:r w:rsidR="00F859C4">
        <w:t xml:space="preserve">interaction: mean difference: -26.92 </w:t>
      </w:r>
      <w:r w:rsidR="00F859C4">
        <w:rPr>
          <w:color w:val="000000"/>
          <w:lang w:eastAsia="en-US"/>
        </w:rPr>
        <w:t>min</w:t>
      </w:r>
      <w:r w:rsidR="00F859C4">
        <w:t xml:space="preserve">; 95% CI: -75.50 – 21.66; </w:t>
      </w:r>
      <w:r w:rsidR="00636168" w:rsidRPr="00A055A6">
        <w:rPr>
          <w:i/>
        </w:rPr>
        <w:t>F</w:t>
      </w:r>
      <w:r w:rsidR="00636168" w:rsidRPr="00A055A6">
        <w:rPr>
          <w:vertAlign w:val="subscript"/>
        </w:rPr>
        <w:t>(1,</w:t>
      </w:r>
      <w:r w:rsidR="00636168">
        <w:rPr>
          <w:vertAlign w:val="subscript"/>
        </w:rPr>
        <w:t>22.244</w:t>
      </w:r>
      <w:r w:rsidR="00636168" w:rsidRPr="00A055A6">
        <w:rPr>
          <w:vertAlign w:val="subscript"/>
        </w:rPr>
        <w:t>)</w:t>
      </w:r>
      <w:r w:rsidR="00636168">
        <w:t xml:space="preserve"> = 1.319, </w:t>
      </w:r>
      <w:r w:rsidR="00636168" w:rsidRPr="00E65854">
        <w:rPr>
          <w:i/>
        </w:rPr>
        <w:t>P</w:t>
      </w:r>
      <w:r w:rsidR="00636168">
        <w:t xml:space="preserve"> = 0.263, </w:t>
      </w:r>
      <w:r w:rsidR="00636168" w:rsidRPr="00B80E03">
        <w:t>η</w:t>
      </w:r>
      <w:r w:rsidR="00636168" w:rsidRPr="00A055A6">
        <w:rPr>
          <w:vertAlign w:val="superscript"/>
        </w:rPr>
        <w:t>2</w:t>
      </w:r>
      <w:r w:rsidR="00636168" w:rsidRPr="00A055A6">
        <w:rPr>
          <w:vertAlign w:val="subscript"/>
        </w:rPr>
        <w:t>p</w:t>
      </w:r>
      <w:r w:rsidR="00636168">
        <w:t xml:space="preserve"> = 0.</w:t>
      </w:r>
      <w:r w:rsidR="00AA3F3B">
        <w:t>056</w:t>
      </w:r>
      <w:r w:rsidR="00636168">
        <w:t>), light intensity PA (</w:t>
      </w:r>
      <w:r w:rsidR="00F859C4">
        <w:t>mean difference: -26.</w:t>
      </w:r>
      <w:r w:rsidR="003F07F8">
        <w:t>73</w:t>
      </w:r>
      <w:r w:rsidR="00F859C4">
        <w:t xml:space="preserve"> </w:t>
      </w:r>
      <w:r w:rsidR="00F859C4">
        <w:rPr>
          <w:color w:val="000000"/>
          <w:lang w:eastAsia="en-US"/>
        </w:rPr>
        <w:t>min</w:t>
      </w:r>
      <w:r w:rsidR="00F859C4">
        <w:t>; 95% CI: -</w:t>
      </w:r>
      <w:r w:rsidR="003F07F8">
        <w:t>56.61</w:t>
      </w:r>
      <w:r w:rsidR="00F859C4">
        <w:t xml:space="preserve"> – </w:t>
      </w:r>
      <w:r w:rsidR="003F07F8">
        <w:t>3.15</w:t>
      </w:r>
      <w:r w:rsidR="00F859C4">
        <w:t xml:space="preserve">; </w:t>
      </w:r>
      <w:r w:rsidR="00636168" w:rsidRPr="00A055A6">
        <w:rPr>
          <w:i/>
        </w:rPr>
        <w:t>F</w:t>
      </w:r>
      <w:r w:rsidR="00636168" w:rsidRPr="00A055A6">
        <w:rPr>
          <w:vertAlign w:val="subscript"/>
        </w:rPr>
        <w:t>(1,</w:t>
      </w:r>
      <w:r w:rsidR="00930B65">
        <w:rPr>
          <w:vertAlign w:val="subscript"/>
        </w:rPr>
        <w:t>22.222</w:t>
      </w:r>
      <w:r w:rsidR="00636168" w:rsidRPr="00A055A6">
        <w:rPr>
          <w:vertAlign w:val="subscript"/>
        </w:rPr>
        <w:t>)</w:t>
      </w:r>
      <w:r w:rsidR="00636168">
        <w:t xml:space="preserve"> = 3.</w:t>
      </w:r>
      <w:r w:rsidR="00930B65">
        <w:t>437</w:t>
      </w:r>
      <w:r w:rsidR="00636168">
        <w:t xml:space="preserve">, </w:t>
      </w:r>
      <w:r w:rsidR="00636168" w:rsidRPr="00E65854">
        <w:rPr>
          <w:i/>
        </w:rPr>
        <w:t>P</w:t>
      </w:r>
      <w:r w:rsidR="00636168">
        <w:t xml:space="preserve"> = 0.</w:t>
      </w:r>
      <w:r w:rsidR="00930B65">
        <w:t>077</w:t>
      </w:r>
      <w:r w:rsidR="00636168">
        <w:t xml:space="preserve">, </w:t>
      </w:r>
      <w:r w:rsidR="00636168" w:rsidRPr="00B80E03">
        <w:t>η</w:t>
      </w:r>
      <w:r w:rsidR="00636168" w:rsidRPr="00A055A6">
        <w:rPr>
          <w:vertAlign w:val="superscript"/>
        </w:rPr>
        <w:t>2</w:t>
      </w:r>
      <w:r w:rsidR="00636168" w:rsidRPr="00A055A6">
        <w:rPr>
          <w:vertAlign w:val="subscript"/>
        </w:rPr>
        <w:t>p</w:t>
      </w:r>
      <w:r w:rsidR="00636168">
        <w:t xml:space="preserve"> = 0.</w:t>
      </w:r>
      <w:r w:rsidR="00AA3F3B">
        <w:t>13</w:t>
      </w:r>
      <w:r w:rsidR="008B779A">
        <w:t>3</w:t>
      </w:r>
      <w:r w:rsidR="00636168">
        <w:t>), moderate to vigorous PA (</w:t>
      </w:r>
      <w:r w:rsidR="00F859C4">
        <w:t>mean difference: -</w:t>
      </w:r>
      <w:r w:rsidR="00765047">
        <w:t>0.16</w:t>
      </w:r>
      <w:r w:rsidR="00F859C4">
        <w:t xml:space="preserve"> </w:t>
      </w:r>
      <w:r w:rsidR="00F859C4">
        <w:rPr>
          <w:color w:val="000000"/>
          <w:lang w:eastAsia="en-US"/>
        </w:rPr>
        <w:t>min</w:t>
      </w:r>
      <w:r w:rsidR="00F859C4">
        <w:t>; 95% CI: -</w:t>
      </w:r>
      <w:r w:rsidR="00765047">
        <w:t>26.21</w:t>
      </w:r>
      <w:r w:rsidR="00F859C4">
        <w:t xml:space="preserve"> – </w:t>
      </w:r>
      <w:r w:rsidR="00765047">
        <w:t>25.89</w:t>
      </w:r>
      <w:r w:rsidR="00F859C4">
        <w:t xml:space="preserve">; </w:t>
      </w:r>
      <w:r w:rsidR="00636168" w:rsidRPr="00A055A6">
        <w:rPr>
          <w:i/>
        </w:rPr>
        <w:t>F</w:t>
      </w:r>
      <w:r w:rsidR="00636168" w:rsidRPr="00A055A6">
        <w:rPr>
          <w:vertAlign w:val="subscript"/>
        </w:rPr>
        <w:t>(1,</w:t>
      </w:r>
      <w:r w:rsidR="00636168">
        <w:rPr>
          <w:vertAlign w:val="subscript"/>
        </w:rPr>
        <w:t>22.340</w:t>
      </w:r>
      <w:r w:rsidR="00636168" w:rsidRPr="00A055A6">
        <w:rPr>
          <w:vertAlign w:val="subscript"/>
        </w:rPr>
        <w:t>)</w:t>
      </w:r>
      <w:r w:rsidR="00636168">
        <w:t xml:space="preserve"> = 0.000, </w:t>
      </w:r>
      <w:r w:rsidR="00636168" w:rsidRPr="00E65854">
        <w:rPr>
          <w:i/>
        </w:rPr>
        <w:t>P</w:t>
      </w:r>
      <w:r w:rsidR="00636168">
        <w:t xml:space="preserve"> = 0.990, </w:t>
      </w:r>
      <w:r w:rsidR="00636168" w:rsidRPr="00B80E03">
        <w:t>η</w:t>
      </w:r>
      <w:r w:rsidR="00636168" w:rsidRPr="00A055A6">
        <w:rPr>
          <w:vertAlign w:val="superscript"/>
        </w:rPr>
        <w:t>2</w:t>
      </w:r>
      <w:r w:rsidR="00636168" w:rsidRPr="00A055A6">
        <w:rPr>
          <w:vertAlign w:val="subscript"/>
        </w:rPr>
        <w:t>p</w:t>
      </w:r>
      <w:r w:rsidR="00636168">
        <w:t xml:space="preserve"> = 0.</w:t>
      </w:r>
      <w:r w:rsidR="00AA3F3B">
        <w:t>000</w:t>
      </w:r>
      <w:r w:rsidR="00636168">
        <w:t xml:space="preserve">) or </w:t>
      </w:r>
      <w:r w:rsidR="00636168">
        <w:lastRenderedPageBreak/>
        <w:t>total inactivity (</w:t>
      </w:r>
      <w:r w:rsidR="00F859C4">
        <w:t>mean difference: -</w:t>
      </w:r>
      <w:r w:rsidR="00765047">
        <w:t>24.79</w:t>
      </w:r>
      <w:r w:rsidR="00F859C4">
        <w:t xml:space="preserve"> </w:t>
      </w:r>
      <w:r w:rsidR="00F859C4">
        <w:rPr>
          <w:color w:val="000000"/>
          <w:lang w:eastAsia="en-US"/>
        </w:rPr>
        <w:t>min</w:t>
      </w:r>
      <w:r w:rsidR="00F859C4">
        <w:t>; 95% CI: -</w:t>
      </w:r>
      <w:r w:rsidR="00765047">
        <w:t>42.89</w:t>
      </w:r>
      <w:r w:rsidR="00F859C4">
        <w:t xml:space="preserve"> – </w:t>
      </w:r>
      <w:r w:rsidR="00765047">
        <w:t>92.47</w:t>
      </w:r>
      <w:r w:rsidR="00F859C4">
        <w:t xml:space="preserve">; </w:t>
      </w:r>
      <w:r w:rsidR="00636168" w:rsidRPr="00A055A6">
        <w:rPr>
          <w:i/>
        </w:rPr>
        <w:t>F</w:t>
      </w:r>
      <w:r w:rsidR="00636168" w:rsidRPr="00A055A6">
        <w:rPr>
          <w:vertAlign w:val="subscript"/>
        </w:rPr>
        <w:t>(1,</w:t>
      </w:r>
      <w:r w:rsidR="00636168">
        <w:rPr>
          <w:vertAlign w:val="subscript"/>
        </w:rPr>
        <w:t>22.723</w:t>
      </w:r>
      <w:r w:rsidR="00636168" w:rsidRPr="00A055A6">
        <w:rPr>
          <w:vertAlign w:val="subscript"/>
        </w:rPr>
        <w:t>)</w:t>
      </w:r>
      <w:r w:rsidR="00636168">
        <w:t xml:space="preserve"> = 0.575, </w:t>
      </w:r>
      <w:r w:rsidR="00636168" w:rsidRPr="00E65854">
        <w:rPr>
          <w:i/>
        </w:rPr>
        <w:t>P</w:t>
      </w:r>
      <w:r w:rsidR="00636168">
        <w:t xml:space="preserve"> = 0.456, </w:t>
      </w:r>
      <w:r w:rsidR="00636168" w:rsidRPr="00B80E03">
        <w:t>η</w:t>
      </w:r>
      <w:r w:rsidR="00636168" w:rsidRPr="00A055A6">
        <w:rPr>
          <w:vertAlign w:val="superscript"/>
        </w:rPr>
        <w:t>2</w:t>
      </w:r>
      <w:r w:rsidR="00636168" w:rsidRPr="00A055A6">
        <w:rPr>
          <w:vertAlign w:val="subscript"/>
        </w:rPr>
        <w:t>p</w:t>
      </w:r>
      <w:r w:rsidR="00636168">
        <w:t xml:space="preserve"> = 0.</w:t>
      </w:r>
      <w:r w:rsidR="00636168" w:rsidRPr="006A75F3">
        <w:t>02</w:t>
      </w:r>
      <w:r w:rsidR="00AA3F3B">
        <w:t>5</w:t>
      </w:r>
      <w:r w:rsidR="00636168">
        <w:t>).</w:t>
      </w:r>
    </w:p>
    <w:p w14:paraId="70C579A9" w14:textId="089D603F" w:rsidR="00B451BC" w:rsidRDefault="00761D6E" w:rsidP="00482913">
      <w:pPr>
        <w:shd w:val="clear" w:color="auto" w:fill="FFFFFF"/>
        <w:spacing w:after="0" w:line="480" w:lineRule="auto"/>
        <w:jc w:val="both"/>
      </w:pPr>
      <w:r w:rsidRPr="00761D6E">
        <w:t xml:space="preserve"> </w:t>
      </w:r>
      <w:r w:rsidR="00AF7013">
        <w:object w:dxaOrig="14990" w:dyaOrig="11083" w14:anchorId="2356C39F">
          <v:shape id="_x0000_i1026" type="#_x0000_t75" style="width:468pt;height:345.75pt" o:ole="">
            <v:imagedata r:id="rId12" o:title=""/>
          </v:shape>
          <o:OLEObject Type="Embed" ProgID="Prism10.Document" ShapeID="_x0000_i1026" DrawAspect="Content" ObjectID="_1836574258" r:id="rId13"/>
        </w:object>
      </w:r>
    </w:p>
    <w:p w14:paraId="2CA32267" w14:textId="07ABB62F" w:rsidR="00761D6E" w:rsidRDefault="00761D6E" w:rsidP="00761D6E">
      <w:pPr>
        <w:shd w:val="clear" w:color="auto" w:fill="FFFFFF"/>
        <w:spacing w:after="0" w:line="480" w:lineRule="auto"/>
        <w:jc w:val="both"/>
        <w:rPr>
          <w:sz w:val="20"/>
        </w:rPr>
      </w:pPr>
      <w:r w:rsidRPr="00CF3B83">
        <w:rPr>
          <w:b/>
          <w:bCs/>
          <w:sz w:val="20"/>
        </w:rPr>
        <w:t xml:space="preserve">Figure </w:t>
      </w:r>
      <w:r w:rsidR="008F6A95">
        <w:rPr>
          <w:b/>
          <w:bCs/>
          <w:sz w:val="20"/>
        </w:rPr>
        <w:t>4</w:t>
      </w:r>
      <w:r w:rsidR="003656CD">
        <w:rPr>
          <w:sz w:val="20"/>
        </w:rPr>
        <w:t>. Physical</w:t>
      </w:r>
      <w:r>
        <w:rPr>
          <w:sz w:val="20"/>
        </w:rPr>
        <w:t xml:space="preserve"> activity accelerometry data.</w:t>
      </w:r>
    </w:p>
    <w:p w14:paraId="096B94F3" w14:textId="6430D045" w:rsidR="00761D6E" w:rsidRPr="00FE283D" w:rsidRDefault="00AF7013" w:rsidP="00761D6E">
      <w:pPr>
        <w:jc w:val="both"/>
        <w:rPr>
          <w:sz w:val="20"/>
          <w:szCs w:val="20"/>
        </w:rPr>
      </w:pPr>
      <w:r>
        <w:rPr>
          <w:sz w:val="20"/>
          <w:szCs w:val="20"/>
        </w:rPr>
        <w:t>I</w:t>
      </w:r>
      <w:r w:rsidR="006A273C">
        <w:rPr>
          <w:sz w:val="20"/>
          <w:szCs w:val="20"/>
        </w:rPr>
        <w:t xml:space="preserve">ndividual data points </w:t>
      </w:r>
      <w:r>
        <w:rPr>
          <w:sz w:val="20"/>
          <w:szCs w:val="20"/>
        </w:rPr>
        <w:t xml:space="preserve">with means and 95% confidence intervals </w:t>
      </w:r>
      <w:r w:rsidR="00761D6E" w:rsidRPr="00FE283D">
        <w:rPr>
          <w:sz w:val="20"/>
          <w:szCs w:val="20"/>
        </w:rPr>
        <w:t xml:space="preserve">for </w:t>
      </w:r>
      <w:r w:rsidR="00761D6E">
        <w:rPr>
          <w:sz w:val="20"/>
          <w:szCs w:val="20"/>
        </w:rPr>
        <w:t xml:space="preserve">accelerometry data for </w:t>
      </w:r>
      <w:r w:rsidR="00761D6E" w:rsidRPr="00FE283D">
        <w:rPr>
          <w:sz w:val="20"/>
          <w:szCs w:val="20"/>
        </w:rPr>
        <w:t>A)</w:t>
      </w:r>
      <w:r w:rsidR="00761D6E">
        <w:rPr>
          <w:sz w:val="20"/>
          <w:szCs w:val="20"/>
        </w:rPr>
        <w:t xml:space="preserve"> </w:t>
      </w:r>
      <w:r w:rsidR="004C2E9A">
        <w:rPr>
          <w:sz w:val="20"/>
          <w:szCs w:val="20"/>
        </w:rPr>
        <w:t xml:space="preserve">total </w:t>
      </w:r>
      <w:r w:rsidR="00761D6E">
        <w:rPr>
          <w:sz w:val="20"/>
          <w:szCs w:val="20"/>
        </w:rPr>
        <w:t xml:space="preserve">physical activity, </w:t>
      </w:r>
      <w:r w:rsidR="00761D6E" w:rsidRPr="00FE283D">
        <w:rPr>
          <w:sz w:val="20"/>
          <w:szCs w:val="20"/>
        </w:rPr>
        <w:t>B)</w:t>
      </w:r>
      <w:r w:rsidR="00761D6E">
        <w:rPr>
          <w:sz w:val="20"/>
          <w:szCs w:val="20"/>
        </w:rPr>
        <w:t xml:space="preserve"> </w:t>
      </w:r>
      <w:r w:rsidR="004C2E9A">
        <w:rPr>
          <w:sz w:val="20"/>
          <w:szCs w:val="20"/>
        </w:rPr>
        <w:t xml:space="preserve">light </w:t>
      </w:r>
      <w:r w:rsidR="003656CD">
        <w:rPr>
          <w:sz w:val="20"/>
          <w:szCs w:val="20"/>
        </w:rPr>
        <w:t>physical activity</w:t>
      </w:r>
      <w:r w:rsidR="00761D6E">
        <w:rPr>
          <w:sz w:val="20"/>
          <w:szCs w:val="20"/>
        </w:rPr>
        <w:t xml:space="preserve">, C) </w:t>
      </w:r>
      <w:r w:rsidR="004C2E9A">
        <w:rPr>
          <w:sz w:val="20"/>
          <w:szCs w:val="20"/>
        </w:rPr>
        <w:t xml:space="preserve">moderate to vigorous </w:t>
      </w:r>
      <w:r w:rsidR="003656CD">
        <w:rPr>
          <w:sz w:val="20"/>
          <w:szCs w:val="20"/>
        </w:rPr>
        <w:t xml:space="preserve">inactivity, and D) total </w:t>
      </w:r>
      <w:r w:rsidR="004C2E9A">
        <w:rPr>
          <w:sz w:val="20"/>
          <w:szCs w:val="20"/>
        </w:rPr>
        <w:t>in</w:t>
      </w:r>
      <w:r w:rsidR="003656CD">
        <w:rPr>
          <w:sz w:val="20"/>
          <w:szCs w:val="20"/>
        </w:rPr>
        <w:t xml:space="preserve">activity </w:t>
      </w:r>
      <w:bookmarkStart w:id="6" w:name="_Hlk215340886"/>
      <w:r w:rsidR="00761D6E" w:rsidRPr="00FE283D">
        <w:rPr>
          <w:sz w:val="20"/>
          <w:szCs w:val="20"/>
        </w:rPr>
        <w:t>(</w:t>
      </w:r>
      <w:r w:rsidR="00761D6E" w:rsidRPr="00FE283D">
        <w:rPr>
          <w:i/>
          <w:sz w:val="20"/>
          <w:szCs w:val="20"/>
        </w:rPr>
        <w:t>n</w:t>
      </w:r>
      <w:r w:rsidR="00761D6E" w:rsidRPr="00FE283D">
        <w:rPr>
          <w:sz w:val="20"/>
          <w:szCs w:val="20"/>
        </w:rPr>
        <w:t xml:space="preserve"> = 1</w:t>
      </w:r>
      <w:r w:rsidR="003656CD">
        <w:rPr>
          <w:sz w:val="20"/>
          <w:szCs w:val="20"/>
        </w:rPr>
        <w:t>0</w:t>
      </w:r>
      <w:r w:rsidR="00761D6E" w:rsidRPr="00FE283D">
        <w:rPr>
          <w:sz w:val="20"/>
          <w:szCs w:val="20"/>
        </w:rPr>
        <w:t>)</w:t>
      </w:r>
      <w:r w:rsidR="00857873">
        <w:rPr>
          <w:sz w:val="20"/>
          <w:szCs w:val="20"/>
        </w:rPr>
        <w:t xml:space="preserve"> </w:t>
      </w:r>
      <w:bookmarkEnd w:id="6"/>
      <w:r w:rsidR="00857873">
        <w:rPr>
          <w:sz w:val="20"/>
          <w:szCs w:val="20"/>
        </w:rPr>
        <w:t>at baseline (BL) and post for control (CON) and hot water immersion arm</w:t>
      </w:r>
      <w:r w:rsidR="000D7A93">
        <w:rPr>
          <w:sz w:val="20"/>
          <w:szCs w:val="20"/>
        </w:rPr>
        <w:t>s</w:t>
      </w:r>
      <w:r w:rsidR="00857873">
        <w:rPr>
          <w:sz w:val="20"/>
          <w:szCs w:val="20"/>
        </w:rPr>
        <w:t xml:space="preserve"> (</w:t>
      </w:r>
      <w:r w:rsidR="00857873" w:rsidRPr="00FE283D">
        <w:rPr>
          <w:sz w:val="20"/>
          <w:szCs w:val="20"/>
        </w:rPr>
        <w:t>HWI</w:t>
      </w:r>
      <w:r w:rsidR="00857873">
        <w:rPr>
          <w:sz w:val="20"/>
          <w:szCs w:val="20"/>
        </w:rPr>
        <w:t>).</w:t>
      </w:r>
      <w:r w:rsidR="00857873" w:rsidRPr="00FE283D">
        <w:rPr>
          <w:sz w:val="20"/>
          <w:szCs w:val="20"/>
        </w:rPr>
        <w:t xml:space="preserve"> </w:t>
      </w:r>
      <w:r>
        <w:rPr>
          <w:sz w:val="20"/>
          <w:szCs w:val="20"/>
        </w:rPr>
        <w:t>O</w:t>
      </w:r>
      <w:r w:rsidR="00927B7F">
        <w:rPr>
          <w:sz w:val="20"/>
          <w:szCs w:val="20"/>
        </w:rPr>
        <w:t xml:space="preserve">pen circles </w:t>
      </w:r>
      <w:r w:rsidR="00927B7F" w:rsidRPr="00FE283D">
        <w:rPr>
          <w:sz w:val="20"/>
          <w:szCs w:val="20"/>
        </w:rPr>
        <w:t xml:space="preserve">represent pre-HWI and </w:t>
      </w:r>
      <w:r w:rsidR="00927B7F">
        <w:rPr>
          <w:sz w:val="20"/>
          <w:szCs w:val="20"/>
        </w:rPr>
        <w:t xml:space="preserve">closed circles </w:t>
      </w:r>
      <w:r w:rsidR="00857873" w:rsidRPr="00FE283D">
        <w:rPr>
          <w:sz w:val="20"/>
          <w:szCs w:val="20"/>
        </w:rPr>
        <w:t xml:space="preserve">represent </w:t>
      </w:r>
      <w:r w:rsidR="00857873">
        <w:rPr>
          <w:sz w:val="20"/>
          <w:szCs w:val="20"/>
        </w:rPr>
        <w:t>the HWI arm</w:t>
      </w:r>
      <w:r w:rsidR="00857873" w:rsidRPr="00FE283D">
        <w:rPr>
          <w:sz w:val="20"/>
          <w:szCs w:val="20"/>
        </w:rPr>
        <w:t>.</w:t>
      </w:r>
      <w:r w:rsidR="00380382">
        <w:rPr>
          <w:sz w:val="20"/>
          <w:szCs w:val="20"/>
        </w:rPr>
        <w:t xml:space="preserve"> Data </w:t>
      </w:r>
      <w:r w:rsidR="00CB7687">
        <w:rPr>
          <w:sz w:val="20"/>
          <w:szCs w:val="20"/>
        </w:rPr>
        <w:t xml:space="preserve">were </w:t>
      </w:r>
      <w:proofErr w:type="spellStart"/>
      <w:r w:rsidR="00380382">
        <w:rPr>
          <w:sz w:val="20"/>
          <w:szCs w:val="20"/>
        </w:rPr>
        <w:t>analysed</w:t>
      </w:r>
      <w:proofErr w:type="spellEnd"/>
      <w:r w:rsidR="00380382">
        <w:rPr>
          <w:sz w:val="20"/>
          <w:szCs w:val="20"/>
        </w:rPr>
        <w:t xml:space="preserve"> using a two-way </w:t>
      </w:r>
      <w:r>
        <w:rPr>
          <w:sz w:val="20"/>
          <w:szCs w:val="20"/>
        </w:rPr>
        <w:t>linear mixed model</w:t>
      </w:r>
      <w:r w:rsidR="00380382">
        <w:rPr>
          <w:sz w:val="20"/>
          <w:szCs w:val="20"/>
        </w:rPr>
        <w:t>.</w:t>
      </w:r>
    </w:p>
    <w:p w14:paraId="02EA2469" w14:textId="77777777" w:rsidR="007B3CA5" w:rsidRDefault="007B3CA5">
      <w:pPr>
        <w:shd w:val="clear" w:color="auto" w:fill="FFFFFF"/>
        <w:spacing w:after="0" w:line="480" w:lineRule="auto"/>
        <w:jc w:val="both"/>
      </w:pPr>
    </w:p>
    <w:p w14:paraId="2E02F58F" w14:textId="77777777" w:rsidR="00AB6F19" w:rsidRPr="00064581" w:rsidRDefault="00AB6F19" w:rsidP="00AB6F19">
      <w:pPr>
        <w:shd w:val="clear" w:color="auto" w:fill="FFFFFF"/>
        <w:spacing w:after="0" w:line="480" w:lineRule="auto"/>
        <w:jc w:val="both"/>
        <w:rPr>
          <w:b/>
        </w:rPr>
      </w:pPr>
      <w:r>
        <w:rPr>
          <w:b/>
        </w:rPr>
        <w:t>DISCUSSION</w:t>
      </w:r>
    </w:p>
    <w:p w14:paraId="471A817B" w14:textId="4BAC8266" w:rsidR="00191017" w:rsidRDefault="00191017" w:rsidP="00191017">
      <w:pPr>
        <w:shd w:val="clear" w:color="auto" w:fill="FFFFFF"/>
        <w:spacing w:after="0" w:line="480" w:lineRule="auto"/>
        <w:jc w:val="both"/>
      </w:pPr>
      <w:r>
        <w:t>This is the first study to assess the effects of</w:t>
      </w:r>
      <w:r w:rsidR="00C544E3">
        <w:t xml:space="preserve"> six</w:t>
      </w:r>
      <w:r w:rsidR="00927B7F">
        <w:t xml:space="preserve"> </w:t>
      </w:r>
      <w:r w:rsidR="00C544E3">
        <w:t>weeks</w:t>
      </w:r>
      <w:r w:rsidR="005C6049">
        <w:t xml:space="preserve"> of</w:t>
      </w:r>
      <w:r>
        <w:t xml:space="preserve"> </w:t>
      </w:r>
      <w:r w:rsidR="001B3D17">
        <w:t xml:space="preserve">repeated </w:t>
      </w:r>
      <w:r>
        <w:t>HWI on strength, lower extremity power and function, and physical activity in healthy older adults. The principal novel findings of this study are that six</w:t>
      </w:r>
      <w:r w:rsidR="00827F1E">
        <w:t xml:space="preserve"> </w:t>
      </w:r>
      <w:r>
        <w:t>weeks</w:t>
      </w:r>
      <w:r w:rsidR="005C6049">
        <w:t xml:space="preserve"> of</w:t>
      </w:r>
      <w:r>
        <w:t xml:space="preserve"> </w:t>
      </w:r>
      <w:r w:rsidR="001B3D17">
        <w:t>repeated</w:t>
      </w:r>
      <w:r w:rsidR="001B3D17" w:rsidDel="001B3D17">
        <w:t xml:space="preserve"> </w:t>
      </w:r>
      <w:r>
        <w:t xml:space="preserve">HWI </w:t>
      </w:r>
      <w:r w:rsidR="008B50E3">
        <w:t xml:space="preserve">had </w:t>
      </w:r>
      <w:r w:rsidR="004E45E8">
        <w:t>did not improve</w:t>
      </w:r>
      <w:r w:rsidR="008B50E3">
        <w:t xml:space="preserve"> quadriceps </w:t>
      </w:r>
      <w:r w:rsidR="00927B7F">
        <w:t>strength</w:t>
      </w:r>
      <w:r w:rsidR="004E45E8">
        <w:t>,</w:t>
      </w:r>
      <w:r w:rsidR="001A5F91">
        <w:t xml:space="preserve"> </w:t>
      </w:r>
      <w:r w:rsidR="00544773">
        <w:lastRenderedPageBreak/>
        <w:t>grip strength,</w:t>
      </w:r>
      <w:r w:rsidR="00275784">
        <w:t xml:space="preserve"> </w:t>
      </w:r>
      <w:r>
        <w:t xml:space="preserve">performance in the SPPB, </w:t>
      </w:r>
      <w:r w:rsidR="00166F72">
        <w:t xml:space="preserve">knee power, </w:t>
      </w:r>
      <w:r>
        <w:t xml:space="preserve">gait characteristics or weekly physical activity quantities. </w:t>
      </w:r>
      <w:r w:rsidR="008A7BE9">
        <w:t xml:space="preserve">The results </w:t>
      </w:r>
      <w:r w:rsidR="00EB116E">
        <w:t xml:space="preserve">indicate </w:t>
      </w:r>
      <w:r w:rsidR="008A7BE9">
        <w:t xml:space="preserve">that HWI </w:t>
      </w:r>
      <w:r w:rsidR="002E4035">
        <w:t xml:space="preserve">does not </w:t>
      </w:r>
      <w:r w:rsidR="00A85910">
        <w:t>affect</w:t>
      </w:r>
      <w:r w:rsidR="002E4035">
        <w:t xml:space="preserve"> </w:t>
      </w:r>
      <w:r w:rsidR="00944C4D">
        <w:t xml:space="preserve">strength and </w:t>
      </w:r>
      <w:r w:rsidR="008C2990">
        <w:t>physical function in healthy</w:t>
      </w:r>
      <w:r w:rsidR="008A7BE9">
        <w:t xml:space="preserve"> older adults. </w:t>
      </w:r>
      <w:r w:rsidRPr="00BD6737">
        <w:t xml:space="preserve">Possible explanations for the lack of effect </w:t>
      </w:r>
      <w:r w:rsidR="00E06F44">
        <w:t>could</w:t>
      </w:r>
      <w:r w:rsidRPr="00BD6737">
        <w:t xml:space="preserve"> include </w:t>
      </w:r>
      <w:r>
        <w:t>the stimulus intensity, the length of intervention and baseline physical function in our study population</w:t>
      </w:r>
      <w:r w:rsidRPr="00BD6737">
        <w:t>.</w:t>
      </w:r>
    </w:p>
    <w:p w14:paraId="5EE6138A" w14:textId="77777777" w:rsidR="00191017" w:rsidRDefault="00191017" w:rsidP="00191017">
      <w:pPr>
        <w:shd w:val="clear" w:color="auto" w:fill="FFFFFF"/>
        <w:spacing w:after="0" w:line="480" w:lineRule="auto"/>
        <w:jc w:val="both"/>
        <w:rPr>
          <w:b/>
        </w:rPr>
      </w:pPr>
    </w:p>
    <w:p w14:paraId="3B887664" w14:textId="50351504" w:rsidR="00191017" w:rsidRDefault="00191017" w:rsidP="00191017">
      <w:pPr>
        <w:shd w:val="clear" w:color="auto" w:fill="FFFFFF"/>
        <w:spacing w:after="0" w:line="480" w:lineRule="auto"/>
        <w:jc w:val="both"/>
        <w:rPr>
          <w:b/>
        </w:rPr>
      </w:pPr>
      <w:r>
        <w:rPr>
          <w:b/>
        </w:rPr>
        <w:t xml:space="preserve">Strength </w:t>
      </w:r>
    </w:p>
    <w:p w14:paraId="42188858" w14:textId="2E1DAA5C" w:rsidR="004D2B03" w:rsidRDefault="005A2868" w:rsidP="004D2B03">
      <w:pPr>
        <w:shd w:val="clear" w:color="auto" w:fill="FFFFFF"/>
        <w:spacing w:after="0" w:line="480" w:lineRule="auto"/>
        <w:jc w:val="both"/>
      </w:pPr>
      <w:r>
        <w:t>Six weeks of</w:t>
      </w:r>
      <w:r w:rsidR="00191017">
        <w:t xml:space="preserve"> HWI had no effect on peak quadriceps torque</w:t>
      </w:r>
      <w:r w:rsidR="003859B6">
        <w:t xml:space="preserve"> in our cohort of healthy older adults</w:t>
      </w:r>
      <w:r w:rsidR="00191017">
        <w:t xml:space="preserve">. These findings are in contrast to previous </w:t>
      </w:r>
      <w:r w:rsidR="001B3D17">
        <w:t>repeated</w:t>
      </w:r>
      <w:r w:rsidR="00191017">
        <w:t xml:space="preserve"> PHT studies showing improvements in quadriceps strength in young, healthy </w:t>
      </w:r>
      <w:r w:rsidR="00191017">
        <w:fldChar w:fldCharType="begin"/>
      </w:r>
      <w:r w:rsidR="00AA5A2F">
        <w:instrText xml:space="preserve"> ADDIN ZOTERO_ITEM CSL_CITATION {"citationID":"QShwclGm","properties":{"formattedCitation":"(Kim {\\i{}et al.}, 2020)","plainCitation":"(Kim et al., 2020)","noteIndex":0},"citationItems":[{"id":925,"uris":["http://www.mendeley.com/documents/?uuid=50bb8128-007b-3326-a181-49fe9322c118","http://zotero.org/users/17561370/items/K8WHNLVL"],"itemData":{"id":925,"type":"article-journal","abstract":"The purpose of the present study was to examine the effects of repeated exposure to local heat therapy (HT) on skeletal muscle function, myofiber morphology, capillarization, and mitochondrial content in humans. Twelve young adults (23.6 ± 4.8 yr, body mass index 24.9 ± 3.0 kg/m2) had one randomly selected thigh treated with HT (garment perfused with water at ~52 C) for 8 consecutive weeks (90 min, 5 days/wk) while the opposite thigh served as a control. Biopsies were obtained from the vastus lateralis muscle before and after 4 and 8 wk of treatment. Knee extensor strength and fatigue resistance were also assessed using isokinetic dynamometry. The changes in peak isokinetic torque were higher (P = 0.007) in the thigh exposed to HT than in the control thigh at weeks 4 (control 4.2 ± 13.1 Nm vs. HT 9.1 ± 16.1 Nm) and 8 (control 1.8 ± 9.7 Nm vs. HT 7.8 ± 10.2 Nm). Exposure to HT averted a temporal decline in capillarization around type II fibers (P &lt; 0.05), but had no effect on capillarization indexes in type I fibers. The content of endothelial nitric oxide synthase was ~18% and 35% higher in the thigh exposed to HT at 4 and 8 wk, respectively (P = 0.003). Similarly, HT increased the content of small heat shock proteins HSPB5 (P = 0.007) and HSPB1 (P = 0.009). There were no differences between thighs for the changes in fiber cross-sectional area and mitochondrial content. These results indicate that exposure to local HT for 8 wk promotes a proangiogenic environment and enhances muscle strength but does not affect mitochondrial content in humans. NEW &amp; NOTEWORTHY We demonstrate that repeated application of heat therapy to the thigh with a garment perfused with warm water enhances the strength of knee extensors and influences muscle capillarization in parallel with increases in the content of endothelial nitric oxide synthase and small heat shock proteins. This practical method of passive heat stress may be a feasible tool to treat conditions associated with capillary rarefaction and muscle weakness.","container-title":"Journal of Applied Physiology","DOI":"10.1152/JAPPLPHYSIOL.00701.2019/ASSET/IMAGES/LARGE/ZDG0022032960004.JPEG","ISSN":"15221601","issue":"3","page":"483-492","PMID":"31971474","publisher":"American Physiological Society","title":"Effects of repeated local heat therapy on skeletal muscle structure and function in humans","volume":"128","author":[{"family":"Kim","given":"Kyoungrae"},{"family":"Reid","given":"Blake A."},{"family":"Casey","given":"Caitlin A."},{"family":"Bender","given":"Brooke E."},{"family":"Ro","given":"Bohyun"},{"family":"Song","given":"Qifan"},{"family":"Trewin","given":"Adam J."},{"family":"Petersen","given":"Aaron C."},{"family":"Kuang","given":"Shihuan"},{"family":"Gavin","given":"Timothy P."},{"family":"Roseguini","given":"Bruno T."}],"issued":{"date-parts":[["2020"]]}}}],"schema":"https://github.com/citation-style-language/schema/raw/master/csl-citation.json"} </w:instrText>
      </w:r>
      <w:r w:rsidR="00191017">
        <w:fldChar w:fldCharType="separate"/>
      </w:r>
      <w:r w:rsidR="001F21AE" w:rsidRPr="001F21AE">
        <w:t xml:space="preserve">(Kim </w:t>
      </w:r>
      <w:r w:rsidR="001F21AE" w:rsidRPr="001F21AE">
        <w:rPr>
          <w:i/>
          <w:iCs/>
        </w:rPr>
        <w:t>et al.</w:t>
      </w:r>
      <w:r w:rsidR="001F21AE" w:rsidRPr="001F21AE">
        <w:t>, 2020)</w:t>
      </w:r>
      <w:r w:rsidR="00191017">
        <w:fldChar w:fldCharType="end"/>
      </w:r>
      <w:r w:rsidR="00191017">
        <w:t xml:space="preserve"> and middle-aged adults </w:t>
      </w:r>
      <w:r w:rsidR="00191017">
        <w:fldChar w:fldCharType="begin"/>
      </w:r>
      <w:r w:rsidR="00AA5A2F">
        <w:instrText xml:space="preserve"> ADDIN ZOTERO_ITEM CSL_CITATION {"citationID":"C1PkzB9D","properties":{"formattedCitation":"(Goto {\\i{}et al.}, 2011)","plainCitation":"(Goto et al., 2011)","noteIndex":0},"citationItems":[{"id":1006,"uris":["http://www.mendeley.com/documents/?uuid=93f420ab-71ba-33d9-9ba2-4b02acaab8e6","http://zotero.org/users/17561370/items/CCM4KRXJ"],"itemData":{"id":1006,"type":"article-journal","abstract":"The present study was performed to investigate the effects of long-term heat stress on mass, strength and gene expression profile of human skeletal muscles without exercise training. Eight healthy men were subjected to 10-week application of heat stress, which was performed for the quadriceps muscles for 8 h/day and 4 days/week by using a heat- and steam-generating sheet. Maximum isometric force during knee extension of the heated leg significantly increased after heat stress (</w:instrText>
      </w:r>
      <w:r w:rsidR="00AA5A2F">
        <w:rPr>
          <w:rFonts w:ascii="Cambria Math" w:hAnsi="Cambria Math" w:cs="Cambria Math"/>
        </w:rPr>
        <w:instrText>∼</w:instrText>
      </w:r>
      <w:r w:rsidR="00AA5A2F">
        <w:instrText xml:space="preserve">5.8%, P &lt; 0.05). Mean cross-sectional areas (CSAs) of vastus lateralis (VL, </w:instrText>
      </w:r>
      <w:r w:rsidR="00AA5A2F">
        <w:rPr>
          <w:rFonts w:ascii="Cambria Math" w:hAnsi="Cambria Math" w:cs="Cambria Math"/>
        </w:rPr>
        <w:instrText>∼</w:instrText>
      </w:r>
      <w:r w:rsidR="00AA5A2F">
        <w:instrText>2.7%) and rectus femoris (</w:instrText>
      </w:r>
      <w:r w:rsidR="00AA5A2F">
        <w:rPr>
          <w:rFonts w:ascii="Cambria Math" w:hAnsi="Cambria Math" w:cs="Cambria Math"/>
        </w:rPr>
        <w:instrText>∼</w:instrText>
      </w:r>
      <w:r w:rsidR="00AA5A2F">
        <w:instrText>6.1%) muscles, as well as fiber CSA (8.3%) in VL, in the heated leg were also significantly increased (P &lt; 0.05). Statistical analysis of microarrays (SAM) revealed that 10 weeks of heat stress increased the transcript level of 925 genes and decreased that of 1,300 genes, and gene function clustering analysis (Database for Annotation, Visualization and Integrated Discovery: DAVID) showed that these regulated transcripts stemmed from diverse functional categories. Transcript level of ubiquinol-cytochrome c reductase binding protein (UQCRB) was significantly increased by 10 weeks of heat stress (</w:instrText>
      </w:r>
      <w:r w:rsidR="00AA5A2F">
        <w:rPr>
          <w:rFonts w:ascii="Cambria Math" w:hAnsi="Cambria Math" w:cs="Cambria Math"/>
        </w:rPr>
        <w:instrText>∼</w:instrText>
      </w:r>
      <w:r w:rsidR="00AA5A2F">
        <w:instrText xml:space="preserve">3.0 folds). UQCRB is classified as one of the oxidative phosphorylation-associated genes, suggesting that heat stress can stimulate ATP synthesis. These results suggested that long-term application of heat stress could be effective in increasing the muscle strength associated with hypertrophy without exercise training. © 2010 Springer-Verlag.","container-title":"European Journal of Applied Physiology","DOI":"10.1007/S00421-010-1617-1/TABLES/4","ISSN":"14396319","issue":"1","page":"17-27","PMID":"20803152","publisher":"Springer","title":"Responses of muscle mass, strength and gene transcripts to long-term heat stress in healthy human subjects","volume":"111","author":[{"family":"Goto","given":"Katsumasa"},{"family":"Oda","given":"Hideshi"},{"family":"Kondo","given":"Hidehiko"},{"family":"Igaki","given":"Michihito"},{"family":"Suzuki","given":"Atsushi"},{"family":"Tsuchiya","given":"Shuichi"},{"family":"Murase","given":"Takatoshi"},{"family":"Hase","given":"Tadashi"},{"family":"Fujiya","given":"Hiroto"},{"family":"Matsumoto","given":"Ichiro"},{"family":"Naito","given":"Hisashi"},{"family":"Sugiura","given":"Takao"},{"family":"Ohira","given":"Yoshinobu"},{"family":"Yoshioka","given":"Toshitada"}],"issued":{"date-parts":[["2011",1,28]]}}}],"schema":"https://github.com/citation-style-language/schema/raw/master/csl-citation.json"} </w:instrText>
      </w:r>
      <w:r w:rsidR="00191017">
        <w:fldChar w:fldCharType="separate"/>
      </w:r>
      <w:r w:rsidR="005C33DC" w:rsidRPr="005C33DC">
        <w:t xml:space="preserve">(Goto </w:t>
      </w:r>
      <w:r w:rsidR="005C33DC" w:rsidRPr="005C33DC">
        <w:rPr>
          <w:i/>
          <w:iCs/>
        </w:rPr>
        <w:t>et al.</w:t>
      </w:r>
      <w:r w:rsidR="005C33DC" w:rsidRPr="005C33DC">
        <w:t>, 2011)</w:t>
      </w:r>
      <w:r w:rsidR="00191017">
        <w:fldChar w:fldCharType="end"/>
      </w:r>
      <w:r w:rsidR="00191017">
        <w:t xml:space="preserve">, but agree with </w:t>
      </w:r>
      <w:r w:rsidR="004D2B03">
        <w:t xml:space="preserve">recent </w:t>
      </w:r>
      <w:r w:rsidR="00191017">
        <w:t xml:space="preserve">findings in older adults </w:t>
      </w:r>
      <w:r w:rsidR="00191017">
        <w:fldChar w:fldCharType="begin"/>
      </w:r>
      <w:r w:rsidR="00AA5A2F">
        <w:instrText xml:space="preserve"> ADDIN ZOTERO_ITEM CSL_CITATION {"citationID":"UFkKGR2A","properties":{"formattedCitation":"(Fuchs {\\i{}et al.}, 2024; Ro {\\i{}et al.}, 2025)","plainCitation":"(Fuchs et al., 2024; Ro et al., 2025)","noteIndex":0},"citationItems":[{"id":521,"uris":["http://zotero.org/users/17561370/items/M8HX7PLD"],"itemData":{"id":521,"type":"article-journal","abstract":"Abstract: Prolonged passive heat treatment (PHT) has been suggested to trigger skeletal muscle adaptations that may improve muscle maintenance in older individuals. To assess the effects of PHT on skeletal muscle tissue capillarization, perfusion capacity, protein synthesis rates, hypertrophy and leg strength, 14 older adults (9 males, 5 females; 73 ± 6 years) underwent 8 weeks of PHT (infrared sauna: 3× per week, 45 min at </w:instrText>
      </w:r>
      <w:r w:rsidR="00AA5A2F">
        <w:rPr>
          <w:rFonts w:ascii="Cambria Math" w:hAnsi="Cambria Math" w:cs="Cambria Math"/>
        </w:rPr>
        <w:instrText>∼</w:instrText>
      </w:r>
      <w:r w:rsidR="00AA5A2F">
        <w:instrText xml:space="preserve">60°C). Before and after PHT we collected muscle biopsies to assess skeletal muscle capillarization and fibre cross-sectional area (CSA). Basal and postprandial muscle tissue perfusion kinetics and protein synthesis rates were assessed using contrast-enhanced ultrasound and primed continuous l-[ring-13C6]phenylalanine infusions, respectively. One-repetition maximum (1RM) leg strength and vastus lateralis muscle CSA were assessed. Type I and type II muscle fibre capillarization strongly increased following PHT (capillary-to-fibre perimeter exchange index: +31 ± 18 and +33 ± 30%, respectively; P &lt; 0.001). No changes were observed in basal (0.24 ± 0.27 vs. 0.18 ± 0.11 AU; P = 0.266) or postprandial (0.20 ± 0.12 vs. 0.18 ± 0.14 AU; P = 0.717) microvascular blood flow following PHT. Basal (0.048 ± 0.014 vs. 0.051 ± 0.019%/h; P = 0.630) and postprandial (0.041 ± 0.012 vs. 0.051 ± 0.024%/h; P = 0.199) muscle protein synthesis rates did not change in response to prolonged PHT. Furthermore, no changes in vastus lateralis muscle CSA (15.3 ± 4.6 vs. 15.2 ± 4.6 cm2; P = 0.768) or 1RM leg strength (46 ± 12 vs. 47 ± 12 kg; P = 0.087) were observed over time. In conclusion, prolonged PHT increases muscle tissue capillarization but this does not improve muscle microvascular blood flow or increase muscle protein synthesis rates in healthy, older adults. Prolonged PHT does not induce skeletal muscle hypertrophy or increase leg strength in healthy, older adults. (Figure presented.). Key points: Repeated exposure to heat has been suggested to trigger skeletal muscle adaptive responses. We investigated the effect of 8 weeks of whole-body passive heat treatment (PHT; infrared sauna: 3× per week for 45 min at </w:instrText>
      </w:r>
      <w:r w:rsidR="00AA5A2F">
        <w:rPr>
          <w:rFonts w:ascii="Cambria Math" w:hAnsi="Cambria Math" w:cs="Cambria Math"/>
        </w:rPr>
        <w:instrText>∼</w:instrText>
      </w:r>
      <w:r w:rsidR="00AA5A2F">
        <w:instrText xml:space="preserve">60°C) on skeletal muscle tissue capillarization, perfusion capacity, basal, and postprandial muscle protein synthesis rates, muscle (fibre) hypertrophy, and leg strength in healthy, older adults. Prolonged PHT increases muscle tissue capillarization, but this does not improve muscle microvascular blood flow or increase muscle protein synthesis rates. Despite increases in muscle tissue capillarization, prolonged PHT does not suffice to induce skeletal muscle hypertrophy or increase leg strength in healthy, older adults.","container-title":"The Journal of Physiology","DOI":"10.1113/JP286986","ISSN":"1469-7793","publisher":"John Wiley &amp; Sons, Ltd","title":"Repeated passive heat treatment increases muscle tissue capillarization, but does not affect postprandial muscle protein synthesis rates in healthy older adults","URL":"https://onlinelibrary.wiley.com/doi/full/10.1113/JP286986","author":[{"family":"Fuchs","given":"Cas J."},{"family":"Betz","given":"Milan W."},{"family":"Petrick","given":"Heather L."},{"family":"Weber","given":"Jil"},{"family":"Senden","given":"Joan M."},{"family":"Hendriks","given":"Floris K."},{"family":"Bels","given":"Julia L.M."},{"family":"Loon","given":"Luc J.C.","non-dropping-particle":"van"},{"family":"Snijders","given":"Tim"}],"accessed":{"date-parts":[["2024",11,25]]},"issued":{"date-parts":[["2024"]]}}},{"id":635,"uris":["http://zotero.org/users/17561370/items/YRZGP47I"],"itemData":{"id":635,"type":"article-journal","abstract":"Heat therapy (HT) using sauna or hot water immersion can improve cardiovascular and physical function, but these approaches are often impractical for older adults. This pilot, randomized, sham-controlled trial evaluated the feasibility of unsupervised, home-based leg HT using water-circulating trousers in sedentary older adults. Twenty-four participants (mean age: 70 ± 3 yr; 15 women) were randomized to HT (42°C) or sham (33°C) for 90 min daily over 12 wk. Feasibility outcomes included adherence, retention, and safety. Secondary outcomes included 6-min walk distance, sit-to-stand time, plantar flexor strength, MRI-derived muscle morphology, quality of life, and blood pressure. Four participants (two per group) withdrew early due to health status changes or scheduling conflicts. Among those who completed the study, adherence was high (HT: 93 ± 11% and sham: 92 ± 35%). Four HT participants reported minor thermal injuries at the knees, which did not hinder adherence or study participation. There were no significant differences between groups for the secondary outcomes. At 12 wk, the HT group increased their 6-min walk distance by 37.6 m (95% CI: 14.3 to 60.8), compared with 11.5 m (−12.2 to 35.1) in the sham group (group-by-time interaction, P = 0.092). Plantar flexor strength rose by 4.3 N·m (−2.0 to 10.6) in the HT group and declined by 2.6 N·m (−16.1 to 10.9) in the sham group, with no significant group-by-time interaction (P = 0.31). These findings support the feasibility and acceptability of home-based leg HT in older adults and indicate that protocol and device refinements—particularly to improve usability and safety—are needed before advancing to a larger efficacy trial.NEW &amp; NOTEWORTHY This pilot trial demonstrates the feasibility of unsupervised, home-based leg heat therapy using water-circulating trousers in older adults. High adherence, minimal adverse events, and promising improvements in walking endurance support its potential as a scalable intervention for mobility preservation in aging. Findings highlight key considerations for future efficacy trials, including device refinements to enhance safety and usability.","container-title":"Journal of Applied Physiology","DOI":"10.1152/japplphysiol.00285.2025","ISSN":"8750-7587","issue":"3","page":"668-684","publisher":"American Physiological Society","source":"journals.physiology.org (Atypon)","title":"Feasibility of unsupervised, home-based leg heat therapy in older adults: a pilot, sham-controlled trial","title-short":"Feasibility of unsupervised, home-based leg heat therapy in older adults","volume":"139","author":[{"family":"Ro","given":"Bohyun"},{"family":"Castanhas","given":"Luiza G."},{"family":"Crenshaw","given":"Fiona"},{"family":"Janczy","given":"Anna M."},{"family":"Swift","given":"Paul"},{"family":"Song","given":"Qifan"},{"family":"Zhou","given":"Xiaopeng"},{"family":"Parker","given":"Jason G."},{"family":"Roseguini","given":"Bruno T."}],"issued":{"date-parts":[["2025",9]]}}}],"schema":"https://github.com/citation-style-language/schema/raw/master/csl-citation.json"} </w:instrText>
      </w:r>
      <w:r w:rsidR="00191017">
        <w:fldChar w:fldCharType="separate"/>
      </w:r>
      <w:r w:rsidR="005C33DC" w:rsidRPr="005C33DC">
        <w:t xml:space="preserve">(Fuchs </w:t>
      </w:r>
      <w:r w:rsidR="005C33DC" w:rsidRPr="005C33DC">
        <w:rPr>
          <w:i/>
          <w:iCs/>
        </w:rPr>
        <w:t>et al.</w:t>
      </w:r>
      <w:r w:rsidR="005C33DC" w:rsidRPr="005C33DC">
        <w:t xml:space="preserve">, 2024; Ro </w:t>
      </w:r>
      <w:r w:rsidR="005C33DC" w:rsidRPr="005C33DC">
        <w:rPr>
          <w:i/>
          <w:iCs/>
        </w:rPr>
        <w:t>et al.</w:t>
      </w:r>
      <w:r w:rsidR="005C33DC" w:rsidRPr="005C33DC">
        <w:t>, 2025)</w:t>
      </w:r>
      <w:r w:rsidR="00191017">
        <w:fldChar w:fldCharType="end"/>
      </w:r>
      <w:r w:rsidR="00191017">
        <w:t>.</w:t>
      </w:r>
      <w:r w:rsidR="00B07300">
        <w:t xml:space="preserve"> Purported mechanisms for the lack of improvement in quadriceps strength could be muscle protein synthesis or muscle size, which previously </w:t>
      </w:r>
      <w:r w:rsidR="007F6CA9">
        <w:t xml:space="preserve">did </w:t>
      </w:r>
      <w:r w:rsidR="003E55C0">
        <w:t>no</w:t>
      </w:r>
      <w:r w:rsidR="007F6CA9">
        <w:t>t</w:t>
      </w:r>
      <w:r w:rsidR="003E55C0">
        <w:t xml:space="preserve"> change</w:t>
      </w:r>
      <w:r w:rsidR="00B07300">
        <w:t xml:space="preserve"> </w:t>
      </w:r>
      <w:r w:rsidR="007F6CA9">
        <w:t xml:space="preserve">in healthy older adults </w:t>
      </w:r>
      <w:r w:rsidR="00B07300">
        <w:t xml:space="preserve">following </w:t>
      </w:r>
      <w:r w:rsidR="00927B7F">
        <w:t xml:space="preserve">eight weeks </w:t>
      </w:r>
      <w:r w:rsidR="001B3D17">
        <w:t xml:space="preserve">of </w:t>
      </w:r>
      <w:r w:rsidR="00B07300">
        <w:t xml:space="preserve">PHT </w:t>
      </w:r>
      <w:r w:rsidR="00B07300">
        <w:fldChar w:fldCharType="begin"/>
      </w:r>
      <w:r w:rsidR="00AA5A2F">
        <w:instrText xml:space="preserve"> ADDIN ZOTERO_ITEM CSL_CITATION {"citationID":"pE8P9emC","properties":{"formattedCitation":"(Fuchs {\\i{}et al.}, 2024)","plainCitation":"(Fuchs et al., 2024)","noteIndex":0},"citationItems":[{"id":521,"uris":["http://zotero.org/users/17561370/items/M8HX7PLD"],"itemData":{"id":521,"type":"article-journal","abstract":"Abstract: Prolonged passive heat treatment (PHT) has been suggested to trigger skeletal muscle adaptations that may improve muscle maintenance in older individuals. To assess the effects of PHT on skeletal muscle tissue capillarization, perfusion capacity, protein synthesis rates, hypertrophy and leg strength, 14 older adults (9 males, 5 females; 73 ± 6 years) underwent 8 weeks of PHT (infrared sauna: 3× per week, 45 min at </w:instrText>
      </w:r>
      <w:r w:rsidR="00AA5A2F">
        <w:rPr>
          <w:rFonts w:ascii="Cambria Math" w:hAnsi="Cambria Math" w:cs="Cambria Math"/>
        </w:rPr>
        <w:instrText>∼</w:instrText>
      </w:r>
      <w:r w:rsidR="00AA5A2F">
        <w:instrText xml:space="preserve">60°C). Before and after PHT we collected muscle biopsies to assess skeletal muscle capillarization and fibre cross-sectional area (CSA). Basal and postprandial muscle tissue perfusion kinetics and protein synthesis rates were assessed using contrast-enhanced ultrasound and primed continuous l-[ring-13C6]phenylalanine infusions, respectively. One-repetition maximum (1RM) leg strength and vastus lateralis muscle CSA were assessed. Type I and type II muscle fibre capillarization strongly increased following PHT (capillary-to-fibre perimeter exchange index: +31 ± 18 and +33 ± 30%, respectively; P &lt; 0.001). No changes were observed in basal (0.24 ± 0.27 vs. 0.18 ± 0.11 AU; P = 0.266) or postprandial (0.20 ± 0.12 vs. 0.18 ± 0.14 AU; P = 0.717) microvascular blood flow following PHT. Basal (0.048 ± 0.014 vs. 0.051 ± 0.019%/h; P = 0.630) and postprandial (0.041 ± 0.012 vs. 0.051 ± 0.024%/h; P = 0.199) muscle protein synthesis rates did not change in response to prolonged PHT. Furthermore, no changes in vastus lateralis muscle CSA (15.3 ± 4.6 vs. 15.2 ± 4.6 cm2; P = 0.768) or 1RM leg strength (46 ± 12 vs. 47 ± 12 kg; P = 0.087) were observed over time. In conclusion, prolonged PHT increases muscle tissue capillarization but this does not improve muscle microvascular blood flow or increase muscle protein synthesis rates in healthy, older adults. Prolonged PHT does not induce skeletal muscle hypertrophy or increase leg strength in healthy, older adults. (Figure presented.). Key points: Repeated exposure to heat has been suggested to trigger skeletal muscle adaptive responses. We investigated the effect of 8 weeks of whole-body passive heat treatment (PHT; infrared sauna: 3× per week for 45 min at </w:instrText>
      </w:r>
      <w:r w:rsidR="00AA5A2F">
        <w:rPr>
          <w:rFonts w:ascii="Cambria Math" w:hAnsi="Cambria Math" w:cs="Cambria Math"/>
        </w:rPr>
        <w:instrText>∼</w:instrText>
      </w:r>
      <w:r w:rsidR="00AA5A2F">
        <w:instrText xml:space="preserve">60°C) on skeletal muscle tissue capillarization, perfusion capacity, basal, and postprandial muscle protein synthesis rates, muscle (fibre) hypertrophy, and leg strength in healthy, older adults. Prolonged PHT increases muscle tissue capillarization, but this does not improve muscle microvascular blood flow or increase muscle protein synthesis rates. Despite increases in muscle tissue capillarization, prolonged PHT does not suffice to induce skeletal muscle hypertrophy or increase leg strength in healthy, older adults.","container-title":"The Journal of Physiology","DOI":"10.1113/JP286986","ISSN":"1469-7793","publisher":"John Wiley &amp; Sons, Ltd","title":"Repeated passive heat treatment increases muscle tissue capillarization, but does not affect postprandial muscle protein synthesis rates in healthy older adults","URL":"https://onlinelibrary.wiley.com/doi/full/10.1113/JP286986","author":[{"family":"Fuchs","given":"Cas J."},{"family":"Betz","given":"Milan W."},{"family":"Petrick","given":"Heather L."},{"family":"Weber","given":"Jil"},{"family":"Senden","given":"Joan M."},{"family":"Hendriks","given":"Floris K."},{"family":"Bels","given":"Julia L.M."},{"family":"Loon","given":"Luc J.C.","non-dropping-particle":"van"},{"family":"Snijders","given":"Tim"}],"accessed":{"date-parts":[["2024",11,25]]},"issued":{"date-parts":[["2024"]]}}}],"schema":"https://github.com/citation-style-language/schema/raw/master/csl-citation.json"} </w:instrText>
      </w:r>
      <w:r w:rsidR="00B07300">
        <w:fldChar w:fldCharType="separate"/>
      </w:r>
      <w:r w:rsidR="003E55C0" w:rsidRPr="003E55C0">
        <w:t xml:space="preserve">(Fuchs </w:t>
      </w:r>
      <w:r w:rsidR="003E55C0" w:rsidRPr="003E55C0">
        <w:rPr>
          <w:i/>
          <w:iCs/>
        </w:rPr>
        <w:t>et al.</w:t>
      </w:r>
      <w:r w:rsidR="003E55C0" w:rsidRPr="003E55C0">
        <w:t>, 2024)</w:t>
      </w:r>
      <w:r w:rsidR="00B07300">
        <w:fldChar w:fldCharType="end"/>
      </w:r>
      <w:r w:rsidR="00191017">
        <w:t xml:space="preserve">. </w:t>
      </w:r>
      <w:bookmarkStart w:id="7" w:name="_Hlk215346280"/>
      <w:r w:rsidR="004D2B03">
        <w:t xml:space="preserve">A lack of improvement in leg strength could also be related to changes in muscle temperature. Previous studies showing </w:t>
      </w:r>
      <w:r w:rsidR="009D6EE7">
        <w:t>increased</w:t>
      </w:r>
      <w:r w:rsidR="004D2B03">
        <w:t xml:space="preserve"> leg strength applied local heating stimuli </w:t>
      </w:r>
      <w:r w:rsidR="008B0282">
        <w:t>at a higher temperature (</w:t>
      </w:r>
      <w:r w:rsidR="004D2B03">
        <w:t>&gt; 50°C</w:t>
      </w:r>
      <w:r w:rsidR="008B0282">
        <w:t>)</w:t>
      </w:r>
      <w:r w:rsidR="008A7043">
        <w:t xml:space="preserve"> or intensity</w:t>
      </w:r>
      <w:r w:rsidR="004D2B03">
        <w:t xml:space="preserve">, increasing muscle temperature by </w:t>
      </w:r>
      <w:r w:rsidR="009B7346">
        <w:t>3.3</w:t>
      </w:r>
      <w:r w:rsidR="00F35FFE">
        <w:t xml:space="preserve">°C </w:t>
      </w:r>
      <w:r w:rsidR="00F35FFE">
        <w:fldChar w:fldCharType="begin"/>
      </w:r>
      <w:r w:rsidR="00F35FFE">
        <w:instrText xml:space="preserve"> ADDIN ZOTERO_ITEM CSL_CITATION {"citationID":"faNIuN3d","properties":{"formattedCitation":"(Goto {\\i{}et al.}, 2011)","plainCitation":"(Goto et al., 2011)","noteIndex":0},"citationItems":[{"id":1006,"uris":["http://www.mendeley.com/documents/?uuid=93f420ab-71ba-33d9-9ba2-4b02acaab8e6","http://zotero.org/users/17561370/items/CCM4KRXJ"],"itemData":{"id":1006,"type":"article-journal","abstract":"The present study was performed to investigate the effects of long-term heat stress on mass, strength and gene expression profile of human skeletal muscles without exercise training. Eight healthy men were subjected to 10-week application of heat stress, which was performed for the quadriceps muscles for 8 h/day and 4 days/week by using a heat- and steam-generating sheet. Maximum isometric force during knee extension of the heated leg significantly increased after heat stress (</w:instrText>
      </w:r>
      <w:r w:rsidR="00F35FFE">
        <w:rPr>
          <w:rFonts w:ascii="Cambria Math" w:hAnsi="Cambria Math" w:cs="Cambria Math"/>
        </w:rPr>
        <w:instrText>∼</w:instrText>
      </w:r>
      <w:r w:rsidR="00F35FFE">
        <w:instrText xml:space="preserve">5.8%, P &lt; 0.05). Mean cross-sectional areas (CSAs) of vastus lateralis (VL, </w:instrText>
      </w:r>
      <w:r w:rsidR="00F35FFE">
        <w:rPr>
          <w:rFonts w:ascii="Cambria Math" w:hAnsi="Cambria Math" w:cs="Cambria Math"/>
        </w:rPr>
        <w:instrText>∼</w:instrText>
      </w:r>
      <w:r w:rsidR="00F35FFE">
        <w:instrText>2.7%) and rectus femoris (</w:instrText>
      </w:r>
      <w:r w:rsidR="00F35FFE">
        <w:rPr>
          <w:rFonts w:ascii="Cambria Math" w:hAnsi="Cambria Math" w:cs="Cambria Math"/>
        </w:rPr>
        <w:instrText>∼</w:instrText>
      </w:r>
      <w:r w:rsidR="00F35FFE">
        <w:instrText>6.1%) muscles, as well as fiber CSA (8.3%) in VL, in the heated leg were also significantly increased (P &lt; 0.05). Statistical analysis of microarrays (SAM) revealed that 10 weeks of heat stress increased the transcript level of 925 genes and decreased that of 1,300 genes, and gene function clustering analysis (Database for Annotation, Visualization and Integrated Discovery: DAVID) showed that these regulated transcripts stemmed from diverse functional categories. Transcript level of ubiquinol-cytochrome c reductase binding protein (UQCRB) was significantly increased by 10 weeks of heat stress (</w:instrText>
      </w:r>
      <w:r w:rsidR="00F35FFE">
        <w:rPr>
          <w:rFonts w:ascii="Cambria Math" w:hAnsi="Cambria Math" w:cs="Cambria Math"/>
        </w:rPr>
        <w:instrText>∼</w:instrText>
      </w:r>
      <w:r w:rsidR="00F35FFE">
        <w:instrText xml:space="preserve">3.0 folds). UQCRB is classified as one of the oxidative phosphorylation-associated genes, suggesting that heat stress can stimulate ATP synthesis. These results suggested that long-term application of heat stress could be effective in increasing the muscle strength associated with hypertrophy without exercise training. © 2010 Springer-Verlag.","container-title":"European Journal of Applied Physiology","DOI":"10.1007/S00421-010-1617-1/TABLES/4","ISSN":"14396319","issue":"1","page":"17-27","PMID":"20803152","publisher":"Springer","title":"Responses of muscle mass, strength and gene transcripts to long-term heat stress in healthy human subjects","volume":"111","author":[{"family":"Goto","given":"Katsumasa"},{"family":"Oda","given":"Hideshi"},{"family":"Kondo","given":"Hidehiko"},{"family":"Igaki","given":"Michihito"},{"family":"Suzuki","given":"Atsushi"},{"family":"Tsuchiya","given":"Shuichi"},{"family":"Murase","given":"Takatoshi"},{"family":"Hase","given":"Tadashi"},{"family":"Fujiya","given":"Hiroto"},{"family":"Matsumoto","given":"Ichiro"},{"family":"Naito","given":"Hisashi"},{"family":"Sugiura","given":"Takao"},{"family":"Ohira","given":"Yoshinobu"},{"family":"Yoshioka","given":"Toshitada"}],"issued":{"date-parts":[["2011",1,28]]}}}],"schema":"https://github.com/citation-style-language/schema/raw/master/csl-citation.json"} </w:instrText>
      </w:r>
      <w:r w:rsidR="00F35FFE">
        <w:fldChar w:fldCharType="separate"/>
      </w:r>
      <w:r w:rsidR="00F35FFE" w:rsidRPr="00F35FFE">
        <w:t xml:space="preserve">(Goto </w:t>
      </w:r>
      <w:r w:rsidR="00F35FFE" w:rsidRPr="00F35FFE">
        <w:rPr>
          <w:i/>
          <w:iCs/>
        </w:rPr>
        <w:t>et al.</w:t>
      </w:r>
      <w:r w:rsidR="00F35FFE" w:rsidRPr="00F35FFE">
        <w:t>, 2011)</w:t>
      </w:r>
      <w:r w:rsidR="00F35FFE">
        <w:fldChar w:fldCharType="end"/>
      </w:r>
      <w:r w:rsidR="00EA40FA">
        <w:t xml:space="preserve">, 4.2°C </w:t>
      </w:r>
      <w:r w:rsidR="00EA40FA">
        <w:fldChar w:fldCharType="begin"/>
      </w:r>
      <w:r w:rsidR="00EA40FA">
        <w:instrText xml:space="preserve"> ADDIN ZOTERO_ITEM CSL_CITATION {"citationID":"Z2CS9vYZ","properties":{"formattedCitation":"(Hafen {\\i{}et al.}, 2019)","plainCitation":"(Hafen et al., 2019)","noteIndex":0},"citationItems":[{"id":395,"uris":["http://www.mendeley.com/documents/?uuid=6b1d1bf0-43bf-3ee1-989b-ca8ff1757e4a","http://zotero.org/users/17561370/items/3JZX5JN6"],"itemData":{"id":395,"type":"article-journal","abstract":"Skeletal muscle immobilization leads to atrophy, decreased metabolic health, and substantial losses in function. Animal models suggest that heat stress can provide protection against atrophy in skeletal muscle. This study investigated the effects of daily heat therapy on human skeletal muscle subjected to 10 days of immobilization. Muscle biopsies were collected, and MRIs were analyzed from the vastus lateralis of 23 healthy volunteers (11 women, 12 men) before and after either 10 days of immobilization with a daily sham treatment (Imm) or with a targeted, daily 2-h heat treatment using pulsed shortwave diathermy (Imm H). Diathermy increased intramuscular temperature 4.2 0.29°C (P 0.0001), with no change during sham treatment. As a result, heat shock protein (HSP)70 and HSP90 increased (P 0.05) following Imm H (25 6.6 and 20 7.4%, respectively) but were unaltered with Imm only. Heat treatment prevented the immobilization-induced loss of coupled (27 5.2% vs. 8 6.0%, P 0.0041) and uncoupled (25 7.0% vs. 10 3.9%, P 0.0302) myofiber respiratory capacity. Likewise, heat treatment prevented the immobilization-induced loss of proteins associated with all five mitochondrial respiratory complexes (P 0.05). Furthermore, decreases in muscle cross-sectional area following Imm were greater than Imm H at both the level of the whole muscle (7.6 0.96% vs. 4.5 1.09%, P 0.0374) and myofiber (10.8 1.52% vs. 5.8 1.49%, P 0.0322). Our findings demonstrate that daily heat treatments, applied during 10 days of immobilization, prevent the loss of mitochondrial function and attenuate atrophy in human skeletal muscle.","container-title":"Journal of Applied Physiology","DOI":"10.1152/JAPPLPHYSIOL.01098.2018/ASSET/IMAGES/LARGE/ZDG0061930400005.JPEG","ISSN":"15221601","issue":"1","page":"47-57","PMID":"31046520","publisher":"American Physiological Society","title":"Daily heat treatment maintains mitochondrial function and attenuates atrophy in human skeletal muscle subjected to immobilization","volume":"127","author":[{"family":"Hafen","given":"Paul S."},{"family":"Abbott","given":"Kaitlin"},{"family":"Bowden","given":"Jennifer"},{"family":"Lopiano","given":"Ryan"},{"family":"Hancock","given":"Chad R."},{"family":"Hyldahl","given":"Robert D."}],"issued":{"date-parts":[["2019"]]}}}],"schema":"https://github.com/citation-style-language/schema/raw/master/csl-citation.json"} </w:instrText>
      </w:r>
      <w:r w:rsidR="00EA40FA">
        <w:fldChar w:fldCharType="separate"/>
      </w:r>
      <w:r w:rsidR="00EA40FA" w:rsidRPr="00EA40FA">
        <w:t xml:space="preserve">(Hafen </w:t>
      </w:r>
      <w:r w:rsidR="00EA40FA" w:rsidRPr="00EA40FA">
        <w:rPr>
          <w:i/>
          <w:iCs/>
        </w:rPr>
        <w:t>et al.</w:t>
      </w:r>
      <w:r w:rsidR="00EA40FA" w:rsidRPr="00EA40FA">
        <w:t>, 2019)</w:t>
      </w:r>
      <w:r w:rsidR="00EA40FA">
        <w:fldChar w:fldCharType="end"/>
      </w:r>
      <w:r w:rsidR="003E09B3">
        <w:t>,</w:t>
      </w:r>
      <w:r w:rsidR="00EA40FA">
        <w:t xml:space="preserve"> </w:t>
      </w:r>
      <w:r w:rsidR="004D2B03">
        <w:t>4</w:t>
      </w:r>
      <w:r w:rsidR="009B7346">
        <w:t>.8</w:t>
      </w:r>
      <w:r w:rsidR="004D2B03">
        <w:t xml:space="preserve">°C </w:t>
      </w:r>
      <w:r w:rsidR="004D2B03">
        <w:fldChar w:fldCharType="begin"/>
      </w:r>
      <w:r w:rsidR="00EA40FA">
        <w:instrText xml:space="preserve"> ADDIN ZOTERO_ITEM CSL_CITATION {"citationID":"2Os07UI2","properties":{"formattedCitation":"(Denny {\\i{}et al.}, n.d.)","plainCitation":"(Denny et al., n.d.)","noteIndex":0},"citationItems":[{"id":96,"uris":["http://zotero.org/users/17561370/items/6C85GRY5"],"itemData":{"id":96,"type":"article-journal","abstract":"Older adults often suffer from reduced physical capability relative to young adults, in part due to impaired muscle function. This study investigated the ergogenic effects of passive thigh heating on knee extensor torque production in healthy older versus younger adults. Twenty-two younger (YOUNGER; 23 ± 3 years) and 16 older (OLDER; 68 ± 8 years) adults completed an experimental visit whereby one thigh was heated via a garment circulating 50°C water for 90 min (HEAT) with the contralateral limb unheated (CONT). Four maximal contractions were performed at three isokinetic speeds (slow, 60°/s; moderate, 180°/s; and fast, 300°/s) and an isotonic set (25% maximal voluntary isometric contraction force); contractions were performed on both limbs at baseline and every 30 min thereafter for 120 min, with the final time point used to quantify the retention/decay in response. Vastus lateralis temperature was measured every 30 min, and surface electromyography was implemented throughout. HEAT increased muscle temperature from baseline (31.7 ± 1.7°C) at 30 min (36.5 ± 1.5°C), peaking at 90 min (37.5 ± 0.7°C), all P &lt; 0.05. HEAT increased peak torque during moderate (+11 ± 12 N m) and fast (+7 ± 11 N m) contractions in only YOUNGER participants relative to their control leg which remained unchanged (P &lt; 0.05). After 30 min, rate of force development (RFD) in HEAT increased during slow contractions from baseline in both age groups (+229 ± 210 N m s−1, P &lt; 0.05) and early force production (EFP) increased in both age groups during slow contractions from 60 min in HEAT (+15 ± 15 N m, P &lt; 0.05). Peak EMG amplitude was unchanged throughout. Despite a similar increase in the RFD and EFP in both young and older adults, passive thigh heating improves peak knee extensor torque in moderate and fast isokinetic contractions in young adults only.","container-title":"Experimental Physiology","DOI":"10.1113/EP092690","ISSN":"1469-445X","issue":"n/a","language":"en","license":"© 2025 The Author(s). Experimental Physiology published by John Wiley &amp; Sons Ltd on behalf of The Physiological Society.","note":"_eprint: https://onlinelibrary.wiley.com/doi/pdf/10.1113/EP092690","source":"Wiley Online Library","title":"Passive thigh heating improves peak force production in younger adults and early isokinetic force production in younger and older adults","URL":"https://onlinelibrary.wiley.com/doi/abs/10.1113/EP092690","volume":"n/a","author":[{"family":"Denny","given":"Desmond"},{"family":"Low","given":"Daniel C."},{"family":"Gibson","given":"Oliver R."}],"accessed":{"date-parts":[["2025",11,11]]}}}],"schema":"https://github.com/citation-style-language/schema/raw/master/csl-citation.json"} </w:instrText>
      </w:r>
      <w:r w:rsidR="004D2B03">
        <w:fldChar w:fldCharType="separate"/>
      </w:r>
      <w:r w:rsidR="00EA40FA" w:rsidRPr="00EA40FA">
        <w:t xml:space="preserve">(Denny </w:t>
      </w:r>
      <w:r w:rsidR="00EA40FA" w:rsidRPr="00EA40FA">
        <w:rPr>
          <w:i/>
          <w:iCs/>
        </w:rPr>
        <w:t>et al.</w:t>
      </w:r>
      <w:r w:rsidR="00EA40FA" w:rsidRPr="00EA40FA">
        <w:t xml:space="preserve">, </w:t>
      </w:r>
      <w:r w:rsidR="00EA40FA">
        <w:t>2025</w:t>
      </w:r>
      <w:r w:rsidR="00EA40FA" w:rsidRPr="00EA40FA">
        <w:t>)</w:t>
      </w:r>
      <w:r w:rsidR="004D2B03">
        <w:fldChar w:fldCharType="end"/>
      </w:r>
      <w:r w:rsidR="004D2B03">
        <w:t xml:space="preserve">, </w:t>
      </w:r>
      <w:r w:rsidR="0046700D">
        <w:t>and &gt;</w:t>
      </w:r>
      <w:r w:rsidR="002E7B2D">
        <w:t xml:space="preserve"> </w:t>
      </w:r>
      <w:r w:rsidR="004D2B03">
        <w:t xml:space="preserve">42°C leg-HWI </w:t>
      </w:r>
      <w:r w:rsidR="008B0282">
        <w:t>(</w:t>
      </w:r>
      <w:r w:rsidR="004D2B03">
        <w:t>2.4</w:t>
      </w:r>
      <w:r w:rsidR="006C6AF3">
        <w:t xml:space="preserve"> – 2.</w:t>
      </w:r>
      <w:r w:rsidR="007D76D5">
        <w:t>8</w:t>
      </w:r>
      <w:r w:rsidR="004D2B03">
        <w:t>°C</w:t>
      </w:r>
      <w:r w:rsidR="008B0282">
        <w:t>,</w:t>
      </w:r>
      <w:r w:rsidR="004D2B03">
        <w:t xml:space="preserve"> </w:t>
      </w:r>
      <w:r w:rsidR="004D2B03">
        <w:fldChar w:fldCharType="begin"/>
      </w:r>
      <w:r w:rsidR="00AA5A2F">
        <w:instrText xml:space="preserve"> ADDIN ZOTERO_ITEM CSL_CITATION {"citationID":"tBaBcA0j","properties":{"formattedCitation":"(Rodrigues {\\i{}et al.}, 2020{\\i{}b}, 2023)","plainCitation":"(Rodrigues et al., 2020b, 2023)","noteIndex":0},"citationItems":[{"id":1971,"uris":["http://zotero.org/users/17561370/items/799J7VJ6"],"itemData":{"id":1971,"type":"article-journal","abstract":"To determine the vastus lateralis muscle temperature kinetics during and after passive heating, to exam the effect of sex on thermoregulatory responses, and the thermal safety and tolerance of the 42 °C hot-water immersion protocol.","container-title":"European Journal of Applied Physiology","DOI":"10.1007/s00421-020-04482-7","ISSN":"1439-6327","issue":"12","journalAbbreviation":"Eur J Appl Physiol","language":"en","page":"2611-2624","source":"Springer Link","title":"Muscle temperature kinetics and thermoregulatory responses to 42 °C hot-water immersion in healthy males and females","volume":"120","author":[{"family":"Rodrigues","given":"Patrick"},{"family":"Trajano","given":"Gabriel S."},{"family":"Wharton","given":"Lee"},{"family":"Minett","given":"Geoffrey M."}],"issued":{"date-parts":[["2020",12,1]]}}},{"id":92,"uris":["http://zotero.org/users/17561370/items/ZELLTMWN"],"itemData":{"id":92,"type":"article-journal","abstract":"Purpose Examine the effects of 42°C hot-water immersion on muscle contraction function and motor unit discharge rates. Voluntary and evoked contraction assessments were examined first with a concomitant increase in the core and muscle temperature, and thereafter with increased muscle temperature but cooled core temperature. Methods Fifteen participants (24.9 ± 5.6 years) performed neuromuscular assessments before, after, and 15-min after either 90-min of 42°C (hot) or 36°C (control) water immersion. Maximal voluntary contraction (MVC) assessment of knee extension was performed along with surface electromyography (sEMG) (vastus lateralis and medialis [VL, VM]) and voluntary activation level (VAL). Resting evoked twitch was elicited for peak torque and time to peak torque analysis. In addition, the VL and VM motor unit discharge rates (MUDR) were measured. Results After hot-water immersion (core temperature ↑1°C; muscle temperature ↑2.4°C), MVC torque and VAL decreased (p &lt; 0.05). The sEMG (VL and VM) and peak twitch torque did not change (p &gt; 0.05), while time to peak torque decreased (p = 0.007). The VL and VM MUDR decreased, showing a time effect, after both water immersion conditions (36 and 42°C) (p &gt; 0.001). Fifteen minutes after the hot-water immersion (core temperature at baseline; muscle temperature ↑1.4°C), MVC torque returned to baseline, but VAL remained lower. The sEMG (VL and VM) remained unchanged. Peak twitch torque increased (p &lt; 0.002) and time to peak torque remained lower (p = 0.028). The MUDR remained lower after both water immersion conditions (p &lt; 0.05). Conclusion Increased core temperature evoked by 42°C hot-water immersion decreases MVC torque and VAL. However, a passive increase in muscle temperature improved evoked muscle contractile function (i.e., time to peak torque [after] and peak twitch torque [ 15 min after]). Moreover, a passive increase in muscle temperature reduced the required MUDR to attain the same torque.","container-title":"Scandinavian Journal of Medicine &amp; Science in Sports","DOI":"10.1111/sms.14312","ISSN":"1600-0838","issue":"5","language":"en","license":"© 2023 The Authors. Scandinavian Journal of Medicine &amp; Science In Sports published by John Wiley &amp; Sons Ltd.","note":"_eprint: https://onlinelibrary.wiley.com/doi/pdf/10.1111/sms.14312","page":"754-765","source":"Wiley Online Library","title":"Increases in muscle temperature by hot water improve muscle contractile function and reduce motor unit discharge rates","volume":"33","author":[{"family":"Rodrigues","given":"Patrick"},{"family":"Orssatto","given":"Lucas B. R."},{"family":"Trajano","given":"Gabriel Siqueira"},{"family":"Wharton","given":"Lee"},{"family":"Minett","given":"Geoffrey M."}],"issued":{"date-parts":[["2023"]]}}}],"schema":"https://github.com/citation-style-language/schema/raw/master/csl-citation.json"} </w:instrText>
      </w:r>
      <w:r w:rsidR="004D2B03">
        <w:fldChar w:fldCharType="separate"/>
      </w:r>
      <w:r w:rsidR="007266EF" w:rsidRPr="007266EF">
        <w:t xml:space="preserve">(Rodrigues </w:t>
      </w:r>
      <w:r w:rsidR="007266EF" w:rsidRPr="007266EF">
        <w:rPr>
          <w:i/>
          <w:iCs/>
        </w:rPr>
        <w:t>et al.</w:t>
      </w:r>
      <w:r w:rsidR="007266EF" w:rsidRPr="007266EF">
        <w:t>, 2020</w:t>
      </w:r>
      <w:r w:rsidR="007266EF" w:rsidRPr="007266EF">
        <w:rPr>
          <w:i/>
          <w:iCs/>
        </w:rPr>
        <w:t>b</w:t>
      </w:r>
      <w:r w:rsidR="007266EF" w:rsidRPr="007266EF">
        <w:t>, 2023)</w:t>
      </w:r>
      <w:r w:rsidR="004D2B03">
        <w:fldChar w:fldCharType="end"/>
      </w:r>
      <w:r w:rsidR="004D2B03">
        <w:t xml:space="preserve">. Therefore, </w:t>
      </w:r>
      <w:proofErr w:type="spellStart"/>
      <w:r w:rsidR="004D2B03">
        <w:t>locali</w:t>
      </w:r>
      <w:r w:rsidR="00383B1C">
        <w:t>s</w:t>
      </w:r>
      <w:r w:rsidR="004D2B03">
        <w:t>ed</w:t>
      </w:r>
      <w:proofErr w:type="spellEnd"/>
      <w:r w:rsidR="004D2B03">
        <w:t xml:space="preserve"> heating </w:t>
      </w:r>
      <w:r w:rsidR="008B0282">
        <w:t xml:space="preserve">at a higher temperature </w:t>
      </w:r>
      <w:r w:rsidR="004D2B03">
        <w:t xml:space="preserve">may have the capacity to provide a greater effect when targeting specific muscle groups (e.g., quadriceps) than what is safely feasible with whole-body HWI protocols in </w:t>
      </w:r>
      <w:r w:rsidR="008B0282">
        <w:t xml:space="preserve">older </w:t>
      </w:r>
      <w:r w:rsidR="004D2B03">
        <w:t xml:space="preserve">humans. </w:t>
      </w:r>
    </w:p>
    <w:bookmarkEnd w:id="7"/>
    <w:p w14:paraId="13A4E0E7" w14:textId="77777777" w:rsidR="00D3428E" w:rsidRDefault="00D3428E" w:rsidP="00191017">
      <w:pPr>
        <w:shd w:val="clear" w:color="auto" w:fill="FFFFFF"/>
        <w:spacing w:after="0" w:line="480" w:lineRule="auto"/>
        <w:jc w:val="both"/>
      </w:pPr>
    </w:p>
    <w:p w14:paraId="38893344" w14:textId="41B11298" w:rsidR="00D3428E" w:rsidRDefault="00411AEF" w:rsidP="004F1C34">
      <w:pPr>
        <w:shd w:val="clear" w:color="auto" w:fill="FFFFFF"/>
        <w:spacing w:after="0" w:line="480" w:lineRule="auto"/>
        <w:jc w:val="both"/>
      </w:pPr>
      <w:r>
        <w:t>T</w:t>
      </w:r>
      <w:r w:rsidR="00191017">
        <w:t xml:space="preserve">his is the first study to investigate the effects of </w:t>
      </w:r>
      <w:r w:rsidR="001B3D17">
        <w:t>repeated</w:t>
      </w:r>
      <w:r w:rsidR="00191017">
        <w:t xml:space="preserve"> HWI on grip strength in older adults. We showed that six weeks’ </w:t>
      </w:r>
      <w:r w:rsidR="001B3D17">
        <w:t>repeated</w:t>
      </w:r>
      <w:r w:rsidR="00191017">
        <w:t xml:space="preserve"> HWI had no effect on grip strength in healthy older adults. Our findings are in contrast to</w:t>
      </w:r>
      <w:r w:rsidR="004F1C34">
        <w:t xml:space="preserve"> previous </w:t>
      </w:r>
      <w:r w:rsidR="001B3D17">
        <w:t>repeated</w:t>
      </w:r>
      <w:r w:rsidR="001B3D17" w:rsidDel="001B3D17">
        <w:t xml:space="preserve"> </w:t>
      </w:r>
      <w:r w:rsidR="004F1C34">
        <w:t xml:space="preserve">PHT </w:t>
      </w:r>
      <w:r w:rsidR="004F1C34">
        <w:fldChar w:fldCharType="begin"/>
      </w:r>
      <w:r w:rsidR="00AA5A2F">
        <w:instrText xml:space="preserve"> ADDIN ZOTERO_ITEM CSL_CITATION {"citationID":"HkHWxij8","properties":{"formattedCitation":"(Fuchs {\\i{}et al.}, 2024)","plainCitation":"(Fuchs et al., 2024)","noteIndex":0},"citationItems":[{"id":521,"uris":["http://zotero.org/users/17561370/items/M8HX7PLD"],"itemData":{"id":521,"type":"article-journal","abstract":"Abstract: Prolonged passive heat treatment (PHT) has been suggested to trigger skeletal muscle adaptations that may improve muscle maintenance in older individuals. To assess the effects of PHT on skeletal muscle tissue capillarization, perfusion capacity, protein synthesis rates, hypertrophy and leg strength, 14 older adults (9 males, 5 females; 73 ± 6 years) underwent 8 weeks of PHT (infrared sauna: 3× per week, 45 min at </w:instrText>
      </w:r>
      <w:r w:rsidR="00AA5A2F">
        <w:rPr>
          <w:rFonts w:ascii="Cambria Math" w:hAnsi="Cambria Math" w:cs="Cambria Math"/>
        </w:rPr>
        <w:instrText>∼</w:instrText>
      </w:r>
      <w:r w:rsidR="00AA5A2F">
        <w:instrText xml:space="preserve">60°C). Before and after PHT we collected muscle biopsies to assess skeletal muscle capillarization and fibre cross-sectional area (CSA). Basal and postprandial muscle tissue perfusion kinetics and protein synthesis rates were assessed using contrast-enhanced ultrasound and primed continuous l-[ring-13C6]phenylalanine infusions, respectively. One-repetition maximum (1RM) leg strength and vastus lateralis muscle CSA were assessed. Type I and type II muscle fibre capillarization strongly increased following PHT (capillary-to-fibre perimeter exchange index: +31 ± 18 and +33 ± 30%, respectively; P &lt; 0.001). No changes were observed in basal (0.24 ± 0.27 vs. 0.18 ± 0.11 AU; P = 0.266) or postprandial (0.20 ± 0.12 vs. 0.18 ± 0.14 AU; P = 0.717) microvascular blood flow following PHT. Basal (0.048 ± 0.014 vs. 0.051 ± 0.019%/h; P = 0.630) and postprandial (0.041 ± 0.012 vs. 0.051 ± 0.024%/h; P = 0.199) muscle protein synthesis rates did not change in response to prolonged PHT. Furthermore, no changes in vastus lateralis muscle CSA (15.3 ± 4.6 vs. 15.2 ± 4.6 cm2; P = 0.768) or 1RM leg strength (46 ± 12 vs. 47 ± 12 kg; P = 0.087) were observed over time. In conclusion, prolonged PHT increases muscle tissue capillarization but this does not improve muscle microvascular blood flow or increase muscle protein synthesis rates in healthy, older adults. Prolonged PHT does not induce skeletal muscle hypertrophy or increase leg strength in healthy, older adults. (Figure presented.). Key points: Repeated exposure to heat has been suggested to trigger skeletal muscle adaptive responses. We investigated the effect of 8 weeks of whole-body passive heat treatment (PHT; infrared sauna: 3× per week for 45 min at </w:instrText>
      </w:r>
      <w:r w:rsidR="00AA5A2F">
        <w:rPr>
          <w:rFonts w:ascii="Cambria Math" w:hAnsi="Cambria Math" w:cs="Cambria Math"/>
        </w:rPr>
        <w:instrText>∼</w:instrText>
      </w:r>
      <w:r w:rsidR="00AA5A2F">
        <w:instrText xml:space="preserve">60°C) on skeletal muscle tissue capillarization, perfusion capacity, basal, and postprandial muscle protein synthesis rates, muscle (fibre) hypertrophy, and leg strength in healthy, older adults. Prolonged PHT increases muscle tissue capillarization, but this does not improve muscle microvascular blood flow or increase muscle protein synthesis rates. Despite increases in muscle tissue capillarization, prolonged PHT does not suffice to induce skeletal muscle hypertrophy or increase leg strength in healthy, older adults.","container-title":"The Journal of Physiology","DOI":"10.1113/JP286986","ISSN":"1469-7793","publisher":"John Wiley &amp; Sons, Ltd","title":"Repeated passive heat treatment increases muscle tissue capillarization, but does not affect postprandial muscle protein synthesis rates in healthy older adults","URL":"https://onlinelibrary.wiley.com/doi/full/10.1113/JP286986","author":[{"family":"Fuchs","given":"Cas J."},{"family":"Betz","given":"Milan W."},{"family":"Petrick","given":"Heather L."},{"family":"Weber","given":"Jil"},{"family":"Senden","given":"Joan M."},{"family":"Hendriks","given":"Floris K."},{"family":"Bels","given":"Julia L.M."},{"family":"Loon","given":"Luc J.C.","non-dropping-particle":"van"},{"family":"Snijders","given":"Tim"}],"accessed":{"date-parts":[["2024",11,25]]},"issued":{"date-parts":[["2024"]]}}}],"schema":"https://github.com/citation-style-language/schema/raw/master/csl-citation.json"} </w:instrText>
      </w:r>
      <w:r w:rsidR="004F1C34">
        <w:fldChar w:fldCharType="separate"/>
      </w:r>
      <w:r w:rsidR="005C33DC" w:rsidRPr="005C33DC">
        <w:t xml:space="preserve">(Fuchs </w:t>
      </w:r>
      <w:r w:rsidR="005C33DC" w:rsidRPr="005C33DC">
        <w:rPr>
          <w:i/>
          <w:iCs/>
        </w:rPr>
        <w:t>et al.</w:t>
      </w:r>
      <w:r w:rsidR="005C33DC" w:rsidRPr="005C33DC">
        <w:t>, 2024)</w:t>
      </w:r>
      <w:r w:rsidR="004F1C34">
        <w:fldChar w:fldCharType="end"/>
      </w:r>
      <w:r w:rsidR="00191017">
        <w:t xml:space="preserve"> </w:t>
      </w:r>
      <w:r w:rsidR="004F1C34">
        <w:t xml:space="preserve">and exercise </w:t>
      </w:r>
      <w:r w:rsidR="004F1C34">
        <w:fldChar w:fldCharType="begin"/>
      </w:r>
      <w:r w:rsidR="00AA5A2F">
        <w:instrText xml:space="preserve"> ADDIN ZOTERO_ITEM CSL_CITATION {"citationID":"0vnS2xjL","properties":{"formattedCitation":"(Labott {\\i{}et al.}, 2019)","plainCitation":"(Labott et al., 2019)","noteIndex":0},"citationItems":[{"id":94,"uris":["http://zotero.org/users/17561370/items/M25CLXCE"],"itemData":{"id":94,"type":"article-journal","abstract":"Background: Handgrip strength measurements are feasible with older adults and a reliable indicator for vitality, physical function, and several risk factors in the ageing process. Interventions with exercise training induce a variety of strength, balance, and endurance improvements. The pooled transfer effects of exercise training on handgrip strength has not been investigated to date. Thus, the objective of this meta-analytical review is to examine the effects of different exercise training on handgrip strength in healthy community-dwelling older adults of 60 years or older. Methods: The literature search was conducted in three databases (PubMed, Web of Science, SPORTDiscus) using the following search terms with Boolean conjunctions: (hand grip* OR grip strength OR grip power) AND (sport* OR train* OR exercis* OR strength OR intervention OR endurance OR resistance OR balance OR aerob*) AND (old* OR elder* OR senior*). Non-randomized and randomized controlled trials with an exercise training and handgrip strength as the outcome parameter were screened. Study quality was independently assessed by two researchers using the PEDro scale. Comparison of handgrip strength between the intervention and control groups was conducted by using the hedges g (including adjustment for small sample sizes), calculating standardized mean differences (SMDs). A random effects inverse-variance model was applied for statistical analysis. Results: Twenty-four trials (mean PEDro score 5.8 ± 0.9) with a total of 3,018 participants (mean age 73.3 ± 6.0 years) were included. Small but significant effects (p &amp;lt; 0.001) on handgrip strength were observed (SMD 0.28, 95% CI 0.13–0.44). Study heterogeneity (I2 56%) and the funnel shape for publication bias analyses were acceptable. Conclusions: Meaningful but small transfer effects of a multitude of different training approaches on handgrip strength occurred in healthy community-dwelling older adults. Handgrip strength cannot clearly be recommended to assess general functional performance for all kinds of exercise programs, whereas task-specific training and multimodal training modes seem to provide an appropriate stimulus to also improve handgrip strength.","container-title":"Gerontology","DOI":"10.1159/000501203","ISSN":"0304-324X","issue":"6","journalAbbreviation":"Gerontology","page":"686-698","source":"Silverchair","title":"Effects of Exercise Training on Handgrip Strength in Older Adults: A Meta-Analytical Review","title-short":"Effects of Exercise Training on Handgrip Strength in Older Adults","volume":"65","author":[{"family":"Labott","given":"Berit Kristin"},{"family":"Bucht","given":"Heidi"},{"family":"Morat","given":"Mareike"},{"family":"Morat","given":"Tobias"},{"family":"Donath","given":"Lars"}],"issued":{"date-parts":[["2019",9,9]]}}}],"schema":"https://github.com/citation-style-language/schema/raw/master/csl-citation.json"} </w:instrText>
      </w:r>
      <w:r w:rsidR="004F1C34">
        <w:fldChar w:fldCharType="separate"/>
      </w:r>
      <w:r w:rsidR="005C33DC" w:rsidRPr="005C33DC">
        <w:t xml:space="preserve">(Labott </w:t>
      </w:r>
      <w:r w:rsidR="005C33DC" w:rsidRPr="005C33DC">
        <w:rPr>
          <w:i/>
          <w:iCs/>
        </w:rPr>
        <w:t xml:space="preserve">et </w:t>
      </w:r>
      <w:r w:rsidR="005C33DC" w:rsidRPr="005C33DC">
        <w:rPr>
          <w:i/>
          <w:iCs/>
        </w:rPr>
        <w:lastRenderedPageBreak/>
        <w:t>al.</w:t>
      </w:r>
      <w:r w:rsidR="005C33DC" w:rsidRPr="005C33DC">
        <w:t>, 2019)</w:t>
      </w:r>
      <w:r w:rsidR="004F1C34">
        <w:fldChar w:fldCharType="end"/>
      </w:r>
      <w:r w:rsidR="004F1C34">
        <w:t xml:space="preserve"> studies showing increased </w:t>
      </w:r>
      <w:r w:rsidR="00191017">
        <w:t>grip strength in older adults</w:t>
      </w:r>
      <w:r w:rsidR="004F1C34">
        <w:t xml:space="preserve">. </w:t>
      </w:r>
      <w:r w:rsidR="004F1C34">
        <w:fldChar w:fldCharType="begin"/>
      </w:r>
      <w:r w:rsidR="00AA5A2F">
        <w:instrText xml:space="preserve"> ADDIN ZOTERO_ITEM CSL_CITATION {"citationID":"LHdOY5lE","properties":{"formattedCitation":"(Fuchs et al., 2024)","plainCitation":"(Fuchs et al., 2024)","dontUpdate":true,"noteIndex":0},"citationItems":[{"id":521,"uris":["http://zotero.org/users/17561370/items/M8HX7PLD"],"itemData":{"id":521,"type":"article-journal","abstract":"Abstract: Prolonged passive heat treatment (PHT) has been suggested to trigger skeletal muscle adaptations that may improve muscle maintenance in older individuals. To assess the effects of PHT on skeletal muscle tissue capillarization, perfusion capacity, protein synthesis rates, hypertrophy and leg strength, 14 older adults (9 males, 5 females; 73 ± 6 years) underwent 8 weeks of PHT (infrared sauna: 3× per week, 45 min at </w:instrText>
      </w:r>
      <w:r w:rsidR="00AA5A2F">
        <w:rPr>
          <w:rFonts w:ascii="Cambria Math" w:hAnsi="Cambria Math" w:cs="Cambria Math"/>
        </w:rPr>
        <w:instrText>∼</w:instrText>
      </w:r>
      <w:r w:rsidR="00AA5A2F">
        <w:instrText xml:space="preserve">60°C). Before and after PHT we collected muscle biopsies to assess skeletal muscle capillarization and fibre cross-sectional area (CSA). Basal and postprandial muscle tissue perfusion kinetics and protein synthesis rates were assessed using contrast-enhanced ultrasound and primed continuous l-[ring-13C6]phenylalanine infusions, respectively. One-repetition maximum (1RM) leg strength and vastus lateralis muscle CSA were assessed. Type I and type II muscle fibre capillarization strongly increased following PHT (capillary-to-fibre perimeter exchange index: +31 ± 18 and +33 ± 30%, respectively; P &lt; 0.001). No changes were observed in basal (0.24 ± 0.27 vs. 0.18 ± 0.11 AU; P = 0.266) or postprandial (0.20 ± 0.12 vs. 0.18 ± 0.14 AU; P = 0.717) microvascular blood flow following PHT. Basal (0.048 ± 0.014 vs. 0.051 ± 0.019%/h; P = 0.630) and postprandial (0.041 ± 0.012 vs. 0.051 ± 0.024%/h; P = 0.199) muscle protein synthesis rates did not change in response to prolonged PHT. Furthermore, no changes in vastus lateralis muscle CSA (15.3 ± 4.6 vs. 15.2 ± 4.6 cm2; P = 0.768) or 1RM leg strength (46 ± 12 vs. 47 ± 12 kg; P = 0.087) were observed over time. In conclusion, prolonged PHT increases muscle tissue capillarization but this does not improve muscle microvascular blood flow or increase muscle protein synthesis rates in healthy, older adults. Prolonged PHT does not induce skeletal muscle hypertrophy or increase leg strength in healthy, older adults. (Figure presented.). Key points: Repeated exposure to heat has been suggested to trigger skeletal muscle adaptive responses. We investigated the effect of 8 weeks of whole-body passive heat treatment (PHT; infrared sauna: 3× per week for 45 min at </w:instrText>
      </w:r>
      <w:r w:rsidR="00AA5A2F">
        <w:rPr>
          <w:rFonts w:ascii="Cambria Math" w:hAnsi="Cambria Math" w:cs="Cambria Math"/>
        </w:rPr>
        <w:instrText>∼</w:instrText>
      </w:r>
      <w:r w:rsidR="00AA5A2F">
        <w:instrText xml:space="preserve">60°C) on skeletal muscle tissue capillarization, perfusion capacity, basal, and postprandial muscle protein synthesis rates, muscle (fibre) hypertrophy, and leg strength in healthy, older adults. Prolonged PHT increases muscle tissue capillarization, but this does not improve muscle microvascular blood flow or increase muscle protein synthesis rates. Despite increases in muscle tissue capillarization, prolonged PHT does not suffice to induce skeletal muscle hypertrophy or increase leg strength in healthy, older adults.","container-title":"The Journal of Physiology","DOI":"10.1113/JP286986","ISSN":"1469-7793","publisher":"John Wiley &amp; Sons, Ltd","title":"Repeated passive heat treatment increases muscle tissue capillarization, but does not affect postprandial muscle protein synthesis rates in healthy older adults","URL":"https://onlinelibrary.wiley.com/doi/full/10.1113/JP286986","author":[{"family":"Fuchs","given":"Cas J."},{"family":"Betz","given":"Milan W."},{"family":"Petrick","given":"Heather L."},{"family":"Weber","given":"Jil"},{"family":"Senden","given":"Joan M."},{"family":"Hendriks","given":"Floris K."},{"family":"Bels","given":"Julia L.M."},{"family":"Loon","given":"Luc J.C.","non-dropping-particle":"van"},{"family":"Snijders","given":"Tim"}],"accessed":{"date-parts":[["2024",11,25]]},"issued":{"date-parts":[["2024"]]}}}],"schema":"https://github.com/citation-style-language/schema/raw/master/csl-citation.json"} </w:instrText>
      </w:r>
      <w:r w:rsidR="004F1C34">
        <w:fldChar w:fldCharType="separate"/>
      </w:r>
      <w:r w:rsidR="004F1C34" w:rsidRPr="004F1C34">
        <w:t xml:space="preserve">Fuchs et al. </w:t>
      </w:r>
      <w:r w:rsidR="004F1C34">
        <w:t>(</w:t>
      </w:r>
      <w:r w:rsidR="004F1C34" w:rsidRPr="004F1C34">
        <w:t>2024)</w:t>
      </w:r>
      <w:r w:rsidR="004F1C34">
        <w:fldChar w:fldCharType="end"/>
      </w:r>
      <w:r w:rsidR="004F1C34">
        <w:t xml:space="preserve"> </w:t>
      </w:r>
      <w:r w:rsidR="00191017">
        <w:t>similarly observed no concurrent changes in leg strength</w:t>
      </w:r>
      <w:r w:rsidR="004F1C34">
        <w:t>, t</w:t>
      </w:r>
      <w:r w:rsidR="00191017">
        <w:t>herefore any mechanistic difference between their findings and the present study is unclear and requires further investigation</w:t>
      </w:r>
      <w:r w:rsidR="00C25E4A">
        <w:t xml:space="preserve">, though a </w:t>
      </w:r>
      <w:r w:rsidR="00773B89">
        <w:t>learning</w:t>
      </w:r>
      <w:r w:rsidR="00C25E4A">
        <w:t xml:space="preserve"> effect could have occurred </w:t>
      </w:r>
      <w:r w:rsidR="001F21AE">
        <w:t>in</w:t>
      </w:r>
      <w:r w:rsidR="00C25E4A">
        <w:t xml:space="preserve"> the</w:t>
      </w:r>
      <w:r w:rsidR="001F21AE">
        <w:t>ir</w:t>
      </w:r>
      <w:r w:rsidR="00C25E4A">
        <w:t xml:space="preserve"> pre-post study design</w:t>
      </w:r>
      <w:r w:rsidR="00191017">
        <w:t>.</w:t>
      </w:r>
      <w:r w:rsidR="004F1C34">
        <w:t xml:space="preserve"> </w:t>
      </w:r>
      <w:r w:rsidR="004F1C34">
        <w:fldChar w:fldCharType="begin"/>
      </w:r>
      <w:r w:rsidR="00AA5A2F">
        <w:instrText xml:space="preserve"> ADDIN ZOTERO_ITEM CSL_CITATION {"citationID":"f0lWnY1o","properties":{"formattedCitation":"(Labott et al., 2019)","plainCitation":"(Labott et al., 2019)","dontUpdate":true,"noteIndex":0},"citationItems":[{"id":94,"uris":["http://zotero.org/users/17561370/items/M25CLXCE"],"itemData":{"id":94,"type":"article-journal","abstract":"Background: Handgrip strength measurements are feasible with older adults and a reliable indicator for vitality, physical function, and several risk factors in the ageing process. Interventions with exercise training induce a variety of strength, balance, and endurance improvements. The pooled transfer effects of exercise training on handgrip strength has not been investigated to date. Thus, the objective of this meta-analytical review is to examine the effects of different exercise training on handgrip strength in healthy community-dwelling older adults of 60 years or older. Methods: The literature search was conducted in three databases (PubMed, Web of Science, SPORTDiscus) using the following search terms with Boolean conjunctions: (hand grip* OR grip strength OR grip power) AND (sport* OR train* OR exercis* OR strength OR intervention OR endurance OR resistance OR balance OR aerob*) AND (old* OR elder* OR senior*). Non-randomized and randomized controlled trials with an exercise training and handgrip strength as the outcome parameter were screened. Study quality was independently assessed by two researchers using the PEDro scale. Comparison of handgrip strength between the intervention and control groups was conducted by using the hedges g (including adjustment for small sample sizes), calculating standardized mean differences (SMDs). A random effects inverse-variance model was applied for statistical analysis. Results: Twenty-four trials (mean PEDro score 5.8 ± 0.9) with a total of 3,018 participants (mean age 73.3 ± 6.0 years) were included. Small but significant effects (p &amp;lt; 0.001) on handgrip strength were observed (SMD 0.28, 95% CI 0.13–0.44). Study heterogeneity (I2 56%) and the funnel shape for publication bias analyses were acceptable. Conclusions: Meaningful but small transfer effects of a multitude of different training approaches on handgrip strength occurred in healthy community-dwelling older adults. Handgrip strength cannot clearly be recommended to assess general functional performance for all kinds of exercise programs, whereas task-specific training and multimodal training modes seem to provide an appropriate stimulus to also improve handgrip strength.","container-title":"Gerontology","DOI":"10.1159/000501203","ISSN":"0304-324X","issue":"6","journalAbbreviation":"Gerontology","page":"686-698","source":"Silverchair","title":"Effects of Exercise Training on Handgrip Strength in Older Adults: A Meta-Analytical Review","title-short":"Effects of Exercise Training on Handgrip Strength in Older Adults","volume":"65","author":[{"family":"Labott","given":"Berit Kristin"},{"family":"Bucht","given":"Heidi"},{"family":"Morat","given":"Mareike"},{"family":"Morat","given":"Tobias"},{"family":"Donath","given":"Lars"}],"issued":{"date-parts":[["2019",9,9]]}}}],"schema":"https://github.com/citation-style-language/schema/raw/master/csl-citation.json"} </w:instrText>
      </w:r>
      <w:r w:rsidR="004F1C34">
        <w:fldChar w:fldCharType="separate"/>
      </w:r>
      <w:r w:rsidR="004F1C34" w:rsidRPr="00004F76">
        <w:t xml:space="preserve">Labott et al. </w:t>
      </w:r>
      <w:r w:rsidR="004F1C34">
        <w:t>(</w:t>
      </w:r>
      <w:r w:rsidR="004F1C34" w:rsidRPr="00004F76">
        <w:t>2019)</w:t>
      </w:r>
      <w:r w:rsidR="004F1C34">
        <w:fldChar w:fldCharType="end"/>
      </w:r>
      <w:r w:rsidR="004F1C34">
        <w:t xml:space="preserve"> proposed that targeted upper body exercises</w:t>
      </w:r>
      <w:r w:rsidR="002F5037">
        <w:t xml:space="preserve"> (i.e., </w:t>
      </w:r>
      <w:r w:rsidR="0099411A">
        <w:t>resistance</w:t>
      </w:r>
      <w:r w:rsidR="002F5037">
        <w:t xml:space="preserve"> training)</w:t>
      </w:r>
      <w:r w:rsidR="004F1C34">
        <w:t xml:space="preserve"> within exercise protocols likely elicited improvements, suggesting that HWI, which provided a passive stimulus, may not have been sufficient to increase grip strength. </w:t>
      </w:r>
      <w:r w:rsidR="007B06A3">
        <w:t xml:space="preserve">It should be noted that </w:t>
      </w:r>
      <w:r w:rsidR="004F6BA5">
        <w:t>whilst not a primary outcome measure,</w:t>
      </w:r>
      <w:r w:rsidR="004F1C34">
        <w:t xml:space="preserve"> the study by</w:t>
      </w:r>
      <w:r w:rsidR="004F6BA5">
        <w:t xml:space="preserve"> </w:t>
      </w:r>
      <w:r w:rsidR="004F1C34">
        <w:fldChar w:fldCharType="begin"/>
      </w:r>
      <w:r w:rsidR="00AA5A2F">
        <w:instrText xml:space="preserve"> ADDIN ZOTERO_ITEM CSL_CITATION {"citationID":"ZOZ2ePRZ","properties":{"formattedCitation":"(Fuchs et al., 2024)","plainCitation":"(Fuchs et al., 2024)","dontUpdate":true,"noteIndex":0},"citationItems":[{"id":521,"uris":["http://zotero.org/users/17561370/items/M8HX7PLD"],"itemData":{"id":521,"type":"article-journal","abstract":"Abstract: Prolonged passive heat treatment (PHT) has been suggested to trigger skeletal muscle adaptations that may improve muscle maintenance in older individuals. To assess the effects of PHT on skeletal muscle tissue capillarization, perfusion capacity, protein synthesis rates, hypertrophy and leg strength, 14 older adults (9 males, 5 females; 73 ± 6 years) underwent 8 weeks of PHT (infrared sauna: 3× per week, 45 min at </w:instrText>
      </w:r>
      <w:r w:rsidR="00AA5A2F">
        <w:rPr>
          <w:rFonts w:ascii="Cambria Math" w:hAnsi="Cambria Math" w:cs="Cambria Math"/>
        </w:rPr>
        <w:instrText>∼</w:instrText>
      </w:r>
      <w:r w:rsidR="00AA5A2F">
        <w:instrText xml:space="preserve">60°C). Before and after PHT we collected muscle biopsies to assess skeletal muscle capillarization and fibre cross-sectional area (CSA). Basal and postprandial muscle tissue perfusion kinetics and protein synthesis rates were assessed using contrast-enhanced ultrasound and primed continuous l-[ring-13C6]phenylalanine infusions, respectively. One-repetition maximum (1RM) leg strength and vastus lateralis muscle CSA were assessed. Type I and type II muscle fibre capillarization strongly increased following PHT (capillary-to-fibre perimeter exchange index: +31 ± 18 and +33 ± 30%, respectively; P &lt; 0.001). No changes were observed in basal (0.24 ± 0.27 vs. 0.18 ± 0.11 AU; P = 0.266) or postprandial (0.20 ± 0.12 vs. 0.18 ± 0.14 AU; P = 0.717) microvascular blood flow following PHT. Basal (0.048 ± 0.014 vs. 0.051 ± 0.019%/h; P = 0.630) and postprandial (0.041 ± 0.012 vs. 0.051 ± 0.024%/h; P = 0.199) muscle protein synthesis rates did not change in response to prolonged PHT. Furthermore, no changes in vastus lateralis muscle CSA (15.3 ± 4.6 vs. 15.2 ± 4.6 cm2; P = 0.768) or 1RM leg strength (46 ± 12 vs. 47 ± 12 kg; P = 0.087) were observed over time. In conclusion, prolonged PHT increases muscle tissue capillarization but this does not improve muscle microvascular blood flow or increase muscle protein synthesis rates in healthy, older adults. Prolonged PHT does not induce skeletal muscle hypertrophy or increase leg strength in healthy, older adults. (Figure presented.). Key points: Repeated exposure to heat has been suggested to trigger skeletal muscle adaptive responses. We investigated the effect of 8 weeks of whole-body passive heat treatment (PHT; infrared sauna: 3× per week for 45 min at </w:instrText>
      </w:r>
      <w:r w:rsidR="00AA5A2F">
        <w:rPr>
          <w:rFonts w:ascii="Cambria Math" w:hAnsi="Cambria Math" w:cs="Cambria Math"/>
        </w:rPr>
        <w:instrText>∼</w:instrText>
      </w:r>
      <w:r w:rsidR="00AA5A2F">
        <w:instrText xml:space="preserve">60°C) on skeletal muscle tissue capillarization, perfusion capacity, basal, and postprandial muscle protein synthesis rates, muscle (fibre) hypertrophy, and leg strength in healthy, older adults. Prolonged PHT increases muscle tissue capillarization, but this does not improve muscle microvascular blood flow or increase muscle protein synthesis rates. Despite increases in muscle tissue capillarization, prolonged PHT does not suffice to induce skeletal muscle hypertrophy or increase leg strength in healthy, older adults.","container-title":"The Journal of Physiology","DOI":"10.1113/JP286986","ISSN":"1469-7793","publisher":"John Wiley &amp; Sons, Ltd","title":"Repeated passive heat treatment increases muscle tissue capillarization, but does not affect postprandial muscle protein synthesis rates in healthy older adults","URL":"https://onlinelibrary.wiley.com/doi/full/10.1113/JP286986","author":[{"family":"Fuchs","given":"Cas J."},{"family":"Betz","given":"Milan W."},{"family":"Petrick","given":"Heather L."},{"family":"Weber","given":"Jil"},{"family":"Senden","given":"Joan M."},{"family":"Hendriks","given":"Floris K."},{"family":"Bels","given":"Julia L.M."},{"family":"Loon","given":"Luc J.C.","non-dropping-particle":"van"},{"family":"Snijders","given":"Tim"}],"accessed":{"date-parts":[["2024",11,25]]},"issued":{"date-parts":[["2024"]]}}}],"schema":"https://github.com/citation-style-language/schema/raw/master/csl-citation.json"} </w:instrText>
      </w:r>
      <w:r w:rsidR="004F1C34">
        <w:fldChar w:fldCharType="separate"/>
      </w:r>
      <w:r w:rsidR="004F1C34" w:rsidRPr="004F1C34">
        <w:t xml:space="preserve">Fuchs et al. </w:t>
      </w:r>
      <w:r w:rsidR="004F1C34">
        <w:t>(</w:t>
      </w:r>
      <w:r w:rsidR="004F1C34" w:rsidRPr="004F1C34">
        <w:t>2024)</w:t>
      </w:r>
      <w:r w:rsidR="004F1C34">
        <w:fldChar w:fldCharType="end"/>
      </w:r>
      <w:r w:rsidR="004F1C34">
        <w:t xml:space="preserve"> </w:t>
      </w:r>
      <w:r w:rsidR="007B06A3">
        <w:t xml:space="preserve">and the present study likely suffered from a lack in statistical power for grip strength. Indeed, data from </w:t>
      </w:r>
      <w:r w:rsidR="007B06A3">
        <w:fldChar w:fldCharType="begin"/>
      </w:r>
      <w:r w:rsidR="00AA5A2F">
        <w:instrText xml:space="preserve"> ADDIN ZOTERO_ITEM CSL_CITATION {"citationID":"Tiw5QrHs","properties":{"formattedCitation":"(Fuchs {\\i{}et al.}, 2024)","plainCitation":"(Fuchs et al., 2024)","dontUpdate":true,"noteIndex":0},"citationItems":[{"id":521,"uris":["http://zotero.org/users/17561370/items/M8HX7PLD"],"itemData":{"id":521,"type":"article-journal","abstract":"Abstract: Prolonged passive heat treatment (PHT) has been suggested to trigger skeletal muscle adaptations that may improve muscle maintenance in older individuals. To assess the effects of PHT on skeletal muscle tissue capillarization, perfusion capacity, protein synthesis rates, hypertrophy and leg strength, 14 older adults (9 males, 5 females; 73 ± 6 years) underwent 8 weeks of PHT (infrared sauna: 3× per week, 45 min at </w:instrText>
      </w:r>
      <w:r w:rsidR="00AA5A2F">
        <w:rPr>
          <w:rFonts w:ascii="Cambria Math" w:hAnsi="Cambria Math" w:cs="Cambria Math"/>
        </w:rPr>
        <w:instrText>∼</w:instrText>
      </w:r>
      <w:r w:rsidR="00AA5A2F">
        <w:instrText xml:space="preserve">60°C). Before and after PHT we collected muscle biopsies to assess skeletal muscle capillarization and fibre cross-sectional area (CSA). Basal and postprandial muscle tissue perfusion kinetics and protein synthesis rates were assessed using contrast-enhanced ultrasound and primed continuous l-[ring-13C6]phenylalanine infusions, respectively. One-repetition maximum (1RM) leg strength and vastus lateralis muscle CSA were assessed. Type I and type II muscle fibre capillarization strongly increased following PHT (capillary-to-fibre perimeter exchange index: +31 ± 18 and +33 ± 30%, respectively; P &lt; 0.001). No changes were observed in basal (0.24 ± 0.27 vs. 0.18 ± 0.11 AU; P = 0.266) or postprandial (0.20 ± 0.12 vs. 0.18 ± 0.14 AU; P = 0.717) microvascular blood flow following PHT. Basal (0.048 ± 0.014 vs. 0.051 ± 0.019%/h; P = 0.630) and postprandial (0.041 ± 0.012 vs. 0.051 ± 0.024%/h; P = 0.199) muscle protein synthesis rates did not change in response to prolonged PHT. Furthermore, no changes in vastus lateralis muscle CSA (15.3 ± 4.6 vs. 15.2 ± 4.6 cm2; P = 0.768) or 1RM leg strength (46 ± 12 vs. 47 ± 12 kg; P = 0.087) were observed over time. In conclusion, prolonged PHT increases muscle tissue capillarization but this does not improve muscle microvascular blood flow or increase muscle protein synthesis rates in healthy, older adults. Prolonged PHT does not induce skeletal muscle hypertrophy or increase leg strength in healthy, older adults. (Figure presented.). Key points: Repeated exposure to heat has been suggested to trigger skeletal muscle adaptive responses. We investigated the effect of 8 weeks of whole-body passive heat treatment (PHT; infrared sauna: 3× per week for 45 min at </w:instrText>
      </w:r>
      <w:r w:rsidR="00AA5A2F">
        <w:rPr>
          <w:rFonts w:ascii="Cambria Math" w:hAnsi="Cambria Math" w:cs="Cambria Math"/>
        </w:rPr>
        <w:instrText>∼</w:instrText>
      </w:r>
      <w:r w:rsidR="00AA5A2F">
        <w:instrText xml:space="preserve">60°C) on skeletal muscle tissue capillarization, perfusion capacity, basal, and postprandial muscle protein synthesis rates, muscle (fibre) hypertrophy, and leg strength in healthy, older adults. Prolonged PHT increases muscle tissue capillarization, but this does not improve muscle microvascular blood flow or increase muscle protein synthesis rates. Despite increases in muscle tissue capillarization, prolonged PHT does not suffice to induce skeletal muscle hypertrophy or increase leg strength in healthy, older adults.","container-title":"The Journal of Physiology","DOI":"10.1113/JP286986","ISSN":"1469-7793","publisher":"John Wiley &amp; Sons, Ltd","title":"Repeated passive heat treatment increases muscle tissue capillarization, but does not affect postprandial muscle protein synthesis rates in healthy older adults","URL":"https://onlinelibrary.wiley.com/doi/full/10.1113/JP286986","author":[{"family":"Fuchs","given":"Cas J."},{"family":"Betz","given":"Milan W."},{"family":"Petrick","given":"Heather L."},{"family":"Weber","given":"Jil"},{"family":"Senden","given":"Joan M."},{"family":"Hendriks","given":"Floris K."},{"family":"Bels","given":"Julia L.M."},{"family":"Loon","given":"Luc J.C.","non-dropping-particle":"van"},{"family":"Snijders","given":"Tim"}],"accessed":{"date-parts":[["2024",11,25]]},"issued":{"date-parts":[["2024"]]}}}],"schema":"https://github.com/citation-style-language/schema/raw/master/csl-citation.json"} </w:instrText>
      </w:r>
      <w:r w:rsidR="007B06A3">
        <w:fldChar w:fldCharType="separate"/>
      </w:r>
      <w:r w:rsidR="007B06A3" w:rsidRPr="00D96CCD">
        <w:t xml:space="preserve">Fuchs </w:t>
      </w:r>
      <w:r w:rsidR="007B06A3" w:rsidRPr="00D96CCD">
        <w:rPr>
          <w:i/>
          <w:iCs/>
        </w:rPr>
        <w:t>et al.</w:t>
      </w:r>
      <w:r w:rsidR="007B06A3" w:rsidRPr="00D96CCD">
        <w:t xml:space="preserve"> </w:t>
      </w:r>
      <w:r w:rsidR="007B06A3">
        <w:t>(</w:t>
      </w:r>
      <w:r w:rsidR="007B06A3" w:rsidRPr="00D96CCD">
        <w:t>2024)</w:t>
      </w:r>
      <w:r w:rsidR="007B06A3">
        <w:fldChar w:fldCharType="end"/>
      </w:r>
      <w:r w:rsidR="007B06A3">
        <w:t xml:space="preserve"> indicates that a definitive trial with grip strength as the primary outcome, an effect size of 0.197, and 80% power would require 205 participants.</w:t>
      </w:r>
      <w:r w:rsidR="004F1C34">
        <w:t xml:space="preserve"> </w:t>
      </w:r>
    </w:p>
    <w:p w14:paraId="4122AA3B" w14:textId="77777777" w:rsidR="004F1C34" w:rsidRDefault="004F1C34" w:rsidP="004F1C34">
      <w:pPr>
        <w:shd w:val="clear" w:color="auto" w:fill="FFFFFF"/>
        <w:spacing w:after="0" w:line="480" w:lineRule="auto"/>
        <w:jc w:val="both"/>
      </w:pPr>
    </w:p>
    <w:p w14:paraId="1ED81204" w14:textId="77777777" w:rsidR="00ED0143" w:rsidRDefault="00ED0143" w:rsidP="00ED0143">
      <w:pPr>
        <w:shd w:val="clear" w:color="auto" w:fill="FFFFFF"/>
        <w:spacing w:after="0" w:line="480" w:lineRule="auto"/>
        <w:jc w:val="both"/>
        <w:rPr>
          <w:b/>
        </w:rPr>
      </w:pPr>
      <w:r>
        <w:rPr>
          <w:b/>
        </w:rPr>
        <w:t>Power, lower extremity function and gait</w:t>
      </w:r>
    </w:p>
    <w:p w14:paraId="0A505E83" w14:textId="546FD7B8" w:rsidR="007306BC" w:rsidRDefault="007B06A3" w:rsidP="00191017">
      <w:pPr>
        <w:shd w:val="clear" w:color="auto" w:fill="FFFFFF"/>
        <w:spacing w:after="0" w:line="480" w:lineRule="auto"/>
        <w:jc w:val="both"/>
        <w:rPr>
          <w:bCs/>
        </w:rPr>
      </w:pPr>
      <w:r>
        <w:rPr>
          <w:bCs/>
        </w:rPr>
        <w:t xml:space="preserve">We showed </w:t>
      </w:r>
      <w:r w:rsidR="00706A2A">
        <w:rPr>
          <w:bCs/>
        </w:rPr>
        <w:t>that repeated HWI had no</w:t>
      </w:r>
      <w:r w:rsidR="007B4768">
        <w:rPr>
          <w:bCs/>
        </w:rPr>
        <w:t xml:space="preserve"> effect on</w:t>
      </w:r>
      <w:r>
        <w:rPr>
          <w:bCs/>
        </w:rPr>
        <w:t xml:space="preserve"> </w:t>
      </w:r>
      <w:r w:rsidR="00191017">
        <w:rPr>
          <w:bCs/>
        </w:rPr>
        <w:t>knee extension power during the STS exercise</w:t>
      </w:r>
      <w:r w:rsidR="007B4768">
        <w:rPr>
          <w:bCs/>
        </w:rPr>
        <w:t>.</w:t>
      </w:r>
      <w:r w:rsidR="006E3CB0">
        <w:rPr>
          <w:bCs/>
        </w:rPr>
        <w:t xml:space="preserve"> </w:t>
      </w:r>
      <w:r w:rsidR="002D218B">
        <w:rPr>
          <w:bCs/>
        </w:rPr>
        <w:t xml:space="preserve">Our results are in contrast to previous mechanistic findings testing acute </w:t>
      </w:r>
      <w:r w:rsidR="002D218B">
        <w:rPr>
          <w:bCs/>
        </w:rPr>
        <w:fldChar w:fldCharType="begin"/>
      </w:r>
      <w:r w:rsidR="00AA5A2F">
        <w:rPr>
          <w:bCs/>
        </w:rPr>
        <w:instrText xml:space="preserve"> ADDIN ZOTERO_ITEM CSL_CITATION {"citationID":"eRt0QzoO","properties":{"formattedCitation":"(Mornas {\\i{}et al.}, 2021)","plainCitation":"(Mornas et al., 2021)","noteIndex":0},"citationItems":[{"id":1071,"uris":["http://www.mendeley.com/documents/?uuid=8935847c-f6a0-3717-abb1-e9e2d21d6ef9","http://zotero.org/users/17561370/items/HMBCZ245"],"itemData":{"id":1071,"type":"article-journal","abstract":"The present study aimed to determine the effect of hyperthermia on both electrochemical and mechanical components of the electromechanical delay (EMD), using very-high-frame-rate ultrasound. Electrically evoked peak twitch force, EMD, electrochemical (Dm; i.e., delay between stimulation and muscle fascicle motion), and mechanical (Tm; i.e., delay between fascicle motion and force production onset) components of EMD were assessed in 16 participants. Assessments were conducted in a control ambient environment (CON; 26°C, 34% relative humidity) and in a hot ambient environment (HOT; 46-50°C, 18% relative humidity, after </w:instrText>
      </w:r>
      <w:r w:rsidR="00AA5A2F">
        <w:rPr>
          <w:rFonts w:ascii="Cambria Math" w:hAnsi="Cambria Math" w:cs="Cambria Math"/>
          <w:bCs/>
        </w:rPr>
        <w:instrText>∼</w:instrText>
      </w:r>
      <w:r w:rsidR="00AA5A2F">
        <w:rPr>
          <w:bCs/>
        </w:rPr>
        <w:instrText xml:space="preserve">127 min of heat exposure). Following heat exposure, gastrocnemius medialis temperature was 37.0 ± 0.6°C in HOT vs. 34.0 ± 0.8°C in CON (P &lt; 0.001). EMD was shorter (9.4 ± 0.8 ms) in HOT than in CON (10.8 ± 0.6 ms, P &lt; 0.001). Electrochemical processes were shorter in HOT than in CON (4.0 ± 0.8 ms vs. 5.5 ± 0.9 ms, respectively, P &lt; 0.001), whereas mechanical processes were unchanged (P = 0.622). These results demonstrate that hyperthermia reduces electromechanical delay via accelerated electrochemical processes, whereas force transmission along the active and passive parts of the series elastic component is not affected following heat exposure. The present study demonstrates that heat exposure accelerates muscle contraction thanks to faster electrochemical processes. Further investigations during voluntary contractions would contribute to better understand how these findings translate into motor performance.","container-title":"Journal of Applied Physiology","DOI":"10.1152/JAPPLPHYSIOL.00538.2020/ASSET/IMAGES/LARGE/AJ-JAPP200100F002.JPEG","ISSN":"15221601","issue":"2","page":"290-297","PMID":"33180642","publisher":"American Physiological Society","title":"Hyperthermia reduces electromechanical delay via accelerated electrochemical processes","volume":"130","author":[{"family":"Mornas","given":"Adéle"},{"family":"Racinais","given":"Sébastien"},{"family":"Brocherie","given":"Franck"},{"family":"Alhammoud","given":"Marine"},{"family":"Hager","given":"Robin"},{"family":"Desmedt","given":"Yanis"},{"family":"Guilhem","given":"Gaël"}],"issued":{"date-parts":[["2021",2,1]]}}}],"schema":"https://github.com/citation-style-language/schema/raw/master/csl-citation.json"} </w:instrText>
      </w:r>
      <w:r w:rsidR="002D218B">
        <w:rPr>
          <w:bCs/>
        </w:rPr>
        <w:fldChar w:fldCharType="separate"/>
      </w:r>
      <w:r w:rsidR="002D218B" w:rsidRPr="005C33DC">
        <w:t xml:space="preserve">(Mornas </w:t>
      </w:r>
      <w:r w:rsidR="002D218B" w:rsidRPr="005C33DC">
        <w:rPr>
          <w:i/>
          <w:iCs/>
        </w:rPr>
        <w:t>et al.</w:t>
      </w:r>
      <w:r w:rsidR="002D218B" w:rsidRPr="005C33DC">
        <w:t>, 2021)</w:t>
      </w:r>
      <w:r w:rsidR="002D218B">
        <w:rPr>
          <w:bCs/>
        </w:rPr>
        <w:fldChar w:fldCharType="end"/>
      </w:r>
      <w:r w:rsidR="002D218B">
        <w:rPr>
          <w:bCs/>
        </w:rPr>
        <w:t xml:space="preserve"> and </w:t>
      </w:r>
      <w:r w:rsidR="001B3D17">
        <w:t>repeated</w:t>
      </w:r>
      <w:r w:rsidR="002D218B">
        <w:rPr>
          <w:bCs/>
        </w:rPr>
        <w:t xml:space="preserve"> </w:t>
      </w:r>
      <w:r w:rsidR="002D218B">
        <w:rPr>
          <w:bCs/>
        </w:rPr>
        <w:fldChar w:fldCharType="begin"/>
      </w:r>
      <w:r w:rsidR="00AA5A2F">
        <w:rPr>
          <w:bCs/>
        </w:rPr>
        <w:instrText xml:space="preserve"> ADDIN ZOTERO_ITEM CSL_CITATION {"citationID":"Lj9fvvzk","properties":{"formattedCitation":"(Racinais {\\i{}et al.}, 2017)","plainCitation":"(Racinais et al., 2017)","noteIndex":0},"citationItems":[{"id":910,"uris":["http://www.mendeley.com/documents/?uuid=31597f19-8110-3f7e-9b2d-5963c042362c","http://zotero.org/users/17561370/items/LGZBLH23"],"itemData":{"id":910,"type":"article-journal","abstract":"This study aimed to clarify the pathway mediating hyperthermia-induced alterations in neural drive transmission and determine if heat acclimation protects voluntary muscle activation and cognitive function in hyperthermic humans. Electrically evoked potentials (H reflex and M wave), executive function (special planning and working memory), and maximal voluntary isometric contractions (120 s) were assessed in 14 participants in control conditions [CON, 24°C, 40% relative humidity (RH)] and in a hyperthermic state (HYP, 44-50°C, 50% RH) on consecutive days in a counterbalanced order. Thereafter, participants were passively heat acclimated for 11 days (1 h per day, 48-50°C, 50% RH) before repeating the initial assessments. Heat acclimation decreased rectal temperature in CON (±0.2°C, P &lt; 0.05), but participants were maintained at </w:instrText>
      </w:r>
      <w:r w:rsidR="00AA5A2F">
        <w:rPr>
          <w:rFonts w:ascii="Cambria Math" w:hAnsi="Cambria Math" w:cs="Cambria Math"/>
          <w:bCs/>
        </w:rPr>
        <w:instrText>∼</w:instrText>
      </w:r>
      <w:r w:rsidR="00AA5A2F">
        <w:rPr>
          <w:bCs/>
        </w:rPr>
        <w:instrText>39°C in HYP. Heat acclimation increased the time required to reach 39°C (</w:instrText>
      </w:r>
      <w:r w:rsidR="00AA5A2F">
        <w:rPr>
          <w:rFonts w:ascii="Cambria Math" w:hAnsi="Cambria Math" w:cs="Cambria Math"/>
          <w:bCs/>
        </w:rPr>
        <w:instrText>∼</w:instrText>
      </w:r>
      <w:r w:rsidR="00AA5A2F">
        <w:rPr>
          <w:bCs/>
        </w:rPr>
        <w:instrText>9 min), along with sweat rate (</w:instrText>
      </w:r>
      <w:r w:rsidR="00AA5A2F">
        <w:rPr>
          <w:rFonts w:ascii="Cambria Math" w:hAnsi="Cambria Math" w:cs="Cambria Math"/>
          <w:bCs/>
        </w:rPr>
        <w:instrText>∼</w:instrText>
      </w:r>
      <w:r w:rsidR="00AA5A2F">
        <w:rPr>
          <w:bCs/>
        </w:rPr>
        <w:instrText xml:space="preserve">0.7 l/h), and serum extracellular expression of heat shock protein 72 (eHSP72; </w:instrText>
      </w:r>
      <w:r w:rsidR="00AA5A2F">
        <w:rPr>
          <w:rFonts w:ascii="Cambria Math" w:hAnsi="Cambria Math" w:cs="Cambria Math"/>
          <w:bCs/>
        </w:rPr>
        <w:instrText>∼</w:instrText>
      </w:r>
      <w:r w:rsidR="00AA5A2F">
        <w:rPr>
          <w:bCs/>
        </w:rPr>
        <w:instrText xml:space="preserve">20%) in HYP (P &lt; 0.05). M-wave and H-reflex amplitudes were lower in HYP than CON (P &lt; 0.05) and were not protected by heat acclimation. Nerve conduction velocity was faster in HYP than CON (P &lt; 0.05) without being influenced by heat acclimation. These results suggest that peripheral neural drive transmission in the hyperthermic state is primarily affected by axonal conduction velocity rather than synaptic failure. Executive function, voluntary activation, and the ability to sustain torque were impaired in HYP (P &lt; 0.05). However, despite no perceptual changes (P = 0.05), heat acclimation restored executive function, while protecting the ability to sustain voluntary activation and torque production during a prolonged contraction in hyperthermia (P &lt; 0.05). Ultimately, heat acclimation induces beneficial central but not peripheral neural adaptations. NEW &amp;NOTEWORTHY Heat acclimation restores planning accuracy and working memory in hyperthermic humans, together with the supraspinal capacity to sustain motor drive during a sustained maximal voluntary contraction. Electrically evoked potential data (M wave, H reflex) indicate that heat acclimation does not protect against hyperthermia-induced impairments in peripheral neural drive transmission. Heat acclimation induces beneficial central but not peripheral neural adaptations.","container-title":"Journal of Applied Physiology","DOI":"10.1152/JAPPLPHYSIOL.00430.2017/ASSET/IMAGES/LARGE/ZDG0091723210003.JPEG","ISSN":"15221601","issue":"4","page":"816-824","PMID":"28684590","publisher":"American Physiological Society","title":"Heat acclimation has a protective effect on the central but not peripheral nervous system","volume":"123","author":[{"family":"Racinais","given":"Sebastien"},{"family":"Wilson","given":"Mathew G."},{"family":"Gaoua","given":"Nadia"},{"family":"Périard","given":"Julien D."}],"issued":{"date-parts":[["2017",10,1]]}}}],"schema":"https://github.com/citation-style-language/schema/raw/master/csl-citation.json"} </w:instrText>
      </w:r>
      <w:r w:rsidR="002D218B">
        <w:rPr>
          <w:bCs/>
        </w:rPr>
        <w:fldChar w:fldCharType="separate"/>
      </w:r>
      <w:r w:rsidR="002D218B" w:rsidRPr="005C33DC">
        <w:t xml:space="preserve">(Racinais </w:t>
      </w:r>
      <w:r w:rsidR="002D218B" w:rsidRPr="005C33DC">
        <w:rPr>
          <w:i/>
          <w:iCs/>
        </w:rPr>
        <w:t>et al.</w:t>
      </w:r>
      <w:r w:rsidR="002D218B" w:rsidRPr="005C33DC">
        <w:t>, 2017)</w:t>
      </w:r>
      <w:r w:rsidR="002D218B">
        <w:rPr>
          <w:bCs/>
        </w:rPr>
        <w:fldChar w:fldCharType="end"/>
      </w:r>
      <w:r w:rsidR="002D218B">
        <w:rPr>
          <w:bCs/>
        </w:rPr>
        <w:t xml:space="preserve"> whole-body PHT in young, healthy individuals </w:t>
      </w:r>
      <w:r w:rsidR="00C25E4A">
        <w:rPr>
          <w:bCs/>
        </w:rPr>
        <w:t>which demonstrated</w:t>
      </w:r>
      <w:r w:rsidR="002D218B">
        <w:rPr>
          <w:bCs/>
        </w:rPr>
        <w:t xml:space="preserve"> improved contractile function in the leg muscle. </w:t>
      </w:r>
      <w:r w:rsidR="001B3D17">
        <w:t>Repeated</w:t>
      </w:r>
      <w:r w:rsidR="001B3D17" w:rsidDel="001B3D17">
        <w:rPr>
          <w:bCs/>
        </w:rPr>
        <w:t xml:space="preserve"> </w:t>
      </w:r>
      <w:r w:rsidR="00191017">
        <w:rPr>
          <w:bCs/>
        </w:rPr>
        <w:t xml:space="preserve">HWI </w:t>
      </w:r>
      <w:r w:rsidR="00C4390B">
        <w:rPr>
          <w:bCs/>
        </w:rPr>
        <w:t xml:space="preserve">also </w:t>
      </w:r>
      <w:r w:rsidR="00F42A52">
        <w:rPr>
          <w:bCs/>
        </w:rPr>
        <w:t>did not significantly alter</w:t>
      </w:r>
      <w:r w:rsidR="00191017">
        <w:rPr>
          <w:bCs/>
        </w:rPr>
        <w:t xml:space="preserve"> </w:t>
      </w:r>
      <w:r w:rsidR="00F42A52">
        <w:rPr>
          <w:bCs/>
        </w:rPr>
        <w:t xml:space="preserve">the total score or </w:t>
      </w:r>
      <w:r w:rsidR="00191017">
        <w:rPr>
          <w:bCs/>
        </w:rPr>
        <w:t xml:space="preserve">any </w:t>
      </w:r>
      <w:r w:rsidR="00F42A52">
        <w:rPr>
          <w:bCs/>
        </w:rPr>
        <w:t>individual components of</w:t>
      </w:r>
      <w:r w:rsidR="00191017">
        <w:rPr>
          <w:bCs/>
        </w:rPr>
        <w:t xml:space="preserve"> the SPPB. </w:t>
      </w:r>
      <w:r w:rsidR="00F42A52">
        <w:rPr>
          <w:bCs/>
        </w:rPr>
        <w:t>These findings are</w:t>
      </w:r>
      <w:r w:rsidR="00191017">
        <w:rPr>
          <w:bCs/>
        </w:rPr>
        <w:t xml:space="preserve"> in contrast to previous work in older adults showing a significant increase in total SPPB score following a six month exercise intervention </w:t>
      </w:r>
      <w:r w:rsidR="00191017">
        <w:rPr>
          <w:bCs/>
        </w:rPr>
        <w:fldChar w:fldCharType="begin"/>
      </w:r>
      <w:r w:rsidR="00AA5A2F">
        <w:rPr>
          <w:bCs/>
        </w:rPr>
        <w:instrText xml:space="preserve"> ADDIN ZOTERO_ITEM CSL_CITATION {"citationID":"yTJUCkIB","properties":{"formattedCitation":"(Gudlaugsson {\\i{}et al.}, 2012)","plainCitation":"(Gudlaugsson et al., 2012)","noteIndex":0},"citationItems":[{"id":93,"uris":["http://zotero.org/users/17561370/items/NUTK98B2"],"itemData":{"id":93,"type":"article-journal","abstract":"Older adults have the highest rates of disability, functional dependence and use of healthcare resources. Training interventions for older individuals are of special interest where regular physical activity (PA) has many health benefits. The main purpose of this study was to assess the immediate and long-term effects of a 6-month multimodal training intervention (MTI) on functional fitness in old adults.","container-title":"International Journal of Behavioral Nutrition and Physical Activity","DOI":"10.1186/1479-5868-9-107","ISSN":"1479-5868","issue":"1","journalAbbreviation":"Int J Behav Nutr Phys Act","language":"en","page":"107","source":"Springer Link","title":"Effects of a 6-month multimodal training intervention on retention of functional fitness in older adults: A randomized-controlled cross-over design","title-short":"Effects of a 6-month multimodal training intervention on retention of functional fitness in older adults","volume":"9","author":[{"family":"Gudlaugsson","given":"Janus"},{"family":"Gudnason","given":"Vilmundur"},{"family":"Aspelund","given":"Thor"},{"family":"Siggeirsdottir","given":"Kristin"},{"family":"Olafsdottir","given":"Anna S."},{"family":"Jonsson","given":"Palmi V."},{"family":"Arngrimsson","given":"Sigurbjorn A."},{"family":"Harris","given":"Tamara B."},{"family":"Johannsson","given":"Erlingur"}],"issued":{"date-parts":[["2012",9,10]]}}}],"schema":"https://github.com/citation-style-language/schema/raw/master/csl-citation.json"} </w:instrText>
      </w:r>
      <w:r w:rsidR="00191017">
        <w:rPr>
          <w:bCs/>
        </w:rPr>
        <w:fldChar w:fldCharType="separate"/>
      </w:r>
      <w:r w:rsidR="005C33DC" w:rsidRPr="005C33DC">
        <w:t xml:space="preserve">(Gudlaugsson </w:t>
      </w:r>
      <w:r w:rsidR="005C33DC" w:rsidRPr="005C33DC">
        <w:rPr>
          <w:i/>
          <w:iCs/>
        </w:rPr>
        <w:t>et al.</w:t>
      </w:r>
      <w:r w:rsidR="005C33DC" w:rsidRPr="005C33DC">
        <w:t>, 2012)</w:t>
      </w:r>
      <w:r w:rsidR="00191017">
        <w:rPr>
          <w:bCs/>
        </w:rPr>
        <w:fldChar w:fldCharType="end"/>
      </w:r>
      <w:r w:rsidR="00191017">
        <w:rPr>
          <w:bCs/>
        </w:rPr>
        <w:t xml:space="preserve">, but similar to </w:t>
      </w:r>
      <w:r w:rsidR="00191017">
        <w:rPr>
          <w:bCs/>
        </w:rPr>
        <w:fldChar w:fldCharType="begin"/>
      </w:r>
      <w:r w:rsidR="00AA5A2F">
        <w:rPr>
          <w:bCs/>
        </w:rPr>
        <w:instrText xml:space="preserve"> ADDIN ZOTERO_ITEM CSL_CITATION {"citationID":"brKgI8oE","properties":{"formattedCitation":"(Ro {\\i{}et al.}, 2025)","plainCitation":"(Ro et al., 2025)","dontUpdate":true,"noteIndex":0},"citationItems":[{"id":635,"uris":["http://zotero.org/users/17561370/items/YRZGP47I"],"itemData":{"id":635,"type":"article-journal","abstract":"Heat therapy (HT) using sauna or hot water immersion can improve cardiovascular and physical function, but these approaches are often impractical for older adults. This pilot, randomized, sham-controlled trial evaluated the feasibility of unsupervised, home-based leg HT using water-circulating trousers in sedentary older adults. Twenty-four participants (mean age: 70 ± 3 yr; 15 women) were randomized to HT (42°C) or sham (33°C) for 90 min daily over 12 wk. Feasibility outcomes included adherence, retention, and safety. Secondary outcomes included 6-min walk distance, sit-to-stand time, plantar flexor strength, MRI-derived muscle morphology, quality of life, and blood pressure. Four participants (two per group) withdrew early due to health status changes or scheduling conflicts. Among those who completed the study, adherence was high (HT: 93 ± 11% and sham: 92 ± 35%). Four HT participants reported minor thermal injuries at the knees, which did not hinder adherence or study participation. There were no significant differences between groups for the secondary outcomes. At 12 wk, the HT group increased their 6-min walk distance by 37.6 m (95% CI: 14.3 to 60.8), compared with 11.5 m (−12.2 to 35.1) in the sham group (group-by-time interaction, P = 0.092). Plantar flexor strength rose by 4.3 N·m (−2.0 to 10.6) in the HT group and declined by 2.6 N·m (−16.1 to 10.9) in the sham group, with no significant group-by-time interaction (P = 0.31). These findings support the feasibility and acceptability of home-based leg HT in older adults and indicate that protocol and device refinements—particularly to improve usability and safety—are needed before advancing to a larger efficacy trial.NEW &amp; NOTEWORTHY This pilot trial demonstrates the feasibility of unsupervised, home-based leg heat therapy using water-circulating trousers in older adults. High adherence, minimal adverse events, and promising improvements in walking endurance support its potential as a scalable intervention for mobility preservation in aging. Findings highlight key considerations for future efficacy trials, including device refinements to enhance safety and usability.","container-title":"Journal of Applied Physiology","DOI":"10.1152/japplphysiol.00285.2025","ISSN":"8750-7587","issue":"3","page":"668-684","publisher":"American Physiological Society","source":"journals.physiology.org (Atypon)","title":"Feasibility of unsupervised, home-based leg heat therapy in older adults: a pilot, sham-controlled trial","title-short":"Feasibility of unsupervised, home-based leg heat therapy in older adults","volume":"139","author":[{"family":"Ro","given":"Bohyun"},{"family":"Castanhas","given":"Luiza G."},{"family":"Crenshaw","given":"Fiona"},{"family":"Janczy","given":"Anna M."},{"family":"Swift","given":"Paul"},{"family":"Song","given":"Qifan"},{"family":"Zhou","given":"Xiaopeng"},{"family":"Parker","given":"Jason G."},{"family":"Roseguini","given":"Bruno T."}],"issued":{"date-parts":[["2025",9]]}}}],"schema":"https://github.com/citation-style-language/schema/raw/master/csl-citation.json"} </w:instrText>
      </w:r>
      <w:r w:rsidR="00191017">
        <w:rPr>
          <w:bCs/>
        </w:rPr>
        <w:fldChar w:fldCharType="separate"/>
      </w:r>
      <w:r w:rsidR="00191017" w:rsidRPr="00A11902">
        <w:t xml:space="preserve">Ro </w:t>
      </w:r>
      <w:r w:rsidR="00191017" w:rsidRPr="00A11902">
        <w:rPr>
          <w:i/>
          <w:iCs/>
        </w:rPr>
        <w:t>et al.</w:t>
      </w:r>
      <w:r w:rsidR="00191017" w:rsidRPr="00A11902">
        <w:t xml:space="preserve"> </w:t>
      </w:r>
      <w:r w:rsidR="00191017">
        <w:t>(</w:t>
      </w:r>
      <w:r w:rsidR="00191017" w:rsidRPr="00A11902">
        <w:t>2025)</w:t>
      </w:r>
      <w:r w:rsidR="00191017">
        <w:rPr>
          <w:bCs/>
        </w:rPr>
        <w:fldChar w:fldCharType="end"/>
      </w:r>
      <w:r w:rsidR="00191017">
        <w:rPr>
          <w:bCs/>
        </w:rPr>
        <w:t>, who saw no change in STS times following 12 weeks PHT</w:t>
      </w:r>
      <w:r w:rsidR="002F5037">
        <w:rPr>
          <w:bCs/>
        </w:rPr>
        <w:t xml:space="preserve"> in healthy older adults</w:t>
      </w:r>
      <w:r w:rsidR="00191017">
        <w:rPr>
          <w:bCs/>
        </w:rPr>
        <w:t xml:space="preserve">. </w:t>
      </w:r>
      <w:r w:rsidR="00CD1152">
        <w:rPr>
          <w:bCs/>
        </w:rPr>
        <w:t>It is therefore plausible that the length of the intervention</w:t>
      </w:r>
      <w:r w:rsidR="003217FF">
        <w:rPr>
          <w:bCs/>
        </w:rPr>
        <w:t xml:space="preserve"> or stimulus </w:t>
      </w:r>
      <w:r w:rsidR="00A3571E">
        <w:rPr>
          <w:bCs/>
        </w:rPr>
        <w:t xml:space="preserve">(i.e., compared to exercise) </w:t>
      </w:r>
      <w:r w:rsidR="00CD1152">
        <w:rPr>
          <w:bCs/>
        </w:rPr>
        <w:t xml:space="preserve">in the present study was not sufficient to yield </w:t>
      </w:r>
      <w:r w:rsidR="0049072E">
        <w:rPr>
          <w:bCs/>
        </w:rPr>
        <w:t>improvements to knee power or</w:t>
      </w:r>
      <w:r w:rsidR="00CD1152">
        <w:rPr>
          <w:bCs/>
        </w:rPr>
        <w:t xml:space="preserve"> the SPPB. </w:t>
      </w:r>
      <w:r w:rsidR="00EB579D">
        <w:rPr>
          <w:bCs/>
        </w:rPr>
        <w:t xml:space="preserve">It should also </w:t>
      </w:r>
      <w:r w:rsidR="00EB579D">
        <w:rPr>
          <w:bCs/>
        </w:rPr>
        <w:lastRenderedPageBreak/>
        <w:t>be noted that baseline total SPPB scores in the present study were in the high range (10-12), indicating little to no mobility impairment</w:t>
      </w:r>
      <w:r w:rsidR="00276537">
        <w:rPr>
          <w:bCs/>
        </w:rPr>
        <w:t>, and</w:t>
      </w:r>
      <w:r w:rsidR="00EB579D">
        <w:rPr>
          <w:bCs/>
        </w:rPr>
        <w:t xml:space="preserve"> our participants’ capacity to improve their scores may have been low. </w:t>
      </w:r>
      <w:r w:rsidR="004B5714">
        <w:rPr>
          <w:bCs/>
        </w:rPr>
        <w:t>A lack of i</w:t>
      </w:r>
      <w:r w:rsidR="00EB579D">
        <w:rPr>
          <w:bCs/>
        </w:rPr>
        <w:t xml:space="preserve">mprovement in lower extremity function could also have been influenced by a ceiling effect within the SPPB, which may mask deficits or improvements in high-functioning older adults (i.e., our participants) </w:t>
      </w:r>
      <w:r w:rsidR="00EB579D">
        <w:rPr>
          <w:bCs/>
        </w:rPr>
        <w:fldChar w:fldCharType="begin"/>
      </w:r>
      <w:r w:rsidR="00AA5A2F">
        <w:rPr>
          <w:bCs/>
        </w:rPr>
        <w:instrText xml:space="preserve"> ADDIN ZOTERO_ITEM CSL_CITATION {"citationID":"pzuZ11wZ","properties":{"formattedCitation":"(Boulgarides {\\i{}et al.}, 2003)","plainCitation":"(Boulgarides et al., 2003)","noteIndex":0},"citationItems":[{"id":81,"uris":["http://zotero.org/users/17561370/items/4LBY6LM5"],"itemData":{"id":81,"type":"article-journal","abstract":"Background and Purpose. Few tests have been found to be strongly predictive of falls in community-dwelling older adults. The purpose of this study was to determine whether data from 5 balance tests—combined with data regarding fall history, number of medications, dizziness, visual problems, use of an assistive device, physical activity level, sex, and age—could predict falls in community-dwelling older adults who were independent. Subjects. Ninety-nine community-dwelling older adults aged 65 to 90 years (X̄= 74.02, SD=5.64) were tested. Methods. Subjects were tracked for falls over a 1-year period following testing. Impairment-based tests, which are tests that attempt to specifically identify which sensory systems are impaired or how motor control is impaired (eg, speed, accuracy of movement), were the Modified Clinical Tests of Sensory Interaction for Balance (Modified CTSIB) and the 100% Limits of Stability Test, both of which were done on the Balance Master 6.1. Performance-based tests, which are functional tests that identify functional limitations without necessarily identifying their causes, were the Berg Balance Scale, the Timed “Up &amp;amp; Go” Test, and the Dynamic Gait Index. Demographic and health data included age, sex, number of medications, physical activity level, presence of dizziness, vision problems, and history of falls over the previous year. Logistic regression was used to determine which combinations of data from balance tests, demographics, and health factors were predictive of falls. Results. Two models—(1) the “standing on a firm surface with eyes closed” (FEC) condition of the Modified CTSIB and (2) the FEC combined with age and sex—were predictive of falls, but predicted only 1 and 2 subjects who were at risk for falling, respectively, out of 20 people who were at risk for falling. Discussion and Conclusion. Five balance tests combined with health and demographic factors did not predict falls in a sample of community-dwelling older adults who were active and independent.","container-title":"Physical Therapy","DOI":"10.1093/ptj/83.4.328","ISSN":"1538-6724","issue":"4","journalAbbreviation":"Physical Therapy","page":"328-339","source":"Silverchair","title":"Use of Clinical and Impairment-Based Tests to Predict Falls by Community-Dwelling Older Adults","volume":"83","author":[{"family":"Boulgarides","given":"Lois K"},{"family":"McGinty","given":"Susan M"},{"family":"Willett","given":"Jayne A"},{"family":"Barnes","given":"Carole W"}],"issued":{"date-parts":[["2003",4,1]]}}}],"schema":"https://github.com/citation-style-language/schema/raw/master/csl-citation.json"} </w:instrText>
      </w:r>
      <w:r w:rsidR="00EB579D">
        <w:rPr>
          <w:bCs/>
        </w:rPr>
        <w:fldChar w:fldCharType="separate"/>
      </w:r>
      <w:r w:rsidR="00BD2310" w:rsidRPr="00BD2310">
        <w:t xml:space="preserve">(Boulgarides </w:t>
      </w:r>
      <w:r w:rsidR="00BD2310" w:rsidRPr="00BD2310">
        <w:rPr>
          <w:i/>
          <w:iCs/>
        </w:rPr>
        <w:t>et al.</w:t>
      </w:r>
      <w:r w:rsidR="00BD2310" w:rsidRPr="00BD2310">
        <w:t>, 2003)</w:t>
      </w:r>
      <w:r w:rsidR="00EB579D">
        <w:rPr>
          <w:bCs/>
        </w:rPr>
        <w:fldChar w:fldCharType="end"/>
      </w:r>
      <w:r w:rsidR="00EB579D">
        <w:rPr>
          <w:bCs/>
        </w:rPr>
        <w:t>.</w:t>
      </w:r>
      <w:r w:rsidR="00EB579D" w:rsidRPr="00C854BA">
        <w:rPr>
          <w:bCs/>
        </w:rPr>
        <w:t xml:space="preserve"> </w:t>
      </w:r>
      <w:r w:rsidR="0000627E">
        <w:rPr>
          <w:bCs/>
        </w:rPr>
        <w:t xml:space="preserve">Thus, </w:t>
      </w:r>
      <w:r w:rsidR="00EA3C56">
        <w:rPr>
          <w:bCs/>
        </w:rPr>
        <w:t xml:space="preserve">the effects of </w:t>
      </w:r>
      <w:r w:rsidR="001B3D17">
        <w:t>repeated</w:t>
      </w:r>
      <w:r w:rsidR="00EA3C56">
        <w:rPr>
          <w:bCs/>
        </w:rPr>
        <w:t xml:space="preserve"> HWI could be more applicable to lower-functioning (i.e., with impaired mobility) older adults and merit further investigation.</w:t>
      </w:r>
    </w:p>
    <w:p w14:paraId="2143CA9C" w14:textId="77777777" w:rsidR="008E5C05" w:rsidRDefault="008E5C05" w:rsidP="00191017">
      <w:pPr>
        <w:shd w:val="clear" w:color="auto" w:fill="FFFFFF"/>
        <w:spacing w:after="0" w:line="480" w:lineRule="auto"/>
        <w:jc w:val="both"/>
        <w:rPr>
          <w:bCs/>
        </w:rPr>
      </w:pPr>
    </w:p>
    <w:p w14:paraId="094FAD43" w14:textId="238B66F3" w:rsidR="00191017" w:rsidRDefault="00191017" w:rsidP="00191017">
      <w:pPr>
        <w:shd w:val="clear" w:color="auto" w:fill="FFFFFF"/>
        <w:spacing w:after="0" w:line="480" w:lineRule="auto"/>
        <w:jc w:val="both"/>
        <w:rPr>
          <w:bCs/>
        </w:rPr>
      </w:pPr>
      <w:r>
        <w:rPr>
          <w:bCs/>
        </w:rPr>
        <w:t xml:space="preserve">Gait characteristics during walking were not different in any </w:t>
      </w:r>
      <w:r w:rsidR="004D4B12">
        <w:rPr>
          <w:bCs/>
        </w:rPr>
        <w:t>visits</w:t>
      </w:r>
      <w:r>
        <w:rPr>
          <w:bCs/>
        </w:rPr>
        <w:t xml:space="preserve">. This aligns with our findings </w:t>
      </w:r>
      <w:r w:rsidR="00D76E3A">
        <w:rPr>
          <w:bCs/>
        </w:rPr>
        <w:t xml:space="preserve">that </w:t>
      </w:r>
      <w:r w:rsidR="001B3D17">
        <w:t>repeated</w:t>
      </w:r>
      <w:r w:rsidR="001B3D17" w:rsidDel="001B3D17">
        <w:rPr>
          <w:bCs/>
        </w:rPr>
        <w:t xml:space="preserve"> </w:t>
      </w:r>
      <w:r w:rsidR="00D76E3A">
        <w:rPr>
          <w:bCs/>
        </w:rPr>
        <w:t>HWI did not alter</w:t>
      </w:r>
      <w:r>
        <w:rPr>
          <w:bCs/>
        </w:rPr>
        <w:t xml:space="preserve"> </w:t>
      </w:r>
      <w:r w:rsidR="004D4B12">
        <w:rPr>
          <w:bCs/>
        </w:rPr>
        <w:t>four-meter</w:t>
      </w:r>
      <w:r>
        <w:rPr>
          <w:bCs/>
        </w:rPr>
        <w:t xml:space="preserve"> walk score </w:t>
      </w:r>
      <w:r w:rsidR="00D76E3A">
        <w:rPr>
          <w:bCs/>
        </w:rPr>
        <w:t xml:space="preserve">or </w:t>
      </w:r>
      <w:r>
        <w:rPr>
          <w:bCs/>
        </w:rPr>
        <w:t xml:space="preserve">time </w:t>
      </w:r>
      <w:r w:rsidR="007306BC">
        <w:rPr>
          <w:bCs/>
        </w:rPr>
        <w:t>in</w:t>
      </w:r>
      <w:r>
        <w:rPr>
          <w:bCs/>
        </w:rPr>
        <w:t xml:space="preserve"> the SPPB, and</w:t>
      </w:r>
      <w:r w:rsidR="007306BC">
        <w:rPr>
          <w:bCs/>
        </w:rPr>
        <w:t xml:space="preserve"> the </w:t>
      </w:r>
      <w:r>
        <w:rPr>
          <w:bCs/>
        </w:rPr>
        <w:t xml:space="preserve">lack of improvement in quadriceps strength. Whilst chronic exercise can improve gait characteristics </w:t>
      </w:r>
      <w:r>
        <w:rPr>
          <w:bCs/>
        </w:rPr>
        <w:fldChar w:fldCharType="begin"/>
      </w:r>
      <w:r w:rsidR="00AA5A2F">
        <w:rPr>
          <w:bCs/>
        </w:rPr>
        <w:instrText xml:space="preserve"> ADDIN ZOTERO_ITEM CSL_CITATION {"citationID":"z0xmq79U","properties":{"formattedCitation":"(Hortob\\uc0\\u225{}gyi {\\i{}et al.}, 2015)","plainCitation":"(Hortobágyi et al., 2015)","noteIndex":0},"citationItems":[{"id":90,"uris":["http://zotero.org/users/17561370/items/9VUCZSX3"],"itemData":{"id":90,"type":"article-journal","abstract":"Habitual walking speed predicts many clinical conditions later in life, but it declines with age. However, which particular exercise intervention can minimize the age-related gait speed loss is unclear.","container-title":"Sports Medicine","DOI":"10.1007/s40279-015-0371-2","ISSN":"1179-2035","issue":"12","journalAbbreviation":"Sports Med","language":"en","page":"1627-1643","source":"Springer Link","title":"Effects of Three Types of Exercise Interventions on Healthy Old Adults’ Gait Speed: A Systematic Review and Meta-Analysis","title-short":"Effects of Three Types of Exercise Interventions on Healthy Old Adults’ Gait Speed","volume":"45","author":[{"family":"Hortobágyi","given":"Tibor"},{"family":"Lesinski","given":"Melanie"},{"family":"Gäbler","given":"Martijn"},{"family":"VanSwearingen","given":"Jessie M."},{"family":"Malatesta","given":"Davide"},{"family":"Granacher","given":"Urs"}],"issued":{"date-parts":[["2015",12,1]]}}}],"schema":"https://github.com/citation-style-language/schema/raw/master/csl-citation.json"} </w:instrText>
      </w:r>
      <w:r>
        <w:rPr>
          <w:bCs/>
        </w:rPr>
        <w:fldChar w:fldCharType="separate"/>
      </w:r>
      <w:r w:rsidR="005C33DC" w:rsidRPr="005C33DC">
        <w:t xml:space="preserve">(Hortobágyi </w:t>
      </w:r>
      <w:r w:rsidR="005C33DC" w:rsidRPr="005C33DC">
        <w:rPr>
          <w:i/>
          <w:iCs/>
        </w:rPr>
        <w:t>et al.</w:t>
      </w:r>
      <w:r w:rsidR="005C33DC" w:rsidRPr="005C33DC">
        <w:t>, 2015)</w:t>
      </w:r>
      <w:r>
        <w:rPr>
          <w:bCs/>
        </w:rPr>
        <w:fldChar w:fldCharType="end"/>
      </w:r>
      <w:r>
        <w:rPr>
          <w:bCs/>
        </w:rPr>
        <w:t>, it has been suggested that increases in muscle strength through progressive resistance training</w:t>
      </w:r>
      <w:r w:rsidR="007306BC">
        <w:rPr>
          <w:bCs/>
        </w:rPr>
        <w:t>, and not aerobic exercise,</w:t>
      </w:r>
      <w:r>
        <w:rPr>
          <w:bCs/>
        </w:rPr>
        <w:t xml:space="preserve"> are the most necessary to improve gait speed in older adults </w:t>
      </w:r>
      <w:r>
        <w:rPr>
          <w:bCs/>
        </w:rPr>
        <w:fldChar w:fldCharType="begin"/>
      </w:r>
      <w:r w:rsidR="00AA5A2F">
        <w:rPr>
          <w:bCs/>
        </w:rPr>
        <w:instrText xml:space="preserve"> ADDIN ZOTERO_ITEM CSL_CITATION {"citationID":"D1hF4swF","properties":{"formattedCitation":"(Van Abbema {\\i{}et al.}, 2015)","plainCitation":"(Van Abbema et al., 2015)","noteIndex":0},"citationItems":[{"id":91,"uris":["http://zotero.org/users/17561370/items/TVMMC5FV"],"itemData":{"id":91,"type":"article-journal","abstract":"Improved preferred gait speed in older adults is associated with increased survival rates. There are inconsistent findings in clinical trials regarding effects of exercise on preferred gait speed, and heterogeneity in interventions in the current reviews and meta-analyses.","container-title":"BMC Geriatrics","DOI":"10.1186/s12877-015-0061-9","ISSN":"1471-2318","issue":"1","journalAbbreviation":"BMC Geriatr","language":"en","page":"72","source":"Springer Link","title":"What type, or combination of exercise can improve preferred gait speed in older adults? A meta-analysis","title-short":"What type, or combination of exercise can improve preferred gait speed in older adults?","volume":"15","author":[{"family":"Van Abbema","given":"Renske"},{"family":"De Greef","given":"Mathieu"},{"family":"Crajé","given":"Celine"},{"family":"Krijnen","given":"Wim"},{"family":"Hobbelen","given":"Hans"},{"family":"Van Der Schans","given":"Cees"}],"issued":{"date-parts":[["2015",7,1]]}}}],"schema":"https://github.com/citation-style-language/schema/raw/master/csl-citation.json"} </w:instrText>
      </w:r>
      <w:r>
        <w:rPr>
          <w:bCs/>
        </w:rPr>
        <w:fldChar w:fldCharType="separate"/>
      </w:r>
      <w:r w:rsidR="005C33DC" w:rsidRPr="005C33DC">
        <w:t xml:space="preserve">(Van Abbema </w:t>
      </w:r>
      <w:r w:rsidR="005C33DC" w:rsidRPr="005C33DC">
        <w:rPr>
          <w:i/>
          <w:iCs/>
        </w:rPr>
        <w:t>et al.</w:t>
      </w:r>
      <w:r w:rsidR="005C33DC" w:rsidRPr="005C33DC">
        <w:t>, 2015)</w:t>
      </w:r>
      <w:r>
        <w:rPr>
          <w:bCs/>
        </w:rPr>
        <w:fldChar w:fldCharType="end"/>
      </w:r>
      <w:r>
        <w:rPr>
          <w:bCs/>
        </w:rPr>
        <w:t xml:space="preserve">. </w:t>
      </w:r>
      <w:r w:rsidR="007306BC">
        <w:rPr>
          <w:bCs/>
        </w:rPr>
        <w:t xml:space="preserve">Given we </w:t>
      </w:r>
      <w:r w:rsidR="004A5DC1">
        <w:rPr>
          <w:bCs/>
        </w:rPr>
        <w:t xml:space="preserve">and others </w:t>
      </w:r>
      <w:r w:rsidR="007306BC">
        <w:rPr>
          <w:bCs/>
        </w:rPr>
        <w:t xml:space="preserve">showed no increases in strength, </w:t>
      </w:r>
      <w:r>
        <w:rPr>
          <w:bCs/>
        </w:rPr>
        <w:t>PHT may not be a</w:t>
      </w:r>
      <w:r w:rsidR="00636582">
        <w:rPr>
          <w:bCs/>
        </w:rPr>
        <w:t xml:space="preserve">n effective </w:t>
      </w:r>
      <w:r>
        <w:rPr>
          <w:bCs/>
        </w:rPr>
        <w:t>intervention to improve gait</w:t>
      </w:r>
      <w:r w:rsidR="007306BC">
        <w:rPr>
          <w:bCs/>
        </w:rPr>
        <w:t xml:space="preserve"> for healthy older adults</w:t>
      </w:r>
      <w:r>
        <w:rPr>
          <w:bCs/>
        </w:rPr>
        <w:t>.</w:t>
      </w:r>
    </w:p>
    <w:p w14:paraId="07742539" w14:textId="77777777" w:rsidR="00191017" w:rsidRDefault="00191017" w:rsidP="00191017">
      <w:pPr>
        <w:shd w:val="clear" w:color="auto" w:fill="FFFFFF"/>
        <w:spacing w:after="0" w:line="480" w:lineRule="auto"/>
        <w:jc w:val="both"/>
        <w:rPr>
          <w:bCs/>
        </w:rPr>
      </w:pPr>
    </w:p>
    <w:p w14:paraId="0DC4AF09" w14:textId="77777777" w:rsidR="00191017" w:rsidRDefault="00191017" w:rsidP="00191017">
      <w:pPr>
        <w:shd w:val="clear" w:color="auto" w:fill="FFFFFF"/>
        <w:spacing w:after="0" w:line="480" w:lineRule="auto"/>
        <w:jc w:val="both"/>
        <w:rPr>
          <w:b/>
        </w:rPr>
      </w:pPr>
      <w:r>
        <w:rPr>
          <w:b/>
        </w:rPr>
        <w:t>Physical activity</w:t>
      </w:r>
    </w:p>
    <w:p w14:paraId="4D7BB001" w14:textId="5CF781E2" w:rsidR="00191017" w:rsidRPr="00585578" w:rsidRDefault="001B3D17" w:rsidP="00191017">
      <w:pPr>
        <w:shd w:val="clear" w:color="auto" w:fill="FFFFFF"/>
        <w:spacing w:after="0" w:line="480" w:lineRule="auto"/>
        <w:jc w:val="both"/>
        <w:rPr>
          <w:bCs/>
        </w:rPr>
      </w:pPr>
      <w:r>
        <w:t>Repeated</w:t>
      </w:r>
      <w:r w:rsidR="00191017">
        <w:rPr>
          <w:bCs/>
        </w:rPr>
        <w:t xml:space="preserve"> HWI had no effect on total PA or different intensities of PA across the final </w:t>
      </w:r>
      <w:r w:rsidR="00EB579D">
        <w:rPr>
          <w:bCs/>
        </w:rPr>
        <w:t>seven-day</w:t>
      </w:r>
      <w:r w:rsidR="00191017">
        <w:rPr>
          <w:bCs/>
        </w:rPr>
        <w:t xml:space="preserve"> period of the HWI arm compared to baseline or </w:t>
      </w:r>
      <w:r w:rsidR="00D76E3A">
        <w:rPr>
          <w:bCs/>
        </w:rPr>
        <w:t>the CON arm</w:t>
      </w:r>
      <w:r w:rsidR="00191017">
        <w:rPr>
          <w:bCs/>
        </w:rPr>
        <w:t xml:space="preserve">. This is in contrast to previous </w:t>
      </w:r>
      <w:r w:rsidR="00D76E3A">
        <w:rPr>
          <w:bCs/>
        </w:rPr>
        <w:t xml:space="preserve">work showing </w:t>
      </w:r>
      <w:r w:rsidR="00191017">
        <w:rPr>
          <w:bCs/>
        </w:rPr>
        <w:t xml:space="preserve">increases in PA in older adults following chronic exercise </w:t>
      </w:r>
      <w:r w:rsidR="00191017">
        <w:rPr>
          <w:bCs/>
        </w:rPr>
        <w:fldChar w:fldCharType="begin"/>
      </w:r>
      <w:r w:rsidR="00AA5A2F">
        <w:rPr>
          <w:bCs/>
        </w:rPr>
        <w:instrText xml:space="preserve"> ADDIN ZOTERO_ITEM CSL_CITATION {"citationID":"cjyMr8LU","properties":{"formattedCitation":"(Gudlaugsson {\\i{}et al.}, 2012)","plainCitation":"(Gudlaugsson et al., 2012)","noteIndex":0},"citationItems":[{"id":93,"uris":["http://zotero.org/users/17561370/items/NUTK98B2"],"itemData":{"id":93,"type":"article-journal","abstract":"Older adults have the highest rates of disability, functional dependence and use of healthcare resources. Training interventions for older individuals are of special interest where regular physical activity (PA) has many health benefits. The main purpose of this study was to assess the immediate and long-term effects of a 6-month multimodal training intervention (MTI) on functional fitness in old adults.","container-title":"International Journal of Behavioral Nutrition and Physical Activity","DOI":"10.1186/1479-5868-9-107","ISSN":"1479-5868","issue":"1","journalAbbreviation":"Int J Behav Nutr Phys Act","language":"en","page":"107","source":"Springer Link","title":"Effects of a 6-month multimodal training intervention on retention of functional fitness in older adults: A randomized-controlled cross-over design","title-short":"Effects of a 6-month multimodal training intervention on retention of functional fitness in older adults","volume":"9","author":[{"family":"Gudlaugsson","given":"Janus"},{"family":"Gudnason","given":"Vilmundur"},{"family":"Aspelund","given":"Thor"},{"family":"Siggeirsdottir","given":"Kristin"},{"family":"Olafsdottir","given":"Anna S."},{"family":"Jonsson","given":"Palmi V."},{"family":"Arngrimsson","given":"Sigurbjorn A."},{"family":"Harris","given":"Tamara B."},{"family":"Johannsson","given":"Erlingur"}],"issued":{"date-parts":[["2012",9,10]]}}}],"schema":"https://github.com/citation-style-language/schema/raw/master/csl-citation.json"} </w:instrText>
      </w:r>
      <w:r w:rsidR="00191017">
        <w:rPr>
          <w:bCs/>
        </w:rPr>
        <w:fldChar w:fldCharType="separate"/>
      </w:r>
      <w:r w:rsidR="005C33DC" w:rsidRPr="005C33DC">
        <w:t xml:space="preserve">(Gudlaugsson </w:t>
      </w:r>
      <w:r w:rsidR="005C33DC" w:rsidRPr="005C33DC">
        <w:rPr>
          <w:i/>
          <w:iCs/>
        </w:rPr>
        <w:t>et al.</w:t>
      </w:r>
      <w:r w:rsidR="005C33DC" w:rsidRPr="005C33DC">
        <w:t>, 2012)</w:t>
      </w:r>
      <w:r w:rsidR="00191017">
        <w:rPr>
          <w:bCs/>
        </w:rPr>
        <w:fldChar w:fldCharType="end"/>
      </w:r>
      <w:r w:rsidR="00191017">
        <w:rPr>
          <w:bCs/>
        </w:rPr>
        <w:t xml:space="preserve">. </w:t>
      </w:r>
      <w:r w:rsidR="00D76E3A">
        <w:rPr>
          <w:bCs/>
        </w:rPr>
        <w:t xml:space="preserve">As </w:t>
      </w:r>
      <w:r w:rsidR="00191017">
        <w:rPr>
          <w:bCs/>
        </w:rPr>
        <w:t xml:space="preserve">HWI mimics </w:t>
      </w:r>
      <w:r w:rsidR="00636582">
        <w:rPr>
          <w:bCs/>
        </w:rPr>
        <w:t xml:space="preserve">some of </w:t>
      </w:r>
      <w:r w:rsidR="00191017">
        <w:rPr>
          <w:bCs/>
        </w:rPr>
        <w:t xml:space="preserve">the </w:t>
      </w:r>
      <w:r w:rsidR="002F5037">
        <w:rPr>
          <w:bCs/>
        </w:rPr>
        <w:t>cardio</w:t>
      </w:r>
      <w:r w:rsidR="00D76E3A">
        <w:rPr>
          <w:bCs/>
        </w:rPr>
        <w:t xml:space="preserve">metabolic </w:t>
      </w:r>
      <w:r w:rsidR="00191017">
        <w:rPr>
          <w:bCs/>
        </w:rPr>
        <w:t xml:space="preserve">effects of light intensity exercise </w:t>
      </w:r>
      <w:r w:rsidR="00191017">
        <w:rPr>
          <w:bCs/>
        </w:rPr>
        <w:fldChar w:fldCharType="begin"/>
      </w:r>
      <w:r w:rsidR="00AA5A2F">
        <w:rPr>
          <w:bCs/>
        </w:rPr>
        <w:instrText xml:space="preserve"> ADDIN ZOTERO_ITEM CSL_CITATION {"citationID":"dGYydvqr","properties":{"formattedCitation":"(James {\\i{}et al.}, 2021)","plainCitation":"(James et al., 2021)","noteIndex":0},"citationItems":[{"id":666,"uris":["http://zotero.org/users/17561370/items/ZZT6BDI8"],"itemData":{"id":666,"type":"article-journal","abstract":"This is the first study to investigate the timing of acute passive heating on glucose tolerance and extracellular heat shock protein 70 concentration ([eHSP70]) in people with type 2 diabetes. The ...","container-title":"https://doi.org/10.1152/japplphysiol.00747.2020","DOI":"10.1152/JAPPLPHYSIOL.00747.2020","issue":"4","page":"1093-1105","publisher":"American Physiological Society Rockville, MD","title":"Timing of acute passive heating on glucose tolerance and blood pressure in people with type 2 diabetes: a randomized, balanced crossover, control trial","volume":"130","author":[{"family":"James","given":"Thomas J."},{"family":"Corbett","given":"Jo"},{"family":"Cummings","given":"Michael"},{"family":"Allard","given":"Sharon"},{"family":"Young","given":"John S."},{"family":"Towse","given":"Jonathan"},{"family":"Carey-Jones","given":"Kathryn"},{"family":"Eglin","given":"Clare"},{"family":"Hopkins","given":"Billy"},{"family":"Morgan","given":"Connor"},{"family":"Tipton","given":"Michael"},{"family":"Saynor","given":"Zoe L."},{"family":"Shepherd","given":"Anthony I."}],"issued":{"date-parts":[["2021",4,1]]}}}],"schema":"https://github.com/citation-style-language/schema/raw/master/csl-citation.json"} </w:instrText>
      </w:r>
      <w:r w:rsidR="00191017">
        <w:rPr>
          <w:bCs/>
        </w:rPr>
        <w:fldChar w:fldCharType="separate"/>
      </w:r>
      <w:r w:rsidR="005C33DC" w:rsidRPr="005C33DC">
        <w:t xml:space="preserve">(James </w:t>
      </w:r>
      <w:r w:rsidR="005C33DC" w:rsidRPr="005C33DC">
        <w:rPr>
          <w:i/>
          <w:iCs/>
        </w:rPr>
        <w:t>et al.</w:t>
      </w:r>
      <w:r w:rsidR="005C33DC" w:rsidRPr="005C33DC">
        <w:t>, 2021)</w:t>
      </w:r>
      <w:r w:rsidR="00191017">
        <w:rPr>
          <w:bCs/>
        </w:rPr>
        <w:fldChar w:fldCharType="end"/>
      </w:r>
      <w:r w:rsidR="00191017">
        <w:rPr>
          <w:bCs/>
        </w:rPr>
        <w:t xml:space="preserve">, </w:t>
      </w:r>
      <w:r w:rsidR="00D76E3A">
        <w:rPr>
          <w:bCs/>
        </w:rPr>
        <w:t>our intervention</w:t>
      </w:r>
      <w:r w:rsidR="00191017">
        <w:rPr>
          <w:bCs/>
        </w:rPr>
        <w:t xml:space="preserve"> could have acted as a replacement for activity that participants performed in other seven</w:t>
      </w:r>
      <w:r w:rsidR="00BD2310">
        <w:rPr>
          <w:bCs/>
        </w:rPr>
        <w:t>-</w:t>
      </w:r>
      <w:r w:rsidR="00191017">
        <w:rPr>
          <w:bCs/>
        </w:rPr>
        <w:t>day blocks</w:t>
      </w:r>
      <w:r w:rsidR="00D76E3A">
        <w:rPr>
          <w:bCs/>
        </w:rPr>
        <w:t>,</w:t>
      </w:r>
      <w:r w:rsidR="00191017">
        <w:rPr>
          <w:bCs/>
        </w:rPr>
        <w:t xml:space="preserve"> rather than</w:t>
      </w:r>
      <w:r w:rsidR="00D76E3A">
        <w:rPr>
          <w:bCs/>
        </w:rPr>
        <w:t xml:space="preserve"> as</w:t>
      </w:r>
      <w:r w:rsidR="00191017">
        <w:rPr>
          <w:bCs/>
        </w:rPr>
        <w:t xml:space="preserve"> an additional source of PA. In contrast, however, </w:t>
      </w:r>
      <w:r w:rsidR="00191017">
        <w:fldChar w:fldCharType="begin"/>
      </w:r>
      <w:r w:rsidR="00AA5A2F">
        <w:instrText xml:space="preserve"> ADDIN ZOTERO_ITEM CSL_CITATION {"citationID":"MhdagXdN","properties":{"formattedCitation":"(Fuchs {\\i{}et al.}, 2024)","plainCitation":"(Fuchs et al., 2024)","dontUpdate":true,"noteIndex":0},"citationItems":[{"id":521,"uris":["http://zotero.org/users/17561370/items/M8HX7PLD"],"itemData":{"id":521,"type":"article-journal","abstract":"Abstract: Prolonged passive heat treatment (PHT) has been suggested to trigger skeletal muscle adaptations that may improve muscle maintenance in older individuals. To assess the effects of PHT on skeletal muscle tissue capillarization, perfusion capacity, protein synthesis rates, hypertrophy and leg strength, 14 older adults (9 males, 5 females; 73 ± 6 years) underwent 8 weeks of PHT (infrared sauna: 3× per week, 45 min at </w:instrText>
      </w:r>
      <w:r w:rsidR="00AA5A2F">
        <w:rPr>
          <w:rFonts w:ascii="Cambria Math" w:hAnsi="Cambria Math" w:cs="Cambria Math"/>
        </w:rPr>
        <w:instrText>∼</w:instrText>
      </w:r>
      <w:r w:rsidR="00AA5A2F">
        <w:instrText xml:space="preserve">60°C). Before and after PHT we collected muscle biopsies to assess skeletal muscle capillarization and fibre cross-sectional area (CSA). Basal and postprandial muscle tissue perfusion kinetics and protein synthesis rates were assessed using contrast-enhanced ultrasound and primed continuous l-[ring-13C6]phenylalanine infusions, respectively. One-repetition maximum (1RM) leg strength and vastus lateralis muscle CSA were assessed. Type I and type II muscle fibre capillarization strongly increased following PHT (capillary-to-fibre perimeter exchange index: +31 ± 18 and +33 ± 30%, respectively; P &lt; 0.001). No changes were observed in basal (0.24 ± 0.27 vs. 0.18 ± 0.11 AU; P = 0.266) or postprandial (0.20 ± 0.12 vs. 0.18 ± 0.14 AU; P = 0.717) microvascular blood flow following PHT. Basal (0.048 ± 0.014 vs. 0.051 ± 0.019%/h; P = 0.630) and postprandial (0.041 ± 0.012 vs. 0.051 ± 0.024%/h; P = 0.199) muscle protein synthesis rates did not change in response to prolonged PHT. Furthermore, no changes in vastus lateralis muscle CSA (15.3 ± 4.6 vs. 15.2 ± 4.6 cm2; P = 0.768) or 1RM leg strength (46 ± 12 vs. 47 ± 12 kg; P = 0.087) were observed over time. In conclusion, prolonged PHT increases muscle tissue capillarization but this does not improve muscle microvascular blood flow or increase muscle protein synthesis rates in healthy, older adults. Prolonged PHT does not induce skeletal muscle hypertrophy or increase leg strength in healthy, older adults. (Figure presented.). Key points: Repeated exposure to heat has been suggested to trigger skeletal muscle adaptive responses. We investigated the effect of 8 weeks of whole-body passive heat treatment (PHT; infrared sauna: 3× per week for 45 min at </w:instrText>
      </w:r>
      <w:r w:rsidR="00AA5A2F">
        <w:rPr>
          <w:rFonts w:ascii="Cambria Math" w:hAnsi="Cambria Math" w:cs="Cambria Math"/>
        </w:rPr>
        <w:instrText>∼</w:instrText>
      </w:r>
      <w:r w:rsidR="00AA5A2F">
        <w:instrText xml:space="preserve">60°C) on skeletal muscle tissue capillarization, perfusion capacity, basal, and postprandial muscle protein synthesis rates, muscle (fibre) hypertrophy, and leg strength in healthy, older adults. Prolonged PHT increases muscle tissue capillarization, but this does not improve muscle microvascular blood flow or increase muscle protein synthesis rates. Despite increases in muscle tissue capillarization, prolonged PHT does not suffice to induce skeletal muscle hypertrophy or increase leg strength in healthy, older adults.","container-title":"The Journal of Physiology","DOI":"10.1113/JP286986","ISSN":"1469-7793","publisher":"John Wiley &amp; Sons, Ltd","title":"Repeated passive heat treatment increases muscle tissue capillarization, but does not affect postprandial muscle protein synthesis rates in healthy older adults","URL":"https://onlinelibrary.wiley.com/doi/full/10.1113/JP286986","author":[{"family":"Fuchs","given":"Cas J."},{"family":"Betz","given":"Milan W."},{"family":"Petrick","given":"Heather L."},{"family":"Weber","given":"Jil"},{"family":"Senden","given":"Joan M."},{"family":"Hendriks","given":"Floris K."},{"family":"Bels","given":"Julia L.M."},{"family":"Loon","given":"Luc J.C.","non-dropping-particle":"van"},{"family":"Snijders","given":"Tim"}],"accessed":{"date-parts":[["2024",11,25]]},"issued":{"date-parts":[["2024"]]}}}],"schema":"https://github.com/citation-style-language/schema/raw/master/csl-citation.json"} </w:instrText>
      </w:r>
      <w:r w:rsidR="00191017">
        <w:fldChar w:fldCharType="separate"/>
      </w:r>
      <w:r w:rsidR="00191017" w:rsidRPr="00D96CCD">
        <w:t xml:space="preserve">Fuchs </w:t>
      </w:r>
      <w:r w:rsidR="00191017" w:rsidRPr="00D96CCD">
        <w:rPr>
          <w:i/>
          <w:iCs/>
        </w:rPr>
        <w:t>et al.</w:t>
      </w:r>
      <w:r w:rsidR="00191017" w:rsidRPr="00D96CCD">
        <w:t xml:space="preserve"> </w:t>
      </w:r>
      <w:r w:rsidR="00191017">
        <w:lastRenderedPageBreak/>
        <w:t>(</w:t>
      </w:r>
      <w:r w:rsidR="00191017" w:rsidRPr="00D96CCD">
        <w:t>2024)</w:t>
      </w:r>
      <w:r w:rsidR="00191017">
        <w:fldChar w:fldCharType="end"/>
      </w:r>
      <w:r w:rsidR="00191017">
        <w:t xml:space="preserve"> observed a decrease in light intensity PA in older adults after eight weeks of </w:t>
      </w:r>
      <w:r w:rsidR="00D76E3A">
        <w:t>sauna usage</w:t>
      </w:r>
      <w:r w:rsidR="00191017">
        <w:t xml:space="preserve">, despite no changes in total, moderate or </w:t>
      </w:r>
      <w:r w:rsidR="00927B7F">
        <w:t>vigorous</w:t>
      </w:r>
      <w:r w:rsidR="00191017">
        <w:t xml:space="preserve"> PA. It should be noted that PA data in </w:t>
      </w:r>
      <w:r w:rsidR="00C52E07">
        <w:t xml:space="preserve">Fuchs’ </w:t>
      </w:r>
      <w:r w:rsidR="00191017">
        <w:t xml:space="preserve">study was obtained through self-reported questionnaires, which can both under and overreport PA levels </w:t>
      </w:r>
      <w:r w:rsidR="00D76E3A">
        <w:t xml:space="preserve">compared to </w:t>
      </w:r>
      <w:r w:rsidR="00927B7F">
        <w:t>device-based</w:t>
      </w:r>
      <w:r w:rsidR="00D76E3A">
        <w:t xml:space="preserve"> accelerometry data </w:t>
      </w:r>
      <w:r w:rsidR="00191017">
        <w:fldChar w:fldCharType="begin"/>
      </w:r>
      <w:r w:rsidR="00AA5A2F">
        <w:instrText xml:space="preserve"> ADDIN ZOTERO_ITEM CSL_CITATION {"citationID":"UsOKhnbE","properties":{"formattedCitation":"(Prince {\\i{}et al.}, 2008)","plainCitation":"(Prince et al., 2008)","noteIndex":0},"citationItems":[{"id":78,"uris":["http://zotero.org/users/17561370/items/WDI7QXGU"],"itemData":{"id":78,"type":"article-journal","abstract":"Accurate assessment is required to assess current and changing physical activity levels, and to evaluate the effectiveness of interventions designed to increase activity levels. This study systematically reviewed the literature to determine the extent of agreement between subjectively (self-report e.g. questionnaire, diary) and objectively (directly measured; e.g. accelerometry, doubly labeled water) assessed physical activity in adults.","container-title":"International Journal of Behavioral Nutrition and Physical Activity","DOI":"10.1186/1479-5868-5-56","ISSN":"1479-5868","issue":"1","journalAbbreviation":"Int J Behav Nutr Phys Act","language":"en","page":"56","source":"Springer Link","title":"A comparison of direct versus self-report measures for assessing physical activity in adults: a systematic review","title-short":"A comparison of direct versus self-report measures for assessing physical activity in adults","volume":"5","author":[{"family":"Prince","given":"Stéphanie A."},{"family":"Adamo","given":"Kristi B."},{"family":"Hamel","given":"Meghan E."},{"family":"Hardt","given":"Jill"},{"family":"Gorber","given":"Sarah Connor"},{"family":"Tremblay","given":"Mark"}],"issued":{"date-parts":[["2008",11,6]]}}}],"schema":"https://github.com/citation-style-language/schema/raw/master/csl-citation.json"} </w:instrText>
      </w:r>
      <w:r w:rsidR="00191017">
        <w:fldChar w:fldCharType="separate"/>
      </w:r>
      <w:r w:rsidR="005C33DC" w:rsidRPr="005C33DC">
        <w:t xml:space="preserve">(Prince </w:t>
      </w:r>
      <w:r w:rsidR="005C33DC" w:rsidRPr="005C33DC">
        <w:rPr>
          <w:i/>
          <w:iCs/>
        </w:rPr>
        <w:t>et al.</w:t>
      </w:r>
      <w:r w:rsidR="005C33DC" w:rsidRPr="005C33DC">
        <w:t>, 2008)</w:t>
      </w:r>
      <w:r w:rsidR="00191017">
        <w:fldChar w:fldCharType="end"/>
      </w:r>
      <w:r w:rsidR="00191017">
        <w:t xml:space="preserve">. Therefore, </w:t>
      </w:r>
      <w:r w:rsidR="00191017">
        <w:rPr>
          <w:bCs/>
        </w:rPr>
        <w:t xml:space="preserve">HWI may not serve as a suitable method to increase overall </w:t>
      </w:r>
      <w:proofErr w:type="gramStart"/>
      <w:r w:rsidR="00191017">
        <w:rPr>
          <w:bCs/>
        </w:rPr>
        <w:t>PA, but</w:t>
      </w:r>
      <w:proofErr w:type="gramEnd"/>
      <w:r w:rsidR="00191017">
        <w:rPr>
          <w:bCs/>
        </w:rPr>
        <w:t xml:space="preserve"> could be an appropriate</w:t>
      </w:r>
      <w:r w:rsidR="00191017" w:rsidDel="00894604">
        <w:rPr>
          <w:bCs/>
        </w:rPr>
        <w:t xml:space="preserve"> </w:t>
      </w:r>
      <w:r w:rsidR="00191017">
        <w:rPr>
          <w:bCs/>
        </w:rPr>
        <w:t xml:space="preserve">alternative to limit declines in overall activity for individuals who are unwilling or unable to exercise. </w:t>
      </w:r>
    </w:p>
    <w:p w14:paraId="1D1BF7FF" w14:textId="77777777" w:rsidR="00191017" w:rsidRDefault="00191017" w:rsidP="00191017">
      <w:pPr>
        <w:shd w:val="clear" w:color="auto" w:fill="FFFFFF"/>
        <w:spacing w:after="0" w:line="480" w:lineRule="auto"/>
        <w:jc w:val="both"/>
        <w:rPr>
          <w:b/>
        </w:rPr>
      </w:pPr>
    </w:p>
    <w:p w14:paraId="5505BF1D" w14:textId="77777777" w:rsidR="00191017" w:rsidRDefault="00191017" w:rsidP="00191017">
      <w:pPr>
        <w:shd w:val="clear" w:color="auto" w:fill="FFFFFF"/>
        <w:spacing w:after="0" w:line="480" w:lineRule="auto"/>
        <w:jc w:val="both"/>
        <w:rPr>
          <w:b/>
        </w:rPr>
      </w:pPr>
      <w:r>
        <w:rPr>
          <w:b/>
        </w:rPr>
        <w:t>Strengths and limitations</w:t>
      </w:r>
    </w:p>
    <w:p w14:paraId="17418528" w14:textId="4FE76086" w:rsidR="00C929FF" w:rsidRDefault="00191017" w:rsidP="00191017">
      <w:pPr>
        <w:shd w:val="clear" w:color="auto" w:fill="FFFFFF"/>
        <w:spacing w:after="0" w:line="480" w:lineRule="auto"/>
        <w:jc w:val="both"/>
        <w:rPr>
          <w:bCs/>
        </w:rPr>
      </w:pPr>
      <w:r w:rsidRPr="00A9794D">
        <w:t xml:space="preserve">The study design (a </w:t>
      </w:r>
      <w:proofErr w:type="spellStart"/>
      <w:r w:rsidRPr="00A9794D">
        <w:t>randomised</w:t>
      </w:r>
      <w:proofErr w:type="spellEnd"/>
      <w:r w:rsidRPr="00A9794D">
        <w:t xml:space="preserve">, crossover, control trial) is a key strength of the present study, which is the first to assess </w:t>
      </w:r>
      <w:r>
        <w:t>muscle function</w:t>
      </w:r>
      <w:r w:rsidRPr="00A9794D">
        <w:t xml:space="preserve"> </w:t>
      </w:r>
      <w:r>
        <w:t xml:space="preserve">in older adults </w:t>
      </w:r>
      <w:r w:rsidRPr="00A9794D">
        <w:t>following</w:t>
      </w:r>
      <w:r>
        <w:t xml:space="preserve"> </w:t>
      </w:r>
      <w:r w:rsidR="001B3D17">
        <w:t>repeated</w:t>
      </w:r>
      <w:r>
        <w:t xml:space="preserve"> HWI</w:t>
      </w:r>
      <w:r w:rsidRPr="00A9794D">
        <w:t>.</w:t>
      </w:r>
      <w:r>
        <w:t xml:space="preserve"> The study population is an additional strength, as previous work assessing muscle function following PHT has primarily focused on younger populations with no </w:t>
      </w:r>
      <w:r w:rsidR="00C52E07">
        <w:t xml:space="preserve">apparent </w:t>
      </w:r>
      <w:r>
        <w:t xml:space="preserve">functional declines from ageing. Some limitations, however, warrant discussion. </w:t>
      </w:r>
      <w:r w:rsidR="00AA0452">
        <w:t>As t</w:t>
      </w:r>
      <w:r>
        <w:t xml:space="preserve">he present study was </w:t>
      </w:r>
      <w:r w:rsidR="00AA0452">
        <w:t>part of a wider trial,</w:t>
      </w:r>
      <w:r>
        <w:t xml:space="preserve"> </w:t>
      </w:r>
      <w:r w:rsidR="0087008D">
        <w:t xml:space="preserve">our </w:t>
      </w:r>
      <w:r w:rsidR="00637135">
        <w:rPr>
          <w:bCs/>
        </w:rPr>
        <w:t>results</w:t>
      </w:r>
      <w:r w:rsidR="0087008D">
        <w:rPr>
          <w:bCs/>
        </w:rPr>
        <w:t xml:space="preserve"> likely lack adequate statistical power</w:t>
      </w:r>
      <w:r w:rsidR="00637135">
        <w:rPr>
          <w:bCs/>
        </w:rPr>
        <w:t xml:space="preserve"> and should be interpreted with caution</w:t>
      </w:r>
      <w:r w:rsidR="00637135" w:rsidRPr="004A1765">
        <w:rPr>
          <w:bCs/>
        </w:rPr>
        <w:t>.</w:t>
      </w:r>
      <w:r w:rsidR="0087008D">
        <w:rPr>
          <w:bCs/>
        </w:rPr>
        <w:t xml:space="preserve"> </w:t>
      </w:r>
      <w:r w:rsidR="00AE3AF2">
        <w:rPr>
          <w:bCs/>
        </w:rPr>
        <w:t xml:space="preserve">Additionally, only </w:t>
      </w:r>
      <w:r w:rsidR="00AE3AF2" w:rsidRPr="004A1765">
        <w:rPr>
          <w:bCs/>
        </w:rPr>
        <w:t xml:space="preserve">seven participants </w:t>
      </w:r>
      <w:r w:rsidR="005760DB">
        <w:rPr>
          <w:bCs/>
        </w:rPr>
        <w:t xml:space="preserve">out of twelve </w:t>
      </w:r>
      <w:r w:rsidR="00AE3AF2" w:rsidRPr="004A1765">
        <w:rPr>
          <w:bCs/>
        </w:rPr>
        <w:t>completed testing on the IKD</w:t>
      </w:r>
      <w:r w:rsidR="00AE3AF2">
        <w:t xml:space="preserve"> d</w:t>
      </w:r>
      <w:r>
        <w:t xml:space="preserve">ue to equipment failure </w:t>
      </w:r>
      <w:r w:rsidRPr="004A1765">
        <w:t>during the experimental trial</w:t>
      </w:r>
      <w:r w:rsidR="007725F1">
        <w:rPr>
          <w:bCs/>
        </w:rPr>
        <w:t xml:space="preserve"> and</w:t>
      </w:r>
      <w:r w:rsidR="00D04086">
        <w:rPr>
          <w:bCs/>
        </w:rPr>
        <w:t xml:space="preserve"> </w:t>
      </w:r>
      <w:r w:rsidR="007725F1">
        <w:rPr>
          <w:bCs/>
        </w:rPr>
        <w:t>s</w:t>
      </w:r>
      <w:r w:rsidR="00B45BE5">
        <w:rPr>
          <w:bCs/>
        </w:rPr>
        <w:t xml:space="preserve">ome </w:t>
      </w:r>
      <w:r w:rsidR="00B808BF">
        <w:rPr>
          <w:bCs/>
        </w:rPr>
        <w:t xml:space="preserve">motion capture </w:t>
      </w:r>
      <w:r w:rsidR="00BC0A23">
        <w:rPr>
          <w:bCs/>
        </w:rPr>
        <w:t xml:space="preserve">for knee extension kinetics </w:t>
      </w:r>
      <w:r w:rsidR="00BE799A">
        <w:rPr>
          <w:bCs/>
        </w:rPr>
        <w:t xml:space="preserve">trials </w:t>
      </w:r>
      <w:r w:rsidR="003A58AE">
        <w:rPr>
          <w:bCs/>
        </w:rPr>
        <w:t xml:space="preserve">was </w:t>
      </w:r>
      <w:r w:rsidR="00B02FE0">
        <w:rPr>
          <w:bCs/>
        </w:rPr>
        <w:t>missing</w:t>
      </w:r>
      <w:r w:rsidR="007725F1">
        <w:rPr>
          <w:bCs/>
        </w:rPr>
        <w:t xml:space="preserve">, </w:t>
      </w:r>
      <w:r w:rsidR="00571771">
        <w:rPr>
          <w:bCs/>
        </w:rPr>
        <w:t>caus</w:t>
      </w:r>
      <w:r w:rsidR="007725F1">
        <w:rPr>
          <w:bCs/>
        </w:rPr>
        <w:t>ing</w:t>
      </w:r>
      <w:r w:rsidR="00571771">
        <w:rPr>
          <w:bCs/>
        </w:rPr>
        <w:t xml:space="preserve"> </w:t>
      </w:r>
      <w:r w:rsidR="003F06A9">
        <w:rPr>
          <w:bCs/>
        </w:rPr>
        <w:t>unbalanced</w:t>
      </w:r>
      <w:r w:rsidR="00155882">
        <w:rPr>
          <w:bCs/>
        </w:rPr>
        <w:t xml:space="preserve"> data </w:t>
      </w:r>
      <w:r w:rsidR="00BA24C9">
        <w:rPr>
          <w:bCs/>
        </w:rPr>
        <w:t xml:space="preserve">between study </w:t>
      </w:r>
      <w:r w:rsidR="00155882">
        <w:rPr>
          <w:bCs/>
        </w:rPr>
        <w:t>arm</w:t>
      </w:r>
      <w:r w:rsidR="00BA24C9">
        <w:rPr>
          <w:bCs/>
        </w:rPr>
        <w:t>s</w:t>
      </w:r>
      <w:r w:rsidR="00BC0A23">
        <w:rPr>
          <w:bCs/>
        </w:rPr>
        <w:t xml:space="preserve">, which </w:t>
      </w:r>
      <w:r w:rsidR="00094249">
        <w:rPr>
          <w:bCs/>
        </w:rPr>
        <w:t xml:space="preserve">could have </w:t>
      </w:r>
      <w:r w:rsidR="00155882">
        <w:rPr>
          <w:bCs/>
        </w:rPr>
        <w:t>skewed our data for knee power.</w:t>
      </w:r>
    </w:p>
    <w:p w14:paraId="2846A593" w14:textId="77777777" w:rsidR="00C929FF" w:rsidRDefault="00C929FF" w:rsidP="00191017">
      <w:pPr>
        <w:shd w:val="clear" w:color="auto" w:fill="FFFFFF"/>
        <w:spacing w:after="0" w:line="480" w:lineRule="auto"/>
        <w:jc w:val="both"/>
        <w:rPr>
          <w:bCs/>
        </w:rPr>
      </w:pPr>
    </w:p>
    <w:p w14:paraId="7D3E21B3" w14:textId="24F54EA8" w:rsidR="00191017" w:rsidRDefault="0029345F" w:rsidP="00191017">
      <w:pPr>
        <w:shd w:val="clear" w:color="auto" w:fill="FFFFFF"/>
        <w:spacing w:after="0" w:line="480" w:lineRule="auto"/>
        <w:jc w:val="both"/>
      </w:pPr>
      <w:r>
        <w:t xml:space="preserve">Due to </w:t>
      </w:r>
      <w:r w:rsidR="006079F8">
        <w:t xml:space="preserve">laboratory space constraints </w:t>
      </w:r>
      <w:r w:rsidR="00C50FAD">
        <w:t>and mobility issues</w:t>
      </w:r>
      <w:r w:rsidR="00C92511">
        <w:t xml:space="preserve"> entering and exiting the hot tub</w:t>
      </w:r>
      <w:r w:rsidR="00C50FAD">
        <w:t>, two different vessels were used for HWIs</w:t>
      </w:r>
      <w:r w:rsidR="00C92511">
        <w:t xml:space="preserve">. This </w:t>
      </w:r>
      <w:r w:rsidR="002E65D3">
        <w:t xml:space="preserve">could have impacted </w:t>
      </w:r>
      <w:r w:rsidR="00E62853">
        <w:t xml:space="preserve">body </w:t>
      </w:r>
      <w:r w:rsidR="002E65D3">
        <w:t>temperatures</w:t>
      </w:r>
      <w:r w:rsidR="00E62853">
        <w:t xml:space="preserve"> during HWI sessions, as </w:t>
      </w:r>
      <w:r w:rsidR="00316B34">
        <w:t>we were unable to manipulate body positions</w:t>
      </w:r>
      <w:r w:rsidR="00E62853">
        <w:t xml:space="preserve"> in the hot tub</w:t>
      </w:r>
      <w:r w:rsidR="00C92511">
        <w:t xml:space="preserve"> as effectively as the </w:t>
      </w:r>
      <w:r w:rsidR="00BE380B">
        <w:t>immersion tank</w:t>
      </w:r>
      <w:r w:rsidR="00316B34">
        <w:t xml:space="preserve">, where </w:t>
      </w:r>
      <w:r w:rsidR="00C92511">
        <w:t>participants</w:t>
      </w:r>
      <w:r w:rsidR="002E65D3">
        <w:t xml:space="preserve"> </w:t>
      </w:r>
      <w:r w:rsidR="00FB66BA">
        <w:t xml:space="preserve">in the hot tub were raised out </w:t>
      </w:r>
      <w:r w:rsidR="00CE0626">
        <w:t xml:space="preserve">in stepwise fashion rather than gradually on a pulley. </w:t>
      </w:r>
      <w:r w:rsidR="002F3C97">
        <w:t>A further limitation is that t</w:t>
      </w:r>
      <w:r w:rsidR="001F65E8">
        <w:t>he CON</w:t>
      </w:r>
      <w:r w:rsidR="006A585F">
        <w:t xml:space="preserve"> arm consisted of no intervention</w:t>
      </w:r>
      <w:r w:rsidR="0067737E">
        <w:t xml:space="preserve">, </w:t>
      </w:r>
      <w:r w:rsidR="0067737E">
        <w:lastRenderedPageBreak/>
        <w:t xml:space="preserve">whereas a thermoneutral sham could have helped to </w:t>
      </w:r>
      <w:r w:rsidR="005C3892">
        <w:t>account for</w:t>
      </w:r>
      <w:r w:rsidR="0067737E">
        <w:t xml:space="preserve"> the effects of </w:t>
      </w:r>
      <w:r w:rsidR="005C3892">
        <w:t xml:space="preserve">hydrostatic squeeze. </w:t>
      </w:r>
      <w:r w:rsidR="00191017">
        <w:t xml:space="preserve">Participants were also instructed to maintain their </w:t>
      </w:r>
      <w:r w:rsidR="00D76E3A">
        <w:t xml:space="preserve">current </w:t>
      </w:r>
      <w:r w:rsidR="00191017">
        <w:t>routines during the CON arm</w:t>
      </w:r>
      <w:r w:rsidR="00D76E3A">
        <w:t xml:space="preserve"> and six-week washout</w:t>
      </w:r>
      <w:r w:rsidR="00191017">
        <w:t>, but we are unable to preclude that</w:t>
      </w:r>
      <w:r w:rsidR="00CF3B83">
        <w:t xml:space="preserve"> </w:t>
      </w:r>
      <w:r w:rsidR="00191017">
        <w:t>participants undertook new forms of activity or exercise</w:t>
      </w:r>
      <w:r w:rsidR="00D76E3A">
        <w:t xml:space="preserve"> during these periods</w:t>
      </w:r>
      <w:r w:rsidR="00191017">
        <w:t>, despite instructions to avoid this. The absence of a change in PA levels at all intensities at the beginning and end of the CON arm, however, would suggest that participants observed these instructions</w:t>
      </w:r>
      <w:r w:rsidR="003F5C69">
        <w:t>, and the</w:t>
      </w:r>
      <w:r w:rsidR="00191017">
        <w:t xml:space="preserve"> significant </w:t>
      </w:r>
      <w:r w:rsidR="003F5C69">
        <w:t>findings</w:t>
      </w:r>
      <w:r w:rsidR="00D470FA">
        <w:t xml:space="preserve"> in grip strength</w:t>
      </w:r>
      <w:r w:rsidR="003F5C69">
        <w:t xml:space="preserve"> were the result of a type I error</w:t>
      </w:r>
      <w:r w:rsidR="00191017">
        <w:t>.</w:t>
      </w:r>
      <w:r w:rsidR="00583649">
        <w:t xml:space="preserve"> </w:t>
      </w:r>
      <w:r w:rsidR="00D83A54">
        <w:t>However</w:t>
      </w:r>
      <w:r w:rsidR="00583649">
        <w:t xml:space="preserve">, </w:t>
      </w:r>
      <w:r w:rsidR="00B65096">
        <w:t>no significant order effects were detected for any outcome measure.</w:t>
      </w:r>
    </w:p>
    <w:p w14:paraId="539FD387" w14:textId="77777777" w:rsidR="00191017" w:rsidRDefault="00191017" w:rsidP="00191017">
      <w:pPr>
        <w:shd w:val="clear" w:color="auto" w:fill="FFFFFF"/>
        <w:spacing w:after="0" w:line="480" w:lineRule="auto"/>
        <w:jc w:val="both"/>
        <w:rPr>
          <w:b/>
          <w:bCs/>
        </w:rPr>
      </w:pPr>
    </w:p>
    <w:p w14:paraId="3582B37E" w14:textId="77777777" w:rsidR="00191017" w:rsidRDefault="00191017" w:rsidP="007206DF">
      <w:pPr>
        <w:keepNext/>
        <w:shd w:val="clear" w:color="auto" w:fill="FFFFFF"/>
        <w:spacing w:after="0" w:line="480" w:lineRule="auto"/>
        <w:jc w:val="both"/>
      </w:pPr>
      <w:r>
        <w:rPr>
          <w:b/>
          <w:bCs/>
        </w:rPr>
        <w:t>Conclusion</w:t>
      </w:r>
    </w:p>
    <w:p w14:paraId="722CAD41" w14:textId="7A6ECA65" w:rsidR="00191017" w:rsidRPr="00A9794D" w:rsidRDefault="00191017" w:rsidP="007206DF">
      <w:pPr>
        <w:keepNext/>
        <w:shd w:val="clear" w:color="auto" w:fill="FFFFFF"/>
        <w:spacing w:after="0" w:line="480" w:lineRule="auto"/>
        <w:jc w:val="both"/>
      </w:pPr>
      <w:r>
        <w:rPr>
          <w:bCs/>
        </w:rPr>
        <w:t xml:space="preserve">The present study is the first to assess the effects of </w:t>
      </w:r>
      <w:r w:rsidR="001B3D17">
        <w:t>repeated</w:t>
      </w:r>
      <w:r>
        <w:rPr>
          <w:bCs/>
        </w:rPr>
        <w:t xml:space="preserve"> HWI on strength, power, lower extremity function and physical activity levels in healthy older adults. Overall, </w:t>
      </w:r>
      <w:r w:rsidR="001B3D17">
        <w:t>repeated</w:t>
      </w:r>
      <w:r w:rsidR="001B3D17" w:rsidDel="001B3D17">
        <w:rPr>
          <w:bCs/>
        </w:rPr>
        <w:t xml:space="preserve"> </w:t>
      </w:r>
      <w:r>
        <w:rPr>
          <w:bCs/>
        </w:rPr>
        <w:t xml:space="preserve">HWI did not </w:t>
      </w:r>
      <w:r w:rsidR="00F73090">
        <w:rPr>
          <w:bCs/>
        </w:rPr>
        <w:t xml:space="preserve">alter </w:t>
      </w:r>
      <w:r>
        <w:rPr>
          <w:bCs/>
        </w:rPr>
        <w:t xml:space="preserve">quadriceps strength, </w:t>
      </w:r>
      <w:r w:rsidRPr="00EE0BBA">
        <w:rPr>
          <w:bCs/>
        </w:rPr>
        <w:t>grip strength</w:t>
      </w:r>
      <w:r>
        <w:rPr>
          <w:bCs/>
        </w:rPr>
        <w:t>,</w:t>
      </w:r>
      <w:r w:rsidR="00815C5F">
        <w:rPr>
          <w:bCs/>
        </w:rPr>
        <w:t xml:space="preserve"> knee power,</w:t>
      </w:r>
      <w:r>
        <w:rPr>
          <w:bCs/>
        </w:rPr>
        <w:t xml:space="preserve"> </w:t>
      </w:r>
      <w:r w:rsidR="000C5629">
        <w:rPr>
          <w:bCs/>
        </w:rPr>
        <w:t>lower extremity function</w:t>
      </w:r>
      <w:r>
        <w:rPr>
          <w:bCs/>
        </w:rPr>
        <w:t xml:space="preserve"> or PA levels. </w:t>
      </w:r>
      <w:r w:rsidR="000C5629">
        <w:rPr>
          <w:bCs/>
        </w:rPr>
        <w:t xml:space="preserve">Our findings suggest that </w:t>
      </w:r>
      <w:r w:rsidR="001B3D17">
        <w:t>repeated</w:t>
      </w:r>
      <w:r w:rsidR="001B3D17" w:rsidDel="001B3D17">
        <w:rPr>
          <w:bCs/>
        </w:rPr>
        <w:t xml:space="preserve"> </w:t>
      </w:r>
      <w:r w:rsidR="000C5629">
        <w:rPr>
          <w:bCs/>
        </w:rPr>
        <w:t xml:space="preserve">HWI </w:t>
      </w:r>
      <w:r w:rsidR="00A37408">
        <w:rPr>
          <w:bCs/>
        </w:rPr>
        <w:t xml:space="preserve">may </w:t>
      </w:r>
      <w:r w:rsidR="00C37AB2">
        <w:rPr>
          <w:bCs/>
        </w:rPr>
        <w:t>not</w:t>
      </w:r>
      <w:r w:rsidR="000C5629">
        <w:rPr>
          <w:bCs/>
        </w:rPr>
        <w:t xml:space="preserve"> </w:t>
      </w:r>
      <w:r w:rsidR="00A37408">
        <w:rPr>
          <w:bCs/>
        </w:rPr>
        <w:t xml:space="preserve">be </w:t>
      </w:r>
      <w:r w:rsidR="00E12EA0">
        <w:rPr>
          <w:bCs/>
        </w:rPr>
        <w:t xml:space="preserve">an effective method to </w:t>
      </w:r>
      <w:r w:rsidR="000C5629">
        <w:rPr>
          <w:bCs/>
        </w:rPr>
        <w:t>improve</w:t>
      </w:r>
      <w:r w:rsidR="00787B3F">
        <w:rPr>
          <w:bCs/>
        </w:rPr>
        <w:t xml:space="preserve"> indices of muscle</w:t>
      </w:r>
      <w:r w:rsidR="00C37AB2">
        <w:rPr>
          <w:bCs/>
        </w:rPr>
        <w:t xml:space="preserve"> function </w:t>
      </w:r>
      <w:r w:rsidR="000C5629">
        <w:rPr>
          <w:bCs/>
        </w:rPr>
        <w:t>in healthy older adults.</w:t>
      </w:r>
      <w:r>
        <w:rPr>
          <w:bCs/>
        </w:rPr>
        <w:t xml:space="preserve"> </w:t>
      </w:r>
      <w:r w:rsidR="000C5629">
        <w:rPr>
          <w:bCs/>
        </w:rPr>
        <w:t>Future work</w:t>
      </w:r>
      <w:r>
        <w:rPr>
          <w:bCs/>
        </w:rPr>
        <w:t xml:space="preserve"> </w:t>
      </w:r>
      <w:r w:rsidR="000C5629">
        <w:rPr>
          <w:bCs/>
        </w:rPr>
        <w:t>i</w:t>
      </w:r>
      <w:r>
        <w:rPr>
          <w:bCs/>
        </w:rPr>
        <w:t xml:space="preserve">s warranted </w:t>
      </w:r>
      <w:r w:rsidR="000C5629">
        <w:rPr>
          <w:bCs/>
        </w:rPr>
        <w:t xml:space="preserve">testing longer interventions and </w:t>
      </w:r>
      <w:r>
        <w:rPr>
          <w:bCs/>
        </w:rPr>
        <w:t xml:space="preserve">in clinical populations who are frail or </w:t>
      </w:r>
      <w:r w:rsidR="00FF2410">
        <w:rPr>
          <w:bCs/>
        </w:rPr>
        <w:t xml:space="preserve">have impaired </w:t>
      </w:r>
      <w:r w:rsidR="00924460">
        <w:rPr>
          <w:bCs/>
        </w:rPr>
        <w:t>mobility and</w:t>
      </w:r>
      <w:r>
        <w:rPr>
          <w:bCs/>
        </w:rPr>
        <w:t xml:space="preserve"> may be limited in their ability to </w:t>
      </w:r>
      <w:r w:rsidR="000C5629">
        <w:rPr>
          <w:bCs/>
        </w:rPr>
        <w:t xml:space="preserve">perform </w:t>
      </w:r>
      <w:r>
        <w:rPr>
          <w:bCs/>
        </w:rPr>
        <w:t>exercise.</w:t>
      </w:r>
    </w:p>
    <w:p w14:paraId="4064BC3D" w14:textId="77777777" w:rsidR="003C5566" w:rsidRDefault="003C5566">
      <w:pPr>
        <w:shd w:val="clear" w:color="auto" w:fill="FFFFFF"/>
        <w:spacing w:after="0" w:line="480" w:lineRule="auto"/>
        <w:jc w:val="both"/>
      </w:pPr>
    </w:p>
    <w:p w14:paraId="7ABE0D35" w14:textId="77777777" w:rsidR="00F2416B" w:rsidRDefault="00F2416B" w:rsidP="009C1278">
      <w:pPr>
        <w:rPr>
          <w:b/>
          <w:bCs/>
        </w:rPr>
      </w:pPr>
    </w:p>
    <w:p w14:paraId="7A3161CF" w14:textId="77777777" w:rsidR="00F2416B" w:rsidRDefault="00F2416B" w:rsidP="009C1278">
      <w:pPr>
        <w:rPr>
          <w:b/>
          <w:bCs/>
        </w:rPr>
      </w:pPr>
    </w:p>
    <w:p w14:paraId="0D0A0730" w14:textId="5448715A" w:rsidR="009C1278" w:rsidRPr="00966B35" w:rsidRDefault="009C1278" w:rsidP="009C1278">
      <w:pPr>
        <w:rPr>
          <w:b/>
          <w:bCs/>
        </w:rPr>
      </w:pPr>
      <w:r w:rsidRPr="00966B35">
        <w:rPr>
          <w:b/>
          <w:bCs/>
        </w:rPr>
        <w:t>AUTHOR CONTRIBUTIONS</w:t>
      </w:r>
    </w:p>
    <w:p w14:paraId="54C286FD" w14:textId="77777777" w:rsidR="009C1278" w:rsidRDefault="009C1278" w:rsidP="009C1278">
      <w:r>
        <w:t>Daniel D. Piccolo</w:t>
      </w:r>
      <w:r w:rsidRPr="00127484">
        <w:t>,</w:t>
      </w:r>
      <w:r>
        <w:t xml:space="preserve"> Anthony I. Shepherd, Jo Corbett</w:t>
      </w:r>
      <w:r w:rsidRPr="00127484">
        <w:t xml:space="preserve"> and</w:t>
      </w:r>
      <w:r>
        <w:t xml:space="preserve"> Zoe L. Saynor</w:t>
      </w:r>
      <w:r w:rsidRPr="00127484">
        <w:t xml:space="preserve"> conceived and designed the research. </w:t>
      </w:r>
      <w:r>
        <w:t>Daniel D. Piccolo</w:t>
      </w:r>
      <w:r w:rsidRPr="00127484">
        <w:t>,</w:t>
      </w:r>
      <w:r>
        <w:t xml:space="preserve"> Anthony I. Shepherd, </w:t>
      </w:r>
      <w:r w:rsidRPr="00127484">
        <w:t>Mohammad G. A. Alnajjar, Luke Hudson</w:t>
      </w:r>
      <w:r>
        <w:t>,</w:t>
      </w:r>
      <w:r w:rsidRPr="00127484">
        <w:t xml:space="preserve"> Poppy A. Marsh</w:t>
      </w:r>
      <w:r>
        <w:t xml:space="preserve"> and</w:t>
      </w:r>
      <w:r w:rsidRPr="00127484">
        <w:t xml:space="preserve"> Veronika </w:t>
      </w:r>
      <w:proofErr w:type="spellStart"/>
      <w:r w:rsidRPr="00127484">
        <w:t>Praskacova</w:t>
      </w:r>
      <w:proofErr w:type="spellEnd"/>
      <w:r w:rsidRPr="00127484">
        <w:t xml:space="preserve"> collected the data. </w:t>
      </w:r>
      <w:r>
        <w:t>Daniel D. Piccolo</w:t>
      </w:r>
      <w:r w:rsidRPr="00127484">
        <w:t>,</w:t>
      </w:r>
      <w:r>
        <w:t xml:space="preserve"> Anthony I. Shepherd,</w:t>
      </w:r>
      <w:r w:rsidRPr="00127484">
        <w:t xml:space="preserve"> </w:t>
      </w:r>
      <w:r>
        <w:t xml:space="preserve">Timothy A. Exell, </w:t>
      </w:r>
      <w:r w:rsidRPr="003B3D6C">
        <w:t>Joseph M. Moore, Amy Wright</w:t>
      </w:r>
      <w:r>
        <w:t>,</w:t>
      </w:r>
      <w:r w:rsidRPr="00477BB0">
        <w:t xml:space="preserve"> Melitta A</w:t>
      </w:r>
      <w:r>
        <w:t>.</w:t>
      </w:r>
      <w:r w:rsidRPr="00477BB0">
        <w:t xml:space="preserve"> McNarry, </w:t>
      </w:r>
      <w:r>
        <w:t xml:space="preserve">and </w:t>
      </w:r>
      <w:r w:rsidRPr="00477BB0">
        <w:t>Kelly A</w:t>
      </w:r>
      <w:r>
        <w:t>.</w:t>
      </w:r>
      <w:r w:rsidRPr="00477BB0">
        <w:t xml:space="preserve"> Mackintosh</w:t>
      </w:r>
      <w:r w:rsidRPr="00127484">
        <w:t xml:space="preserve"> </w:t>
      </w:r>
      <w:proofErr w:type="spellStart"/>
      <w:r w:rsidRPr="00127484">
        <w:t>analysed</w:t>
      </w:r>
      <w:proofErr w:type="spellEnd"/>
      <w:r w:rsidRPr="00127484">
        <w:t xml:space="preserve"> the data. </w:t>
      </w:r>
      <w:r>
        <w:t>Daniel D. Piccolo</w:t>
      </w:r>
      <w:r w:rsidRPr="00127484">
        <w:t>,</w:t>
      </w:r>
      <w:r>
        <w:t xml:space="preserve"> Anthony I. Shepherd, Jo Corbett</w:t>
      </w:r>
      <w:r w:rsidRPr="00127484">
        <w:t xml:space="preserve"> and</w:t>
      </w:r>
      <w:r>
        <w:t xml:space="preserve"> Zoe L. Saynor</w:t>
      </w:r>
      <w:r w:rsidRPr="00127484">
        <w:t xml:space="preserve"> interpreted results of experiments and trial. </w:t>
      </w:r>
      <w:r>
        <w:t xml:space="preserve">Daniel D. Piccolo and Anthony I. Shepherd </w:t>
      </w:r>
      <w:r w:rsidRPr="00127484">
        <w:t xml:space="preserve">prepared figures. </w:t>
      </w:r>
      <w:r>
        <w:t>Daniel D. Piccolo, Anthony I. Shepherd, Jo Corbett</w:t>
      </w:r>
      <w:r w:rsidRPr="00127484">
        <w:t xml:space="preserve"> and</w:t>
      </w:r>
      <w:r>
        <w:t xml:space="preserve"> Zoe L. Saynor</w:t>
      </w:r>
      <w:r w:rsidRPr="00127484">
        <w:t xml:space="preserve"> drafted </w:t>
      </w:r>
      <w:r w:rsidRPr="00127484">
        <w:lastRenderedPageBreak/>
        <w:t xml:space="preserve">the manuscript. </w:t>
      </w:r>
      <w:r>
        <w:t>Daniel D. Piccolo, Anthony I. Shepherd, Jo Corbett</w:t>
      </w:r>
      <w:r w:rsidRPr="00127484">
        <w:t xml:space="preserve"> and</w:t>
      </w:r>
      <w:r>
        <w:t xml:space="preserve"> Zoe L. Saynor,</w:t>
      </w:r>
      <w:r w:rsidRPr="00127484">
        <w:t xml:space="preserve"> </w:t>
      </w:r>
      <w:r>
        <w:t xml:space="preserve">Timothy A. Exell, </w:t>
      </w:r>
      <w:r w:rsidRPr="003B3D6C">
        <w:t>Joseph M. Moore, Amy Wright</w:t>
      </w:r>
      <w:r>
        <w:t>, Mo</w:t>
      </w:r>
      <w:r w:rsidRPr="00127484">
        <w:t>hammad G. A. Alnajjar, Luke Hudson</w:t>
      </w:r>
      <w:r>
        <w:t>,</w:t>
      </w:r>
      <w:r w:rsidRPr="00127484">
        <w:t xml:space="preserve"> Poppy A. Marsh</w:t>
      </w:r>
      <w:r>
        <w:t xml:space="preserve">, </w:t>
      </w:r>
      <w:r w:rsidRPr="00127484">
        <w:t>Veronika Praskacova</w:t>
      </w:r>
      <w:r>
        <w:t>,</w:t>
      </w:r>
      <w:r>
        <w:rPr>
          <w:vertAlign w:val="superscript"/>
        </w:rPr>
        <w:t xml:space="preserve"> </w:t>
      </w:r>
      <w:r w:rsidRPr="00477BB0">
        <w:t>Melitta A</w:t>
      </w:r>
      <w:r>
        <w:t>.</w:t>
      </w:r>
      <w:r w:rsidRPr="00477BB0">
        <w:t xml:space="preserve"> McNarry, </w:t>
      </w:r>
      <w:r>
        <w:t xml:space="preserve">and </w:t>
      </w:r>
      <w:r w:rsidRPr="00477BB0">
        <w:t>Kelly A</w:t>
      </w:r>
      <w:r>
        <w:t>.</w:t>
      </w:r>
      <w:r w:rsidRPr="00477BB0">
        <w:t xml:space="preserve"> Mackintosh</w:t>
      </w:r>
      <w:r>
        <w:t xml:space="preserve"> </w:t>
      </w:r>
      <w:r w:rsidRPr="00127484">
        <w:t xml:space="preserve">edited and revised </w:t>
      </w:r>
      <w:r>
        <w:t xml:space="preserve">the </w:t>
      </w:r>
      <w:r w:rsidRPr="00127484">
        <w:t>manuscript. All authors approved the final version of manuscript and agree to be accountable for all aspects of the work in ensuring that questions related to the accuracy or integrity of any part of the work are appropriately investigated and resolved. All persons designated as authors qualify for authorship, and all those who qualify for authorship are listed.</w:t>
      </w:r>
    </w:p>
    <w:p w14:paraId="45C18DD9" w14:textId="77777777" w:rsidR="009C1278" w:rsidRDefault="009C1278" w:rsidP="009C1278"/>
    <w:p w14:paraId="2D6B93ED" w14:textId="77777777" w:rsidR="009C1278" w:rsidRPr="00966B35" w:rsidRDefault="009C1278" w:rsidP="009C1278">
      <w:pPr>
        <w:rPr>
          <w:b/>
          <w:bCs/>
        </w:rPr>
      </w:pPr>
      <w:r w:rsidRPr="00966B35">
        <w:rPr>
          <w:b/>
          <w:bCs/>
        </w:rPr>
        <w:t>ACKNOWLEDGEMENTS</w:t>
      </w:r>
    </w:p>
    <w:p w14:paraId="1316B9A0" w14:textId="7F66A919" w:rsidR="009C1278" w:rsidRDefault="009C1278" w:rsidP="009C1278">
      <w:r w:rsidRPr="00DB4130">
        <w:t>We thank the participants who volunteered to take part in this study</w:t>
      </w:r>
      <w:r>
        <w:t xml:space="preserve"> for their time and efforts</w:t>
      </w:r>
      <w:r w:rsidRPr="00DB4130">
        <w:t>.</w:t>
      </w:r>
      <w:r>
        <w:t xml:space="preserve"> We also wish to thank Dave Black</w:t>
      </w:r>
      <w:r w:rsidR="00417F46">
        <w:t xml:space="preserve">, </w:t>
      </w:r>
      <w:r>
        <w:t xml:space="preserve">Tom Gwyther </w:t>
      </w:r>
      <w:r w:rsidR="00417F46">
        <w:t xml:space="preserve">and Danny White </w:t>
      </w:r>
      <w:r>
        <w:t>for their technical assistance during data collection.</w:t>
      </w:r>
    </w:p>
    <w:p w14:paraId="69DBF063" w14:textId="77777777" w:rsidR="009C1278" w:rsidRDefault="009C1278" w:rsidP="009C1278"/>
    <w:p w14:paraId="35A1E7D2" w14:textId="77777777" w:rsidR="009C1278" w:rsidRPr="00966B35" w:rsidRDefault="009C1278" w:rsidP="009C1278">
      <w:pPr>
        <w:rPr>
          <w:b/>
          <w:bCs/>
        </w:rPr>
      </w:pPr>
      <w:r w:rsidRPr="00966B35">
        <w:rPr>
          <w:b/>
          <w:bCs/>
        </w:rPr>
        <w:t>FUNDING INFORMATION</w:t>
      </w:r>
    </w:p>
    <w:p w14:paraId="1F4745AC" w14:textId="77777777" w:rsidR="009C1278" w:rsidRDefault="009C1278" w:rsidP="009C1278">
      <w:r>
        <w:t xml:space="preserve">We gratefully acknowledge funding by </w:t>
      </w:r>
      <w:r w:rsidRPr="00DB4130">
        <w:t xml:space="preserve">SPATEX and </w:t>
      </w:r>
      <w:r>
        <w:t xml:space="preserve">the </w:t>
      </w:r>
      <w:r w:rsidRPr="00DB4130">
        <w:t>B</w:t>
      </w:r>
      <w:r>
        <w:t xml:space="preserve">ritish and </w:t>
      </w:r>
      <w:r w:rsidRPr="00DB4130">
        <w:t>I</w:t>
      </w:r>
      <w:r>
        <w:t xml:space="preserve">rish </w:t>
      </w:r>
      <w:r w:rsidRPr="00DB4130">
        <w:t>S</w:t>
      </w:r>
      <w:r>
        <w:t>pa and Hot Tub Association (BIS</w:t>
      </w:r>
      <w:r w:rsidRPr="00DB4130">
        <w:t>HTA</w:t>
      </w:r>
      <w:r>
        <w:t>)</w:t>
      </w:r>
      <w:r w:rsidRPr="00DB4130">
        <w:t xml:space="preserve"> Grant Number: 00229288</w:t>
      </w:r>
      <w:r>
        <w:t xml:space="preserve">; and the </w:t>
      </w:r>
      <w:proofErr w:type="spellStart"/>
      <w:r>
        <w:t>Ceperich</w:t>
      </w:r>
      <w:proofErr w:type="spellEnd"/>
      <w:r>
        <w:t xml:space="preserve"> Educational Trust.</w:t>
      </w:r>
    </w:p>
    <w:p w14:paraId="0C489DEC" w14:textId="77777777" w:rsidR="009C1278" w:rsidRDefault="009C1278" w:rsidP="009C1278"/>
    <w:p w14:paraId="58DF1052" w14:textId="77777777" w:rsidR="009C1278" w:rsidRPr="00966B35" w:rsidRDefault="009C1278" w:rsidP="009C1278">
      <w:pPr>
        <w:rPr>
          <w:b/>
          <w:bCs/>
        </w:rPr>
      </w:pPr>
      <w:r w:rsidRPr="00966B35">
        <w:rPr>
          <w:b/>
          <w:bCs/>
        </w:rPr>
        <w:t>CONFLICTS OF INTEREST</w:t>
      </w:r>
    </w:p>
    <w:p w14:paraId="0081EC5D" w14:textId="77777777" w:rsidR="009C1278" w:rsidRPr="00DB4130" w:rsidRDefault="009C1278" w:rsidP="009C1278">
      <w:r w:rsidRPr="00DB4130">
        <w:t>No conflicts of interest, financial or otherwise, are declared by the authors.</w:t>
      </w:r>
    </w:p>
    <w:p w14:paraId="135565B5" w14:textId="77777777" w:rsidR="009C1278" w:rsidRDefault="009C1278" w:rsidP="009C1278"/>
    <w:p w14:paraId="4E2B93E4" w14:textId="77777777" w:rsidR="009C1278" w:rsidRDefault="009C1278" w:rsidP="009C1278">
      <w:pPr>
        <w:rPr>
          <w:b/>
          <w:bCs/>
        </w:rPr>
      </w:pPr>
      <w:r w:rsidRPr="00966B35">
        <w:rPr>
          <w:b/>
          <w:bCs/>
        </w:rPr>
        <w:t>DATA AVAILABILITY STATEMENT</w:t>
      </w:r>
    </w:p>
    <w:p w14:paraId="78D56D93" w14:textId="77777777" w:rsidR="009C1278" w:rsidRPr="007E0940" w:rsidRDefault="009C1278" w:rsidP="009C1278">
      <w:r w:rsidRPr="007E0940">
        <w:t xml:space="preserve">The full </w:t>
      </w:r>
      <w:proofErr w:type="spellStart"/>
      <w:r w:rsidRPr="007E0940">
        <w:t>anonymised</w:t>
      </w:r>
      <w:proofErr w:type="spellEnd"/>
      <w:r w:rsidRPr="007E0940">
        <w:t xml:space="preserve"> dataset has been made freely available as supplementary material on our University repository</w:t>
      </w:r>
      <w:r>
        <w:t xml:space="preserve"> (</w:t>
      </w:r>
      <w:hyperlink r:id="rId14" w:history="1">
        <w:r w:rsidRPr="00142EE7">
          <w:rPr>
            <w:rStyle w:val="Hyperlink"/>
          </w:rPr>
          <w:t>https://doi.org/10.17029/40adb0f3-23ed-48c0-9cd3-ff7083c9d2f4</w:t>
        </w:r>
      </w:hyperlink>
      <w:r>
        <w:t xml:space="preserve">). </w:t>
      </w:r>
      <w:proofErr w:type="gramStart"/>
      <w:r w:rsidRPr="001D20BA">
        <w:t>For the purpose of</w:t>
      </w:r>
      <w:proofErr w:type="gramEnd"/>
      <w:r w:rsidRPr="001D20BA">
        <w:t xml:space="preserve"> open access, the author(s) has applied a Creative Commons Attribution (CC-BY) </w:t>
      </w:r>
      <w:proofErr w:type="spellStart"/>
      <w:r w:rsidRPr="001D20BA">
        <w:t>licence</w:t>
      </w:r>
      <w:proofErr w:type="spellEnd"/>
      <w:r w:rsidRPr="001D20BA">
        <w:t xml:space="preserve"> to any </w:t>
      </w:r>
      <w:proofErr w:type="gramStart"/>
      <w:r w:rsidRPr="001D20BA">
        <w:t>author</w:t>
      </w:r>
      <w:proofErr w:type="gramEnd"/>
      <w:r w:rsidRPr="001D20BA">
        <w:t xml:space="preserve"> </w:t>
      </w:r>
      <w:proofErr w:type="gramStart"/>
      <w:r w:rsidRPr="001D20BA">
        <w:t>accepted</w:t>
      </w:r>
      <w:proofErr w:type="gramEnd"/>
      <w:r w:rsidRPr="001D20BA">
        <w:t xml:space="preserve"> manuscript version arising from this submission.</w:t>
      </w:r>
    </w:p>
    <w:p w14:paraId="46A62951" w14:textId="77777777" w:rsidR="009C1278" w:rsidRDefault="009C1278">
      <w:pPr>
        <w:shd w:val="clear" w:color="auto" w:fill="FFFFFF"/>
        <w:spacing w:after="0" w:line="480" w:lineRule="auto"/>
        <w:jc w:val="both"/>
      </w:pPr>
    </w:p>
    <w:p w14:paraId="38A33AB4" w14:textId="77777777" w:rsidR="00F2416B" w:rsidRDefault="00F2416B">
      <w:pPr>
        <w:shd w:val="clear" w:color="auto" w:fill="FFFFFF"/>
        <w:spacing w:after="0" w:line="480" w:lineRule="auto"/>
        <w:jc w:val="both"/>
        <w:rPr>
          <w:b/>
        </w:rPr>
      </w:pPr>
    </w:p>
    <w:p w14:paraId="0000007E" w14:textId="135ED878" w:rsidR="00C15823" w:rsidRDefault="003C5566">
      <w:pPr>
        <w:shd w:val="clear" w:color="auto" w:fill="FFFFFF"/>
        <w:spacing w:after="0" w:line="480" w:lineRule="auto"/>
        <w:jc w:val="both"/>
        <w:rPr>
          <w:b/>
        </w:rPr>
      </w:pPr>
      <w:r w:rsidRPr="003B3D6C">
        <w:rPr>
          <w:b/>
        </w:rPr>
        <w:t>REFERENCES</w:t>
      </w:r>
    </w:p>
    <w:p w14:paraId="1B51128A" w14:textId="77777777" w:rsidR="00EA40FA" w:rsidRDefault="00B63BA7" w:rsidP="00EA40FA">
      <w:pPr>
        <w:pStyle w:val="Bibliography"/>
      </w:pPr>
      <w:r>
        <w:rPr>
          <w:b/>
        </w:rPr>
        <w:fldChar w:fldCharType="begin" w:fldLock="1"/>
      </w:r>
      <w:r w:rsidR="000C6262">
        <w:rPr>
          <w:b/>
        </w:rPr>
        <w:instrText xml:space="preserve"> ADDIN ZOTERO_BIBL {"uncited":[],"omitted":[],"custom":[]} CSL_BIBLIOGRAPHY </w:instrText>
      </w:r>
      <w:r>
        <w:rPr>
          <w:b/>
        </w:rPr>
        <w:fldChar w:fldCharType="separate"/>
      </w:r>
      <w:r w:rsidR="00EA40FA">
        <w:t xml:space="preserve">Ambrose AF, Paul G &amp; Hausdorff JM (2013). Risk factors for falls among older adults: A review of the literature. </w:t>
      </w:r>
      <w:r w:rsidR="00EA40FA">
        <w:rPr>
          <w:i/>
          <w:iCs/>
        </w:rPr>
        <w:t>Maturitas</w:t>
      </w:r>
      <w:r w:rsidR="00EA40FA">
        <w:t xml:space="preserve"> </w:t>
      </w:r>
      <w:r w:rsidR="00EA40FA">
        <w:rPr>
          <w:b/>
          <w:bCs/>
        </w:rPr>
        <w:t>75,</w:t>
      </w:r>
      <w:r w:rsidR="00EA40FA">
        <w:t xml:space="preserve"> 51–61.</w:t>
      </w:r>
    </w:p>
    <w:p w14:paraId="104108E9" w14:textId="77777777" w:rsidR="00EA40FA" w:rsidRDefault="00EA40FA" w:rsidP="00EA40FA">
      <w:pPr>
        <w:pStyle w:val="Bibliography"/>
      </w:pPr>
      <w:r>
        <w:t xml:space="preserve">Amin SB, Hansen AB, Mugele H, Willmer F, Gross F, Reimeir B, Cornwell WK, Simpson LL, Moore JP, Romero SA &amp; Lawley JS (2021). Whole body passive heating versus dynamic </w:t>
      </w:r>
      <w:r>
        <w:lastRenderedPageBreak/>
        <w:t xml:space="preserve">lower body exercise: A comparison of peripheral hemodynamic profiles. </w:t>
      </w:r>
      <w:r>
        <w:rPr>
          <w:i/>
          <w:iCs/>
        </w:rPr>
        <w:t>Journal of Applied Physiology</w:t>
      </w:r>
      <w:r>
        <w:t xml:space="preserve"> </w:t>
      </w:r>
      <w:r>
        <w:rPr>
          <w:b/>
          <w:bCs/>
        </w:rPr>
        <w:t>130,</w:t>
      </w:r>
      <w:r>
        <w:t xml:space="preserve"> 160–171.</w:t>
      </w:r>
    </w:p>
    <w:p w14:paraId="29FF7EC7" w14:textId="77777777" w:rsidR="00EA40FA" w:rsidRDefault="00EA40FA" w:rsidP="00EA40FA">
      <w:pPr>
        <w:pStyle w:val="Bibliography"/>
      </w:pPr>
      <w:r>
        <w:t xml:space="preserve">Boulgarides LK, McGinty SM, Willett JA &amp; Barnes CW (2003). Use of Clinical and Impairment-Based Tests to Predict Falls by Community-Dwelling Older Adults. </w:t>
      </w:r>
      <w:r>
        <w:rPr>
          <w:i/>
          <w:iCs/>
        </w:rPr>
        <w:t>Physical Therapy</w:t>
      </w:r>
      <w:r>
        <w:t xml:space="preserve"> </w:t>
      </w:r>
      <w:r>
        <w:rPr>
          <w:b/>
          <w:bCs/>
        </w:rPr>
        <w:t>83,</w:t>
      </w:r>
      <w:r>
        <w:t xml:space="preserve"> 328–339.</w:t>
      </w:r>
    </w:p>
    <w:p w14:paraId="49AF719B" w14:textId="77777777" w:rsidR="00EA40FA" w:rsidRDefault="00EA40FA" w:rsidP="00EA40FA">
      <w:pPr>
        <w:pStyle w:val="Bibliography"/>
      </w:pPr>
      <w:r>
        <w:t xml:space="preserve">Brunt VE, Howard MJ, Francisco MA, Ely BR &amp; Minson CT (2016). Passive heat therapy improves endothelial function, arterial stiffness and blood pressure in sedentary humans. </w:t>
      </w:r>
      <w:r>
        <w:rPr>
          <w:i/>
          <w:iCs/>
        </w:rPr>
        <w:t>The Journal of Physiology</w:t>
      </w:r>
      <w:r>
        <w:t xml:space="preserve"> </w:t>
      </w:r>
      <w:r>
        <w:rPr>
          <w:b/>
          <w:bCs/>
        </w:rPr>
        <w:t>594,</w:t>
      </w:r>
      <w:r>
        <w:t xml:space="preserve"> 5329–5342.</w:t>
      </w:r>
    </w:p>
    <w:p w14:paraId="6AA634ED" w14:textId="77777777" w:rsidR="00EA40FA" w:rsidRDefault="00EA40FA" w:rsidP="00EA40FA">
      <w:pPr>
        <w:pStyle w:val="Bibliography"/>
      </w:pPr>
      <w:r>
        <w:t xml:space="preserve">Chambers TL, Burnett TR, Raue U, Lee GA, Finch WH, Graham BM, Trappe TA &amp; Trappe S (2020). Skeletal muscle size, function, and adiposity with lifelong aerobic exercise. </w:t>
      </w:r>
      <w:r>
        <w:rPr>
          <w:i/>
          <w:iCs/>
        </w:rPr>
        <w:t>Journal of Applied Physiology</w:t>
      </w:r>
      <w:r>
        <w:t xml:space="preserve"> </w:t>
      </w:r>
      <w:r>
        <w:rPr>
          <w:b/>
          <w:bCs/>
        </w:rPr>
        <w:t>128,</w:t>
      </w:r>
      <w:r>
        <w:t xml:space="preserve"> 368–378.</w:t>
      </w:r>
    </w:p>
    <w:p w14:paraId="05495E57" w14:textId="77777777" w:rsidR="00EA40FA" w:rsidRDefault="00EA40FA" w:rsidP="00EA40FA">
      <w:pPr>
        <w:pStyle w:val="Bibliography"/>
      </w:pPr>
      <w:r>
        <w:t xml:space="preserve">Collard RM, Boter H, Schoevers RA &amp; Oude Voshaar RC (2012). Prevalence of Frailty in Community-Dwelling Older Persons: A Systematic Review. </w:t>
      </w:r>
      <w:r>
        <w:rPr>
          <w:i/>
          <w:iCs/>
        </w:rPr>
        <w:t>Journal of the American Geriatrics Society</w:t>
      </w:r>
      <w:r>
        <w:t xml:space="preserve"> </w:t>
      </w:r>
      <w:r>
        <w:rPr>
          <w:b/>
          <w:bCs/>
        </w:rPr>
        <w:t>60,</w:t>
      </w:r>
      <w:r>
        <w:t xml:space="preserve"> 1487–1492.</w:t>
      </w:r>
    </w:p>
    <w:p w14:paraId="6AB4D4D8" w14:textId="77777777" w:rsidR="00EA40FA" w:rsidRDefault="00EA40FA" w:rsidP="00EA40FA">
      <w:pPr>
        <w:pStyle w:val="Bibliography"/>
      </w:pPr>
      <w:r>
        <w:t xml:space="preserve">Cruz-Jentoft AJ et al. (2019). Sarcopenia: revised European consensus on definition and diagnosis. </w:t>
      </w:r>
      <w:r>
        <w:rPr>
          <w:i/>
          <w:iCs/>
        </w:rPr>
        <w:t>Age and Ageing</w:t>
      </w:r>
      <w:r>
        <w:t xml:space="preserve"> </w:t>
      </w:r>
      <w:r>
        <w:rPr>
          <w:b/>
          <w:bCs/>
        </w:rPr>
        <w:t>48,</w:t>
      </w:r>
      <w:r>
        <w:t xml:space="preserve"> 16–31.</w:t>
      </w:r>
    </w:p>
    <w:p w14:paraId="365646E0" w14:textId="77777777" w:rsidR="00EA40FA" w:rsidRDefault="00EA40FA" w:rsidP="00EA40FA">
      <w:pPr>
        <w:pStyle w:val="Bibliography"/>
      </w:pPr>
      <w:r>
        <w:t xml:space="preserve">Cullen T, Clarke ND, Hill M, Menzies C, Pugh CJA, Steward CJ &amp; Thake CD (2020). The health benefits of passive heating and aerobic exercise: To what extent do the mechanisms overlap? </w:t>
      </w:r>
      <w:r>
        <w:rPr>
          <w:i/>
          <w:iCs/>
        </w:rPr>
        <w:t>Journal of Applied Physiology</w:t>
      </w:r>
      <w:r>
        <w:t xml:space="preserve"> </w:t>
      </w:r>
      <w:r>
        <w:rPr>
          <w:b/>
          <w:bCs/>
        </w:rPr>
        <w:t>129,</w:t>
      </w:r>
      <w:r>
        <w:t xml:space="preserve"> 1304–1309.</w:t>
      </w:r>
    </w:p>
    <w:p w14:paraId="26E9C223" w14:textId="77777777" w:rsidR="00EA40FA" w:rsidRDefault="00EA40FA" w:rsidP="00EA40FA">
      <w:pPr>
        <w:pStyle w:val="Bibliography"/>
      </w:pPr>
      <w:r>
        <w:t xml:space="preserve">Davis MG &amp; Fox KR (2007). Physical activity patterns assessed by accelerometry in older people. </w:t>
      </w:r>
      <w:r>
        <w:rPr>
          <w:i/>
          <w:iCs/>
        </w:rPr>
        <w:t>Eur J Appl Physiol</w:t>
      </w:r>
      <w:r>
        <w:t xml:space="preserve"> </w:t>
      </w:r>
      <w:r>
        <w:rPr>
          <w:b/>
          <w:bCs/>
        </w:rPr>
        <w:t>100,</w:t>
      </w:r>
      <w:r>
        <w:t xml:space="preserve"> 581–589.</w:t>
      </w:r>
    </w:p>
    <w:p w14:paraId="70C98C7B" w14:textId="77777777" w:rsidR="00EA40FA" w:rsidRDefault="00EA40FA" w:rsidP="00EA40FA">
      <w:pPr>
        <w:pStyle w:val="Bibliography"/>
      </w:pPr>
      <w:r>
        <w:t xml:space="preserve">Denny D, Low DC &amp; Gibson OR (n.d.). Passive thigh heating improves peak force production in younger adults and early isokinetic force production in younger and older adults. </w:t>
      </w:r>
      <w:r>
        <w:rPr>
          <w:i/>
          <w:iCs/>
        </w:rPr>
        <w:t>Experimental Physiology</w:t>
      </w:r>
      <w:r>
        <w:t>; DOI: 10.1113/EP092690.</w:t>
      </w:r>
    </w:p>
    <w:p w14:paraId="7F1F4DBB" w14:textId="77777777" w:rsidR="00EA40FA" w:rsidRDefault="00EA40FA" w:rsidP="00EA40FA">
      <w:pPr>
        <w:pStyle w:val="Bibliography"/>
      </w:pPr>
      <w:r>
        <w:t xml:space="preserve">Dumurgier J, Elbaz A, Ducimetière P, Tavernier B, Alpérovitch A &amp; Tzourio C (2009). Slow walking speed and cardiovascular death in well functioning older adults: prospective cohort study. </w:t>
      </w:r>
      <w:r>
        <w:rPr>
          <w:i/>
          <w:iCs/>
        </w:rPr>
        <w:t>BMJ</w:t>
      </w:r>
      <w:r>
        <w:t xml:space="preserve"> </w:t>
      </w:r>
      <w:r>
        <w:rPr>
          <w:b/>
          <w:bCs/>
        </w:rPr>
        <w:t>339,</w:t>
      </w:r>
      <w:r>
        <w:t xml:space="preserve"> 1187.</w:t>
      </w:r>
    </w:p>
    <w:p w14:paraId="6EF5F34B" w14:textId="77777777" w:rsidR="00EA40FA" w:rsidRDefault="00EA40FA" w:rsidP="00EA40FA">
      <w:pPr>
        <w:pStyle w:val="Bibliography"/>
      </w:pPr>
      <w:r>
        <w:t xml:space="preserve">Ely BR, Clayton ZS, Mccurdy CE, Pfeiffer J, Needham KW, Comrada LN, Minson CT, Br E, Zs C, Ce M, Pfeiffer J &amp; Kw N (2019). Heat therapy improves glucose tolerance and adipose tissue insulin signaling in polycystic ovary syndrome. </w:t>
      </w:r>
      <w:r>
        <w:rPr>
          <w:i/>
          <w:iCs/>
        </w:rPr>
        <w:t>J Physiol Endocrinol Metab</w:t>
      </w:r>
      <w:r>
        <w:t xml:space="preserve"> </w:t>
      </w:r>
      <w:r>
        <w:rPr>
          <w:b/>
          <w:bCs/>
        </w:rPr>
        <w:t>317,</w:t>
      </w:r>
      <w:r>
        <w:t xml:space="preserve"> 172–182.</w:t>
      </w:r>
    </w:p>
    <w:p w14:paraId="6C8387E5" w14:textId="77777777" w:rsidR="00EA40FA" w:rsidRDefault="00EA40FA" w:rsidP="00EA40FA">
      <w:pPr>
        <w:pStyle w:val="Bibliography"/>
      </w:pPr>
      <w:r>
        <w:t xml:space="preserve">Esliger DW, Rowlands AV, Hurst TL, Catt M, Murray P &amp; Eston RG (2011). Validation of the GENEA accelerometer. </w:t>
      </w:r>
      <w:r>
        <w:rPr>
          <w:i/>
          <w:iCs/>
        </w:rPr>
        <w:t>Medicine and Science in Sports and Exercise</w:t>
      </w:r>
      <w:r>
        <w:t xml:space="preserve"> </w:t>
      </w:r>
      <w:r>
        <w:rPr>
          <w:b/>
          <w:bCs/>
        </w:rPr>
        <w:t>43,</w:t>
      </w:r>
      <w:r>
        <w:t xml:space="preserve"> 1085–1093.</w:t>
      </w:r>
    </w:p>
    <w:p w14:paraId="0D013B94" w14:textId="77777777" w:rsidR="00EA40FA" w:rsidRDefault="00EA40FA" w:rsidP="00EA40FA">
      <w:pPr>
        <w:pStyle w:val="Bibliography"/>
      </w:pPr>
      <w:r>
        <w:t xml:space="preserve">Fraysse F, Post D, Eston R, Kasai D, Rowlands AV &amp; Parfitt G (2021). Physical Activity Intensity Cut-Points for Wrist-Worn GENEActiv in Older Adults. </w:t>
      </w:r>
      <w:r>
        <w:rPr>
          <w:i/>
          <w:iCs/>
        </w:rPr>
        <w:t>Frontiers in Sports and Active Living</w:t>
      </w:r>
      <w:r>
        <w:t xml:space="preserve"> </w:t>
      </w:r>
      <w:r>
        <w:rPr>
          <w:b/>
          <w:bCs/>
        </w:rPr>
        <w:t>2,</w:t>
      </w:r>
      <w:r>
        <w:t xml:space="preserve"> 579278.</w:t>
      </w:r>
    </w:p>
    <w:p w14:paraId="03575916" w14:textId="77777777" w:rsidR="00EA40FA" w:rsidRDefault="00EA40FA" w:rsidP="00EA40FA">
      <w:pPr>
        <w:pStyle w:val="Bibliography"/>
      </w:pPr>
      <w:r>
        <w:lastRenderedPageBreak/>
        <w:t xml:space="preserve">Fuchs CJ, Betz MW, Petrick HL, Weber J, Senden JM, Hendriks FK, Bels JLM, van Loon LJC &amp; Snijders T (2024). Repeated passive heat treatment increases muscle tissue capillarization, but does not affect postprandial muscle protein synthesis rates in healthy older adults. </w:t>
      </w:r>
      <w:r>
        <w:rPr>
          <w:i/>
          <w:iCs/>
        </w:rPr>
        <w:t>The Journal of Physiology</w:t>
      </w:r>
      <w:r>
        <w:t>; DOI: 10.1113/JP286986.</w:t>
      </w:r>
    </w:p>
    <w:p w14:paraId="49015CEF" w14:textId="77777777" w:rsidR="00EA40FA" w:rsidRDefault="00EA40FA" w:rsidP="00EA40FA">
      <w:pPr>
        <w:pStyle w:val="Bibliography"/>
      </w:pPr>
      <w:r>
        <w:t xml:space="preserve">Goto K, Oda H, Kondo H, Igaki M, Suzuki A, Tsuchiya S, Murase T, Hase T, Fujiya H, Matsumoto I, Naito H, Sugiura T, Ohira Y &amp; Yoshioka T (2011). Responses of muscle mass, strength and gene transcripts to long-term heat stress in healthy human subjects. </w:t>
      </w:r>
      <w:r>
        <w:rPr>
          <w:i/>
          <w:iCs/>
        </w:rPr>
        <w:t>European Journal of Applied Physiology</w:t>
      </w:r>
      <w:r>
        <w:t xml:space="preserve"> </w:t>
      </w:r>
      <w:r>
        <w:rPr>
          <w:b/>
          <w:bCs/>
        </w:rPr>
        <w:t>111,</w:t>
      </w:r>
      <w:r>
        <w:t xml:space="preserve"> 17–27.</w:t>
      </w:r>
    </w:p>
    <w:p w14:paraId="545722A7" w14:textId="77777777" w:rsidR="00EA40FA" w:rsidRDefault="00EA40FA" w:rsidP="00EA40FA">
      <w:pPr>
        <w:pStyle w:val="Bibliography"/>
      </w:pPr>
      <w:r>
        <w:t xml:space="preserve">Gudlaugsson J, Gudnason V, Aspelund T, Siggeirsdottir K, Olafsdottir AS, Jonsson PV, Arngrimsson SA, Harris TB &amp; Johannsson E (2012). Effects of a 6-month multimodal training intervention on retention of functional fitness in older adults: A randomized-controlled cross-over design. </w:t>
      </w:r>
      <w:r>
        <w:rPr>
          <w:i/>
          <w:iCs/>
        </w:rPr>
        <w:t>Int J Behav Nutr Phys Act</w:t>
      </w:r>
      <w:r>
        <w:t xml:space="preserve"> </w:t>
      </w:r>
      <w:r>
        <w:rPr>
          <w:b/>
          <w:bCs/>
        </w:rPr>
        <w:t>9,</w:t>
      </w:r>
      <w:r>
        <w:t xml:space="preserve"> 107.</w:t>
      </w:r>
    </w:p>
    <w:p w14:paraId="2DD934BD" w14:textId="77777777" w:rsidR="00EA40FA" w:rsidRDefault="00EA40FA" w:rsidP="00EA40FA">
      <w:pPr>
        <w:pStyle w:val="Bibliography"/>
      </w:pPr>
      <w:r>
        <w:t xml:space="preserve">Guralnik JM, Simonsick EM, Ferrucci L, Glynn RJ, Berkman LF, Blazer DG, Scherr PA &amp; Wallace RB (1994). A short physical performance battery assessing lower extremity function: Association with self-reported disability and prediction of mortality and nursing home admission. </w:t>
      </w:r>
      <w:r>
        <w:rPr>
          <w:i/>
          <w:iCs/>
        </w:rPr>
        <w:t>Journals of Gerontology</w:t>
      </w:r>
      <w:r>
        <w:t xml:space="preserve"> </w:t>
      </w:r>
      <w:r>
        <w:rPr>
          <w:b/>
          <w:bCs/>
        </w:rPr>
        <w:t>49,</w:t>
      </w:r>
      <w:r>
        <w:t xml:space="preserve"> M85–M94.</w:t>
      </w:r>
    </w:p>
    <w:p w14:paraId="00C908DC" w14:textId="77777777" w:rsidR="00EA40FA" w:rsidRDefault="00EA40FA" w:rsidP="00EA40FA">
      <w:pPr>
        <w:pStyle w:val="Bibliography"/>
      </w:pPr>
      <w:r>
        <w:t xml:space="preserve">Hafen PS, Abbott K, Bowden J, Lopiano R, Hancock CR &amp; Hyldahl RD (2019). Daily heat treatment maintains mitochondrial function and attenuates atrophy in human skeletal muscle subjected to immobilization. </w:t>
      </w:r>
      <w:r>
        <w:rPr>
          <w:i/>
          <w:iCs/>
        </w:rPr>
        <w:t>Journal of Applied Physiology</w:t>
      </w:r>
      <w:r>
        <w:t xml:space="preserve"> </w:t>
      </w:r>
      <w:r>
        <w:rPr>
          <w:b/>
          <w:bCs/>
        </w:rPr>
        <w:t>127,</w:t>
      </w:r>
      <w:r>
        <w:t xml:space="preserve"> 47–57.</w:t>
      </w:r>
    </w:p>
    <w:p w14:paraId="3B659D5D" w14:textId="77777777" w:rsidR="00EA40FA" w:rsidRDefault="00EA40FA" w:rsidP="00EA40FA">
      <w:pPr>
        <w:pStyle w:val="Bibliography"/>
      </w:pPr>
      <w:r>
        <w:t xml:space="preserve">Harbo T, Brincks J &amp; Andersen H (2012). Maximal isokinetic and isometric muscle strength of major muscle groups related to age, body mass, height, and sex in 178 healthy subjects. </w:t>
      </w:r>
      <w:r>
        <w:rPr>
          <w:i/>
          <w:iCs/>
        </w:rPr>
        <w:t>European Journal of Applied Physiology</w:t>
      </w:r>
      <w:r>
        <w:t xml:space="preserve"> </w:t>
      </w:r>
      <w:r>
        <w:rPr>
          <w:b/>
          <w:bCs/>
        </w:rPr>
        <w:t>112,</w:t>
      </w:r>
      <w:r>
        <w:t xml:space="preserve"> 267–275.</w:t>
      </w:r>
    </w:p>
    <w:p w14:paraId="4452D087" w14:textId="77777777" w:rsidR="00EA40FA" w:rsidRDefault="00EA40FA" w:rsidP="00EA40FA">
      <w:pPr>
        <w:pStyle w:val="Bibliography"/>
      </w:pPr>
      <w:r>
        <w:t>Harridge SDR, Kryger A &amp; Stensgaard A (1999). KNEE EXTENSOR STRENGTH, ACTIVATION, AND SIZE IN VERY ELDERLY PEOPLE FOLLOWING STRENGTH TRAINING. ; DOI: 10.1002/(SICI)1097-4598(199907)22:7.</w:t>
      </w:r>
    </w:p>
    <w:p w14:paraId="3816A4E2" w14:textId="77777777" w:rsidR="00EA40FA" w:rsidRDefault="00EA40FA" w:rsidP="00EA40FA">
      <w:pPr>
        <w:pStyle w:val="Bibliography"/>
      </w:pPr>
      <w:r>
        <w:t xml:space="preserve">Hesketh K, Shepherd SO, Strauss JA, Low DA, Cooper RJ, Wagenmakers AJM &amp; Cocks M (2019). Passive heat therapy in sedentary humans increases skeletal muscle capillarization and enos content but not mitochondrial density or glut4 content. </w:t>
      </w:r>
      <w:r>
        <w:rPr>
          <w:i/>
          <w:iCs/>
        </w:rPr>
        <w:t>American Journal of Physiology - Heart and Circulatory Physiology</w:t>
      </w:r>
      <w:r>
        <w:t xml:space="preserve"> </w:t>
      </w:r>
      <w:r>
        <w:rPr>
          <w:b/>
          <w:bCs/>
        </w:rPr>
        <w:t>317,</w:t>
      </w:r>
      <w:r>
        <w:t xml:space="preserve"> H114–H123.</w:t>
      </w:r>
    </w:p>
    <w:p w14:paraId="57C043C6" w14:textId="77777777" w:rsidR="00EA40FA" w:rsidRDefault="00EA40FA" w:rsidP="00EA40FA">
      <w:pPr>
        <w:pStyle w:val="Bibliography"/>
      </w:pPr>
      <w:r>
        <w:t xml:space="preserve">Hortobágyi T, Lesinski M, Gäbler M, VanSwearingen JM, Malatesta D &amp; Granacher U (2015). Effects of Three Types of Exercise Interventions on Healthy Old Adults’ Gait Speed: A Systematic Review and Meta-Analysis. </w:t>
      </w:r>
      <w:r>
        <w:rPr>
          <w:i/>
          <w:iCs/>
        </w:rPr>
        <w:t>Sports Med</w:t>
      </w:r>
      <w:r>
        <w:t xml:space="preserve"> </w:t>
      </w:r>
      <w:r>
        <w:rPr>
          <w:b/>
          <w:bCs/>
        </w:rPr>
        <w:t>45,</w:t>
      </w:r>
      <w:r>
        <w:t xml:space="preserve"> 1627–1643.</w:t>
      </w:r>
    </w:p>
    <w:p w14:paraId="05F4DC53" w14:textId="77777777" w:rsidR="00EA40FA" w:rsidRDefault="00EA40FA" w:rsidP="00EA40FA">
      <w:pPr>
        <w:pStyle w:val="Bibliography"/>
      </w:pPr>
      <w:r>
        <w:t xml:space="preserve">Hughes VA, Frontera WR, Wood M, Evans WJ, Dallal GE, Roubenoff R &amp; Fiatarone Singh MA (2001). Longitudinal Muscle Strength Changes in Older AdultsInfluence of Muscle Mass, Physical Activity, and Health. </w:t>
      </w:r>
      <w:r>
        <w:rPr>
          <w:i/>
          <w:iCs/>
        </w:rPr>
        <w:t>The Journals of Gerontology: Series A</w:t>
      </w:r>
      <w:r>
        <w:t xml:space="preserve"> </w:t>
      </w:r>
      <w:r>
        <w:rPr>
          <w:b/>
          <w:bCs/>
        </w:rPr>
        <w:t>56,</w:t>
      </w:r>
      <w:r>
        <w:t xml:space="preserve"> B209–B217.</w:t>
      </w:r>
    </w:p>
    <w:p w14:paraId="1DB50404" w14:textId="77777777" w:rsidR="00EA40FA" w:rsidRDefault="00EA40FA" w:rsidP="00EA40FA">
      <w:pPr>
        <w:pStyle w:val="Bibliography"/>
      </w:pPr>
      <w:r>
        <w:t xml:space="preserve">James TJ, Corbett J, Cummings M, Allard S, Shute JK, Belcher H, Mayes H, Gould AAM, Piccolo DD, Tipton M, Perissiou M, Saynor ZL &amp; Shepherd AI (2023). The effect of repeated hot water immersion on insulin sensitivity, heat shock protein 70, and </w:t>
      </w:r>
      <w:r>
        <w:lastRenderedPageBreak/>
        <w:t xml:space="preserve">inflammation in individuals with type 2 diabetes mellitus. </w:t>
      </w:r>
      <w:r>
        <w:rPr>
          <w:i/>
          <w:iCs/>
        </w:rPr>
        <w:t>American journal of physiology Endocrinology and metabolism</w:t>
      </w:r>
      <w:r>
        <w:t xml:space="preserve"> </w:t>
      </w:r>
      <w:r>
        <w:rPr>
          <w:b/>
          <w:bCs/>
        </w:rPr>
        <w:t>325,</w:t>
      </w:r>
      <w:r>
        <w:t xml:space="preserve"> E755–E763.</w:t>
      </w:r>
    </w:p>
    <w:p w14:paraId="4467D935" w14:textId="77777777" w:rsidR="00EA40FA" w:rsidRDefault="00EA40FA" w:rsidP="00EA40FA">
      <w:pPr>
        <w:pStyle w:val="Bibliography"/>
      </w:pPr>
      <w:r>
        <w:t xml:space="preserve">James TJ, Corbett J, Cummings M, Allard S, Young JS, Towse J, Carey-Jones K, Eglin C, Hopkins B, Morgan C, Tipton M, Saynor ZL &amp; Shepherd AI (2021). Timing of acute passive heating on glucose tolerance and blood pressure in people with type 2 diabetes: a randomized, balanced crossover, control trial. </w:t>
      </w:r>
      <w:r>
        <w:rPr>
          <w:i/>
          <w:iCs/>
        </w:rPr>
        <w:t>https://doi.org/101152/japplphysiol007472020</w:t>
      </w:r>
      <w:r>
        <w:t xml:space="preserve"> </w:t>
      </w:r>
      <w:r>
        <w:rPr>
          <w:b/>
          <w:bCs/>
        </w:rPr>
        <w:t>130,</w:t>
      </w:r>
      <w:r>
        <w:t xml:space="preserve"> 1093–1105.</w:t>
      </w:r>
    </w:p>
    <w:p w14:paraId="5F04923B" w14:textId="77777777" w:rsidR="00EA40FA" w:rsidRDefault="00EA40FA" w:rsidP="00EA40FA">
      <w:pPr>
        <w:pStyle w:val="Bibliography"/>
      </w:pPr>
      <w:r>
        <w:t xml:space="preserve">Kim K, Reid BA, Casey CA, Bender BE, Ro B, Song Q, Trewin AJ, Petersen AC, Kuang S, Gavin TP &amp; Roseguini BT (2020). Effects of repeated local heat therapy on skeletal muscle structure and function in humans. </w:t>
      </w:r>
      <w:r>
        <w:rPr>
          <w:i/>
          <w:iCs/>
        </w:rPr>
        <w:t>Journal of Applied Physiology</w:t>
      </w:r>
      <w:r>
        <w:t xml:space="preserve"> </w:t>
      </w:r>
      <w:r>
        <w:rPr>
          <w:b/>
          <w:bCs/>
        </w:rPr>
        <w:t>128,</w:t>
      </w:r>
      <w:r>
        <w:t xml:space="preserve"> 483–492.</w:t>
      </w:r>
    </w:p>
    <w:p w14:paraId="4D6AC251" w14:textId="77777777" w:rsidR="00EA40FA" w:rsidRDefault="00EA40FA" w:rsidP="00EA40FA">
      <w:pPr>
        <w:pStyle w:val="Bibliography"/>
      </w:pPr>
      <w:r>
        <w:t xml:space="preserve">Labott BK, Bucht H, Morat M, Morat T &amp; Donath L (2019). Effects of Exercise Training on Handgrip Strength in Older Adults: A Meta-Analytical Review. </w:t>
      </w:r>
      <w:r>
        <w:rPr>
          <w:i/>
          <w:iCs/>
        </w:rPr>
        <w:t>Gerontology</w:t>
      </w:r>
      <w:r>
        <w:t xml:space="preserve"> </w:t>
      </w:r>
      <w:r>
        <w:rPr>
          <w:b/>
          <w:bCs/>
        </w:rPr>
        <w:t>65,</w:t>
      </w:r>
      <w:r>
        <w:t xml:space="preserve"> 686–698.</w:t>
      </w:r>
    </w:p>
    <w:p w14:paraId="13AD71F3" w14:textId="77777777" w:rsidR="00EA40FA" w:rsidRDefault="00EA40FA" w:rsidP="00EA40FA">
      <w:pPr>
        <w:pStyle w:val="Bibliography"/>
      </w:pPr>
      <w:r>
        <w:t xml:space="preserve">Lakens D (2013). Calculating and reporting effect sizes to facilitate cumulative science: a practical primer for t-tests and ANOVAs. </w:t>
      </w:r>
      <w:r>
        <w:rPr>
          <w:i/>
          <w:iCs/>
        </w:rPr>
        <w:t>Frontiers in Psychology</w:t>
      </w:r>
      <w:r>
        <w:t>. Available at: https://www.frontiersin.org/journals/psychology/articles/10.3389/fpsyg.2013.00863 [Accessed December 18, 2025].</w:t>
      </w:r>
    </w:p>
    <w:p w14:paraId="7FF9268E" w14:textId="77777777" w:rsidR="00EA40FA" w:rsidRDefault="00EA40FA" w:rsidP="00EA40FA">
      <w:pPr>
        <w:pStyle w:val="Bibliography"/>
      </w:pPr>
      <w:r>
        <w:t xml:space="preserve">Larsson L, Degens H, Li M, Salviati L, Lee YI, Thompson W, Kirkland JL &amp; Sandri M (2019). Sarcopenia: Aging-related loss of muscle mass and function. </w:t>
      </w:r>
      <w:r>
        <w:rPr>
          <w:i/>
          <w:iCs/>
        </w:rPr>
        <w:t>Physiological Reviews</w:t>
      </w:r>
      <w:r>
        <w:t xml:space="preserve"> </w:t>
      </w:r>
      <w:r>
        <w:rPr>
          <w:b/>
          <w:bCs/>
        </w:rPr>
        <w:t>99,</w:t>
      </w:r>
      <w:r>
        <w:t xml:space="preserve"> 427–511.</w:t>
      </w:r>
    </w:p>
    <w:p w14:paraId="14490708" w14:textId="77777777" w:rsidR="00EA40FA" w:rsidRDefault="00EA40FA" w:rsidP="00EA40FA">
      <w:pPr>
        <w:pStyle w:val="Bibliography"/>
      </w:pPr>
      <w:r>
        <w:t xml:space="preserve">Lauretani F, Ticinesi A, Gionti L, Prati B, Nouvenne A, Tana C, Meschi T &amp; Maggio M (2019). Short-Physical Performance Battery (SPPB) score is associated with falls in older outpatients. </w:t>
      </w:r>
      <w:r>
        <w:rPr>
          <w:i/>
          <w:iCs/>
        </w:rPr>
        <w:t>Aging Clin Exp Res</w:t>
      </w:r>
      <w:r>
        <w:t xml:space="preserve"> </w:t>
      </w:r>
      <w:r>
        <w:rPr>
          <w:b/>
          <w:bCs/>
        </w:rPr>
        <w:t>31,</w:t>
      </w:r>
      <w:r>
        <w:t xml:space="preserve"> 1435–1442.</w:t>
      </w:r>
    </w:p>
    <w:p w14:paraId="509F71AE" w14:textId="77777777" w:rsidR="00EA40FA" w:rsidRDefault="00EA40FA" w:rsidP="00EA40FA">
      <w:pPr>
        <w:pStyle w:val="Bibliography"/>
      </w:pPr>
      <w:r>
        <w:t xml:space="preserve">Lees FD, Clark PG, Nigg CR &amp; Newman P (2005). Barriers to Exercise Behavior Among Older Adults: A Focus-Group Study. </w:t>
      </w:r>
      <w:r>
        <w:rPr>
          <w:i/>
          <w:iCs/>
        </w:rPr>
        <w:t>Journal of Aging and Physical Activity</w:t>
      </w:r>
      <w:r>
        <w:t xml:space="preserve"> </w:t>
      </w:r>
      <w:r>
        <w:rPr>
          <w:b/>
          <w:bCs/>
        </w:rPr>
        <w:t>13,</w:t>
      </w:r>
      <w:r>
        <w:t xml:space="preserve"> 23–33.</w:t>
      </w:r>
    </w:p>
    <w:p w14:paraId="0FD90DC2" w14:textId="77777777" w:rsidR="00EA40FA" w:rsidRDefault="00EA40FA" w:rsidP="00EA40FA">
      <w:pPr>
        <w:pStyle w:val="Bibliography"/>
      </w:pPr>
      <w:r>
        <w:t xml:space="preserve">Mornas A, Racinais S, Brocherie F, Alhammoud M, Hager R, Desmedt Y &amp; Guilhem G (2021). Hyperthermia reduces electromechanical delay via accelerated electrochemical processes. </w:t>
      </w:r>
      <w:r>
        <w:rPr>
          <w:i/>
          <w:iCs/>
        </w:rPr>
        <w:t>Journal of Applied Physiology</w:t>
      </w:r>
      <w:r>
        <w:t xml:space="preserve"> </w:t>
      </w:r>
      <w:r>
        <w:rPr>
          <w:b/>
          <w:bCs/>
        </w:rPr>
        <w:t>130,</w:t>
      </w:r>
      <w:r>
        <w:t xml:space="preserve"> 290–297.</w:t>
      </w:r>
    </w:p>
    <w:p w14:paraId="14F19462" w14:textId="77777777" w:rsidR="00EA40FA" w:rsidRDefault="00EA40FA" w:rsidP="00EA40FA">
      <w:pPr>
        <w:pStyle w:val="Bibliography"/>
      </w:pPr>
      <w:r>
        <w:t xml:space="preserve">Oyama JI, Kudo Y, Maeda T, Node K &amp; Makino N (2013). Hyperthermia by bathing in a hot spring improves cardiovascular functions and reduces the production of inflammatory cytokines in patients with chronic heart failure. </w:t>
      </w:r>
      <w:r>
        <w:rPr>
          <w:i/>
          <w:iCs/>
        </w:rPr>
        <w:t>Heart and Vessels</w:t>
      </w:r>
      <w:r>
        <w:t xml:space="preserve"> </w:t>
      </w:r>
      <w:r>
        <w:rPr>
          <w:b/>
          <w:bCs/>
        </w:rPr>
        <w:t>28,</w:t>
      </w:r>
      <w:r>
        <w:t xml:space="preserve"> 173–178.</w:t>
      </w:r>
    </w:p>
    <w:p w14:paraId="12D64354" w14:textId="77777777" w:rsidR="00EA40FA" w:rsidRDefault="00EA40FA" w:rsidP="00EA40FA">
      <w:pPr>
        <w:pStyle w:val="Bibliography"/>
      </w:pPr>
      <w:r>
        <w:t xml:space="preserve">Pavasini R et al. (2016). Short Physical Performance Battery and all-cause mortality: systematic review and meta-analysis. </w:t>
      </w:r>
      <w:r>
        <w:rPr>
          <w:i/>
          <w:iCs/>
        </w:rPr>
        <w:t>BMC Med</w:t>
      </w:r>
      <w:r>
        <w:t xml:space="preserve"> </w:t>
      </w:r>
      <w:r>
        <w:rPr>
          <w:b/>
          <w:bCs/>
        </w:rPr>
        <w:t>14,</w:t>
      </w:r>
      <w:r>
        <w:t xml:space="preserve"> 215.</w:t>
      </w:r>
    </w:p>
    <w:p w14:paraId="40E1AB2F" w14:textId="77777777" w:rsidR="00EA40FA" w:rsidRDefault="00EA40FA" w:rsidP="00EA40FA">
      <w:pPr>
        <w:pStyle w:val="Bibliography"/>
      </w:pPr>
      <w:r>
        <w:t xml:space="preserve">Pavey TG, Gomersall SR, Clark BK &amp; Brown WJ (2016). The validity of the GENEActiv wrist-worn accelerometer for measuring adult sedentary time in free living. </w:t>
      </w:r>
      <w:r>
        <w:rPr>
          <w:i/>
          <w:iCs/>
        </w:rPr>
        <w:t>Journal of Science and Medicine in Sport</w:t>
      </w:r>
      <w:r>
        <w:t xml:space="preserve"> </w:t>
      </w:r>
      <w:r>
        <w:rPr>
          <w:b/>
          <w:bCs/>
        </w:rPr>
        <w:t>19,</w:t>
      </w:r>
      <w:r>
        <w:t xml:space="preserve"> 395–399.</w:t>
      </w:r>
    </w:p>
    <w:p w14:paraId="2C70F05C" w14:textId="77777777" w:rsidR="00EA40FA" w:rsidRDefault="00EA40FA" w:rsidP="00EA40FA">
      <w:pPr>
        <w:pStyle w:val="Bibliography"/>
      </w:pPr>
      <w:r>
        <w:lastRenderedPageBreak/>
        <w:t>Piccolo DD, Corbett J, Costello JT, Williams TB, James TJ, Shute JK, Alnajjar MGA, Hudson LC, Marsh PA, Praskacova V, McNarry MA, Mackintosh KA, Saynor ZL &amp; Shepherd AI (Submitted for review). Effect of repeated hot water immersion on cognitive performance, cerebrovascular function, sleep, and biomarkers of neurodegeneration in older adults.</w:t>
      </w:r>
    </w:p>
    <w:p w14:paraId="03C1BB70" w14:textId="77777777" w:rsidR="00EA40FA" w:rsidRDefault="00EA40FA" w:rsidP="00EA40FA">
      <w:pPr>
        <w:pStyle w:val="Bibliography"/>
      </w:pPr>
      <w:r>
        <w:t xml:space="preserve">Pinedo-Villanueva R, Westbury LD, Syddall HE, Sanchez-Santos MT, Dennison EM, Robinson SM &amp; Cooper C (2019). Health Care Costs Associated With Muscle Weakness: A UK Population-Based Estimate. </w:t>
      </w:r>
      <w:r>
        <w:rPr>
          <w:i/>
          <w:iCs/>
        </w:rPr>
        <w:t>Calcified Tissue International</w:t>
      </w:r>
      <w:r>
        <w:t xml:space="preserve"> </w:t>
      </w:r>
      <w:r>
        <w:rPr>
          <w:b/>
          <w:bCs/>
        </w:rPr>
        <w:t>104,</w:t>
      </w:r>
      <w:r>
        <w:t xml:space="preserve"> 137–144.</w:t>
      </w:r>
    </w:p>
    <w:p w14:paraId="3A406C23" w14:textId="77777777" w:rsidR="00EA40FA" w:rsidRDefault="00EA40FA" w:rsidP="00EA40FA">
      <w:pPr>
        <w:pStyle w:val="Bibliography"/>
      </w:pPr>
      <w:r>
        <w:t xml:space="preserve">Prince SA, Adamo KB, Hamel ME, Hardt J, Gorber SC &amp; Tremblay M (2008). A comparison of direct versus self-report measures for assessing physical activity in adults: a systematic review. </w:t>
      </w:r>
      <w:r>
        <w:rPr>
          <w:i/>
          <w:iCs/>
        </w:rPr>
        <w:t>Int J Behav Nutr Phys Act</w:t>
      </w:r>
      <w:r>
        <w:t xml:space="preserve"> </w:t>
      </w:r>
      <w:r>
        <w:rPr>
          <w:b/>
          <w:bCs/>
        </w:rPr>
        <w:t>5,</w:t>
      </w:r>
      <w:r>
        <w:t xml:space="preserve"> 56.</w:t>
      </w:r>
    </w:p>
    <w:p w14:paraId="54815A3F" w14:textId="77777777" w:rsidR="00EA40FA" w:rsidRDefault="00EA40FA" w:rsidP="00EA40FA">
      <w:pPr>
        <w:pStyle w:val="Bibliography"/>
      </w:pPr>
      <w:r>
        <w:t xml:space="preserve">Racinais S, Wilson MG, Gaoua N &amp; Périard JD (2017). Heat acclimation has a protective effect on the central but not peripheral nervous system. </w:t>
      </w:r>
      <w:r>
        <w:rPr>
          <w:i/>
          <w:iCs/>
        </w:rPr>
        <w:t>Journal of Applied Physiology</w:t>
      </w:r>
      <w:r>
        <w:t xml:space="preserve"> </w:t>
      </w:r>
      <w:r>
        <w:rPr>
          <w:b/>
          <w:bCs/>
        </w:rPr>
        <w:t>123,</w:t>
      </w:r>
      <w:r>
        <w:t xml:space="preserve"> 816–824.</w:t>
      </w:r>
    </w:p>
    <w:p w14:paraId="0170136F" w14:textId="77777777" w:rsidR="00EA40FA" w:rsidRDefault="00EA40FA" w:rsidP="00EA40FA">
      <w:pPr>
        <w:pStyle w:val="Bibliography"/>
      </w:pPr>
      <w:r>
        <w:t xml:space="preserve">Ramires MLV, Nieto Castro CA, Nagasaka Y, Nagashima A, Assael MJ &amp; Wakeham WA (1995). Standard Reference Data for the Thermal Conductivity of Water. </w:t>
      </w:r>
      <w:r>
        <w:rPr>
          <w:i/>
          <w:iCs/>
        </w:rPr>
        <w:t>Journal of Physical and Chemical Reference Data</w:t>
      </w:r>
      <w:r>
        <w:t xml:space="preserve"> </w:t>
      </w:r>
      <w:r>
        <w:rPr>
          <w:b/>
          <w:bCs/>
        </w:rPr>
        <w:t>24,</w:t>
      </w:r>
      <w:r>
        <w:t xml:space="preserve"> 1377–1381.</w:t>
      </w:r>
    </w:p>
    <w:p w14:paraId="43A6360E" w14:textId="77777777" w:rsidR="00EA40FA" w:rsidRDefault="00EA40FA" w:rsidP="00EA40FA">
      <w:pPr>
        <w:pStyle w:val="Bibliography"/>
      </w:pPr>
      <w:r>
        <w:t xml:space="preserve">Ro B, Castanhas LG, Crenshaw F, Janczy AM, Swift P, Song Q, Zhou X, Parker JG &amp; Roseguini BT (2025). Feasibility of unsupervised, home-based leg heat therapy in older adults: a pilot, sham-controlled trial. </w:t>
      </w:r>
      <w:r>
        <w:rPr>
          <w:i/>
          <w:iCs/>
        </w:rPr>
        <w:t>Journal of Applied Physiology</w:t>
      </w:r>
      <w:r>
        <w:t xml:space="preserve"> </w:t>
      </w:r>
      <w:r>
        <w:rPr>
          <w:b/>
          <w:bCs/>
        </w:rPr>
        <w:t>139,</w:t>
      </w:r>
      <w:r>
        <w:t xml:space="preserve"> 668–684.</w:t>
      </w:r>
    </w:p>
    <w:p w14:paraId="5A74A1C9" w14:textId="77777777" w:rsidR="00EA40FA" w:rsidRDefault="00EA40FA" w:rsidP="00EA40FA">
      <w:pPr>
        <w:pStyle w:val="Bibliography"/>
      </w:pPr>
      <w:r>
        <w:t xml:space="preserve">Roberts HC, Denison HJ, Martin HJ, Patel HP, Syddall H, Cooper C &amp; Sayer AA (2011). A review of the measurement of grip strength in clinical and epidemiological studies: towards a standardised approach. </w:t>
      </w:r>
      <w:r>
        <w:rPr>
          <w:i/>
          <w:iCs/>
        </w:rPr>
        <w:t>Age and Ageing</w:t>
      </w:r>
      <w:r>
        <w:t xml:space="preserve"> </w:t>
      </w:r>
      <w:r>
        <w:rPr>
          <w:b/>
          <w:bCs/>
        </w:rPr>
        <w:t>40,</w:t>
      </w:r>
      <w:r>
        <w:t xml:space="preserve"> 423–429.</w:t>
      </w:r>
    </w:p>
    <w:p w14:paraId="476F7423" w14:textId="77777777" w:rsidR="00EA40FA" w:rsidRDefault="00EA40FA" w:rsidP="00EA40FA">
      <w:pPr>
        <w:pStyle w:val="Bibliography"/>
      </w:pPr>
      <w:r>
        <w:t xml:space="preserve">Rodrigues P, Orssatto LBR, Trajano GS, Wharton L &amp; Minett GM (2023). Increases in muscle temperature by hot water improve muscle contractile function and reduce motor unit discharge rates. </w:t>
      </w:r>
      <w:r>
        <w:rPr>
          <w:i/>
          <w:iCs/>
        </w:rPr>
        <w:t>Scandinavian Journal of Medicine &amp; Science in Sports</w:t>
      </w:r>
      <w:r>
        <w:t xml:space="preserve"> </w:t>
      </w:r>
      <w:r>
        <w:rPr>
          <w:b/>
          <w:bCs/>
        </w:rPr>
        <w:t>33,</w:t>
      </w:r>
      <w:r>
        <w:t xml:space="preserve"> 754–765.</w:t>
      </w:r>
    </w:p>
    <w:p w14:paraId="19C72D92" w14:textId="77777777" w:rsidR="00EA40FA" w:rsidRDefault="00EA40FA" w:rsidP="00EA40FA">
      <w:pPr>
        <w:pStyle w:val="Bibliography"/>
      </w:pPr>
      <w:r>
        <w:t>Rodrigues P, Trajano GS, Wharton L &amp; Minett GM (2020</w:t>
      </w:r>
      <w:r>
        <w:rPr>
          <w:i/>
          <w:iCs/>
        </w:rPr>
        <w:t>a</w:t>
      </w:r>
      <w:r>
        <w:t xml:space="preserve">). Effects of passive heating intervention on muscle hypertrophy and neuromuscular function: A preliminary systematic review with meta-analysis. </w:t>
      </w:r>
      <w:r>
        <w:rPr>
          <w:i/>
          <w:iCs/>
        </w:rPr>
        <w:t>Journal of Thermal Biology</w:t>
      </w:r>
      <w:r>
        <w:t xml:space="preserve"> </w:t>
      </w:r>
      <w:r>
        <w:rPr>
          <w:b/>
          <w:bCs/>
        </w:rPr>
        <w:t>93,</w:t>
      </w:r>
      <w:r>
        <w:t xml:space="preserve"> 102684.</w:t>
      </w:r>
    </w:p>
    <w:p w14:paraId="092BFF20" w14:textId="77777777" w:rsidR="00EA40FA" w:rsidRDefault="00EA40FA" w:rsidP="00EA40FA">
      <w:pPr>
        <w:pStyle w:val="Bibliography"/>
      </w:pPr>
      <w:r>
        <w:t>Rodrigues P, Trajano GS, Wharton L &amp; Minett GM (2020</w:t>
      </w:r>
      <w:r>
        <w:rPr>
          <w:i/>
          <w:iCs/>
        </w:rPr>
        <w:t>b</w:t>
      </w:r>
      <w:r>
        <w:t xml:space="preserve">). Muscle temperature kinetics and thermoregulatory responses to 42 °C hot-water immersion in healthy males and females. </w:t>
      </w:r>
      <w:r>
        <w:rPr>
          <w:i/>
          <w:iCs/>
        </w:rPr>
        <w:t>Eur J Appl Physiol</w:t>
      </w:r>
      <w:r>
        <w:t xml:space="preserve"> </w:t>
      </w:r>
      <w:r>
        <w:rPr>
          <w:b/>
          <w:bCs/>
        </w:rPr>
        <w:t>120,</w:t>
      </w:r>
      <w:r>
        <w:t xml:space="preserve"> 2611–2624.</w:t>
      </w:r>
    </w:p>
    <w:p w14:paraId="77E7343B" w14:textId="77777777" w:rsidR="00EA40FA" w:rsidRDefault="00EA40FA" w:rsidP="00EA40FA">
      <w:pPr>
        <w:pStyle w:val="Bibliography"/>
      </w:pPr>
      <w:r>
        <w:t xml:space="preserve">Runge M, Rittweger J, Russo CR, Schiessl H &amp; Felsenberg D (2004). Is muscle power output a key factor in the age-related decline in physical performance? A comparison of muscle cross section, chair-rising test and jumping power. </w:t>
      </w:r>
      <w:r>
        <w:rPr>
          <w:i/>
          <w:iCs/>
        </w:rPr>
        <w:t>Clinical Physiology and Functional Imaging</w:t>
      </w:r>
      <w:r>
        <w:t xml:space="preserve"> </w:t>
      </w:r>
      <w:r>
        <w:rPr>
          <w:b/>
          <w:bCs/>
        </w:rPr>
        <w:t>24,</w:t>
      </w:r>
      <w:r>
        <w:t xml:space="preserve"> 335–340.</w:t>
      </w:r>
    </w:p>
    <w:p w14:paraId="7BCBB1D1" w14:textId="77777777" w:rsidR="00EA40FA" w:rsidRDefault="00EA40FA" w:rsidP="00EA40FA">
      <w:pPr>
        <w:pStyle w:val="Bibliography"/>
      </w:pPr>
      <w:r>
        <w:lastRenderedPageBreak/>
        <w:t xml:space="preserve">Stanaway FF, Gnjidic D, Blyth FM, Le Couteur DG, Naganathan V, Waite L, Seibel MJ, Handelsman DJ, Sambrook PN &amp; Cumming RG (2011). How fast does the Grim Reaper walk? Receiver operating characteristics curve analysis in healthy men aged 70 and over. </w:t>
      </w:r>
      <w:r>
        <w:rPr>
          <w:i/>
          <w:iCs/>
        </w:rPr>
        <w:t>BMJ</w:t>
      </w:r>
      <w:r>
        <w:t>; DOI: 10.1136/BMJ.D7679.</w:t>
      </w:r>
    </w:p>
    <w:p w14:paraId="50719ED4" w14:textId="77777777" w:rsidR="00EA40FA" w:rsidRDefault="00EA40FA" w:rsidP="00EA40FA">
      <w:pPr>
        <w:pStyle w:val="Bibliography"/>
      </w:pPr>
      <w:r>
        <w:t xml:space="preserve">Studenski S, Perera S, Wallace D, Chandler JM, Duncan PW, Rooney E, Fox M &amp; Guralnik JM (2003). Physical Performance Measures in the Clinical Setting. </w:t>
      </w:r>
      <w:r>
        <w:rPr>
          <w:i/>
          <w:iCs/>
        </w:rPr>
        <w:t>Journal of the American Geriatrics Society</w:t>
      </w:r>
      <w:r>
        <w:t xml:space="preserve"> </w:t>
      </w:r>
      <w:r>
        <w:rPr>
          <w:b/>
          <w:bCs/>
        </w:rPr>
        <w:t>51,</w:t>
      </w:r>
      <w:r>
        <w:t xml:space="preserve"> 314–322.</w:t>
      </w:r>
    </w:p>
    <w:p w14:paraId="31E70741" w14:textId="77777777" w:rsidR="00EA40FA" w:rsidRDefault="00EA40FA" w:rsidP="00EA40FA">
      <w:pPr>
        <w:pStyle w:val="Bibliography"/>
      </w:pPr>
      <w:r>
        <w:t xml:space="preserve">Stutts WC (2002). Physical Activity Determinants in Adults. </w:t>
      </w:r>
      <w:r>
        <w:rPr>
          <w:i/>
          <w:iCs/>
        </w:rPr>
        <w:t>http://dx.doi.org/101177/216507990205001106</w:t>
      </w:r>
      <w:r>
        <w:t xml:space="preserve"> </w:t>
      </w:r>
      <w:r>
        <w:rPr>
          <w:b/>
          <w:bCs/>
        </w:rPr>
        <w:t>50,</w:t>
      </w:r>
      <w:r>
        <w:t xml:space="preserve"> 499–507.</w:t>
      </w:r>
    </w:p>
    <w:p w14:paraId="070E1319" w14:textId="77777777" w:rsidR="00EA40FA" w:rsidRDefault="00EA40FA" w:rsidP="00EA40FA">
      <w:pPr>
        <w:pStyle w:val="Bibliography"/>
      </w:pPr>
      <w:r>
        <w:t>United Nations U (2024). World Population Prospects 2024: Summary of Results | DESA Publications. Available at: https://desapublications.un.org/publications/world-population-prospects-2024-summary-results [Accessed November 28, 2025].</w:t>
      </w:r>
    </w:p>
    <w:p w14:paraId="41FF4853" w14:textId="77777777" w:rsidR="00EA40FA" w:rsidRDefault="00EA40FA" w:rsidP="00EA40FA">
      <w:pPr>
        <w:pStyle w:val="Bibliography"/>
      </w:pPr>
      <w:r>
        <w:t xml:space="preserve">Van Abbema R, De Greef M, Crajé C, Krijnen W, Hobbelen H &amp; Van Der Schans C (2015). What type, or combination of exercise can improve preferred gait speed in older adults? A meta-analysis. </w:t>
      </w:r>
      <w:r>
        <w:rPr>
          <w:i/>
          <w:iCs/>
        </w:rPr>
        <w:t>BMC Geriatr</w:t>
      </w:r>
      <w:r>
        <w:t xml:space="preserve"> </w:t>
      </w:r>
      <w:r>
        <w:rPr>
          <w:b/>
          <w:bCs/>
        </w:rPr>
        <w:t>15,</w:t>
      </w:r>
      <w:r>
        <w:t xml:space="preserve"> 72.</w:t>
      </w:r>
    </w:p>
    <w:p w14:paraId="4C460E92" w14:textId="35DE4E4D" w:rsidR="00B63BA7" w:rsidRPr="003B3D6C" w:rsidRDefault="00B63BA7">
      <w:pPr>
        <w:shd w:val="clear" w:color="auto" w:fill="FFFFFF"/>
        <w:spacing w:after="0" w:line="480" w:lineRule="auto"/>
        <w:jc w:val="both"/>
        <w:rPr>
          <w:b/>
        </w:rPr>
      </w:pPr>
      <w:r>
        <w:rPr>
          <w:b/>
        </w:rPr>
        <w:fldChar w:fldCharType="end"/>
      </w:r>
    </w:p>
    <w:sectPr w:rsidR="00B63BA7" w:rsidRPr="003B3D6C" w:rsidSect="002D5784">
      <w:pgSz w:w="12240" w:h="15840"/>
      <w:pgMar w:top="1440" w:right="1440" w:bottom="1440" w:left="1440" w:header="720" w:footer="720" w:gutter="0"/>
      <w:lnNumType w:countBy="1" w:restart="continuou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7343B"/>
    <w:multiLevelType w:val="multilevel"/>
    <w:tmpl w:val="F72E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963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823"/>
    <w:rsid w:val="00000A04"/>
    <w:rsid w:val="00001D16"/>
    <w:rsid w:val="0000271B"/>
    <w:rsid w:val="00003667"/>
    <w:rsid w:val="00004807"/>
    <w:rsid w:val="00004F76"/>
    <w:rsid w:val="0000627E"/>
    <w:rsid w:val="00006913"/>
    <w:rsid w:val="0001006E"/>
    <w:rsid w:val="000101D1"/>
    <w:rsid w:val="00010C1A"/>
    <w:rsid w:val="00011433"/>
    <w:rsid w:val="0001331E"/>
    <w:rsid w:val="00014809"/>
    <w:rsid w:val="00015283"/>
    <w:rsid w:val="00015F5D"/>
    <w:rsid w:val="00015F70"/>
    <w:rsid w:val="0002020B"/>
    <w:rsid w:val="00024A9B"/>
    <w:rsid w:val="00027BD8"/>
    <w:rsid w:val="000313E0"/>
    <w:rsid w:val="00031558"/>
    <w:rsid w:val="000327CD"/>
    <w:rsid w:val="00033E2A"/>
    <w:rsid w:val="00034E71"/>
    <w:rsid w:val="00036337"/>
    <w:rsid w:val="00036A18"/>
    <w:rsid w:val="0003785E"/>
    <w:rsid w:val="000379B9"/>
    <w:rsid w:val="00041513"/>
    <w:rsid w:val="00042922"/>
    <w:rsid w:val="0004337E"/>
    <w:rsid w:val="000436FA"/>
    <w:rsid w:val="0004488E"/>
    <w:rsid w:val="00045E24"/>
    <w:rsid w:val="0004749D"/>
    <w:rsid w:val="000479AA"/>
    <w:rsid w:val="0005045D"/>
    <w:rsid w:val="00050953"/>
    <w:rsid w:val="00051316"/>
    <w:rsid w:val="0005168E"/>
    <w:rsid w:val="00056B8D"/>
    <w:rsid w:val="00056CE6"/>
    <w:rsid w:val="00061D42"/>
    <w:rsid w:val="00061DCA"/>
    <w:rsid w:val="0006231E"/>
    <w:rsid w:val="0006357E"/>
    <w:rsid w:val="0006436A"/>
    <w:rsid w:val="00064581"/>
    <w:rsid w:val="00065A0E"/>
    <w:rsid w:val="0006678D"/>
    <w:rsid w:val="000701D2"/>
    <w:rsid w:val="000724DD"/>
    <w:rsid w:val="00073ECE"/>
    <w:rsid w:val="00074175"/>
    <w:rsid w:val="0007627D"/>
    <w:rsid w:val="00076CB2"/>
    <w:rsid w:val="0008131D"/>
    <w:rsid w:val="00082560"/>
    <w:rsid w:val="00084A69"/>
    <w:rsid w:val="000860E0"/>
    <w:rsid w:val="00087090"/>
    <w:rsid w:val="00087EE2"/>
    <w:rsid w:val="00090BF9"/>
    <w:rsid w:val="00094249"/>
    <w:rsid w:val="00094F60"/>
    <w:rsid w:val="000A02A7"/>
    <w:rsid w:val="000A03D0"/>
    <w:rsid w:val="000A07FF"/>
    <w:rsid w:val="000A2755"/>
    <w:rsid w:val="000A3BCF"/>
    <w:rsid w:val="000A4839"/>
    <w:rsid w:val="000A569B"/>
    <w:rsid w:val="000A59AE"/>
    <w:rsid w:val="000B1B95"/>
    <w:rsid w:val="000B28D5"/>
    <w:rsid w:val="000B3365"/>
    <w:rsid w:val="000B4D7C"/>
    <w:rsid w:val="000B72CA"/>
    <w:rsid w:val="000B7B46"/>
    <w:rsid w:val="000B7CCA"/>
    <w:rsid w:val="000C542D"/>
    <w:rsid w:val="000C5629"/>
    <w:rsid w:val="000C6262"/>
    <w:rsid w:val="000C65A4"/>
    <w:rsid w:val="000C6D00"/>
    <w:rsid w:val="000D4562"/>
    <w:rsid w:val="000D5205"/>
    <w:rsid w:val="000D7457"/>
    <w:rsid w:val="000D7A93"/>
    <w:rsid w:val="000E017E"/>
    <w:rsid w:val="000E0C58"/>
    <w:rsid w:val="000E4E16"/>
    <w:rsid w:val="000E55A5"/>
    <w:rsid w:val="001002A9"/>
    <w:rsid w:val="001030DC"/>
    <w:rsid w:val="00104DF4"/>
    <w:rsid w:val="00106A70"/>
    <w:rsid w:val="0011139E"/>
    <w:rsid w:val="0011150E"/>
    <w:rsid w:val="001129BE"/>
    <w:rsid w:val="00112AFD"/>
    <w:rsid w:val="00113F44"/>
    <w:rsid w:val="00114DBF"/>
    <w:rsid w:val="00115125"/>
    <w:rsid w:val="00115A74"/>
    <w:rsid w:val="001162D0"/>
    <w:rsid w:val="00121D9C"/>
    <w:rsid w:val="001220A1"/>
    <w:rsid w:val="001267D0"/>
    <w:rsid w:val="00133786"/>
    <w:rsid w:val="00133D26"/>
    <w:rsid w:val="0013532B"/>
    <w:rsid w:val="00135DF1"/>
    <w:rsid w:val="0013622C"/>
    <w:rsid w:val="00136D16"/>
    <w:rsid w:val="00143CC2"/>
    <w:rsid w:val="00145DA0"/>
    <w:rsid w:val="0014688E"/>
    <w:rsid w:val="00150512"/>
    <w:rsid w:val="00151CF0"/>
    <w:rsid w:val="00153A8F"/>
    <w:rsid w:val="0015578B"/>
    <w:rsid w:val="00155882"/>
    <w:rsid w:val="001606FD"/>
    <w:rsid w:val="00161A29"/>
    <w:rsid w:val="00161A49"/>
    <w:rsid w:val="00163571"/>
    <w:rsid w:val="001651DC"/>
    <w:rsid w:val="0016686F"/>
    <w:rsid w:val="00166F72"/>
    <w:rsid w:val="00167ACE"/>
    <w:rsid w:val="00171A54"/>
    <w:rsid w:val="00171DA7"/>
    <w:rsid w:val="00182BA8"/>
    <w:rsid w:val="00185060"/>
    <w:rsid w:val="00190820"/>
    <w:rsid w:val="00191017"/>
    <w:rsid w:val="00193D75"/>
    <w:rsid w:val="001974F2"/>
    <w:rsid w:val="001A2BCF"/>
    <w:rsid w:val="001A58DF"/>
    <w:rsid w:val="001A5F91"/>
    <w:rsid w:val="001A7BD1"/>
    <w:rsid w:val="001B055E"/>
    <w:rsid w:val="001B37C6"/>
    <w:rsid w:val="001B3D17"/>
    <w:rsid w:val="001B4E07"/>
    <w:rsid w:val="001B6866"/>
    <w:rsid w:val="001B7D6D"/>
    <w:rsid w:val="001C1718"/>
    <w:rsid w:val="001C3483"/>
    <w:rsid w:val="001C7A6F"/>
    <w:rsid w:val="001D20F3"/>
    <w:rsid w:val="001D3CF5"/>
    <w:rsid w:val="001D460C"/>
    <w:rsid w:val="001D70A9"/>
    <w:rsid w:val="001D74A6"/>
    <w:rsid w:val="001E1576"/>
    <w:rsid w:val="001E4679"/>
    <w:rsid w:val="001E61CA"/>
    <w:rsid w:val="001E680D"/>
    <w:rsid w:val="001F1988"/>
    <w:rsid w:val="001F1BE0"/>
    <w:rsid w:val="001F21AE"/>
    <w:rsid w:val="001F2775"/>
    <w:rsid w:val="001F44BA"/>
    <w:rsid w:val="001F5F71"/>
    <w:rsid w:val="001F61CD"/>
    <w:rsid w:val="001F65E8"/>
    <w:rsid w:val="001F7817"/>
    <w:rsid w:val="001F7A26"/>
    <w:rsid w:val="00200C6A"/>
    <w:rsid w:val="0020101A"/>
    <w:rsid w:val="00201993"/>
    <w:rsid w:val="00202654"/>
    <w:rsid w:val="00203EFF"/>
    <w:rsid w:val="00204A1D"/>
    <w:rsid w:val="00204F72"/>
    <w:rsid w:val="0021243B"/>
    <w:rsid w:val="00215896"/>
    <w:rsid w:val="00216ED1"/>
    <w:rsid w:val="002175B4"/>
    <w:rsid w:val="002208A0"/>
    <w:rsid w:val="00222244"/>
    <w:rsid w:val="00222FCD"/>
    <w:rsid w:val="00226905"/>
    <w:rsid w:val="00230944"/>
    <w:rsid w:val="0023157F"/>
    <w:rsid w:val="00231635"/>
    <w:rsid w:val="00232F16"/>
    <w:rsid w:val="00233F5F"/>
    <w:rsid w:val="00234B9A"/>
    <w:rsid w:val="0023689D"/>
    <w:rsid w:val="00236EB4"/>
    <w:rsid w:val="00244E1F"/>
    <w:rsid w:val="00245E35"/>
    <w:rsid w:val="002477FE"/>
    <w:rsid w:val="002520AB"/>
    <w:rsid w:val="00252847"/>
    <w:rsid w:val="00252DE5"/>
    <w:rsid w:val="00253712"/>
    <w:rsid w:val="002542FD"/>
    <w:rsid w:val="00254CDD"/>
    <w:rsid w:val="00256EC9"/>
    <w:rsid w:val="00256FD7"/>
    <w:rsid w:val="00260EA1"/>
    <w:rsid w:val="0026137D"/>
    <w:rsid w:val="0026179B"/>
    <w:rsid w:val="00264CE7"/>
    <w:rsid w:val="00265AB3"/>
    <w:rsid w:val="002709FA"/>
    <w:rsid w:val="002718AA"/>
    <w:rsid w:val="00271FAD"/>
    <w:rsid w:val="00275784"/>
    <w:rsid w:val="00276537"/>
    <w:rsid w:val="0027662C"/>
    <w:rsid w:val="00276EE7"/>
    <w:rsid w:val="0028063A"/>
    <w:rsid w:val="0028106E"/>
    <w:rsid w:val="00283F9F"/>
    <w:rsid w:val="002845EA"/>
    <w:rsid w:val="002872F0"/>
    <w:rsid w:val="002877D8"/>
    <w:rsid w:val="00290C79"/>
    <w:rsid w:val="0029345F"/>
    <w:rsid w:val="00294F91"/>
    <w:rsid w:val="00295E54"/>
    <w:rsid w:val="00296AD0"/>
    <w:rsid w:val="002A1859"/>
    <w:rsid w:val="002A57FB"/>
    <w:rsid w:val="002A7989"/>
    <w:rsid w:val="002A7AF3"/>
    <w:rsid w:val="002B1551"/>
    <w:rsid w:val="002B5A5F"/>
    <w:rsid w:val="002B66AA"/>
    <w:rsid w:val="002B6D86"/>
    <w:rsid w:val="002B7C95"/>
    <w:rsid w:val="002C18ED"/>
    <w:rsid w:val="002C3ACF"/>
    <w:rsid w:val="002C41C7"/>
    <w:rsid w:val="002C5DFD"/>
    <w:rsid w:val="002D218B"/>
    <w:rsid w:val="002D547C"/>
    <w:rsid w:val="002D5784"/>
    <w:rsid w:val="002D5B79"/>
    <w:rsid w:val="002D6836"/>
    <w:rsid w:val="002E1064"/>
    <w:rsid w:val="002E2281"/>
    <w:rsid w:val="002E3D62"/>
    <w:rsid w:val="002E4035"/>
    <w:rsid w:val="002E421F"/>
    <w:rsid w:val="002E5420"/>
    <w:rsid w:val="002E65D3"/>
    <w:rsid w:val="002E7B2D"/>
    <w:rsid w:val="002F2B6F"/>
    <w:rsid w:val="002F2FAD"/>
    <w:rsid w:val="002F3C97"/>
    <w:rsid w:val="002F4398"/>
    <w:rsid w:val="002F5037"/>
    <w:rsid w:val="002F556B"/>
    <w:rsid w:val="002F6815"/>
    <w:rsid w:val="00304353"/>
    <w:rsid w:val="003043E5"/>
    <w:rsid w:val="00311301"/>
    <w:rsid w:val="00311402"/>
    <w:rsid w:val="003117CD"/>
    <w:rsid w:val="0031215C"/>
    <w:rsid w:val="0031257B"/>
    <w:rsid w:val="00314106"/>
    <w:rsid w:val="00316B34"/>
    <w:rsid w:val="00316C1C"/>
    <w:rsid w:val="003170DA"/>
    <w:rsid w:val="00320122"/>
    <w:rsid w:val="003217FF"/>
    <w:rsid w:val="00321913"/>
    <w:rsid w:val="0032243C"/>
    <w:rsid w:val="00323BF2"/>
    <w:rsid w:val="00323C3F"/>
    <w:rsid w:val="00324084"/>
    <w:rsid w:val="00326253"/>
    <w:rsid w:val="0032655C"/>
    <w:rsid w:val="00326926"/>
    <w:rsid w:val="003275A2"/>
    <w:rsid w:val="00327A59"/>
    <w:rsid w:val="00327D90"/>
    <w:rsid w:val="003301B8"/>
    <w:rsid w:val="00330E13"/>
    <w:rsid w:val="00331A6A"/>
    <w:rsid w:val="00333804"/>
    <w:rsid w:val="00334BEB"/>
    <w:rsid w:val="00335AE2"/>
    <w:rsid w:val="0033632E"/>
    <w:rsid w:val="003374F1"/>
    <w:rsid w:val="003377EE"/>
    <w:rsid w:val="00337B87"/>
    <w:rsid w:val="003413E7"/>
    <w:rsid w:val="00341BA6"/>
    <w:rsid w:val="00344481"/>
    <w:rsid w:val="0034562E"/>
    <w:rsid w:val="00345658"/>
    <w:rsid w:val="00350662"/>
    <w:rsid w:val="00350C6D"/>
    <w:rsid w:val="0035154E"/>
    <w:rsid w:val="00352E23"/>
    <w:rsid w:val="00355E13"/>
    <w:rsid w:val="00360327"/>
    <w:rsid w:val="00360BDB"/>
    <w:rsid w:val="00363573"/>
    <w:rsid w:val="00363C41"/>
    <w:rsid w:val="00365322"/>
    <w:rsid w:val="003656CD"/>
    <w:rsid w:val="003667C6"/>
    <w:rsid w:val="0036702B"/>
    <w:rsid w:val="0037003C"/>
    <w:rsid w:val="003705A2"/>
    <w:rsid w:val="003706C8"/>
    <w:rsid w:val="00372375"/>
    <w:rsid w:val="003752AE"/>
    <w:rsid w:val="00377331"/>
    <w:rsid w:val="00380382"/>
    <w:rsid w:val="003813A6"/>
    <w:rsid w:val="00381688"/>
    <w:rsid w:val="00381CDA"/>
    <w:rsid w:val="003826EB"/>
    <w:rsid w:val="00383B1C"/>
    <w:rsid w:val="003859B6"/>
    <w:rsid w:val="003901CD"/>
    <w:rsid w:val="00390BFE"/>
    <w:rsid w:val="00390CB1"/>
    <w:rsid w:val="003912F8"/>
    <w:rsid w:val="00395583"/>
    <w:rsid w:val="003A0D5A"/>
    <w:rsid w:val="003A3A44"/>
    <w:rsid w:val="003A4FEE"/>
    <w:rsid w:val="003A58AE"/>
    <w:rsid w:val="003A670B"/>
    <w:rsid w:val="003B2637"/>
    <w:rsid w:val="003B3D6C"/>
    <w:rsid w:val="003B42C3"/>
    <w:rsid w:val="003B6AE2"/>
    <w:rsid w:val="003C2B89"/>
    <w:rsid w:val="003C5566"/>
    <w:rsid w:val="003C6CA5"/>
    <w:rsid w:val="003C76D5"/>
    <w:rsid w:val="003C792C"/>
    <w:rsid w:val="003D0115"/>
    <w:rsid w:val="003D0A4F"/>
    <w:rsid w:val="003D1BF9"/>
    <w:rsid w:val="003D244D"/>
    <w:rsid w:val="003D4010"/>
    <w:rsid w:val="003D5AAF"/>
    <w:rsid w:val="003D6BB7"/>
    <w:rsid w:val="003D6C73"/>
    <w:rsid w:val="003E09B3"/>
    <w:rsid w:val="003E0B2A"/>
    <w:rsid w:val="003E0CCF"/>
    <w:rsid w:val="003E2DA6"/>
    <w:rsid w:val="003E329A"/>
    <w:rsid w:val="003E55C0"/>
    <w:rsid w:val="003E59B9"/>
    <w:rsid w:val="003E7078"/>
    <w:rsid w:val="003E7850"/>
    <w:rsid w:val="003E7AD1"/>
    <w:rsid w:val="003E7F76"/>
    <w:rsid w:val="003F06A9"/>
    <w:rsid w:val="003F07E4"/>
    <w:rsid w:val="003F07F8"/>
    <w:rsid w:val="003F0DAB"/>
    <w:rsid w:val="003F3508"/>
    <w:rsid w:val="003F4ABC"/>
    <w:rsid w:val="003F5287"/>
    <w:rsid w:val="003F5C69"/>
    <w:rsid w:val="003F6306"/>
    <w:rsid w:val="003F7EB9"/>
    <w:rsid w:val="00400951"/>
    <w:rsid w:val="00401927"/>
    <w:rsid w:val="00403512"/>
    <w:rsid w:val="00405268"/>
    <w:rsid w:val="0040630C"/>
    <w:rsid w:val="0040762D"/>
    <w:rsid w:val="00410881"/>
    <w:rsid w:val="0041126B"/>
    <w:rsid w:val="00411AEF"/>
    <w:rsid w:val="00412A62"/>
    <w:rsid w:val="00413629"/>
    <w:rsid w:val="00416F7B"/>
    <w:rsid w:val="0041723E"/>
    <w:rsid w:val="00417351"/>
    <w:rsid w:val="00417F46"/>
    <w:rsid w:val="004203E0"/>
    <w:rsid w:val="00420E3F"/>
    <w:rsid w:val="00422278"/>
    <w:rsid w:val="004238E1"/>
    <w:rsid w:val="00424639"/>
    <w:rsid w:val="004269C1"/>
    <w:rsid w:val="00426ACF"/>
    <w:rsid w:val="00426F14"/>
    <w:rsid w:val="00430714"/>
    <w:rsid w:val="00430EC9"/>
    <w:rsid w:val="0043254B"/>
    <w:rsid w:val="00434362"/>
    <w:rsid w:val="00434771"/>
    <w:rsid w:val="004409E4"/>
    <w:rsid w:val="00442B22"/>
    <w:rsid w:val="00444B8F"/>
    <w:rsid w:val="00445E57"/>
    <w:rsid w:val="004471D1"/>
    <w:rsid w:val="0044726C"/>
    <w:rsid w:val="00451956"/>
    <w:rsid w:val="00452603"/>
    <w:rsid w:val="00452CAA"/>
    <w:rsid w:val="00456A61"/>
    <w:rsid w:val="00460C79"/>
    <w:rsid w:val="004657B2"/>
    <w:rsid w:val="00465CA2"/>
    <w:rsid w:val="0046700D"/>
    <w:rsid w:val="00471837"/>
    <w:rsid w:val="00476AA8"/>
    <w:rsid w:val="00482763"/>
    <w:rsid w:val="00482913"/>
    <w:rsid w:val="00482FEC"/>
    <w:rsid w:val="004830F7"/>
    <w:rsid w:val="0048487B"/>
    <w:rsid w:val="0049045E"/>
    <w:rsid w:val="0049072E"/>
    <w:rsid w:val="0049099D"/>
    <w:rsid w:val="004927D3"/>
    <w:rsid w:val="004936EC"/>
    <w:rsid w:val="00493B2F"/>
    <w:rsid w:val="00494639"/>
    <w:rsid w:val="004A01CC"/>
    <w:rsid w:val="004A3FD5"/>
    <w:rsid w:val="004A5574"/>
    <w:rsid w:val="004A5DC1"/>
    <w:rsid w:val="004A6A59"/>
    <w:rsid w:val="004A6BFB"/>
    <w:rsid w:val="004A71FC"/>
    <w:rsid w:val="004B08C3"/>
    <w:rsid w:val="004B21E6"/>
    <w:rsid w:val="004B5714"/>
    <w:rsid w:val="004C1C7E"/>
    <w:rsid w:val="004C2E9A"/>
    <w:rsid w:val="004C514F"/>
    <w:rsid w:val="004C535E"/>
    <w:rsid w:val="004D15CF"/>
    <w:rsid w:val="004D2B03"/>
    <w:rsid w:val="004D4B12"/>
    <w:rsid w:val="004D51F8"/>
    <w:rsid w:val="004D529E"/>
    <w:rsid w:val="004D5688"/>
    <w:rsid w:val="004D7C77"/>
    <w:rsid w:val="004E0FAB"/>
    <w:rsid w:val="004E22D3"/>
    <w:rsid w:val="004E2630"/>
    <w:rsid w:val="004E45E8"/>
    <w:rsid w:val="004E4E98"/>
    <w:rsid w:val="004E506D"/>
    <w:rsid w:val="004E6BCC"/>
    <w:rsid w:val="004F1C34"/>
    <w:rsid w:val="004F2B9A"/>
    <w:rsid w:val="004F438C"/>
    <w:rsid w:val="004F598A"/>
    <w:rsid w:val="004F5E84"/>
    <w:rsid w:val="004F6704"/>
    <w:rsid w:val="004F6BA5"/>
    <w:rsid w:val="004F6DD4"/>
    <w:rsid w:val="004F7C02"/>
    <w:rsid w:val="005017B3"/>
    <w:rsid w:val="00504015"/>
    <w:rsid w:val="00506743"/>
    <w:rsid w:val="005079AC"/>
    <w:rsid w:val="0051033F"/>
    <w:rsid w:val="005125F1"/>
    <w:rsid w:val="00514011"/>
    <w:rsid w:val="00514A48"/>
    <w:rsid w:val="00516245"/>
    <w:rsid w:val="00516696"/>
    <w:rsid w:val="00517D7A"/>
    <w:rsid w:val="00525BEB"/>
    <w:rsid w:val="00525CA3"/>
    <w:rsid w:val="00525D20"/>
    <w:rsid w:val="0052609D"/>
    <w:rsid w:val="005274D7"/>
    <w:rsid w:val="00527AF8"/>
    <w:rsid w:val="00530E17"/>
    <w:rsid w:val="00531F36"/>
    <w:rsid w:val="0053349A"/>
    <w:rsid w:val="0053424E"/>
    <w:rsid w:val="00537253"/>
    <w:rsid w:val="00542E78"/>
    <w:rsid w:val="005438DF"/>
    <w:rsid w:val="005438F1"/>
    <w:rsid w:val="00544773"/>
    <w:rsid w:val="005449BA"/>
    <w:rsid w:val="005452CC"/>
    <w:rsid w:val="00547331"/>
    <w:rsid w:val="00547DBC"/>
    <w:rsid w:val="00552D81"/>
    <w:rsid w:val="0055377C"/>
    <w:rsid w:val="00554B49"/>
    <w:rsid w:val="00555EC1"/>
    <w:rsid w:val="00556D8B"/>
    <w:rsid w:val="0056098C"/>
    <w:rsid w:val="00562163"/>
    <w:rsid w:val="00564895"/>
    <w:rsid w:val="00565809"/>
    <w:rsid w:val="00570FD4"/>
    <w:rsid w:val="00571771"/>
    <w:rsid w:val="00572882"/>
    <w:rsid w:val="00572AD1"/>
    <w:rsid w:val="0057312A"/>
    <w:rsid w:val="005748F2"/>
    <w:rsid w:val="005760DB"/>
    <w:rsid w:val="00581BD6"/>
    <w:rsid w:val="005830D8"/>
    <w:rsid w:val="00583649"/>
    <w:rsid w:val="005867F7"/>
    <w:rsid w:val="00591415"/>
    <w:rsid w:val="00592879"/>
    <w:rsid w:val="00593289"/>
    <w:rsid w:val="00597435"/>
    <w:rsid w:val="005A09B4"/>
    <w:rsid w:val="005A09BA"/>
    <w:rsid w:val="005A157D"/>
    <w:rsid w:val="005A276D"/>
    <w:rsid w:val="005A2868"/>
    <w:rsid w:val="005A3409"/>
    <w:rsid w:val="005A6C6B"/>
    <w:rsid w:val="005A701F"/>
    <w:rsid w:val="005A7397"/>
    <w:rsid w:val="005B35AA"/>
    <w:rsid w:val="005B35E8"/>
    <w:rsid w:val="005B400B"/>
    <w:rsid w:val="005C1B5D"/>
    <w:rsid w:val="005C33DC"/>
    <w:rsid w:val="005C3892"/>
    <w:rsid w:val="005C45B1"/>
    <w:rsid w:val="005C4779"/>
    <w:rsid w:val="005C48BB"/>
    <w:rsid w:val="005C6049"/>
    <w:rsid w:val="005C7D49"/>
    <w:rsid w:val="005D0363"/>
    <w:rsid w:val="005D25B1"/>
    <w:rsid w:val="005D4474"/>
    <w:rsid w:val="005D45C1"/>
    <w:rsid w:val="005E168A"/>
    <w:rsid w:val="005E38E8"/>
    <w:rsid w:val="005E61CC"/>
    <w:rsid w:val="005E7547"/>
    <w:rsid w:val="005F1258"/>
    <w:rsid w:val="005F19E8"/>
    <w:rsid w:val="005F2113"/>
    <w:rsid w:val="005F7232"/>
    <w:rsid w:val="006079F8"/>
    <w:rsid w:val="0061036B"/>
    <w:rsid w:val="0061158E"/>
    <w:rsid w:val="006117B5"/>
    <w:rsid w:val="0061430F"/>
    <w:rsid w:val="00614547"/>
    <w:rsid w:val="0061734E"/>
    <w:rsid w:val="00617BA9"/>
    <w:rsid w:val="00617F11"/>
    <w:rsid w:val="0062478C"/>
    <w:rsid w:val="006304C0"/>
    <w:rsid w:val="00630F58"/>
    <w:rsid w:val="00633859"/>
    <w:rsid w:val="00634BAA"/>
    <w:rsid w:val="00636168"/>
    <w:rsid w:val="00636582"/>
    <w:rsid w:val="00636CDA"/>
    <w:rsid w:val="00636CE4"/>
    <w:rsid w:val="00637135"/>
    <w:rsid w:val="006378C6"/>
    <w:rsid w:val="0064068F"/>
    <w:rsid w:val="00642433"/>
    <w:rsid w:val="00642EB1"/>
    <w:rsid w:val="00643C5E"/>
    <w:rsid w:val="00643F0F"/>
    <w:rsid w:val="00647127"/>
    <w:rsid w:val="00647498"/>
    <w:rsid w:val="006501BA"/>
    <w:rsid w:val="00650F85"/>
    <w:rsid w:val="0065164D"/>
    <w:rsid w:val="0065343B"/>
    <w:rsid w:val="006549B5"/>
    <w:rsid w:val="006554ED"/>
    <w:rsid w:val="006600A5"/>
    <w:rsid w:val="00661C1C"/>
    <w:rsid w:val="00662CE8"/>
    <w:rsid w:val="006631AE"/>
    <w:rsid w:val="0066427D"/>
    <w:rsid w:val="006718B6"/>
    <w:rsid w:val="00671B3D"/>
    <w:rsid w:val="006727F9"/>
    <w:rsid w:val="00673566"/>
    <w:rsid w:val="00675E37"/>
    <w:rsid w:val="0067737E"/>
    <w:rsid w:val="006778CC"/>
    <w:rsid w:val="006805BC"/>
    <w:rsid w:val="00683D96"/>
    <w:rsid w:val="00683F87"/>
    <w:rsid w:val="00684E84"/>
    <w:rsid w:val="006856F5"/>
    <w:rsid w:val="00685B2B"/>
    <w:rsid w:val="00686862"/>
    <w:rsid w:val="006918AE"/>
    <w:rsid w:val="00692A20"/>
    <w:rsid w:val="00693455"/>
    <w:rsid w:val="00693482"/>
    <w:rsid w:val="00694AD4"/>
    <w:rsid w:val="006961CB"/>
    <w:rsid w:val="006A0544"/>
    <w:rsid w:val="006A0A6C"/>
    <w:rsid w:val="006A273C"/>
    <w:rsid w:val="006A2856"/>
    <w:rsid w:val="006A53FF"/>
    <w:rsid w:val="006A585F"/>
    <w:rsid w:val="006A6F8F"/>
    <w:rsid w:val="006A75F3"/>
    <w:rsid w:val="006B0127"/>
    <w:rsid w:val="006B0984"/>
    <w:rsid w:val="006B2B36"/>
    <w:rsid w:val="006B327A"/>
    <w:rsid w:val="006B4A42"/>
    <w:rsid w:val="006B5E0E"/>
    <w:rsid w:val="006B7B82"/>
    <w:rsid w:val="006C269A"/>
    <w:rsid w:val="006C69A1"/>
    <w:rsid w:val="006C6AF3"/>
    <w:rsid w:val="006C7578"/>
    <w:rsid w:val="006D1BA1"/>
    <w:rsid w:val="006D2E72"/>
    <w:rsid w:val="006D2FE0"/>
    <w:rsid w:val="006D425E"/>
    <w:rsid w:val="006D49EB"/>
    <w:rsid w:val="006D5D90"/>
    <w:rsid w:val="006D62ED"/>
    <w:rsid w:val="006D675E"/>
    <w:rsid w:val="006D7561"/>
    <w:rsid w:val="006E07CE"/>
    <w:rsid w:val="006E09EA"/>
    <w:rsid w:val="006E0B58"/>
    <w:rsid w:val="006E0F30"/>
    <w:rsid w:val="006E1543"/>
    <w:rsid w:val="006E3CB0"/>
    <w:rsid w:val="006E50A8"/>
    <w:rsid w:val="006E634B"/>
    <w:rsid w:val="006E6DB3"/>
    <w:rsid w:val="006F472D"/>
    <w:rsid w:val="00700D27"/>
    <w:rsid w:val="007012EC"/>
    <w:rsid w:val="00704E62"/>
    <w:rsid w:val="0070547D"/>
    <w:rsid w:val="00705E6C"/>
    <w:rsid w:val="00706A2A"/>
    <w:rsid w:val="0071291F"/>
    <w:rsid w:val="00713F6B"/>
    <w:rsid w:val="00714321"/>
    <w:rsid w:val="00716044"/>
    <w:rsid w:val="00717F29"/>
    <w:rsid w:val="007206DF"/>
    <w:rsid w:val="007214B8"/>
    <w:rsid w:val="0072290D"/>
    <w:rsid w:val="007236C3"/>
    <w:rsid w:val="00723B30"/>
    <w:rsid w:val="00724A9D"/>
    <w:rsid w:val="00725B51"/>
    <w:rsid w:val="007266EF"/>
    <w:rsid w:val="00726F94"/>
    <w:rsid w:val="007306BC"/>
    <w:rsid w:val="00730FAB"/>
    <w:rsid w:val="00732A24"/>
    <w:rsid w:val="0073300C"/>
    <w:rsid w:val="0073394E"/>
    <w:rsid w:val="00733B59"/>
    <w:rsid w:val="00734AC2"/>
    <w:rsid w:val="00736B56"/>
    <w:rsid w:val="007370C0"/>
    <w:rsid w:val="007371A6"/>
    <w:rsid w:val="00737C34"/>
    <w:rsid w:val="007404B9"/>
    <w:rsid w:val="00741A28"/>
    <w:rsid w:val="00741DC5"/>
    <w:rsid w:val="007430A2"/>
    <w:rsid w:val="00743722"/>
    <w:rsid w:val="0074381B"/>
    <w:rsid w:val="0074494F"/>
    <w:rsid w:val="007502A9"/>
    <w:rsid w:val="00751AE7"/>
    <w:rsid w:val="00751B40"/>
    <w:rsid w:val="0075272A"/>
    <w:rsid w:val="00752B35"/>
    <w:rsid w:val="007535C1"/>
    <w:rsid w:val="00756517"/>
    <w:rsid w:val="00757376"/>
    <w:rsid w:val="00757A47"/>
    <w:rsid w:val="00760AA3"/>
    <w:rsid w:val="007615EB"/>
    <w:rsid w:val="00761D6E"/>
    <w:rsid w:val="00762AAB"/>
    <w:rsid w:val="00763348"/>
    <w:rsid w:val="00765047"/>
    <w:rsid w:val="00767449"/>
    <w:rsid w:val="00767B02"/>
    <w:rsid w:val="00767B9B"/>
    <w:rsid w:val="0077122A"/>
    <w:rsid w:val="007725F1"/>
    <w:rsid w:val="00773B89"/>
    <w:rsid w:val="0077439A"/>
    <w:rsid w:val="00776B67"/>
    <w:rsid w:val="00783B49"/>
    <w:rsid w:val="007843FB"/>
    <w:rsid w:val="007857F1"/>
    <w:rsid w:val="00787B3F"/>
    <w:rsid w:val="007900F2"/>
    <w:rsid w:val="0079011F"/>
    <w:rsid w:val="007926B8"/>
    <w:rsid w:val="00793684"/>
    <w:rsid w:val="00796F18"/>
    <w:rsid w:val="00797E47"/>
    <w:rsid w:val="007A2A4E"/>
    <w:rsid w:val="007A3B67"/>
    <w:rsid w:val="007A5808"/>
    <w:rsid w:val="007B012D"/>
    <w:rsid w:val="007B06A3"/>
    <w:rsid w:val="007B0889"/>
    <w:rsid w:val="007B0BCB"/>
    <w:rsid w:val="007B2129"/>
    <w:rsid w:val="007B264B"/>
    <w:rsid w:val="007B2B4F"/>
    <w:rsid w:val="007B3CA5"/>
    <w:rsid w:val="007B4768"/>
    <w:rsid w:val="007B6A58"/>
    <w:rsid w:val="007B6E33"/>
    <w:rsid w:val="007B770B"/>
    <w:rsid w:val="007C036B"/>
    <w:rsid w:val="007C2920"/>
    <w:rsid w:val="007C32EF"/>
    <w:rsid w:val="007C37A6"/>
    <w:rsid w:val="007C3F81"/>
    <w:rsid w:val="007D1CE7"/>
    <w:rsid w:val="007D3101"/>
    <w:rsid w:val="007D681D"/>
    <w:rsid w:val="007D7151"/>
    <w:rsid w:val="007D76D5"/>
    <w:rsid w:val="007E15DB"/>
    <w:rsid w:val="007E1688"/>
    <w:rsid w:val="007E64D7"/>
    <w:rsid w:val="007E7CEF"/>
    <w:rsid w:val="007F038B"/>
    <w:rsid w:val="007F1271"/>
    <w:rsid w:val="007F1773"/>
    <w:rsid w:val="007F1A89"/>
    <w:rsid w:val="007F2306"/>
    <w:rsid w:val="007F37F8"/>
    <w:rsid w:val="007F3826"/>
    <w:rsid w:val="007F4524"/>
    <w:rsid w:val="007F4802"/>
    <w:rsid w:val="007F4DF3"/>
    <w:rsid w:val="007F4ECC"/>
    <w:rsid w:val="007F5A12"/>
    <w:rsid w:val="007F6CA9"/>
    <w:rsid w:val="007F7932"/>
    <w:rsid w:val="0080029E"/>
    <w:rsid w:val="00800F25"/>
    <w:rsid w:val="0080176A"/>
    <w:rsid w:val="00801FE0"/>
    <w:rsid w:val="00802D94"/>
    <w:rsid w:val="008042A7"/>
    <w:rsid w:val="00805E2A"/>
    <w:rsid w:val="00813122"/>
    <w:rsid w:val="00815831"/>
    <w:rsid w:val="00815C5F"/>
    <w:rsid w:val="0081646E"/>
    <w:rsid w:val="0082314D"/>
    <w:rsid w:val="008233C6"/>
    <w:rsid w:val="00824FF7"/>
    <w:rsid w:val="00826397"/>
    <w:rsid w:val="0082645C"/>
    <w:rsid w:val="00827499"/>
    <w:rsid w:val="00827F1E"/>
    <w:rsid w:val="00830ACE"/>
    <w:rsid w:val="00831654"/>
    <w:rsid w:val="008324E2"/>
    <w:rsid w:val="00832682"/>
    <w:rsid w:val="00833D29"/>
    <w:rsid w:val="00834D77"/>
    <w:rsid w:val="0083505E"/>
    <w:rsid w:val="008361AC"/>
    <w:rsid w:val="00837E07"/>
    <w:rsid w:val="00841511"/>
    <w:rsid w:val="008417D8"/>
    <w:rsid w:val="008469C6"/>
    <w:rsid w:val="00850B7C"/>
    <w:rsid w:val="00850DE8"/>
    <w:rsid w:val="0085243A"/>
    <w:rsid w:val="00852E02"/>
    <w:rsid w:val="00853ADD"/>
    <w:rsid w:val="00853BC1"/>
    <w:rsid w:val="008541C2"/>
    <w:rsid w:val="00855281"/>
    <w:rsid w:val="00857617"/>
    <w:rsid w:val="00857873"/>
    <w:rsid w:val="00863318"/>
    <w:rsid w:val="00863785"/>
    <w:rsid w:val="00866B27"/>
    <w:rsid w:val="00867C3B"/>
    <w:rsid w:val="0087008D"/>
    <w:rsid w:val="008701D8"/>
    <w:rsid w:val="008739B7"/>
    <w:rsid w:val="008742E2"/>
    <w:rsid w:val="00874D7B"/>
    <w:rsid w:val="008764E4"/>
    <w:rsid w:val="0087673E"/>
    <w:rsid w:val="008800DE"/>
    <w:rsid w:val="00880876"/>
    <w:rsid w:val="00884EB0"/>
    <w:rsid w:val="00885759"/>
    <w:rsid w:val="00885862"/>
    <w:rsid w:val="0088627F"/>
    <w:rsid w:val="008900F0"/>
    <w:rsid w:val="00890B51"/>
    <w:rsid w:val="0089320E"/>
    <w:rsid w:val="00894CCF"/>
    <w:rsid w:val="008A09D3"/>
    <w:rsid w:val="008A131F"/>
    <w:rsid w:val="008A58EB"/>
    <w:rsid w:val="008A6BA8"/>
    <w:rsid w:val="008A7043"/>
    <w:rsid w:val="008A7790"/>
    <w:rsid w:val="008A7BE9"/>
    <w:rsid w:val="008B0282"/>
    <w:rsid w:val="008B171E"/>
    <w:rsid w:val="008B19E5"/>
    <w:rsid w:val="008B38C3"/>
    <w:rsid w:val="008B50A6"/>
    <w:rsid w:val="008B50E3"/>
    <w:rsid w:val="008B657F"/>
    <w:rsid w:val="008B779A"/>
    <w:rsid w:val="008C2990"/>
    <w:rsid w:val="008C2BCD"/>
    <w:rsid w:val="008C537C"/>
    <w:rsid w:val="008D0FD5"/>
    <w:rsid w:val="008D32E1"/>
    <w:rsid w:val="008D452A"/>
    <w:rsid w:val="008D5DF4"/>
    <w:rsid w:val="008D65DB"/>
    <w:rsid w:val="008D681D"/>
    <w:rsid w:val="008D7B84"/>
    <w:rsid w:val="008D7D4A"/>
    <w:rsid w:val="008E0971"/>
    <w:rsid w:val="008E2BC8"/>
    <w:rsid w:val="008E3132"/>
    <w:rsid w:val="008E3359"/>
    <w:rsid w:val="008E38CF"/>
    <w:rsid w:val="008E3FBB"/>
    <w:rsid w:val="008E4A56"/>
    <w:rsid w:val="008E5C05"/>
    <w:rsid w:val="008F1D4D"/>
    <w:rsid w:val="008F2F0B"/>
    <w:rsid w:val="008F3546"/>
    <w:rsid w:val="008F48F6"/>
    <w:rsid w:val="008F4BEE"/>
    <w:rsid w:val="008F5412"/>
    <w:rsid w:val="008F54C9"/>
    <w:rsid w:val="008F6A95"/>
    <w:rsid w:val="0090279A"/>
    <w:rsid w:val="00902F07"/>
    <w:rsid w:val="00903856"/>
    <w:rsid w:val="00905546"/>
    <w:rsid w:val="00905C7E"/>
    <w:rsid w:val="00911444"/>
    <w:rsid w:val="00915470"/>
    <w:rsid w:val="00915CCA"/>
    <w:rsid w:val="0091673D"/>
    <w:rsid w:val="00917427"/>
    <w:rsid w:val="00917919"/>
    <w:rsid w:val="00917F25"/>
    <w:rsid w:val="00922CB9"/>
    <w:rsid w:val="00922F5C"/>
    <w:rsid w:val="00923737"/>
    <w:rsid w:val="00924460"/>
    <w:rsid w:val="00924E6D"/>
    <w:rsid w:val="00924FB1"/>
    <w:rsid w:val="009255C8"/>
    <w:rsid w:val="0092601F"/>
    <w:rsid w:val="00927B7F"/>
    <w:rsid w:val="00927D46"/>
    <w:rsid w:val="00930B65"/>
    <w:rsid w:val="00931859"/>
    <w:rsid w:val="00937476"/>
    <w:rsid w:val="00937F33"/>
    <w:rsid w:val="00940E5F"/>
    <w:rsid w:val="00941038"/>
    <w:rsid w:val="00943441"/>
    <w:rsid w:val="00943B4A"/>
    <w:rsid w:val="00944183"/>
    <w:rsid w:val="00944C4D"/>
    <w:rsid w:val="0094592B"/>
    <w:rsid w:val="0094704F"/>
    <w:rsid w:val="0095634E"/>
    <w:rsid w:val="009572DF"/>
    <w:rsid w:val="00960DA8"/>
    <w:rsid w:val="0096257B"/>
    <w:rsid w:val="00963815"/>
    <w:rsid w:val="009642DF"/>
    <w:rsid w:val="009667AB"/>
    <w:rsid w:val="00967158"/>
    <w:rsid w:val="009704D2"/>
    <w:rsid w:val="00971BE1"/>
    <w:rsid w:val="009730C2"/>
    <w:rsid w:val="0097362D"/>
    <w:rsid w:val="00973E3D"/>
    <w:rsid w:val="00973E77"/>
    <w:rsid w:val="0097444D"/>
    <w:rsid w:val="00974E60"/>
    <w:rsid w:val="00975A36"/>
    <w:rsid w:val="00975DEC"/>
    <w:rsid w:val="009773F5"/>
    <w:rsid w:val="00980D86"/>
    <w:rsid w:val="00982187"/>
    <w:rsid w:val="0098322B"/>
    <w:rsid w:val="0098340D"/>
    <w:rsid w:val="0098354B"/>
    <w:rsid w:val="00985055"/>
    <w:rsid w:val="009873CA"/>
    <w:rsid w:val="00987C81"/>
    <w:rsid w:val="00990F79"/>
    <w:rsid w:val="0099335A"/>
    <w:rsid w:val="0099411A"/>
    <w:rsid w:val="00994763"/>
    <w:rsid w:val="00995B58"/>
    <w:rsid w:val="009979EB"/>
    <w:rsid w:val="009A00B2"/>
    <w:rsid w:val="009A1C35"/>
    <w:rsid w:val="009A3333"/>
    <w:rsid w:val="009A5669"/>
    <w:rsid w:val="009A6C8B"/>
    <w:rsid w:val="009B5E1B"/>
    <w:rsid w:val="009B6A1E"/>
    <w:rsid w:val="009B7346"/>
    <w:rsid w:val="009C0A1E"/>
    <w:rsid w:val="009C0C72"/>
    <w:rsid w:val="009C1278"/>
    <w:rsid w:val="009C3093"/>
    <w:rsid w:val="009C650A"/>
    <w:rsid w:val="009C7757"/>
    <w:rsid w:val="009D1FD2"/>
    <w:rsid w:val="009D220B"/>
    <w:rsid w:val="009D3381"/>
    <w:rsid w:val="009D3E77"/>
    <w:rsid w:val="009D49BD"/>
    <w:rsid w:val="009D5F22"/>
    <w:rsid w:val="009D6EE7"/>
    <w:rsid w:val="009E136F"/>
    <w:rsid w:val="009E425E"/>
    <w:rsid w:val="009E4345"/>
    <w:rsid w:val="009E5145"/>
    <w:rsid w:val="009E5CD9"/>
    <w:rsid w:val="009E5FB2"/>
    <w:rsid w:val="009E64B3"/>
    <w:rsid w:val="009F02A7"/>
    <w:rsid w:val="009F20AB"/>
    <w:rsid w:val="009F3D70"/>
    <w:rsid w:val="009F446D"/>
    <w:rsid w:val="009F498E"/>
    <w:rsid w:val="009F62CC"/>
    <w:rsid w:val="009F787D"/>
    <w:rsid w:val="009F7A94"/>
    <w:rsid w:val="009F7BAC"/>
    <w:rsid w:val="00A007CE"/>
    <w:rsid w:val="00A01D14"/>
    <w:rsid w:val="00A03CCD"/>
    <w:rsid w:val="00A0431C"/>
    <w:rsid w:val="00A044B7"/>
    <w:rsid w:val="00A11E24"/>
    <w:rsid w:val="00A12B49"/>
    <w:rsid w:val="00A1677A"/>
    <w:rsid w:val="00A238BB"/>
    <w:rsid w:val="00A258CB"/>
    <w:rsid w:val="00A30A17"/>
    <w:rsid w:val="00A317DE"/>
    <w:rsid w:val="00A318DC"/>
    <w:rsid w:val="00A328D1"/>
    <w:rsid w:val="00A3424D"/>
    <w:rsid w:val="00A3571E"/>
    <w:rsid w:val="00A35983"/>
    <w:rsid w:val="00A36390"/>
    <w:rsid w:val="00A37408"/>
    <w:rsid w:val="00A40E85"/>
    <w:rsid w:val="00A41368"/>
    <w:rsid w:val="00A448BF"/>
    <w:rsid w:val="00A45BEA"/>
    <w:rsid w:val="00A45E7A"/>
    <w:rsid w:val="00A464E4"/>
    <w:rsid w:val="00A47124"/>
    <w:rsid w:val="00A47BF7"/>
    <w:rsid w:val="00A50FAD"/>
    <w:rsid w:val="00A5117A"/>
    <w:rsid w:val="00A5250E"/>
    <w:rsid w:val="00A52A0D"/>
    <w:rsid w:val="00A52B3B"/>
    <w:rsid w:val="00A53787"/>
    <w:rsid w:val="00A5431E"/>
    <w:rsid w:val="00A56CDF"/>
    <w:rsid w:val="00A60379"/>
    <w:rsid w:val="00A6620F"/>
    <w:rsid w:val="00A66F0F"/>
    <w:rsid w:val="00A700A9"/>
    <w:rsid w:val="00A71184"/>
    <w:rsid w:val="00A7137D"/>
    <w:rsid w:val="00A7137F"/>
    <w:rsid w:val="00A725B7"/>
    <w:rsid w:val="00A754E3"/>
    <w:rsid w:val="00A7770B"/>
    <w:rsid w:val="00A808D1"/>
    <w:rsid w:val="00A811C5"/>
    <w:rsid w:val="00A83CB2"/>
    <w:rsid w:val="00A84805"/>
    <w:rsid w:val="00A8507D"/>
    <w:rsid w:val="00A85504"/>
    <w:rsid w:val="00A857FE"/>
    <w:rsid w:val="00A85910"/>
    <w:rsid w:val="00A86895"/>
    <w:rsid w:val="00A91EB7"/>
    <w:rsid w:val="00A92D66"/>
    <w:rsid w:val="00A93D62"/>
    <w:rsid w:val="00A943D3"/>
    <w:rsid w:val="00A94A0C"/>
    <w:rsid w:val="00A96764"/>
    <w:rsid w:val="00A96793"/>
    <w:rsid w:val="00AA0452"/>
    <w:rsid w:val="00AA3F3B"/>
    <w:rsid w:val="00AA4293"/>
    <w:rsid w:val="00AA5A2F"/>
    <w:rsid w:val="00AA5C97"/>
    <w:rsid w:val="00AA6EF0"/>
    <w:rsid w:val="00AB1989"/>
    <w:rsid w:val="00AB5FA1"/>
    <w:rsid w:val="00AB6F19"/>
    <w:rsid w:val="00AC0FB3"/>
    <w:rsid w:val="00AC1F38"/>
    <w:rsid w:val="00AC3F78"/>
    <w:rsid w:val="00AC559E"/>
    <w:rsid w:val="00AC55FA"/>
    <w:rsid w:val="00AC7BAA"/>
    <w:rsid w:val="00AD0123"/>
    <w:rsid w:val="00AD26FE"/>
    <w:rsid w:val="00AD7B50"/>
    <w:rsid w:val="00AE12AD"/>
    <w:rsid w:val="00AE1956"/>
    <w:rsid w:val="00AE28F0"/>
    <w:rsid w:val="00AE3AF2"/>
    <w:rsid w:val="00AE67F8"/>
    <w:rsid w:val="00AE6BEC"/>
    <w:rsid w:val="00AE7576"/>
    <w:rsid w:val="00AF3139"/>
    <w:rsid w:val="00AF4202"/>
    <w:rsid w:val="00AF4A28"/>
    <w:rsid w:val="00AF5289"/>
    <w:rsid w:val="00AF628F"/>
    <w:rsid w:val="00AF7013"/>
    <w:rsid w:val="00B02FE0"/>
    <w:rsid w:val="00B063DA"/>
    <w:rsid w:val="00B06670"/>
    <w:rsid w:val="00B07300"/>
    <w:rsid w:val="00B1076D"/>
    <w:rsid w:val="00B11794"/>
    <w:rsid w:val="00B11BE4"/>
    <w:rsid w:val="00B13BF3"/>
    <w:rsid w:val="00B13ED3"/>
    <w:rsid w:val="00B15812"/>
    <w:rsid w:val="00B16509"/>
    <w:rsid w:val="00B24058"/>
    <w:rsid w:val="00B30FB6"/>
    <w:rsid w:val="00B311F4"/>
    <w:rsid w:val="00B32171"/>
    <w:rsid w:val="00B32C61"/>
    <w:rsid w:val="00B33317"/>
    <w:rsid w:val="00B338E4"/>
    <w:rsid w:val="00B33970"/>
    <w:rsid w:val="00B33F39"/>
    <w:rsid w:val="00B34C84"/>
    <w:rsid w:val="00B3528D"/>
    <w:rsid w:val="00B400E3"/>
    <w:rsid w:val="00B402D5"/>
    <w:rsid w:val="00B4098C"/>
    <w:rsid w:val="00B43CDB"/>
    <w:rsid w:val="00B43E78"/>
    <w:rsid w:val="00B451BC"/>
    <w:rsid w:val="00B45BE5"/>
    <w:rsid w:val="00B5520F"/>
    <w:rsid w:val="00B60D3D"/>
    <w:rsid w:val="00B628B3"/>
    <w:rsid w:val="00B63BA7"/>
    <w:rsid w:val="00B65096"/>
    <w:rsid w:val="00B7127D"/>
    <w:rsid w:val="00B732CC"/>
    <w:rsid w:val="00B7442B"/>
    <w:rsid w:val="00B77561"/>
    <w:rsid w:val="00B808BF"/>
    <w:rsid w:val="00B80C22"/>
    <w:rsid w:val="00B80E03"/>
    <w:rsid w:val="00B82372"/>
    <w:rsid w:val="00B82E8A"/>
    <w:rsid w:val="00B8349C"/>
    <w:rsid w:val="00B865F1"/>
    <w:rsid w:val="00B90793"/>
    <w:rsid w:val="00B918FF"/>
    <w:rsid w:val="00B92236"/>
    <w:rsid w:val="00B93B1D"/>
    <w:rsid w:val="00B93C96"/>
    <w:rsid w:val="00B95504"/>
    <w:rsid w:val="00B958BA"/>
    <w:rsid w:val="00B975E4"/>
    <w:rsid w:val="00BA06CE"/>
    <w:rsid w:val="00BA248C"/>
    <w:rsid w:val="00BA24C9"/>
    <w:rsid w:val="00BA35E3"/>
    <w:rsid w:val="00BA4837"/>
    <w:rsid w:val="00BA7921"/>
    <w:rsid w:val="00BB1773"/>
    <w:rsid w:val="00BB6023"/>
    <w:rsid w:val="00BB66F4"/>
    <w:rsid w:val="00BB7274"/>
    <w:rsid w:val="00BB75C9"/>
    <w:rsid w:val="00BB7A7E"/>
    <w:rsid w:val="00BC0244"/>
    <w:rsid w:val="00BC0A23"/>
    <w:rsid w:val="00BC15B0"/>
    <w:rsid w:val="00BC220D"/>
    <w:rsid w:val="00BC318C"/>
    <w:rsid w:val="00BC7167"/>
    <w:rsid w:val="00BC764E"/>
    <w:rsid w:val="00BD01DA"/>
    <w:rsid w:val="00BD0A90"/>
    <w:rsid w:val="00BD2222"/>
    <w:rsid w:val="00BD2310"/>
    <w:rsid w:val="00BD26E2"/>
    <w:rsid w:val="00BD32B3"/>
    <w:rsid w:val="00BD39EC"/>
    <w:rsid w:val="00BD4B84"/>
    <w:rsid w:val="00BD51A5"/>
    <w:rsid w:val="00BE1AF5"/>
    <w:rsid w:val="00BE2099"/>
    <w:rsid w:val="00BE2CE9"/>
    <w:rsid w:val="00BE380B"/>
    <w:rsid w:val="00BE5831"/>
    <w:rsid w:val="00BE63A4"/>
    <w:rsid w:val="00BE78BE"/>
    <w:rsid w:val="00BE799A"/>
    <w:rsid w:val="00BF0C50"/>
    <w:rsid w:val="00BF2A9C"/>
    <w:rsid w:val="00BF60DC"/>
    <w:rsid w:val="00BF6521"/>
    <w:rsid w:val="00BF7F2B"/>
    <w:rsid w:val="00C012E6"/>
    <w:rsid w:val="00C01E7F"/>
    <w:rsid w:val="00C02807"/>
    <w:rsid w:val="00C03587"/>
    <w:rsid w:val="00C071E5"/>
    <w:rsid w:val="00C13C16"/>
    <w:rsid w:val="00C1566E"/>
    <w:rsid w:val="00C15823"/>
    <w:rsid w:val="00C16177"/>
    <w:rsid w:val="00C21958"/>
    <w:rsid w:val="00C2384A"/>
    <w:rsid w:val="00C248DD"/>
    <w:rsid w:val="00C258F0"/>
    <w:rsid w:val="00C25E4A"/>
    <w:rsid w:val="00C26CC8"/>
    <w:rsid w:val="00C3029A"/>
    <w:rsid w:val="00C33190"/>
    <w:rsid w:val="00C33EB1"/>
    <w:rsid w:val="00C36EE2"/>
    <w:rsid w:val="00C37AB2"/>
    <w:rsid w:val="00C414CF"/>
    <w:rsid w:val="00C42A62"/>
    <w:rsid w:val="00C4390B"/>
    <w:rsid w:val="00C50FAD"/>
    <w:rsid w:val="00C51AED"/>
    <w:rsid w:val="00C52034"/>
    <w:rsid w:val="00C52E07"/>
    <w:rsid w:val="00C544E3"/>
    <w:rsid w:val="00C54640"/>
    <w:rsid w:val="00C62A5D"/>
    <w:rsid w:val="00C649D5"/>
    <w:rsid w:val="00C64C19"/>
    <w:rsid w:val="00C6570F"/>
    <w:rsid w:val="00C6660E"/>
    <w:rsid w:val="00C66D8F"/>
    <w:rsid w:val="00C67367"/>
    <w:rsid w:val="00C677FE"/>
    <w:rsid w:val="00C70836"/>
    <w:rsid w:val="00C70D56"/>
    <w:rsid w:val="00C70FEF"/>
    <w:rsid w:val="00C718B6"/>
    <w:rsid w:val="00C71940"/>
    <w:rsid w:val="00C73030"/>
    <w:rsid w:val="00C743AB"/>
    <w:rsid w:val="00C80493"/>
    <w:rsid w:val="00C80FDA"/>
    <w:rsid w:val="00C8244E"/>
    <w:rsid w:val="00C82BF1"/>
    <w:rsid w:val="00C85B6F"/>
    <w:rsid w:val="00C86995"/>
    <w:rsid w:val="00C92511"/>
    <w:rsid w:val="00C92678"/>
    <w:rsid w:val="00C92969"/>
    <w:rsid w:val="00C929FF"/>
    <w:rsid w:val="00C92D53"/>
    <w:rsid w:val="00C930A7"/>
    <w:rsid w:val="00C93621"/>
    <w:rsid w:val="00C94439"/>
    <w:rsid w:val="00C9489A"/>
    <w:rsid w:val="00C95A76"/>
    <w:rsid w:val="00C960FC"/>
    <w:rsid w:val="00C962B7"/>
    <w:rsid w:val="00C970FA"/>
    <w:rsid w:val="00CA04CB"/>
    <w:rsid w:val="00CA20D5"/>
    <w:rsid w:val="00CA486D"/>
    <w:rsid w:val="00CA4EE3"/>
    <w:rsid w:val="00CA6697"/>
    <w:rsid w:val="00CA6D93"/>
    <w:rsid w:val="00CA7D3D"/>
    <w:rsid w:val="00CB0118"/>
    <w:rsid w:val="00CB0C05"/>
    <w:rsid w:val="00CB11AE"/>
    <w:rsid w:val="00CB7687"/>
    <w:rsid w:val="00CC02F7"/>
    <w:rsid w:val="00CC1CED"/>
    <w:rsid w:val="00CC295D"/>
    <w:rsid w:val="00CC60BF"/>
    <w:rsid w:val="00CC7A30"/>
    <w:rsid w:val="00CD03CA"/>
    <w:rsid w:val="00CD07E1"/>
    <w:rsid w:val="00CD0CCC"/>
    <w:rsid w:val="00CD1152"/>
    <w:rsid w:val="00CD1306"/>
    <w:rsid w:val="00CD5BA7"/>
    <w:rsid w:val="00CD64A0"/>
    <w:rsid w:val="00CD789F"/>
    <w:rsid w:val="00CD7F10"/>
    <w:rsid w:val="00CE0626"/>
    <w:rsid w:val="00CE26AD"/>
    <w:rsid w:val="00CE44F9"/>
    <w:rsid w:val="00CE4EC9"/>
    <w:rsid w:val="00CE51D8"/>
    <w:rsid w:val="00CE64E9"/>
    <w:rsid w:val="00CF3B83"/>
    <w:rsid w:val="00CF3F51"/>
    <w:rsid w:val="00D0398A"/>
    <w:rsid w:val="00D04086"/>
    <w:rsid w:val="00D04F0F"/>
    <w:rsid w:val="00D05344"/>
    <w:rsid w:val="00D05E0C"/>
    <w:rsid w:val="00D07D2E"/>
    <w:rsid w:val="00D07D85"/>
    <w:rsid w:val="00D10AA6"/>
    <w:rsid w:val="00D10F84"/>
    <w:rsid w:val="00D135C9"/>
    <w:rsid w:val="00D201C9"/>
    <w:rsid w:val="00D201F2"/>
    <w:rsid w:val="00D223B6"/>
    <w:rsid w:val="00D23255"/>
    <w:rsid w:val="00D23D2B"/>
    <w:rsid w:val="00D23E68"/>
    <w:rsid w:val="00D2433F"/>
    <w:rsid w:val="00D249EB"/>
    <w:rsid w:val="00D2519F"/>
    <w:rsid w:val="00D25B90"/>
    <w:rsid w:val="00D30468"/>
    <w:rsid w:val="00D30AB9"/>
    <w:rsid w:val="00D30F83"/>
    <w:rsid w:val="00D33217"/>
    <w:rsid w:val="00D3361B"/>
    <w:rsid w:val="00D3428E"/>
    <w:rsid w:val="00D3488A"/>
    <w:rsid w:val="00D35E09"/>
    <w:rsid w:val="00D4116B"/>
    <w:rsid w:val="00D417A6"/>
    <w:rsid w:val="00D470FA"/>
    <w:rsid w:val="00D47131"/>
    <w:rsid w:val="00D50C9D"/>
    <w:rsid w:val="00D50F10"/>
    <w:rsid w:val="00D52792"/>
    <w:rsid w:val="00D53B09"/>
    <w:rsid w:val="00D560D5"/>
    <w:rsid w:val="00D56D19"/>
    <w:rsid w:val="00D6050A"/>
    <w:rsid w:val="00D6093E"/>
    <w:rsid w:val="00D61F5B"/>
    <w:rsid w:val="00D64011"/>
    <w:rsid w:val="00D6409C"/>
    <w:rsid w:val="00D640CB"/>
    <w:rsid w:val="00D6460E"/>
    <w:rsid w:val="00D652E3"/>
    <w:rsid w:val="00D70496"/>
    <w:rsid w:val="00D70F96"/>
    <w:rsid w:val="00D736BA"/>
    <w:rsid w:val="00D76E3A"/>
    <w:rsid w:val="00D80688"/>
    <w:rsid w:val="00D81486"/>
    <w:rsid w:val="00D8296B"/>
    <w:rsid w:val="00D83A54"/>
    <w:rsid w:val="00D855CA"/>
    <w:rsid w:val="00D85E8C"/>
    <w:rsid w:val="00D901AE"/>
    <w:rsid w:val="00D901CF"/>
    <w:rsid w:val="00D93DAB"/>
    <w:rsid w:val="00D9499D"/>
    <w:rsid w:val="00D950EC"/>
    <w:rsid w:val="00D95377"/>
    <w:rsid w:val="00D95A46"/>
    <w:rsid w:val="00D95A5D"/>
    <w:rsid w:val="00D969FF"/>
    <w:rsid w:val="00DA1B23"/>
    <w:rsid w:val="00DA27BD"/>
    <w:rsid w:val="00DA419C"/>
    <w:rsid w:val="00DA4EAD"/>
    <w:rsid w:val="00DA5014"/>
    <w:rsid w:val="00DA7A8A"/>
    <w:rsid w:val="00DB058E"/>
    <w:rsid w:val="00DB2256"/>
    <w:rsid w:val="00DB6E48"/>
    <w:rsid w:val="00DC4E06"/>
    <w:rsid w:val="00DC52F6"/>
    <w:rsid w:val="00DC71B4"/>
    <w:rsid w:val="00DC7568"/>
    <w:rsid w:val="00DC7844"/>
    <w:rsid w:val="00DD2CDB"/>
    <w:rsid w:val="00DD3111"/>
    <w:rsid w:val="00DD5BFB"/>
    <w:rsid w:val="00DD6EE3"/>
    <w:rsid w:val="00DD7F43"/>
    <w:rsid w:val="00DE04E2"/>
    <w:rsid w:val="00DE3650"/>
    <w:rsid w:val="00DE3C6F"/>
    <w:rsid w:val="00DF0CE6"/>
    <w:rsid w:val="00DF2094"/>
    <w:rsid w:val="00DF4006"/>
    <w:rsid w:val="00DF5495"/>
    <w:rsid w:val="00E0058D"/>
    <w:rsid w:val="00E0119F"/>
    <w:rsid w:val="00E011CD"/>
    <w:rsid w:val="00E01BF0"/>
    <w:rsid w:val="00E02E86"/>
    <w:rsid w:val="00E02EA5"/>
    <w:rsid w:val="00E05886"/>
    <w:rsid w:val="00E062C9"/>
    <w:rsid w:val="00E06F44"/>
    <w:rsid w:val="00E12EA0"/>
    <w:rsid w:val="00E14F39"/>
    <w:rsid w:val="00E1514A"/>
    <w:rsid w:val="00E162A8"/>
    <w:rsid w:val="00E23AA8"/>
    <w:rsid w:val="00E2442E"/>
    <w:rsid w:val="00E265F2"/>
    <w:rsid w:val="00E30CBA"/>
    <w:rsid w:val="00E32F8C"/>
    <w:rsid w:val="00E361B4"/>
    <w:rsid w:val="00E36255"/>
    <w:rsid w:val="00E365C8"/>
    <w:rsid w:val="00E378F7"/>
    <w:rsid w:val="00E41960"/>
    <w:rsid w:val="00E53930"/>
    <w:rsid w:val="00E540A0"/>
    <w:rsid w:val="00E547D8"/>
    <w:rsid w:val="00E56DEC"/>
    <w:rsid w:val="00E61152"/>
    <w:rsid w:val="00E61E5F"/>
    <w:rsid w:val="00E62853"/>
    <w:rsid w:val="00E65F63"/>
    <w:rsid w:val="00E67481"/>
    <w:rsid w:val="00E67892"/>
    <w:rsid w:val="00E73561"/>
    <w:rsid w:val="00E75514"/>
    <w:rsid w:val="00E778C8"/>
    <w:rsid w:val="00E82702"/>
    <w:rsid w:val="00E8384C"/>
    <w:rsid w:val="00E850AE"/>
    <w:rsid w:val="00E8541C"/>
    <w:rsid w:val="00E867F3"/>
    <w:rsid w:val="00E91AC6"/>
    <w:rsid w:val="00E93FC4"/>
    <w:rsid w:val="00E94580"/>
    <w:rsid w:val="00E95A96"/>
    <w:rsid w:val="00E971D3"/>
    <w:rsid w:val="00E97613"/>
    <w:rsid w:val="00EA0646"/>
    <w:rsid w:val="00EA0A92"/>
    <w:rsid w:val="00EA0D52"/>
    <w:rsid w:val="00EA11E7"/>
    <w:rsid w:val="00EA3762"/>
    <w:rsid w:val="00EA3A83"/>
    <w:rsid w:val="00EA3C56"/>
    <w:rsid w:val="00EA40FA"/>
    <w:rsid w:val="00EA43A0"/>
    <w:rsid w:val="00EB0411"/>
    <w:rsid w:val="00EB116E"/>
    <w:rsid w:val="00EB3CB7"/>
    <w:rsid w:val="00EB3F7A"/>
    <w:rsid w:val="00EB4776"/>
    <w:rsid w:val="00EB47C6"/>
    <w:rsid w:val="00EB579D"/>
    <w:rsid w:val="00EC1DC9"/>
    <w:rsid w:val="00EC265F"/>
    <w:rsid w:val="00EC4A05"/>
    <w:rsid w:val="00EC507B"/>
    <w:rsid w:val="00EC6F55"/>
    <w:rsid w:val="00EC735A"/>
    <w:rsid w:val="00ED0143"/>
    <w:rsid w:val="00ED1201"/>
    <w:rsid w:val="00ED1B17"/>
    <w:rsid w:val="00ED3E07"/>
    <w:rsid w:val="00ED47D2"/>
    <w:rsid w:val="00ED4C5C"/>
    <w:rsid w:val="00ED5E5F"/>
    <w:rsid w:val="00ED6471"/>
    <w:rsid w:val="00EE0BBA"/>
    <w:rsid w:val="00EE2B64"/>
    <w:rsid w:val="00EE320F"/>
    <w:rsid w:val="00EE47A6"/>
    <w:rsid w:val="00EE66F6"/>
    <w:rsid w:val="00EE6DA6"/>
    <w:rsid w:val="00EF1523"/>
    <w:rsid w:val="00EF1C43"/>
    <w:rsid w:val="00EF31FD"/>
    <w:rsid w:val="00EF3E19"/>
    <w:rsid w:val="00EF48DD"/>
    <w:rsid w:val="00EF5B6A"/>
    <w:rsid w:val="00EF684B"/>
    <w:rsid w:val="00F01554"/>
    <w:rsid w:val="00F01FF7"/>
    <w:rsid w:val="00F024B6"/>
    <w:rsid w:val="00F02AF2"/>
    <w:rsid w:val="00F02F77"/>
    <w:rsid w:val="00F03981"/>
    <w:rsid w:val="00F05820"/>
    <w:rsid w:val="00F05CCB"/>
    <w:rsid w:val="00F06F15"/>
    <w:rsid w:val="00F11273"/>
    <w:rsid w:val="00F11403"/>
    <w:rsid w:val="00F128D3"/>
    <w:rsid w:val="00F13D19"/>
    <w:rsid w:val="00F162C9"/>
    <w:rsid w:val="00F21E56"/>
    <w:rsid w:val="00F22962"/>
    <w:rsid w:val="00F2328C"/>
    <w:rsid w:val="00F2416B"/>
    <w:rsid w:val="00F249B8"/>
    <w:rsid w:val="00F259CF"/>
    <w:rsid w:val="00F265A6"/>
    <w:rsid w:val="00F30227"/>
    <w:rsid w:val="00F31E2E"/>
    <w:rsid w:val="00F32D5E"/>
    <w:rsid w:val="00F34B5A"/>
    <w:rsid w:val="00F34B92"/>
    <w:rsid w:val="00F35B12"/>
    <w:rsid w:val="00F35FFE"/>
    <w:rsid w:val="00F42344"/>
    <w:rsid w:val="00F42A52"/>
    <w:rsid w:val="00F4306B"/>
    <w:rsid w:val="00F43093"/>
    <w:rsid w:val="00F47E5A"/>
    <w:rsid w:val="00F51F9E"/>
    <w:rsid w:val="00F523A4"/>
    <w:rsid w:val="00F52B84"/>
    <w:rsid w:val="00F55C5C"/>
    <w:rsid w:val="00F562B5"/>
    <w:rsid w:val="00F60C85"/>
    <w:rsid w:val="00F61C3C"/>
    <w:rsid w:val="00F640B6"/>
    <w:rsid w:val="00F64145"/>
    <w:rsid w:val="00F661A1"/>
    <w:rsid w:val="00F6768D"/>
    <w:rsid w:val="00F71B19"/>
    <w:rsid w:val="00F71EF2"/>
    <w:rsid w:val="00F721DD"/>
    <w:rsid w:val="00F723A9"/>
    <w:rsid w:val="00F73090"/>
    <w:rsid w:val="00F733FB"/>
    <w:rsid w:val="00F750C9"/>
    <w:rsid w:val="00F75457"/>
    <w:rsid w:val="00F760D4"/>
    <w:rsid w:val="00F80492"/>
    <w:rsid w:val="00F80C3D"/>
    <w:rsid w:val="00F825A5"/>
    <w:rsid w:val="00F83372"/>
    <w:rsid w:val="00F83C9B"/>
    <w:rsid w:val="00F8481B"/>
    <w:rsid w:val="00F859C4"/>
    <w:rsid w:val="00F86323"/>
    <w:rsid w:val="00F867CF"/>
    <w:rsid w:val="00F9112A"/>
    <w:rsid w:val="00F92925"/>
    <w:rsid w:val="00F950E5"/>
    <w:rsid w:val="00F9630F"/>
    <w:rsid w:val="00F964EF"/>
    <w:rsid w:val="00F965F9"/>
    <w:rsid w:val="00F97086"/>
    <w:rsid w:val="00F9711D"/>
    <w:rsid w:val="00F97762"/>
    <w:rsid w:val="00F97C1D"/>
    <w:rsid w:val="00FA41A9"/>
    <w:rsid w:val="00FB20A6"/>
    <w:rsid w:val="00FB66BA"/>
    <w:rsid w:val="00FB676D"/>
    <w:rsid w:val="00FB707C"/>
    <w:rsid w:val="00FC35B4"/>
    <w:rsid w:val="00FC732C"/>
    <w:rsid w:val="00FC7EE4"/>
    <w:rsid w:val="00FD0F5B"/>
    <w:rsid w:val="00FD1777"/>
    <w:rsid w:val="00FD1E14"/>
    <w:rsid w:val="00FD5034"/>
    <w:rsid w:val="00FD54EB"/>
    <w:rsid w:val="00FF128D"/>
    <w:rsid w:val="00FF18C8"/>
    <w:rsid w:val="00FF2410"/>
    <w:rsid w:val="00FF3163"/>
    <w:rsid w:val="00FF43A8"/>
    <w:rsid w:val="00FF553E"/>
    <w:rsid w:val="00FF5B9F"/>
    <w:rsid w:val="00FF7B8A"/>
    <w:rsid w:val="00FF7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B65F"/>
  <w15:docId w15:val="{EFCFD1A2-FA6E-478A-A34C-E8FDF98A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C0A"/>
  </w:style>
  <w:style w:type="paragraph" w:styleId="Heading1">
    <w:name w:val="heading 1"/>
    <w:basedOn w:val="Normal"/>
    <w:next w:val="Normal"/>
    <w:link w:val="Heading1Char"/>
    <w:uiPriority w:val="9"/>
    <w:qFormat/>
    <w:rsid w:val="007F3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C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C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3C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3C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3C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3C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3C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3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F3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C0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C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3C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3C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3C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3C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3C0A"/>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7F3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7F3C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3C0A"/>
    <w:pPr>
      <w:spacing w:before="160"/>
      <w:jc w:val="center"/>
    </w:pPr>
    <w:rPr>
      <w:i/>
      <w:iCs/>
      <w:color w:val="404040" w:themeColor="text1" w:themeTint="BF"/>
    </w:rPr>
  </w:style>
  <w:style w:type="character" w:customStyle="1" w:styleId="QuoteChar">
    <w:name w:val="Quote Char"/>
    <w:basedOn w:val="DefaultParagraphFont"/>
    <w:link w:val="Quote"/>
    <w:uiPriority w:val="29"/>
    <w:rsid w:val="007F3C0A"/>
    <w:rPr>
      <w:i/>
      <w:iCs/>
      <w:color w:val="404040" w:themeColor="text1" w:themeTint="BF"/>
    </w:rPr>
  </w:style>
  <w:style w:type="paragraph" w:styleId="ListParagraph">
    <w:name w:val="List Paragraph"/>
    <w:basedOn w:val="Normal"/>
    <w:uiPriority w:val="34"/>
    <w:qFormat/>
    <w:rsid w:val="007F3C0A"/>
    <w:pPr>
      <w:ind w:left="720"/>
      <w:contextualSpacing/>
    </w:pPr>
  </w:style>
  <w:style w:type="character" w:styleId="IntenseEmphasis">
    <w:name w:val="Intense Emphasis"/>
    <w:basedOn w:val="DefaultParagraphFont"/>
    <w:uiPriority w:val="21"/>
    <w:qFormat/>
    <w:rsid w:val="007F3C0A"/>
    <w:rPr>
      <w:i/>
      <w:iCs/>
      <w:color w:val="0F4761" w:themeColor="accent1" w:themeShade="BF"/>
    </w:rPr>
  </w:style>
  <w:style w:type="paragraph" w:styleId="IntenseQuote">
    <w:name w:val="Intense Quote"/>
    <w:basedOn w:val="Normal"/>
    <w:next w:val="Normal"/>
    <w:link w:val="IntenseQuoteChar"/>
    <w:uiPriority w:val="30"/>
    <w:qFormat/>
    <w:rsid w:val="007F3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C0A"/>
    <w:rPr>
      <w:i/>
      <w:iCs/>
      <w:color w:val="0F4761" w:themeColor="accent1" w:themeShade="BF"/>
    </w:rPr>
  </w:style>
  <w:style w:type="character" w:styleId="IntenseReference">
    <w:name w:val="Intense Reference"/>
    <w:basedOn w:val="DefaultParagraphFont"/>
    <w:uiPriority w:val="32"/>
    <w:qFormat/>
    <w:rsid w:val="007F3C0A"/>
    <w:rPr>
      <w:b/>
      <w:bCs/>
      <w:smallCaps/>
      <w:color w:val="0F4761" w:themeColor="accent1" w:themeShade="BF"/>
      <w:spacing w:val="5"/>
    </w:rPr>
  </w:style>
  <w:style w:type="character" w:styleId="CommentReference">
    <w:name w:val="annotation reference"/>
    <w:basedOn w:val="DefaultParagraphFont"/>
    <w:uiPriority w:val="99"/>
    <w:semiHidden/>
    <w:unhideWhenUsed/>
    <w:rsid w:val="007F3C0A"/>
    <w:rPr>
      <w:sz w:val="16"/>
      <w:szCs w:val="16"/>
    </w:rPr>
  </w:style>
  <w:style w:type="paragraph" w:styleId="CommentText">
    <w:name w:val="annotation text"/>
    <w:basedOn w:val="Normal"/>
    <w:link w:val="CommentTextChar"/>
    <w:uiPriority w:val="99"/>
    <w:unhideWhenUsed/>
    <w:rsid w:val="007F3C0A"/>
    <w:pPr>
      <w:spacing w:line="240" w:lineRule="auto"/>
    </w:pPr>
    <w:rPr>
      <w:sz w:val="20"/>
      <w:szCs w:val="20"/>
    </w:rPr>
  </w:style>
  <w:style w:type="character" w:customStyle="1" w:styleId="CommentTextChar">
    <w:name w:val="Comment Text Char"/>
    <w:basedOn w:val="DefaultParagraphFont"/>
    <w:link w:val="CommentText"/>
    <w:uiPriority w:val="99"/>
    <w:rsid w:val="007F3C0A"/>
    <w:rPr>
      <w:sz w:val="20"/>
      <w:szCs w:val="20"/>
    </w:rPr>
  </w:style>
  <w:style w:type="paragraph" w:styleId="BalloonText">
    <w:name w:val="Balloon Text"/>
    <w:basedOn w:val="Normal"/>
    <w:link w:val="BalloonTextChar"/>
    <w:uiPriority w:val="99"/>
    <w:semiHidden/>
    <w:unhideWhenUsed/>
    <w:rsid w:val="005E4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EC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D0272"/>
    <w:rPr>
      <w:b/>
      <w:bCs/>
    </w:rPr>
  </w:style>
  <w:style w:type="character" w:customStyle="1" w:styleId="CommentSubjectChar">
    <w:name w:val="Comment Subject Char"/>
    <w:basedOn w:val="CommentTextChar"/>
    <w:link w:val="CommentSubject"/>
    <w:uiPriority w:val="99"/>
    <w:semiHidden/>
    <w:rsid w:val="004D0272"/>
    <w:rPr>
      <w:b/>
      <w:bCs/>
      <w:sz w:val="20"/>
      <w:szCs w:val="20"/>
    </w:rPr>
  </w:style>
  <w:style w:type="character" w:styleId="LineNumber">
    <w:name w:val="line number"/>
    <w:basedOn w:val="DefaultParagraphFont"/>
    <w:uiPriority w:val="99"/>
    <w:semiHidden/>
    <w:unhideWhenUsed/>
    <w:rsid w:val="00B551EC"/>
  </w:style>
  <w:style w:type="paragraph" w:styleId="NormalWeb">
    <w:name w:val="Normal (Web)"/>
    <w:basedOn w:val="Normal"/>
    <w:uiPriority w:val="99"/>
    <w:semiHidden/>
    <w:unhideWhenUsed/>
    <w:rsid w:val="004D5D1E"/>
    <w:pPr>
      <w:spacing w:before="100" w:beforeAutospacing="1" w:after="100" w:afterAutospacing="1" w:line="240" w:lineRule="auto"/>
    </w:pPr>
    <w:rPr>
      <w:rFonts w:eastAsiaTheme="minorEastAsia"/>
      <w:lang w:val="en-GB"/>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004807"/>
    <w:pPr>
      <w:spacing w:after="0" w:line="240" w:lineRule="auto"/>
    </w:pPr>
  </w:style>
  <w:style w:type="character" w:styleId="Hyperlink">
    <w:name w:val="Hyperlink"/>
    <w:basedOn w:val="DefaultParagraphFont"/>
    <w:uiPriority w:val="99"/>
    <w:unhideWhenUsed/>
    <w:rsid w:val="00A700A9"/>
    <w:rPr>
      <w:color w:val="467886" w:themeColor="hyperlink"/>
      <w:u w:val="single"/>
    </w:rPr>
  </w:style>
  <w:style w:type="paragraph" w:styleId="Bibliography">
    <w:name w:val="Bibliography"/>
    <w:basedOn w:val="Normal"/>
    <w:next w:val="Normal"/>
    <w:uiPriority w:val="37"/>
    <w:unhideWhenUsed/>
    <w:rsid w:val="001A58DF"/>
    <w:pPr>
      <w:spacing w:after="240" w:line="240" w:lineRule="auto"/>
      <w:ind w:left="720" w:hanging="720"/>
    </w:pPr>
  </w:style>
  <w:style w:type="character" w:styleId="UnresolvedMention">
    <w:name w:val="Unresolved Mention"/>
    <w:basedOn w:val="DefaultParagraphFont"/>
    <w:uiPriority w:val="99"/>
    <w:semiHidden/>
    <w:unhideWhenUsed/>
    <w:rsid w:val="00973E3D"/>
    <w:rPr>
      <w:color w:val="605E5C"/>
      <w:shd w:val="clear" w:color="auto" w:fill="E1DFDD"/>
    </w:rPr>
  </w:style>
  <w:style w:type="character" w:styleId="FollowedHyperlink">
    <w:name w:val="FollowedHyperlink"/>
    <w:basedOn w:val="DefaultParagraphFont"/>
    <w:uiPriority w:val="99"/>
    <w:semiHidden/>
    <w:unhideWhenUsed/>
    <w:rsid w:val="00A258C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9098">
      <w:bodyDiv w:val="1"/>
      <w:marLeft w:val="0"/>
      <w:marRight w:val="0"/>
      <w:marTop w:val="0"/>
      <w:marBottom w:val="0"/>
      <w:divBdr>
        <w:top w:val="none" w:sz="0" w:space="0" w:color="auto"/>
        <w:left w:val="none" w:sz="0" w:space="0" w:color="auto"/>
        <w:bottom w:val="none" w:sz="0" w:space="0" w:color="auto"/>
        <w:right w:val="none" w:sz="0" w:space="0" w:color="auto"/>
      </w:divBdr>
    </w:div>
    <w:div w:id="100270420">
      <w:bodyDiv w:val="1"/>
      <w:marLeft w:val="0"/>
      <w:marRight w:val="0"/>
      <w:marTop w:val="0"/>
      <w:marBottom w:val="0"/>
      <w:divBdr>
        <w:top w:val="none" w:sz="0" w:space="0" w:color="auto"/>
        <w:left w:val="none" w:sz="0" w:space="0" w:color="auto"/>
        <w:bottom w:val="none" w:sz="0" w:space="0" w:color="auto"/>
        <w:right w:val="none" w:sz="0" w:space="0" w:color="auto"/>
      </w:divBdr>
    </w:div>
    <w:div w:id="172495004">
      <w:bodyDiv w:val="1"/>
      <w:marLeft w:val="0"/>
      <w:marRight w:val="0"/>
      <w:marTop w:val="0"/>
      <w:marBottom w:val="0"/>
      <w:divBdr>
        <w:top w:val="none" w:sz="0" w:space="0" w:color="auto"/>
        <w:left w:val="none" w:sz="0" w:space="0" w:color="auto"/>
        <w:bottom w:val="none" w:sz="0" w:space="0" w:color="auto"/>
        <w:right w:val="none" w:sz="0" w:space="0" w:color="auto"/>
      </w:divBdr>
    </w:div>
    <w:div w:id="246155434">
      <w:bodyDiv w:val="1"/>
      <w:marLeft w:val="0"/>
      <w:marRight w:val="0"/>
      <w:marTop w:val="0"/>
      <w:marBottom w:val="0"/>
      <w:divBdr>
        <w:top w:val="none" w:sz="0" w:space="0" w:color="auto"/>
        <w:left w:val="none" w:sz="0" w:space="0" w:color="auto"/>
        <w:bottom w:val="none" w:sz="0" w:space="0" w:color="auto"/>
        <w:right w:val="none" w:sz="0" w:space="0" w:color="auto"/>
      </w:divBdr>
    </w:div>
    <w:div w:id="357506072">
      <w:bodyDiv w:val="1"/>
      <w:marLeft w:val="0"/>
      <w:marRight w:val="0"/>
      <w:marTop w:val="0"/>
      <w:marBottom w:val="0"/>
      <w:divBdr>
        <w:top w:val="none" w:sz="0" w:space="0" w:color="auto"/>
        <w:left w:val="none" w:sz="0" w:space="0" w:color="auto"/>
        <w:bottom w:val="none" w:sz="0" w:space="0" w:color="auto"/>
        <w:right w:val="none" w:sz="0" w:space="0" w:color="auto"/>
      </w:divBdr>
    </w:div>
    <w:div w:id="367334506">
      <w:bodyDiv w:val="1"/>
      <w:marLeft w:val="0"/>
      <w:marRight w:val="0"/>
      <w:marTop w:val="0"/>
      <w:marBottom w:val="0"/>
      <w:divBdr>
        <w:top w:val="none" w:sz="0" w:space="0" w:color="auto"/>
        <w:left w:val="none" w:sz="0" w:space="0" w:color="auto"/>
        <w:bottom w:val="none" w:sz="0" w:space="0" w:color="auto"/>
        <w:right w:val="none" w:sz="0" w:space="0" w:color="auto"/>
      </w:divBdr>
    </w:div>
    <w:div w:id="391582108">
      <w:bodyDiv w:val="1"/>
      <w:marLeft w:val="0"/>
      <w:marRight w:val="0"/>
      <w:marTop w:val="0"/>
      <w:marBottom w:val="0"/>
      <w:divBdr>
        <w:top w:val="none" w:sz="0" w:space="0" w:color="auto"/>
        <w:left w:val="none" w:sz="0" w:space="0" w:color="auto"/>
        <w:bottom w:val="none" w:sz="0" w:space="0" w:color="auto"/>
        <w:right w:val="none" w:sz="0" w:space="0" w:color="auto"/>
      </w:divBdr>
    </w:div>
    <w:div w:id="501703544">
      <w:bodyDiv w:val="1"/>
      <w:marLeft w:val="0"/>
      <w:marRight w:val="0"/>
      <w:marTop w:val="0"/>
      <w:marBottom w:val="0"/>
      <w:divBdr>
        <w:top w:val="none" w:sz="0" w:space="0" w:color="auto"/>
        <w:left w:val="none" w:sz="0" w:space="0" w:color="auto"/>
        <w:bottom w:val="none" w:sz="0" w:space="0" w:color="auto"/>
        <w:right w:val="none" w:sz="0" w:space="0" w:color="auto"/>
      </w:divBdr>
    </w:div>
    <w:div w:id="514342943">
      <w:bodyDiv w:val="1"/>
      <w:marLeft w:val="0"/>
      <w:marRight w:val="0"/>
      <w:marTop w:val="0"/>
      <w:marBottom w:val="0"/>
      <w:divBdr>
        <w:top w:val="none" w:sz="0" w:space="0" w:color="auto"/>
        <w:left w:val="none" w:sz="0" w:space="0" w:color="auto"/>
        <w:bottom w:val="none" w:sz="0" w:space="0" w:color="auto"/>
        <w:right w:val="none" w:sz="0" w:space="0" w:color="auto"/>
      </w:divBdr>
    </w:div>
    <w:div w:id="546140145">
      <w:bodyDiv w:val="1"/>
      <w:marLeft w:val="0"/>
      <w:marRight w:val="0"/>
      <w:marTop w:val="0"/>
      <w:marBottom w:val="0"/>
      <w:divBdr>
        <w:top w:val="none" w:sz="0" w:space="0" w:color="auto"/>
        <w:left w:val="none" w:sz="0" w:space="0" w:color="auto"/>
        <w:bottom w:val="none" w:sz="0" w:space="0" w:color="auto"/>
        <w:right w:val="none" w:sz="0" w:space="0" w:color="auto"/>
      </w:divBdr>
    </w:div>
    <w:div w:id="731775121">
      <w:bodyDiv w:val="1"/>
      <w:marLeft w:val="0"/>
      <w:marRight w:val="0"/>
      <w:marTop w:val="0"/>
      <w:marBottom w:val="0"/>
      <w:divBdr>
        <w:top w:val="none" w:sz="0" w:space="0" w:color="auto"/>
        <w:left w:val="none" w:sz="0" w:space="0" w:color="auto"/>
        <w:bottom w:val="none" w:sz="0" w:space="0" w:color="auto"/>
        <w:right w:val="none" w:sz="0" w:space="0" w:color="auto"/>
      </w:divBdr>
    </w:div>
    <w:div w:id="872693517">
      <w:bodyDiv w:val="1"/>
      <w:marLeft w:val="0"/>
      <w:marRight w:val="0"/>
      <w:marTop w:val="0"/>
      <w:marBottom w:val="0"/>
      <w:divBdr>
        <w:top w:val="none" w:sz="0" w:space="0" w:color="auto"/>
        <w:left w:val="none" w:sz="0" w:space="0" w:color="auto"/>
        <w:bottom w:val="none" w:sz="0" w:space="0" w:color="auto"/>
        <w:right w:val="none" w:sz="0" w:space="0" w:color="auto"/>
      </w:divBdr>
    </w:div>
    <w:div w:id="937523708">
      <w:bodyDiv w:val="1"/>
      <w:marLeft w:val="0"/>
      <w:marRight w:val="0"/>
      <w:marTop w:val="0"/>
      <w:marBottom w:val="0"/>
      <w:divBdr>
        <w:top w:val="none" w:sz="0" w:space="0" w:color="auto"/>
        <w:left w:val="none" w:sz="0" w:space="0" w:color="auto"/>
        <w:bottom w:val="none" w:sz="0" w:space="0" w:color="auto"/>
        <w:right w:val="none" w:sz="0" w:space="0" w:color="auto"/>
      </w:divBdr>
    </w:div>
    <w:div w:id="1043753321">
      <w:bodyDiv w:val="1"/>
      <w:marLeft w:val="0"/>
      <w:marRight w:val="0"/>
      <w:marTop w:val="0"/>
      <w:marBottom w:val="0"/>
      <w:divBdr>
        <w:top w:val="none" w:sz="0" w:space="0" w:color="auto"/>
        <w:left w:val="none" w:sz="0" w:space="0" w:color="auto"/>
        <w:bottom w:val="none" w:sz="0" w:space="0" w:color="auto"/>
        <w:right w:val="none" w:sz="0" w:space="0" w:color="auto"/>
      </w:divBdr>
    </w:div>
    <w:div w:id="1286422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029/40adb0f3-23ed-48c0-9cd3-ff7083c9d2f4" TargetMode="External"/><Relationship Id="rId13" Type="http://schemas.openxmlformats.org/officeDocument/2006/relationships/oleObject" Target="embeddings/oleObject2.bin"/><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s://doi.org/10.17029/40adb0f3-23ed-48c0-9cd3-ff7083c9d2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UnqyeDUxusKnZf12SrQ8bINGHA==">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</go:docsCustomData>
</go:gDocsCustomXmlDataStorage>
</file>

<file path=customXml/itemProps1.xml><?xml version="1.0" encoding="utf-8"?>
<ds:datastoreItem xmlns:ds="http://schemas.openxmlformats.org/officeDocument/2006/customXml" ds:itemID="{31BA5D3F-6DA3-43DA-A2C4-A988546BD85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0052307c-564d-4fdc-9879-5a446cf6c746}" enabled="0" method="" siteId="{0052307c-564d-4fdc-9879-5a446cf6c746}" removed="1"/>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42554</Words>
  <Characters>231069</Characters>
  <Application>Microsoft Office Word</Application>
  <DocSecurity>0</DocSecurity>
  <Lines>4359</Lines>
  <Paragraphs>1765</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271858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Piccolo</dc:creator>
  <cp:lastModifiedBy>Zoe Saynor</cp:lastModifiedBy>
  <cp:revision>3</cp:revision>
  <dcterms:created xsi:type="dcterms:W3CDTF">2026-04-01T17:44:00Z</dcterms:created>
  <dcterms:modified xsi:type="dcterms:W3CDTF">2026-04-01T17:44:00Z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http://www.zotero.org/styles/journal-of-applied-physiology</vt:lpwstr>
  </property>
  <property fmtid="{D5CDD505-2E9C-101B-9397-08002B2CF9AE}" pid="11" name="Mendeley Recent Style Name 4_1">
    <vt:lpwstr>Journal of Applied Physiology</vt:lpwstr>
  </property>
  <property fmtid="{D5CDD505-2E9C-101B-9397-08002B2CF9AE}" pid="12" name="Mendeley Recent Style Id 5_1">
    <vt:lpwstr>http://www.zotero.org/styles/journal-of-thermal-biology</vt:lpwstr>
  </property>
  <property fmtid="{D5CDD505-2E9C-101B-9397-08002B2CF9AE}" pid="13" name="Mendeley Recent Style Name 5_1">
    <vt:lpwstr>Journal of Thermal Biology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http://www.zotero.org/styles/the-journal-of-physiology</vt:lpwstr>
  </property>
  <property fmtid="{D5CDD505-2E9C-101B-9397-08002B2CF9AE}" pid="21" name="Mendeley Recent Style Name 9_1">
    <vt:lpwstr>The Journal of Physiology</vt:lpwstr>
  </property>
  <property fmtid="{D5CDD505-2E9C-101B-9397-08002B2CF9AE}" pid="22" name="Mendeley Document_1">
    <vt:lpwstr>True</vt:lpwstr>
  </property>
  <property fmtid="{D5CDD505-2E9C-101B-9397-08002B2CF9AE}" pid="23" name="Mendeley Unique User Id_1">
    <vt:lpwstr>ed297d5a-07ad-38da-905b-a46c86664d41</vt:lpwstr>
  </property>
  <property fmtid="{D5CDD505-2E9C-101B-9397-08002B2CF9AE}" pid="24" name="Mendeley Citation Style_1">
    <vt:lpwstr>http://www.zotero.org/styles/journal-of-thermal-biology</vt:lpwstr>
  </property>
  <property fmtid="{D5CDD505-2E9C-101B-9397-08002B2CF9AE}" pid="25" name="ZOTERO_PREF_1">
    <vt:lpwstr>&lt;data data-version="3" zotero-version="7.0.32"&gt;&lt;session id="ApCCldRE"/&gt;&lt;style id="http://www.zotero.org/styles/experimental-physiology" hasBibliography="1" bibliographyStyleHasBeenSet="1"/&gt;&lt;prefs&gt;&lt;pref name="fieldType" value="Field"/&gt;&lt;/prefs&gt;&lt;/data&gt;</vt:lpwstr>
  </property>
</Properties>
</file>