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5446" w14:textId="77777777" w:rsidR="00DC746B" w:rsidRPr="00743C2A" w:rsidRDefault="00DC746B" w:rsidP="00FA7ADA">
      <w:pPr>
        <w:jc w:val="center"/>
        <w:rPr>
          <w:b/>
          <w:sz w:val="36"/>
          <w:szCs w:val="36"/>
        </w:rPr>
      </w:pPr>
      <w:bookmarkStart w:id="0" w:name="_Hlk183561116"/>
      <w:bookmarkStart w:id="1" w:name="_Toc305616047"/>
      <w:bookmarkStart w:id="2" w:name="_Toc306634420"/>
      <w:bookmarkStart w:id="3" w:name="_Toc320795767"/>
      <w:r w:rsidRPr="00743C2A">
        <w:rPr>
          <w:b/>
          <w:sz w:val="36"/>
          <w:szCs w:val="36"/>
        </w:rPr>
        <w:t>Political Partisanship and State-level Bank Efficiency</w:t>
      </w:r>
    </w:p>
    <w:bookmarkEnd w:id="0"/>
    <w:p w14:paraId="1ED9D090" w14:textId="77777777" w:rsidR="004A6289" w:rsidRDefault="004A6289" w:rsidP="00DC746B">
      <w:pPr>
        <w:spacing w:line="360" w:lineRule="auto"/>
        <w:jc w:val="center"/>
        <w:rPr>
          <w:b/>
        </w:rPr>
      </w:pPr>
    </w:p>
    <w:p w14:paraId="47F90CCF" w14:textId="77777777" w:rsidR="004A6289" w:rsidRDefault="004A6289" w:rsidP="00DC746B">
      <w:pPr>
        <w:spacing w:line="360" w:lineRule="auto"/>
        <w:jc w:val="center"/>
        <w:rPr>
          <w:b/>
        </w:rPr>
      </w:pPr>
    </w:p>
    <w:p w14:paraId="0011E2CE" w14:textId="2522ED5F" w:rsidR="00DC746B" w:rsidRDefault="00DC746B" w:rsidP="00DC746B">
      <w:pPr>
        <w:spacing w:line="360" w:lineRule="auto"/>
        <w:jc w:val="center"/>
        <w:rPr>
          <w:b/>
        </w:rPr>
      </w:pPr>
      <w:r w:rsidRPr="00CE1CE2">
        <w:rPr>
          <w:b/>
        </w:rPr>
        <w:t>Abstract</w:t>
      </w:r>
    </w:p>
    <w:p w14:paraId="1759FDBA" w14:textId="77777777" w:rsidR="004A6289" w:rsidRPr="00CE1CE2" w:rsidRDefault="004A6289" w:rsidP="00DC746B">
      <w:pPr>
        <w:spacing w:line="360" w:lineRule="auto"/>
        <w:jc w:val="center"/>
        <w:rPr>
          <w:b/>
        </w:rPr>
      </w:pPr>
    </w:p>
    <w:p w14:paraId="49369F33" w14:textId="1B9DA5B0" w:rsidR="00DC746B" w:rsidRDefault="00DC746B" w:rsidP="00DC746B">
      <w:pPr>
        <w:spacing w:line="360" w:lineRule="auto"/>
        <w:jc w:val="both"/>
        <w:rPr>
          <w:sz w:val="22"/>
          <w:szCs w:val="22"/>
        </w:rPr>
      </w:pPr>
      <w:r w:rsidRPr="008F10DE">
        <w:rPr>
          <w:sz w:val="22"/>
          <w:szCs w:val="22"/>
        </w:rPr>
        <w:t xml:space="preserve">We examine the relationship between political partisanship and commercial bank efficiency in the United States over the period 1972–2020, assessing the persistent influence of political affiliations at the state and District of Columbia levels. Bank efficiency scores are estimated using a double-bootstrap approach, and the analysis is conducted within a </w:t>
      </w:r>
      <w:r w:rsidR="00472A6C">
        <w:rPr>
          <w:sz w:val="22"/>
          <w:szCs w:val="22"/>
        </w:rPr>
        <w:t>S</w:t>
      </w:r>
      <w:r w:rsidRPr="008F10DE">
        <w:rPr>
          <w:sz w:val="22"/>
          <w:szCs w:val="22"/>
        </w:rPr>
        <w:t xml:space="preserve">patial </w:t>
      </w:r>
      <w:r w:rsidR="00472A6C">
        <w:rPr>
          <w:sz w:val="22"/>
          <w:szCs w:val="22"/>
        </w:rPr>
        <w:t>D</w:t>
      </w:r>
      <w:r w:rsidRPr="008F10DE">
        <w:rPr>
          <w:sz w:val="22"/>
          <w:szCs w:val="22"/>
        </w:rPr>
        <w:t>ynamic panel Tobit framework that controls for a broad set of banking and macroeconomic factors. The results reveal a significant effect of U.S. state and national elections on interdependent bank efficiency scores, providing robust support for the partisan theory in the context of U.S. banking over five decades. We find compelling evidence that Democratic victories at both the state and national levels are associated with higher state-level bank efficiency, even after accounting for bank-specific characteristics. Additionally, changing the political party in power every four years could enhance the efficiency of the U.S. banking system. These findings suggest that political change, rather than being purely disruptive, can act as a catalyst for efficiency improvements in the U.S. banking system. The results remain consistent across multiple robustness tests.</w:t>
      </w:r>
    </w:p>
    <w:p w14:paraId="357D7496" w14:textId="77777777" w:rsidR="00FA7ADA" w:rsidRDefault="00FA7ADA" w:rsidP="00DC746B">
      <w:pPr>
        <w:spacing w:line="360" w:lineRule="auto"/>
        <w:jc w:val="both"/>
        <w:rPr>
          <w:sz w:val="22"/>
          <w:szCs w:val="22"/>
        </w:rPr>
      </w:pPr>
    </w:p>
    <w:p w14:paraId="60D2D7CE" w14:textId="77777777" w:rsidR="00FA7ADA" w:rsidRDefault="00FA7ADA" w:rsidP="00DC746B">
      <w:pPr>
        <w:spacing w:line="360" w:lineRule="auto"/>
        <w:jc w:val="both"/>
        <w:rPr>
          <w:sz w:val="22"/>
          <w:szCs w:val="22"/>
        </w:rPr>
      </w:pPr>
    </w:p>
    <w:p w14:paraId="12E2B461" w14:textId="77777777" w:rsidR="00FA7ADA" w:rsidRDefault="00FA7ADA" w:rsidP="00DC746B">
      <w:pPr>
        <w:spacing w:line="360" w:lineRule="auto"/>
        <w:jc w:val="both"/>
        <w:rPr>
          <w:sz w:val="22"/>
          <w:szCs w:val="22"/>
        </w:rPr>
      </w:pPr>
    </w:p>
    <w:p w14:paraId="7ECF9307" w14:textId="77777777" w:rsidR="00FA7ADA" w:rsidRDefault="00FA7ADA" w:rsidP="00DC746B">
      <w:pPr>
        <w:spacing w:line="360" w:lineRule="auto"/>
        <w:jc w:val="both"/>
        <w:rPr>
          <w:sz w:val="22"/>
          <w:szCs w:val="22"/>
        </w:rPr>
      </w:pPr>
    </w:p>
    <w:p w14:paraId="011D48B1" w14:textId="77777777" w:rsidR="00FA7ADA" w:rsidRDefault="00FA7ADA" w:rsidP="00DC746B">
      <w:pPr>
        <w:spacing w:line="360" w:lineRule="auto"/>
        <w:jc w:val="both"/>
        <w:rPr>
          <w:sz w:val="22"/>
          <w:szCs w:val="22"/>
        </w:rPr>
      </w:pPr>
    </w:p>
    <w:p w14:paraId="0092E625" w14:textId="77777777" w:rsidR="00FA7ADA" w:rsidRDefault="00FA7ADA" w:rsidP="00DC746B">
      <w:pPr>
        <w:spacing w:line="360" w:lineRule="auto"/>
        <w:jc w:val="both"/>
        <w:rPr>
          <w:sz w:val="22"/>
          <w:szCs w:val="22"/>
        </w:rPr>
      </w:pPr>
    </w:p>
    <w:p w14:paraId="24C4E098" w14:textId="77777777" w:rsidR="00FA7ADA" w:rsidRDefault="00FA7ADA" w:rsidP="00DC746B">
      <w:pPr>
        <w:spacing w:line="360" w:lineRule="auto"/>
        <w:jc w:val="both"/>
        <w:rPr>
          <w:sz w:val="22"/>
          <w:szCs w:val="22"/>
        </w:rPr>
      </w:pPr>
    </w:p>
    <w:p w14:paraId="14135527" w14:textId="77777777" w:rsidR="00FA7ADA" w:rsidRDefault="00FA7ADA" w:rsidP="00DC746B">
      <w:pPr>
        <w:spacing w:line="360" w:lineRule="auto"/>
        <w:jc w:val="both"/>
        <w:rPr>
          <w:sz w:val="22"/>
          <w:szCs w:val="22"/>
        </w:rPr>
      </w:pPr>
    </w:p>
    <w:p w14:paraId="2693AA9E" w14:textId="77777777" w:rsidR="00FA7ADA" w:rsidRDefault="00FA7ADA" w:rsidP="00DC746B">
      <w:pPr>
        <w:spacing w:line="360" w:lineRule="auto"/>
        <w:jc w:val="both"/>
        <w:rPr>
          <w:sz w:val="22"/>
          <w:szCs w:val="22"/>
        </w:rPr>
      </w:pPr>
    </w:p>
    <w:p w14:paraId="06142F24" w14:textId="77777777" w:rsidR="00FA7ADA" w:rsidRDefault="00FA7ADA" w:rsidP="00DC746B">
      <w:pPr>
        <w:spacing w:line="360" w:lineRule="auto"/>
        <w:jc w:val="both"/>
        <w:rPr>
          <w:sz w:val="22"/>
          <w:szCs w:val="22"/>
        </w:rPr>
      </w:pPr>
    </w:p>
    <w:p w14:paraId="5CF921F5" w14:textId="77777777" w:rsidR="00FA7ADA" w:rsidRDefault="00FA7ADA" w:rsidP="00DC746B">
      <w:pPr>
        <w:spacing w:line="360" w:lineRule="auto"/>
        <w:jc w:val="both"/>
        <w:rPr>
          <w:sz w:val="22"/>
          <w:szCs w:val="22"/>
        </w:rPr>
      </w:pPr>
    </w:p>
    <w:p w14:paraId="63C8862A" w14:textId="77777777" w:rsidR="00FA7ADA" w:rsidRDefault="00FA7ADA" w:rsidP="00DC746B">
      <w:pPr>
        <w:spacing w:line="360" w:lineRule="auto"/>
        <w:jc w:val="both"/>
        <w:rPr>
          <w:sz w:val="22"/>
          <w:szCs w:val="22"/>
        </w:rPr>
      </w:pPr>
    </w:p>
    <w:p w14:paraId="28DBF57C" w14:textId="77777777" w:rsidR="00FA7ADA" w:rsidRDefault="00FA7ADA" w:rsidP="00DC746B">
      <w:pPr>
        <w:spacing w:line="360" w:lineRule="auto"/>
        <w:jc w:val="both"/>
        <w:rPr>
          <w:sz w:val="22"/>
          <w:szCs w:val="22"/>
        </w:rPr>
      </w:pPr>
    </w:p>
    <w:p w14:paraId="60C1E8D2" w14:textId="77777777" w:rsidR="00FA7ADA" w:rsidRDefault="00FA7ADA" w:rsidP="00DC746B">
      <w:pPr>
        <w:spacing w:line="360" w:lineRule="auto"/>
        <w:jc w:val="both"/>
        <w:rPr>
          <w:sz w:val="22"/>
          <w:szCs w:val="22"/>
        </w:rPr>
      </w:pPr>
    </w:p>
    <w:p w14:paraId="48A2015B" w14:textId="77777777" w:rsidR="00FA7ADA" w:rsidRDefault="00FA7ADA" w:rsidP="00DC746B">
      <w:pPr>
        <w:spacing w:line="360" w:lineRule="auto"/>
        <w:jc w:val="both"/>
        <w:rPr>
          <w:sz w:val="22"/>
          <w:szCs w:val="22"/>
        </w:rPr>
      </w:pPr>
    </w:p>
    <w:p w14:paraId="43DB3614" w14:textId="77777777" w:rsidR="00FA7ADA" w:rsidRDefault="00FA7ADA" w:rsidP="00DC746B">
      <w:pPr>
        <w:spacing w:line="360" w:lineRule="auto"/>
        <w:jc w:val="both"/>
        <w:rPr>
          <w:sz w:val="22"/>
          <w:szCs w:val="22"/>
        </w:rPr>
      </w:pPr>
    </w:p>
    <w:p w14:paraId="3348E9DE" w14:textId="77777777" w:rsidR="00FA7ADA" w:rsidRPr="008F10DE" w:rsidRDefault="00FA7ADA" w:rsidP="00DC746B">
      <w:pPr>
        <w:spacing w:line="360" w:lineRule="auto"/>
        <w:jc w:val="both"/>
        <w:rPr>
          <w:sz w:val="22"/>
          <w:szCs w:val="22"/>
        </w:rPr>
      </w:pPr>
    </w:p>
    <w:p w14:paraId="140CAD96" w14:textId="01CC9326" w:rsidR="00862C4D" w:rsidRPr="00CE1CE2" w:rsidRDefault="00862C4D" w:rsidP="00862C4D">
      <w:pPr>
        <w:pStyle w:val="Heading1"/>
        <w:numPr>
          <w:ilvl w:val="0"/>
          <w:numId w:val="0"/>
        </w:numPr>
        <w:rPr>
          <w:sz w:val="22"/>
          <w:szCs w:val="22"/>
        </w:rPr>
      </w:pPr>
      <w:r w:rsidRPr="00CE1CE2">
        <w:rPr>
          <w:sz w:val="22"/>
          <w:szCs w:val="22"/>
        </w:rPr>
        <w:lastRenderedPageBreak/>
        <w:t>1</w:t>
      </w:r>
      <w:r w:rsidR="00FB41ED">
        <w:rPr>
          <w:sz w:val="22"/>
          <w:szCs w:val="22"/>
        </w:rPr>
        <w:t>.</w:t>
      </w:r>
      <w:r w:rsidRPr="00CE1CE2">
        <w:rPr>
          <w:sz w:val="22"/>
          <w:szCs w:val="22"/>
        </w:rPr>
        <w:t xml:space="preserve"> Introduction</w:t>
      </w:r>
      <w:bookmarkEnd w:id="1"/>
      <w:bookmarkEnd w:id="2"/>
      <w:bookmarkEnd w:id="3"/>
      <w:r w:rsidRPr="00CE1CE2">
        <w:rPr>
          <w:sz w:val="22"/>
          <w:szCs w:val="22"/>
        </w:rPr>
        <w:t xml:space="preserve"> </w:t>
      </w:r>
    </w:p>
    <w:p w14:paraId="4DFA1B6C" w14:textId="728EA250" w:rsidR="00143B2F" w:rsidRPr="005B1D9D" w:rsidRDefault="005B1D9D" w:rsidP="005B1D9D">
      <w:pPr>
        <w:spacing w:line="360" w:lineRule="auto"/>
        <w:jc w:val="both"/>
        <w:rPr>
          <w:color w:val="004F88"/>
          <w:sz w:val="22"/>
          <w:szCs w:val="22"/>
          <w:lang w:val="en-US"/>
        </w:rPr>
      </w:pPr>
      <w:r w:rsidRPr="005B1D9D">
        <w:rPr>
          <w:color w:val="004F88"/>
          <w:sz w:val="22"/>
          <w:szCs w:val="22"/>
        </w:rPr>
        <w:t>In an increasingly competitive global landscape, the United States (U.S.) banking system remains a significant player, yet it is surprising how little we understand about the factors influencing its efficiency. There is a notable gap in the existing literature in quantifying how regional and federal political characteristics affect commercial bank efficiency, despite numerous studies demonstrating links between U.S. politics, the economy, stock prices, and bank performance or deregulation (Blinder and Watson 2016; Kempf and Tsoutsoura 2021; Kroszner and Strahan 1999; Papadimitri et al. 2021; Riley and Luksetich 1980). To the best of our knowledge, further research is needed to examine the role of both regional and federal political characteristics in shaping bank efficiency, particularly given the complex interplay between federal and state powers in the U.S., which often influences the regulation and performance of commercial banks. Rivlin (1991) argues that U.S. states should have clearer responsibility for most types of public investment, while the federal government should primarily oversee international economic and political affairs. Economic development, sometimes referred to as “industrial policy,” is thus expected to be a key focus of proactive governors and state legislative leaders. Other studies, such as Kroszner and Strahan (1999), examine the dynamics of deregulation, while others, such as Gropper et al. (2015), link state economic freedom to bank profitability. However, we argue that the discussion on bank efficiency may differ when considering the influence of dominant political parties—Democratic or Republican—at both the state and federal levels. As partisan politics in the U.S. evolve, with increasing polarization in societal beliefs along party lines (Bertrand and Kamenica 2018; Doherty 2017), it becomes increasingly important to assess their impact on commercial bank efficiency</w:t>
      </w:r>
      <w:r w:rsidR="00AB7557" w:rsidRPr="005B1D9D">
        <w:rPr>
          <w:color w:val="004F88"/>
          <w:sz w:val="22"/>
          <w:szCs w:val="22"/>
          <w:lang w:val="en-US"/>
        </w:rPr>
        <w:t>.</w:t>
      </w:r>
    </w:p>
    <w:p w14:paraId="48A06202" w14:textId="77777777" w:rsidR="00FA7ADA" w:rsidRPr="00AB7557" w:rsidRDefault="00FA7ADA" w:rsidP="00143B2F">
      <w:pPr>
        <w:spacing w:line="360" w:lineRule="auto"/>
        <w:jc w:val="both"/>
        <w:rPr>
          <w:sz w:val="22"/>
          <w:szCs w:val="22"/>
          <w:lang w:val="en-US"/>
        </w:rPr>
      </w:pPr>
    </w:p>
    <w:p w14:paraId="542B5BD1" w14:textId="5A728AFF" w:rsidR="00A503D9" w:rsidRPr="00FF7A6C" w:rsidRDefault="00AB7557" w:rsidP="00FF7A6C">
      <w:pPr>
        <w:spacing w:line="360" w:lineRule="auto"/>
        <w:jc w:val="both"/>
        <w:rPr>
          <w:color w:val="004F88"/>
          <w:sz w:val="22"/>
          <w:szCs w:val="22"/>
          <w:lang w:val="en-US"/>
        </w:rPr>
      </w:pPr>
      <w:r w:rsidRPr="0067691E">
        <w:rPr>
          <w:sz w:val="22"/>
          <w:szCs w:val="22"/>
          <w:lang w:val="en-US"/>
        </w:rPr>
        <w:t xml:space="preserve">Our </w:t>
      </w:r>
      <w:r w:rsidR="00862C4D" w:rsidRPr="0067691E">
        <w:rPr>
          <w:sz w:val="22"/>
          <w:szCs w:val="22"/>
          <w:lang w:val="en-US"/>
        </w:rPr>
        <w:t xml:space="preserve">objective </w:t>
      </w:r>
      <w:r w:rsidRPr="0067691E">
        <w:rPr>
          <w:sz w:val="22"/>
          <w:szCs w:val="22"/>
          <w:lang w:val="en-US"/>
        </w:rPr>
        <w:t xml:space="preserve">in </w:t>
      </w:r>
      <w:r w:rsidR="00862C4D" w:rsidRPr="0067691E">
        <w:rPr>
          <w:sz w:val="22"/>
          <w:szCs w:val="22"/>
          <w:lang w:val="en-US"/>
        </w:rPr>
        <w:t xml:space="preserve">this paper is to </w:t>
      </w:r>
      <w:r w:rsidR="00FF7A6C" w:rsidRPr="00FF7A6C">
        <w:rPr>
          <w:color w:val="004F88"/>
          <w:sz w:val="22"/>
          <w:szCs w:val="22"/>
        </w:rPr>
        <w:t>examine the role of state- and national-level politics in shaping U.S. bank efficiency across states and the District of Columbia</w:t>
      </w:r>
      <w:r w:rsidR="00862C4D" w:rsidRPr="0067691E">
        <w:rPr>
          <w:sz w:val="22"/>
          <w:szCs w:val="22"/>
          <w:lang w:val="en-US"/>
        </w:rPr>
        <w:t>.</w:t>
      </w:r>
      <w:r w:rsidR="00DA03F1" w:rsidRPr="0067691E">
        <w:rPr>
          <w:sz w:val="22"/>
          <w:szCs w:val="22"/>
          <w:lang w:val="en-US"/>
        </w:rPr>
        <w:t xml:space="preserve"> </w:t>
      </w:r>
      <w:r w:rsidR="00FF7A6C" w:rsidRPr="00FF7A6C">
        <w:rPr>
          <w:color w:val="004F88"/>
          <w:sz w:val="22"/>
          <w:szCs w:val="22"/>
        </w:rPr>
        <w:t>Specifically, we ask whether banks operating in states with Democratic or Republican political orientations exhibit different levels of efficiency. While a common assumption in the literature is that regulation reduces efficiency, evidence from the banking sector suggests that the opposite may also hold. For instance, stronger supervision—potentially associated with specific party control—can reduce risk-taking, non-performing loans, moral hazard, and information asymmetry, thereby improving cost efficiency and financial stability. A relevant example is the Dodd–Frank Wall Street Reform and Consumer Protection Act introduced under President Barack Obama. This reform strengthened underwriting standards and capital requirements, potentially reducing loan losses, while also enhancing transparency through stress testing and disclosure requirements. In addition, it may mitigate agency problems by promoting stronger compliance oversight and improved governance practices</w:t>
      </w:r>
      <w:r w:rsidR="00A503D9" w:rsidRPr="00FF7A6C">
        <w:rPr>
          <w:color w:val="004F88"/>
          <w:sz w:val="22"/>
          <w:szCs w:val="22"/>
          <w:lang w:val="en-US"/>
        </w:rPr>
        <w:t xml:space="preserve">. </w:t>
      </w:r>
    </w:p>
    <w:p w14:paraId="70AE9702" w14:textId="77777777" w:rsidR="00FA7ADA" w:rsidRPr="0026149A" w:rsidRDefault="00FA7ADA" w:rsidP="00FA7ADA">
      <w:pPr>
        <w:spacing w:line="360" w:lineRule="auto"/>
        <w:jc w:val="both"/>
        <w:rPr>
          <w:color w:val="007BB8"/>
          <w:sz w:val="22"/>
          <w:szCs w:val="22"/>
          <w:lang w:val="en-US"/>
        </w:rPr>
      </w:pPr>
    </w:p>
    <w:p w14:paraId="1D945BB8" w14:textId="5D57973E" w:rsidR="00A17816" w:rsidRPr="0067691E" w:rsidRDefault="00A503D9" w:rsidP="00FF7A6C">
      <w:pPr>
        <w:spacing w:line="360" w:lineRule="auto"/>
        <w:jc w:val="both"/>
        <w:rPr>
          <w:sz w:val="22"/>
          <w:szCs w:val="22"/>
        </w:rPr>
      </w:pPr>
      <w:r w:rsidRPr="0067691E">
        <w:rPr>
          <w:sz w:val="22"/>
          <w:szCs w:val="22"/>
          <w:lang w:val="en-US"/>
        </w:rPr>
        <w:t xml:space="preserve">Democratic policies may increase credit demand, thus influencing demand-side </w:t>
      </w:r>
      <w:r w:rsidR="00FF7A6C" w:rsidRPr="00FF7A6C">
        <w:rPr>
          <w:color w:val="004F88"/>
          <w:sz w:val="22"/>
          <w:szCs w:val="22"/>
          <w:lang w:val="en-US"/>
        </w:rPr>
        <w:t>dynamics</w:t>
      </w:r>
      <w:r w:rsidRPr="0067691E">
        <w:rPr>
          <w:sz w:val="22"/>
          <w:szCs w:val="22"/>
          <w:lang w:val="en-US"/>
        </w:rPr>
        <w:t xml:space="preserve">. Furthermore, government spending during Democratic administrations can </w:t>
      </w:r>
      <w:r w:rsidR="00FF7A6C">
        <w:rPr>
          <w:sz w:val="22"/>
          <w:szCs w:val="22"/>
          <w:lang w:val="en-US"/>
        </w:rPr>
        <w:t>stimulate</w:t>
      </w:r>
      <w:r w:rsidRPr="0067691E">
        <w:rPr>
          <w:sz w:val="22"/>
          <w:szCs w:val="22"/>
          <w:lang w:val="en-US"/>
        </w:rPr>
        <w:t xml:space="preserve"> local economic activity, which </w:t>
      </w:r>
      <w:r w:rsidR="00FF7A6C" w:rsidRPr="00FF7A6C">
        <w:rPr>
          <w:color w:val="004F88"/>
          <w:sz w:val="22"/>
          <w:szCs w:val="22"/>
          <w:lang w:val="en-US"/>
        </w:rPr>
        <w:t xml:space="preserve">may </w:t>
      </w:r>
      <w:r w:rsidRPr="00FF7A6C">
        <w:rPr>
          <w:color w:val="004F88"/>
          <w:sz w:val="22"/>
          <w:szCs w:val="22"/>
          <w:lang w:val="en-US"/>
        </w:rPr>
        <w:t xml:space="preserve">improve </w:t>
      </w:r>
      <w:r w:rsidRPr="0067691E">
        <w:rPr>
          <w:sz w:val="22"/>
          <w:szCs w:val="22"/>
          <w:lang w:val="en-US"/>
        </w:rPr>
        <w:t>bank performance through higher loan demand, lower default rates, and stronger deposit</w:t>
      </w:r>
      <w:r w:rsidR="00FF7A6C">
        <w:rPr>
          <w:sz w:val="22"/>
          <w:szCs w:val="22"/>
          <w:lang w:val="en-US"/>
        </w:rPr>
        <w:t xml:space="preserve"> growth</w:t>
      </w:r>
      <w:r w:rsidRPr="0067691E">
        <w:rPr>
          <w:sz w:val="22"/>
          <w:szCs w:val="22"/>
          <w:lang w:val="en-US"/>
        </w:rPr>
        <w:t>. There is also an indirect channel</w:t>
      </w:r>
      <w:r w:rsidR="00FF7A6C" w:rsidRPr="00FF7A6C">
        <w:rPr>
          <w:color w:val="004F88"/>
          <w:sz w:val="22"/>
          <w:szCs w:val="22"/>
        </w:rPr>
        <w:t xml:space="preserve">, as some studies suggest that Democratic administrations have </w:t>
      </w:r>
      <w:r w:rsidRPr="0067691E">
        <w:rPr>
          <w:sz w:val="22"/>
          <w:szCs w:val="22"/>
          <w:lang w:val="en-US"/>
        </w:rPr>
        <w:t>historically emphasize countercyclical fiscal policy and stronger automatic stabilizers. T</w:t>
      </w:r>
      <w:r w:rsidR="00862C4D" w:rsidRPr="0067691E">
        <w:rPr>
          <w:sz w:val="22"/>
          <w:szCs w:val="22"/>
          <w:lang w:val="en-US"/>
        </w:rPr>
        <w:t>he paper makes</w:t>
      </w:r>
      <w:r w:rsidR="00862C4D" w:rsidRPr="0067691E">
        <w:rPr>
          <w:sz w:val="22"/>
          <w:szCs w:val="22"/>
        </w:rPr>
        <w:t xml:space="preserve"> </w:t>
      </w:r>
      <w:r w:rsidR="003D6EAE" w:rsidRPr="0067691E">
        <w:rPr>
          <w:sz w:val="22"/>
          <w:szCs w:val="22"/>
        </w:rPr>
        <w:t>three</w:t>
      </w:r>
      <w:r w:rsidR="00862C4D" w:rsidRPr="0067691E">
        <w:rPr>
          <w:sz w:val="22"/>
          <w:szCs w:val="22"/>
        </w:rPr>
        <w:t xml:space="preserve"> important contributions to the existing literature </w:t>
      </w:r>
      <w:r w:rsidR="00AB7557" w:rsidRPr="0067691E">
        <w:rPr>
          <w:sz w:val="22"/>
          <w:szCs w:val="22"/>
        </w:rPr>
        <w:t xml:space="preserve">on </w:t>
      </w:r>
      <w:r w:rsidR="00862C4D" w:rsidRPr="0067691E">
        <w:rPr>
          <w:sz w:val="22"/>
          <w:szCs w:val="22"/>
        </w:rPr>
        <w:t>bank productivity and efficiency.</w:t>
      </w:r>
      <w:r w:rsidR="00986E97" w:rsidRPr="0067691E">
        <w:rPr>
          <w:sz w:val="22"/>
          <w:szCs w:val="22"/>
        </w:rPr>
        <w:t xml:space="preserve"> </w:t>
      </w:r>
    </w:p>
    <w:p w14:paraId="13E79599" w14:textId="77777777" w:rsidR="00FA7ADA" w:rsidRDefault="00FA7ADA" w:rsidP="00FA7ADA">
      <w:pPr>
        <w:spacing w:line="360" w:lineRule="auto"/>
        <w:jc w:val="both"/>
        <w:rPr>
          <w:color w:val="007BB8"/>
          <w:sz w:val="22"/>
          <w:szCs w:val="22"/>
        </w:rPr>
      </w:pPr>
    </w:p>
    <w:p w14:paraId="7DC33989" w14:textId="1C2CB860" w:rsidR="00695582" w:rsidRDefault="00537C19" w:rsidP="00257527">
      <w:pPr>
        <w:spacing w:line="360" w:lineRule="auto"/>
        <w:jc w:val="both"/>
        <w:rPr>
          <w:sz w:val="22"/>
          <w:szCs w:val="22"/>
        </w:rPr>
      </w:pPr>
      <w:r w:rsidRPr="00CE1CE2">
        <w:rPr>
          <w:sz w:val="22"/>
          <w:szCs w:val="22"/>
        </w:rPr>
        <w:t xml:space="preserve">First, </w:t>
      </w:r>
      <w:r w:rsidR="00F61EDF" w:rsidRPr="00CE1CE2">
        <w:rPr>
          <w:sz w:val="22"/>
          <w:szCs w:val="22"/>
        </w:rPr>
        <w:t xml:space="preserve">we examine </w:t>
      </w:r>
      <w:r w:rsidR="004F648A" w:rsidRPr="00CE1CE2">
        <w:rPr>
          <w:sz w:val="22"/>
          <w:szCs w:val="22"/>
        </w:rPr>
        <w:t>the relation between</w:t>
      </w:r>
      <w:r w:rsidR="00AD4E86" w:rsidRPr="00CE1CE2">
        <w:rPr>
          <w:sz w:val="22"/>
          <w:szCs w:val="22"/>
        </w:rPr>
        <w:t xml:space="preserve"> the</w:t>
      </w:r>
      <w:r w:rsidR="00F61EDF" w:rsidRPr="00CE1CE2">
        <w:rPr>
          <w:sz w:val="22"/>
          <w:szCs w:val="22"/>
        </w:rPr>
        <w:t xml:space="preserve"> outcome of </w:t>
      </w:r>
      <w:r w:rsidR="004F648A" w:rsidRPr="00CE1CE2">
        <w:rPr>
          <w:sz w:val="22"/>
          <w:szCs w:val="22"/>
        </w:rPr>
        <w:t>the U</w:t>
      </w:r>
      <w:r w:rsidR="007229C4" w:rsidRPr="00CE1CE2">
        <w:rPr>
          <w:sz w:val="22"/>
          <w:szCs w:val="22"/>
        </w:rPr>
        <w:t>.</w:t>
      </w:r>
      <w:r w:rsidR="004F648A" w:rsidRPr="00CE1CE2">
        <w:rPr>
          <w:sz w:val="22"/>
          <w:szCs w:val="22"/>
        </w:rPr>
        <w:t>S</w:t>
      </w:r>
      <w:r w:rsidR="007229C4" w:rsidRPr="00CE1CE2">
        <w:rPr>
          <w:sz w:val="22"/>
          <w:szCs w:val="22"/>
        </w:rPr>
        <w:t>.</w:t>
      </w:r>
      <w:r w:rsidR="004F648A" w:rsidRPr="00CE1CE2">
        <w:rPr>
          <w:sz w:val="22"/>
          <w:szCs w:val="22"/>
        </w:rPr>
        <w:t xml:space="preserve"> </w:t>
      </w:r>
      <w:r w:rsidR="00F61EDF" w:rsidRPr="00CE1CE2">
        <w:rPr>
          <w:sz w:val="22"/>
          <w:szCs w:val="22"/>
        </w:rPr>
        <w:t>election</w:t>
      </w:r>
      <w:r w:rsidR="00AD4E86" w:rsidRPr="00CE1CE2">
        <w:rPr>
          <w:sz w:val="22"/>
          <w:szCs w:val="22"/>
        </w:rPr>
        <w:t xml:space="preserve"> and bank efficiency</w:t>
      </w:r>
      <w:r w:rsidR="002E798C" w:rsidRPr="00CE1CE2">
        <w:rPr>
          <w:sz w:val="22"/>
          <w:szCs w:val="22"/>
        </w:rPr>
        <w:t xml:space="preserve"> (</w:t>
      </w:r>
      <w:r w:rsidR="00FA1251" w:rsidRPr="00CE1CE2">
        <w:rPr>
          <w:sz w:val="22"/>
          <w:szCs w:val="22"/>
        </w:rPr>
        <w:t xml:space="preserve">Kempf and Tsoutsoura </w:t>
      </w:r>
      <w:r w:rsidR="00FA1251" w:rsidRPr="008E0CC8">
        <w:rPr>
          <w:color w:val="0070C0"/>
          <w:sz w:val="22"/>
          <w:szCs w:val="22"/>
        </w:rPr>
        <w:t>2021</w:t>
      </w:r>
      <w:r w:rsidR="00FA1251">
        <w:rPr>
          <w:color w:val="0070C0"/>
          <w:sz w:val="22"/>
          <w:szCs w:val="22"/>
        </w:rPr>
        <w:t xml:space="preserve">; </w:t>
      </w:r>
      <w:r w:rsidR="002E798C" w:rsidRPr="00CE1CE2">
        <w:rPr>
          <w:sz w:val="22"/>
          <w:szCs w:val="22"/>
        </w:rPr>
        <w:t xml:space="preserve">Papadimitri </w:t>
      </w:r>
      <w:r w:rsidR="00012141" w:rsidRPr="00CE1CE2">
        <w:rPr>
          <w:sz w:val="22"/>
          <w:szCs w:val="22"/>
        </w:rPr>
        <w:t>et al.</w:t>
      </w:r>
      <w:r w:rsidR="002E798C" w:rsidRPr="00CE1CE2">
        <w:rPr>
          <w:sz w:val="22"/>
          <w:szCs w:val="22"/>
        </w:rPr>
        <w:t xml:space="preserve"> </w:t>
      </w:r>
      <w:r w:rsidR="002E798C" w:rsidRPr="008E0CC8">
        <w:rPr>
          <w:color w:val="0070C0"/>
          <w:sz w:val="22"/>
          <w:szCs w:val="22"/>
        </w:rPr>
        <w:t>2021</w:t>
      </w:r>
      <w:r w:rsidR="002E798C" w:rsidRPr="00CE1CE2">
        <w:rPr>
          <w:sz w:val="22"/>
          <w:szCs w:val="22"/>
        </w:rPr>
        <w:t>)</w:t>
      </w:r>
      <w:r w:rsidR="00F61EDF" w:rsidRPr="00CE1CE2">
        <w:rPr>
          <w:sz w:val="22"/>
          <w:szCs w:val="22"/>
        </w:rPr>
        <w:t xml:space="preserve">. </w:t>
      </w:r>
      <w:r w:rsidR="00FF7A6C" w:rsidRPr="00FF7A6C">
        <w:rPr>
          <w:color w:val="004F88"/>
          <w:sz w:val="22"/>
          <w:szCs w:val="22"/>
        </w:rPr>
        <w:t>Elections at both the state and federal levels affect banks’ inputs and outputs, such as deposits and loans</w:t>
      </w:r>
      <w:r w:rsidR="00A32381" w:rsidRPr="00FF7A6C">
        <w:rPr>
          <w:color w:val="004F88"/>
          <w:sz w:val="22"/>
          <w:szCs w:val="22"/>
        </w:rPr>
        <w:t>.</w:t>
      </w:r>
      <w:r w:rsidR="002C5095" w:rsidRPr="00FF7A6C">
        <w:rPr>
          <w:color w:val="004F88"/>
          <w:sz w:val="22"/>
          <w:szCs w:val="22"/>
        </w:rPr>
        <w:t xml:space="preserve"> </w:t>
      </w:r>
      <w:r w:rsidR="00257527" w:rsidRPr="00257527">
        <w:rPr>
          <w:sz w:val="22"/>
          <w:szCs w:val="22"/>
        </w:rPr>
        <w:t xml:space="preserve">For instance, all commercial banks in the U.S. are required to be insured by the Federal Deposit Insurance Corporation (FDIC), </w:t>
      </w:r>
      <w:r w:rsidR="00257527" w:rsidRPr="00257527">
        <w:rPr>
          <w:color w:val="004F88"/>
          <w:sz w:val="22"/>
          <w:szCs w:val="22"/>
        </w:rPr>
        <w:t>with deposits generally</w:t>
      </w:r>
      <w:r w:rsidR="00257527" w:rsidRPr="00257527">
        <w:rPr>
          <w:sz w:val="22"/>
          <w:szCs w:val="22"/>
        </w:rPr>
        <w:t xml:space="preserve"> insured up to $250,000 per depositor in each ownership category</w:t>
      </w:r>
      <w:r w:rsidR="002C5095" w:rsidRPr="00257527">
        <w:rPr>
          <w:color w:val="004F88"/>
          <w:sz w:val="22"/>
          <w:szCs w:val="22"/>
        </w:rPr>
        <w:t xml:space="preserve">. </w:t>
      </w:r>
      <w:r w:rsidR="00257527" w:rsidRPr="00257527">
        <w:rPr>
          <w:color w:val="004F88"/>
          <w:sz w:val="22"/>
          <w:szCs w:val="22"/>
        </w:rPr>
        <w:t xml:space="preserve">Thus, our analysis sheds light on how policies at the state and federal levels influence bank inputs, outputs, and overall efficiency. </w:t>
      </w:r>
      <w:r w:rsidRPr="00CE1CE2">
        <w:rPr>
          <w:sz w:val="22"/>
          <w:szCs w:val="22"/>
        </w:rPr>
        <w:t>Second</w:t>
      </w:r>
      <w:r w:rsidR="00986E97" w:rsidRPr="00CE1CE2">
        <w:rPr>
          <w:sz w:val="22"/>
          <w:szCs w:val="22"/>
        </w:rPr>
        <w:t xml:space="preserve">, </w:t>
      </w:r>
      <w:r w:rsidR="00257527" w:rsidRPr="00257527">
        <w:rPr>
          <w:sz w:val="22"/>
          <w:szCs w:val="22"/>
        </w:rPr>
        <w:t xml:space="preserve">we examine bank efficiency at the state level rather than </w:t>
      </w:r>
      <w:r w:rsidR="00257527" w:rsidRPr="00257527">
        <w:rPr>
          <w:color w:val="004F88"/>
          <w:sz w:val="22"/>
          <w:szCs w:val="22"/>
        </w:rPr>
        <w:t>at</w:t>
      </w:r>
      <w:r w:rsidR="00257527" w:rsidRPr="00257527">
        <w:rPr>
          <w:sz w:val="22"/>
          <w:szCs w:val="22"/>
        </w:rPr>
        <w:t xml:space="preserve"> the individual bank level</w:t>
      </w:r>
      <w:r w:rsidR="00B83A61" w:rsidRPr="00CE1CE2">
        <w:rPr>
          <w:sz w:val="22"/>
          <w:szCs w:val="22"/>
        </w:rPr>
        <w:t>.</w:t>
      </w:r>
      <w:r w:rsidR="00DF6FE7" w:rsidRPr="00CE1CE2">
        <w:rPr>
          <w:sz w:val="22"/>
          <w:szCs w:val="22"/>
        </w:rPr>
        <w:t xml:space="preserve"> Focusing on 1</w:t>
      </w:r>
      <w:r w:rsidR="00373EA9" w:rsidRPr="00CE1CE2">
        <w:rPr>
          <w:sz w:val="22"/>
          <w:szCs w:val="22"/>
        </w:rPr>
        <w:t>3</w:t>
      </w:r>
      <w:r w:rsidR="00DF6FE7" w:rsidRPr="00CE1CE2">
        <w:rPr>
          <w:sz w:val="22"/>
          <w:szCs w:val="22"/>
        </w:rPr>
        <w:t xml:space="preserve"> </w:t>
      </w:r>
      <w:r w:rsidR="00BE4E94" w:rsidRPr="00CE1CE2">
        <w:rPr>
          <w:sz w:val="22"/>
          <w:szCs w:val="22"/>
        </w:rPr>
        <w:t>p</w:t>
      </w:r>
      <w:r w:rsidR="00DF6FE7" w:rsidRPr="00CE1CE2">
        <w:rPr>
          <w:sz w:val="22"/>
          <w:szCs w:val="22"/>
        </w:rPr>
        <w:t>residential elections over the period 19</w:t>
      </w:r>
      <w:r w:rsidR="0054610E" w:rsidRPr="00CE1CE2">
        <w:rPr>
          <w:sz w:val="22"/>
          <w:szCs w:val="22"/>
        </w:rPr>
        <w:t>72</w:t>
      </w:r>
      <w:r w:rsidR="00DF6FE7" w:rsidRPr="00CE1CE2">
        <w:rPr>
          <w:sz w:val="22"/>
          <w:szCs w:val="22"/>
        </w:rPr>
        <w:t>-20</w:t>
      </w:r>
      <w:r w:rsidR="0054610E" w:rsidRPr="00CE1CE2">
        <w:rPr>
          <w:sz w:val="22"/>
          <w:szCs w:val="22"/>
        </w:rPr>
        <w:t>20</w:t>
      </w:r>
      <w:r w:rsidR="00DF6FE7" w:rsidRPr="00CE1CE2">
        <w:rPr>
          <w:sz w:val="22"/>
          <w:szCs w:val="22"/>
        </w:rPr>
        <w:t xml:space="preserve"> in the U</w:t>
      </w:r>
      <w:r w:rsidR="007229C4" w:rsidRPr="00CE1CE2">
        <w:rPr>
          <w:sz w:val="22"/>
          <w:szCs w:val="22"/>
        </w:rPr>
        <w:t>.</w:t>
      </w:r>
      <w:r w:rsidR="00DF6FE7" w:rsidRPr="00CE1CE2">
        <w:rPr>
          <w:sz w:val="22"/>
          <w:szCs w:val="22"/>
        </w:rPr>
        <w:t>S</w:t>
      </w:r>
      <w:r w:rsidR="007229C4" w:rsidRPr="00CE1CE2">
        <w:rPr>
          <w:sz w:val="22"/>
          <w:szCs w:val="22"/>
        </w:rPr>
        <w:t>.</w:t>
      </w:r>
      <w:r w:rsidR="00DF6FE7" w:rsidRPr="00CE1CE2">
        <w:rPr>
          <w:sz w:val="22"/>
          <w:szCs w:val="22"/>
        </w:rPr>
        <w:t>, we test for the response of bank efficiency to</w:t>
      </w:r>
      <w:r w:rsidR="00257527" w:rsidRPr="00257527">
        <w:rPr>
          <w:sz w:val="22"/>
          <w:szCs w:val="22"/>
        </w:rPr>
        <w:t xml:space="preserve"> </w:t>
      </w:r>
      <w:r w:rsidR="00257527" w:rsidRPr="00257527">
        <w:rPr>
          <w:color w:val="004F88"/>
          <w:sz w:val="22"/>
          <w:szCs w:val="22"/>
        </w:rPr>
        <w:t>election outcomes at both the state and federal levels</w:t>
      </w:r>
      <w:r w:rsidR="00DF6FE7" w:rsidRPr="00CE1CE2">
        <w:rPr>
          <w:sz w:val="22"/>
          <w:szCs w:val="22"/>
        </w:rPr>
        <w:t xml:space="preserve">. </w:t>
      </w:r>
      <w:r w:rsidR="00257527" w:rsidRPr="00257527">
        <w:rPr>
          <w:sz w:val="22"/>
          <w:szCs w:val="22"/>
        </w:rPr>
        <w:t xml:space="preserve">To reduce the risk of an unrepresentative sample, </w:t>
      </w:r>
      <w:r w:rsidR="00257527" w:rsidRPr="00257527">
        <w:rPr>
          <w:color w:val="004F88"/>
          <w:sz w:val="22"/>
          <w:szCs w:val="22"/>
        </w:rPr>
        <w:t>we use data for all banks within each state rather than data for individual banks.</w:t>
      </w:r>
      <w:r w:rsidR="00257527">
        <w:rPr>
          <w:sz w:val="22"/>
          <w:szCs w:val="22"/>
        </w:rPr>
        <w:t xml:space="preserve"> </w:t>
      </w:r>
      <w:r w:rsidR="00F2635D" w:rsidRPr="00F2635D">
        <w:rPr>
          <w:color w:val="007BB8"/>
          <w:sz w:val="22"/>
          <w:szCs w:val="22"/>
        </w:rPr>
        <w:t>For robustness, we also examine the relationship between U.S. election outcomes and bank efficiency at the bank level after excluding the ten largest mega-banks, as these institutions account for a substantial share of total banking assets and may disproportionately influence the results.</w:t>
      </w:r>
      <w:r w:rsidR="0026149A" w:rsidRPr="00F2635D">
        <w:rPr>
          <w:color w:val="007BB8"/>
          <w:sz w:val="22"/>
          <w:szCs w:val="22"/>
        </w:rPr>
        <w:t xml:space="preserve"> </w:t>
      </w:r>
      <w:r w:rsidR="00336272" w:rsidRPr="008E0CC8">
        <w:rPr>
          <w:sz w:val="22"/>
          <w:szCs w:val="22"/>
        </w:rPr>
        <w:t xml:space="preserve">Third, </w:t>
      </w:r>
      <w:r w:rsidR="00796C10" w:rsidRPr="008E0CC8">
        <w:rPr>
          <w:sz w:val="22"/>
          <w:szCs w:val="22"/>
        </w:rPr>
        <w:t xml:space="preserve">previous </w:t>
      </w:r>
      <w:r w:rsidR="008B6875" w:rsidRPr="008E0CC8">
        <w:rPr>
          <w:sz w:val="22"/>
          <w:szCs w:val="22"/>
        </w:rPr>
        <w:t>studies</w:t>
      </w:r>
      <w:r w:rsidR="00796C10" w:rsidRPr="008E0CC8">
        <w:rPr>
          <w:sz w:val="22"/>
          <w:szCs w:val="22"/>
        </w:rPr>
        <w:t xml:space="preserve"> focused </w:t>
      </w:r>
      <w:r w:rsidR="000F4729" w:rsidRPr="008E0CC8">
        <w:rPr>
          <w:sz w:val="22"/>
          <w:szCs w:val="22"/>
        </w:rPr>
        <w:t>on efficiency</w:t>
      </w:r>
      <w:r w:rsidR="00796C10" w:rsidRPr="008E0CC8">
        <w:rPr>
          <w:sz w:val="22"/>
          <w:szCs w:val="22"/>
        </w:rPr>
        <w:t xml:space="preserve"> scores (</w:t>
      </w:r>
      <w:r w:rsidR="00FA1251" w:rsidRPr="008E0CC8">
        <w:rPr>
          <w:sz w:val="22"/>
          <w:szCs w:val="22"/>
        </w:rPr>
        <w:t xml:space="preserve">Matousek and Tzeremes </w:t>
      </w:r>
      <w:r w:rsidR="00FA1251" w:rsidRPr="008E0CC8">
        <w:rPr>
          <w:color w:val="0070C0"/>
          <w:sz w:val="22"/>
          <w:szCs w:val="22"/>
        </w:rPr>
        <w:t>2016</w:t>
      </w:r>
      <w:r w:rsidR="00FA1251" w:rsidRPr="008E0CC8">
        <w:rPr>
          <w:sz w:val="22"/>
          <w:szCs w:val="22"/>
        </w:rPr>
        <w:t xml:space="preserve">; Tsionas et al. </w:t>
      </w:r>
      <w:r w:rsidR="00FA1251" w:rsidRPr="008E0CC8">
        <w:rPr>
          <w:color w:val="0070C0"/>
          <w:sz w:val="22"/>
          <w:szCs w:val="22"/>
        </w:rPr>
        <w:t>2018</w:t>
      </w:r>
      <w:r w:rsidR="00FA1251">
        <w:rPr>
          <w:color w:val="0070C0"/>
          <w:sz w:val="22"/>
          <w:szCs w:val="22"/>
        </w:rPr>
        <w:t xml:space="preserve">; </w:t>
      </w:r>
      <w:r w:rsidR="000F4729" w:rsidRPr="008E0CC8">
        <w:rPr>
          <w:sz w:val="22"/>
          <w:szCs w:val="22"/>
        </w:rPr>
        <w:t xml:space="preserve">Wanke et al. </w:t>
      </w:r>
      <w:r w:rsidR="000F4729" w:rsidRPr="008E0CC8">
        <w:rPr>
          <w:color w:val="0070C0"/>
          <w:sz w:val="22"/>
          <w:szCs w:val="22"/>
        </w:rPr>
        <w:t>2016</w:t>
      </w:r>
      <w:r w:rsidR="000F4729" w:rsidRPr="008E0CC8">
        <w:rPr>
          <w:sz w:val="22"/>
          <w:szCs w:val="22"/>
        </w:rPr>
        <w:t xml:space="preserve">) or used truncated regression in the second stage (Du et al. </w:t>
      </w:r>
      <w:r w:rsidR="000F4729" w:rsidRPr="008E0CC8">
        <w:rPr>
          <w:color w:val="0070C0"/>
          <w:sz w:val="22"/>
          <w:szCs w:val="22"/>
        </w:rPr>
        <w:t>2018</w:t>
      </w:r>
      <w:r w:rsidR="000F4729" w:rsidRPr="008E0CC8">
        <w:rPr>
          <w:sz w:val="22"/>
          <w:szCs w:val="22"/>
        </w:rPr>
        <w:t>)</w:t>
      </w:r>
      <w:r w:rsidR="008B6875" w:rsidRPr="008E0CC8">
        <w:rPr>
          <w:sz w:val="22"/>
          <w:szCs w:val="22"/>
        </w:rPr>
        <w:t xml:space="preserve">. </w:t>
      </w:r>
      <w:r w:rsidR="00AB2CB8" w:rsidRPr="008E0CC8">
        <w:rPr>
          <w:sz w:val="22"/>
          <w:szCs w:val="22"/>
        </w:rPr>
        <w:t xml:space="preserve">A problem in the traditional approach concerns </w:t>
      </w:r>
      <w:r w:rsidR="00AB7557">
        <w:rPr>
          <w:sz w:val="22"/>
          <w:szCs w:val="22"/>
        </w:rPr>
        <w:t xml:space="preserve">the </w:t>
      </w:r>
      <w:r w:rsidR="00AB2CB8" w:rsidRPr="008E0CC8">
        <w:rPr>
          <w:sz w:val="22"/>
          <w:szCs w:val="22"/>
        </w:rPr>
        <w:t>non-incorporation of knowledge spillover effects across regions. This can be best captured by invoking the role of ‘space’ where the greater ‘physical or geographi</w:t>
      </w:r>
      <w:r w:rsidR="008F1BEF">
        <w:rPr>
          <w:sz w:val="22"/>
          <w:szCs w:val="22"/>
        </w:rPr>
        <w:t>c</w:t>
      </w:r>
      <w:r w:rsidR="00AB2CB8" w:rsidRPr="008E0CC8">
        <w:rPr>
          <w:sz w:val="22"/>
          <w:szCs w:val="22"/>
        </w:rPr>
        <w:t>’ distance among banks is likely to capture declining spillover effects so much so that banks learn less and/or spillover of stochastic shocks do</w:t>
      </w:r>
      <w:r w:rsidR="00AB7557">
        <w:rPr>
          <w:sz w:val="22"/>
          <w:szCs w:val="22"/>
        </w:rPr>
        <w:t>es</w:t>
      </w:r>
      <w:r w:rsidR="00AB2CB8" w:rsidRPr="008E0CC8">
        <w:rPr>
          <w:sz w:val="22"/>
          <w:szCs w:val="22"/>
        </w:rPr>
        <w:t xml:space="preserve"> not affect much when the distance among banks across regions </w:t>
      </w:r>
      <w:r w:rsidR="00AB7557">
        <w:rPr>
          <w:sz w:val="22"/>
          <w:szCs w:val="22"/>
        </w:rPr>
        <w:t>is</w:t>
      </w:r>
      <w:r w:rsidR="00AB7557" w:rsidRPr="008E0CC8">
        <w:rPr>
          <w:sz w:val="22"/>
          <w:szCs w:val="22"/>
        </w:rPr>
        <w:t xml:space="preserve"> </w:t>
      </w:r>
      <w:r w:rsidR="00AB2CB8" w:rsidRPr="008E0CC8">
        <w:rPr>
          <w:sz w:val="22"/>
          <w:szCs w:val="22"/>
        </w:rPr>
        <w:t xml:space="preserve">greater. To accommodate the realistic possibility that banks learn from adjacent or geographically ‘closer’ banks and that such intensity of learning effects </w:t>
      </w:r>
      <w:r w:rsidR="008F1BEF">
        <w:rPr>
          <w:sz w:val="22"/>
          <w:szCs w:val="22"/>
        </w:rPr>
        <w:t>makes</w:t>
      </w:r>
      <w:r w:rsidR="00AB2CB8" w:rsidRPr="008E0CC8">
        <w:rPr>
          <w:sz w:val="22"/>
          <w:szCs w:val="22"/>
        </w:rPr>
        <w:t xml:space="preserve"> these banks more efficient over time, we have exploited spatial features among regions and </w:t>
      </w:r>
      <w:r w:rsidR="000F4729" w:rsidRPr="008E0CC8">
        <w:rPr>
          <w:sz w:val="22"/>
          <w:szCs w:val="22"/>
        </w:rPr>
        <w:t>use</w:t>
      </w:r>
      <w:r w:rsidR="00AB7557">
        <w:rPr>
          <w:sz w:val="22"/>
          <w:szCs w:val="22"/>
        </w:rPr>
        <w:t>d</w:t>
      </w:r>
      <w:r w:rsidR="00AB2CB8" w:rsidRPr="008E0CC8">
        <w:rPr>
          <w:sz w:val="22"/>
          <w:szCs w:val="22"/>
        </w:rPr>
        <w:t xml:space="preserve"> a family of</w:t>
      </w:r>
      <w:r w:rsidR="000F4729" w:rsidRPr="008E0CC8">
        <w:rPr>
          <w:sz w:val="22"/>
          <w:szCs w:val="22"/>
        </w:rPr>
        <w:t xml:space="preserve"> </w:t>
      </w:r>
      <w:r w:rsidR="000F4729" w:rsidRPr="008E0CC8">
        <w:rPr>
          <w:color w:val="000000" w:themeColor="text1"/>
          <w:sz w:val="22"/>
          <w:szCs w:val="22"/>
        </w:rPr>
        <w:t>spatial auto</w:t>
      </w:r>
      <w:r w:rsidR="00AB7557">
        <w:rPr>
          <w:color w:val="000000" w:themeColor="text1"/>
          <w:sz w:val="22"/>
          <w:szCs w:val="22"/>
        </w:rPr>
        <w:t>re</w:t>
      </w:r>
      <w:r w:rsidR="000F4729" w:rsidRPr="008E0CC8">
        <w:rPr>
          <w:color w:val="000000" w:themeColor="text1"/>
          <w:sz w:val="22"/>
          <w:szCs w:val="22"/>
        </w:rPr>
        <w:t>gressiv</w:t>
      </w:r>
      <w:r w:rsidR="00AB2CB8" w:rsidRPr="008E0CC8">
        <w:rPr>
          <w:color w:val="000000" w:themeColor="text1"/>
          <w:sz w:val="22"/>
          <w:szCs w:val="22"/>
        </w:rPr>
        <w:t>e models in the panel data to estimate our parameters</w:t>
      </w:r>
      <w:r w:rsidR="00AB2CB8" w:rsidRPr="006B09CA">
        <w:rPr>
          <w:sz w:val="22"/>
          <w:szCs w:val="22"/>
        </w:rPr>
        <w:t xml:space="preserve">. </w:t>
      </w:r>
    </w:p>
    <w:p w14:paraId="2D3CE526" w14:textId="28B008F5" w:rsidR="007B5931" w:rsidRDefault="00E30CE2" w:rsidP="00257527">
      <w:pPr>
        <w:spacing w:line="360" w:lineRule="auto"/>
        <w:ind w:firstLine="720"/>
        <w:jc w:val="both"/>
        <w:rPr>
          <w:color w:val="000000" w:themeColor="text1"/>
          <w:sz w:val="22"/>
          <w:szCs w:val="22"/>
        </w:rPr>
      </w:pPr>
      <w:r w:rsidRPr="006B09CA">
        <w:rPr>
          <w:sz w:val="22"/>
          <w:szCs w:val="22"/>
        </w:rPr>
        <w:t>A motivation to design such a spatially-embedded paradigm comes from Duan et al. (</w:t>
      </w:r>
      <w:r w:rsidR="009743ED" w:rsidRPr="00257527">
        <w:rPr>
          <w:color w:val="004F88"/>
          <w:sz w:val="22"/>
          <w:szCs w:val="22"/>
        </w:rPr>
        <w:t xml:space="preserve">2018; </w:t>
      </w:r>
      <w:r w:rsidRPr="006B09CA">
        <w:rPr>
          <w:color w:val="0070C0"/>
          <w:sz w:val="22"/>
          <w:szCs w:val="22"/>
        </w:rPr>
        <w:t>2019</w:t>
      </w:r>
      <w:r w:rsidRPr="006B09CA">
        <w:rPr>
          <w:sz w:val="22"/>
          <w:szCs w:val="22"/>
        </w:rPr>
        <w:t>)</w:t>
      </w:r>
      <w:r w:rsidR="008F1BEF">
        <w:rPr>
          <w:sz w:val="22"/>
          <w:szCs w:val="22"/>
        </w:rPr>
        <w:t>,</w:t>
      </w:r>
      <w:r w:rsidRPr="006B09CA">
        <w:rPr>
          <w:sz w:val="22"/>
          <w:szCs w:val="22"/>
        </w:rPr>
        <w:t xml:space="preserve"> who </w:t>
      </w:r>
      <w:r w:rsidR="00002BDA" w:rsidRPr="006B09CA">
        <w:rPr>
          <w:sz w:val="22"/>
          <w:szCs w:val="22"/>
        </w:rPr>
        <w:t xml:space="preserve">exploited geographical distance among international real estate markets to demonstrate that ignoring ‘space’ from </w:t>
      </w:r>
      <w:r w:rsidR="008F1BEF">
        <w:rPr>
          <w:sz w:val="22"/>
          <w:szCs w:val="22"/>
        </w:rPr>
        <w:t xml:space="preserve">the </w:t>
      </w:r>
      <w:r w:rsidR="00002BDA" w:rsidRPr="006B09CA">
        <w:rPr>
          <w:sz w:val="22"/>
          <w:szCs w:val="22"/>
        </w:rPr>
        <w:t>traditional design of panel data estimation of macroeconomic-real estate price relationship actually suppresses the inevitability of knowledge spillovers through spatial interdependence. The context in our paper is different – the US banking sector</w:t>
      </w:r>
      <w:r w:rsidR="008F1BEF">
        <w:rPr>
          <w:sz w:val="22"/>
          <w:szCs w:val="22"/>
        </w:rPr>
        <w:t>,</w:t>
      </w:r>
      <w:r w:rsidR="00002BDA" w:rsidRPr="006B09CA">
        <w:rPr>
          <w:sz w:val="22"/>
          <w:szCs w:val="22"/>
        </w:rPr>
        <w:t xml:space="preserve"> and here the spatial units are regions, rather than international markets as in Duan et al. </w:t>
      </w:r>
      <w:r w:rsidR="00002BDA" w:rsidRPr="006B09CA">
        <w:rPr>
          <w:color w:val="0070C0"/>
          <w:sz w:val="22"/>
          <w:szCs w:val="22"/>
        </w:rPr>
        <w:t>(</w:t>
      </w:r>
      <w:r w:rsidR="009743ED">
        <w:rPr>
          <w:color w:val="0070C0"/>
          <w:sz w:val="22"/>
          <w:szCs w:val="22"/>
        </w:rPr>
        <w:t xml:space="preserve">2018; </w:t>
      </w:r>
      <w:r w:rsidR="00002BDA" w:rsidRPr="006B09CA">
        <w:rPr>
          <w:color w:val="0070C0"/>
          <w:sz w:val="22"/>
          <w:szCs w:val="22"/>
        </w:rPr>
        <w:t>2019</w:t>
      </w:r>
      <w:r w:rsidR="00002BDA" w:rsidRPr="006B09CA">
        <w:rPr>
          <w:sz w:val="22"/>
          <w:szCs w:val="22"/>
        </w:rPr>
        <w:t xml:space="preserve">). We recognise that our setting has </w:t>
      </w:r>
      <w:r w:rsidR="008F1BEF">
        <w:rPr>
          <w:sz w:val="22"/>
          <w:szCs w:val="22"/>
        </w:rPr>
        <w:t xml:space="preserve">a </w:t>
      </w:r>
      <w:r w:rsidR="00002BDA" w:rsidRPr="006B09CA">
        <w:rPr>
          <w:sz w:val="22"/>
          <w:szCs w:val="22"/>
        </w:rPr>
        <w:t xml:space="preserve">powerful </w:t>
      </w:r>
      <w:r w:rsidR="008F1BEF">
        <w:rPr>
          <w:sz w:val="22"/>
          <w:szCs w:val="22"/>
        </w:rPr>
        <w:t>geographical</w:t>
      </w:r>
      <w:r w:rsidR="00002BDA" w:rsidRPr="006B09CA">
        <w:rPr>
          <w:sz w:val="22"/>
          <w:szCs w:val="22"/>
        </w:rPr>
        <w:t xml:space="preserve"> dependence character as regions within a country are </w:t>
      </w:r>
      <w:r w:rsidR="008F1BEF">
        <w:rPr>
          <w:sz w:val="22"/>
          <w:szCs w:val="22"/>
        </w:rPr>
        <w:t>more</w:t>
      </w:r>
      <w:r w:rsidR="00002BDA" w:rsidRPr="006B09CA">
        <w:rPr>
          <w:sz w:val="22"/>
          <w:szCs w:val="22"/>
        </w:rPr>
        <w:t xml:space="preserve"> spatially dependent than across countries (that is, for instance, countries share borders or engage via trade). Accordingly, in our paper, we build a spatial analogue of </w:t>
      </w:r>
      <w:r w:rsidR="008F1BEF">
        <w:rPr>
          <w:sz w:val="22"/>
          <w:szCs w:val="22"/>
        </w:rPr>
        <w:t xml:space="preserve">the </w:t>
      </w:r>
      <w:r w:rsidR="00002BDA" w:rsidRPr="006B09CA">
        <w:rPr>
          <w:sz w:val="22"/>
          <w:szCs w:val="22"/>
        </w:rPr>
        <w:t xml:space="preserve">banking production function that </w:t>
      </w:r>
      <w:r w:rsidR="008F1BEF">
        <w:rPr>
          <w:sz w:val="22"/>
          <w:szCs w:val="22"/>
        </w:rPr>
        <w:t>is</w:t>
      </w:r>
      <w:r w:rsidR="00002BDA" w:rsidRPr="006B09CA">
        <w:rPr>
          <w:sz w:val="22"/>
          <w:szCs w:val="22"/>
        </w:rPr>
        <w:t xml:space="preserve"> correlated across regions and then derive a reduced form specification for a spatial panel data estimation. </w:t>
      </w:r>
      <w:r w:rsidR="00667BE2">
        <w:rPr>
          <w:color w:val="000000" w:themeColor="text1"/>
          <w:sz w:val="22"/>
          <w:szCs w:val="22"/>
        </w:rPr>
        <w:t>Specifically,</w:t>
      </w:r>
      <w:r w:rsidR="00AB2CB8" w:rsidRPr="008E0CC8">
        <w:rPr>
          <w:color w:val="000000" w:themeColor="text1"/>
          <w:sz w:val="22"/>
          <w:szCs w:val="22"/>
        </w:rPr>
        <w:t xml:space="preserve"> we use </w:t>
      </w:r>
      <w:r w:rsidR="00257527">
        <w:rPr>
          <w:color w:val="000000" w:themeColor="text1"/>
          <w:sz w:val="22"/>
          <w:szCs w:val="22"/>
        </w:rPr>
        <w:t>a</w:t>
      </w:r>
      <w:r w:rsidR="00AB7557">
        <w:rPr>
          <w:color w:val="000000" w:themeColor="text1"/>
          <w:sz w:val="22"/>
          <w:szCs w:val="22"/>
        </w:rPr>
        <w:t xml:space="preserve"> </w:t>
      </w:r>
      <w:r w:rsidR="00257527">
        <w:rPr>
          <w:color w:val="000000" w:themeColor="text1"/>
          <w:sz w:val="22"/>
          <w:szCs w:val="22"/>
        </w:rPr>
        <w:t>S</w:t>
      </w:r>
      <w:r w:rsidR="00AB2CB8" w:rsidRPr="008E0CC8">
        <w:rPr>
          <w:color w:val="000000" w:themeColor="text1"/>
          <w:sz w:val="22"/>
          <w:szCs w:val="22"/>
        </w:rPr>
        <w:t xml:space="preserve">patial Tobit model </w:t>
      </w:r>
      <w:r w:rsidR="000F4729" w:rsidRPr="008E0CC8">
        <w:rPr>
          <w:color w:val="000000" w:themeColor="text1"/>
          <w:sz w:val="22"/>
          <w:szCs w:val="22"/>
        </w:rPr>
        <w:t xml:space="preserve">to examine </w:t>
      </w:r>
      <w:r w:rsidR="00AB7557">
        <w:rPr>
          <w:color w:val="000000" w:themeColor="text1"/>
          <w:sz w:val="22"/>
          <w:szCs w:val="22"/>
        </w:rPr>
        <w:t xml:space="preserve">the </w:t>
      </w:r>
      <w:r w:rsidR="000F4729" w:rsidRPr="008E0CC8">
        <w:rPr>
          <w:color w:val="000000" w:themeColor="text1"/>
          <w:sz w:val="22"/>
          <w:szCs w:val="22"/>
        </w:rPr>
        <w:t xml:space="preserve">effects of state and national elections on bootstrap efficiency </w:t>
      </w:r>
      <w:r w:rsidR="000F4729" w:rsidRPr="00532F45">
        <w:rPr>
          <w:color w:val="000000" w:themeColor="text1"/>
          <w:sz w:val="22"/>
          <w:szCs w:val="22"/>
        </w:rPr>
        <w:t>scores.</w:t>
      </w:r>
      <w:r w:rsidR="00AB551F" w:rsidRPr="00532F45">
        <w:rPr>
          <w:color w:val="000000" w:themeColor="text1"/>
          <w:sz w:val="22"/>
          <w:szCs w:val="22"/>
        </w:rPr>
        <w:t xml:space="preserve"> </w:t>
      </w:r>
      <w:r w:rsidR="004A6296" w:rsidRPr="004A6296">
        <w:rPr>
          <w:sz w:val="22"/>
          <w:szCs w:val="22"/>
        </w:rPr>
        <w:t xml:space="preserve">The </w:t>
      </w:r>
      <w:r w:rsidR="00257527">
        <w:rPr>
          <w:color w:val="000000" w:themeColor="text1"/>
          <w:sz w:val="22"/>
          <w:szCs w:val="22"/>
        </w:rPr>
        <w:t>S</w:t>
      </w:r>
      <w:r w:rsidR="00D94531">
        <w:rPr>
          <w:color w:val="000000" w:themeColor="text1"/>
          <w:sz w:val="22"/>
          <w:szCs w:val="22"/>
        </w:rPr>
        <w:t xml:space="preserve">patial </w:t>
      </w:r>
      <w:r w:rsidR="004A6296">
        <w:rPr>
          <w:color w:val="000000" w:themeColor="text1"/>
          <w:sz w:val="22"/>
          <w:szCs w:val="22"/>
        </w:rPr>
        <w:t>Tobit</w:t>
      </w:r>
      <w:r w:rsidR="001461A8" w:rsidRPr="00CE1CE2">
        <w:rPr>
          <w:color w:val="000000" w:themeColor="text1"/>
          <w:sz w:val="22"/>
          <w:szCs w:val="22"/>
        </w:rPr>
        <w:t xml:space="preserve"> </w:t>
      </w:r>
      <w:r w:rsidR="00FA5F1D" w:rsidRPr="00CE1CE2">
        <w:rPr>
          <w:color w:val="000000" w:themeColor="text1"/>
          <w:sz w:val="22"/>
          <w:szCs w:val="22"/>
        </w:rPr>
        <w:t>model (</w:t>
      </w:r>
      <w:r w:rsidR="00D94531" w:rsidRPr="00472A6C">
        <w:rPr>
          <w:i/>
          <w:iCs/>
          <w:color w:val="000000" w:themeColor="text1"/>
          <w:sz w:val="22"/>
          <w:szCs w:val="22"/>
        </w:rPr>
        <w:t>ST</w:t>
      </w:r>
      <w:r w:rsidR="00FA5F1D" w:rsidRPr="00472A6C">
        <w:rPr>
          <w:i/>
          <w:iCs/>
          <w:color w:val="000000" w:themeColor="text1"/>
          <w:sz w:val="22"/>
          <w:szCs w:val="22"/>
        </w:rPr>
        <w:t>M</w:t>
      </w:r>
      <w:r w:rsidR="00FA5F1D" w:rsidRPr="00CE1CE2">
        <w:rPr>
          <w:color w:val="000000" w:themeColor="text1"/>
          <w:sz w:val="22"/>
          <w:szCs w:val="22"/>
        </w:rPr>
        <w:t>)</w:t>
      </w:r>
      <w:r w:rsidR="001461A8" w:rsidRPr="00CE1CE2">
        <w:rPr>
          <w:color w:val="000000" w:themeColor="text1"/>
          <w:sz w:val="22"/>
          <w:szCs w:val="22"/>
        </w:rPr>
        <w:t xml:space="preserve"> is chosen for two reasons. </w:t>
      </w:r>
      <w:r w:rsidR="00257527" w:rsidRPr="00257527">
        <w:rPr>
          <w:color w:val="004F88"/>
          <w:sz w:val="22"/>
          <w:szCs w:val="22"/>
        </w:rPr>
        <w:t>First, it is consistent with the literature on peer effects in exogenous social networks, where individuals maximize their utility within a framework that can be represented as a Nash equilibrium. Second, it is well suited to traditional econometric settings in which a significant portion of the dependent variable is censored at zero</w:t>
      </w:r>
      <w:r w:rsidR="00257527" w:rsidRPr="00257527">
        <w:rPr>
          <w:color w:val="000000" w:themeColor="text1"/>
          <w:sz w:val="22"/>
          <w:szCs w:val="22"/>
        </w:rPr>
        <w:t xml:space="preserve"> </w:t>
      </w:r>
      <w:r w:rsidR="001461A8" w:rsidRPr="00386B53">
        <w:rPr>
          <w:color w:val="000000" w:themeColor="text1"/>
          <w:sz w:val="22"/>
          <w:szCs w:val="22"/>
        </w:rPr>
        <w:t xml:space="preserve">(Qu and Lee </w:t>
      </w:r>
      <w:r w:rsidR="001461A8" w:rsidRPr="008E0CC8">
        <w:rPr>
          <w:color w:val="0070C0"/>
          <w:sz w:val="22"/>
          <w:szCs w:val="22"/>
        </w:rPr>
        <w:t>2012</w:t>
      </w:r>
      <w:r w:rsidR="001461A8" w:rsidRPr="00386B53">
        <w:rPr>
          <w:color w:val="000000" w:themeColor="text1"/>
          <w:sz w:val="22"/>
          <w:szCs w:val="22"/>
        </w:rPr>
        <w:t>).</w:t>
      </w:r>
    </w:p>
    <w:p w14:paraId="589964E3" w14:textId="77777777" w:rsidR="006D498D" w:rsidRDefault="006D498D" w:rsidP="006D498D">
      <w:pPr>
        <w:spacing w:line="360" w:lineRule="auto"/>
        <w:jc w:val="both"/>
        <w:rPr>
          <w:sz w:val="22"/>
          <w:szCs w:val="22"/>
        </w:rPr>
      </w:pPr>
    </w:p>
    <w:p w14:paraId="4552FAE9" w14:textId="5090A867" w:rsidR="000E083D" w:rsidRDefault="00862C4D" w:rsidP="006D498D">
      <w:pPr>
        <w:spacing w:line="360" w:lineRule="auto"/>
        <w:jc w:val="both"/>
        <w:rPr>
          <w:sz w:val="22"/>
          <w:szCs w:val="22"/>
        </w:rPr>
      </w:pPr>
      <w:r w:rsidRPr="00CE1CE2">
        <w:rPr>
          <w:sz w:val="22"/>
          <w:szCs w:val="22"/>
        </w:rPr>
        <w:t>The</w:t>
      </w:r>
      <w:r w:rsidR="006F00FF">
        <w:rPr>
          <w:sz w:val="22"/>
          <w:szCs w:val="22"/>
        </w:rPr>
        <w:t xml:space="preserve"> rest of the</w:t>
      </w:r>
      <w:r w:rsidRPr="00CE1CE2">
        <w:rPr>
          <w:sz w:val="22"/>
          <w:szCs w:val="22"/>
        </w:rPr>
        <w:t xml:space="preserve"> paper is structured as follows. </w:t>
      </w:r>
      <w:r w:rsidR="00267EFF" w:rsidRPr="00CE1CE2">
        <w:rPr>
          <w:sz w:val="22"/>
          <w:szCs w:val="22"/>
        </w:rPr>
        <w:t xml:space="preserve">The next section offers a summary of the earlier empirical literature on the effects of U.S. politics on the </w:t>
      </w:r>
      <w:r w:rsidR="00984DE1" w:rsidRPr="00CE1CE2">
        <w:rPr>
          <w:sz w:val="22"/>
          <w:szCs w:val="22"/>
        </w:rPr>
        <w:t>economy</w:t>
      </w:r>
      <w:r w:rsidR="001B0984">
        <w:rPr>
          <w:sz w:val="22"/>
          <w:szCs w:val="22"/>
        </w:rPr>
        <w:t xml:space="preserve"> and </w:t>
      </w:r>
      <w:r w:rsidR="00984DE1" w:rsidRPr="00CE1CE2">
        <w:rPr>
          <w:sz w:val="22"/>
          <w:szCs w:val="22"/>
        </w:rPr>
        <w:t>bank</w:t>
      </w:r>
      <w:r w:rsidR="001B0984">
        <w:rPr>
          <w:sz w:val="22"/>
          <w:szCs w:val="22"/>
        </w:rPr>
        <w:t>ing system</w:t>
      </w:r>
      <w:r w:rsidR="00267EFF" w:rsidRPr="00CE1CE2">
        <w:rPr>
          <w:sz w:val="22"/>
          <w:szCs w:val="22"/>
        </w:rPr>
        <w:t xml:space="preserve">. </w:t>
      </w:r>
      <w:r w:rsidRPr="00CE1CE2">
        <w:rPr>
          <w:sz w:val="22"/>
          <w:szCs w:val="22"/>
        </w:rPr>
        <w:t xml:space="preserve">Section </w:t>
      </w:r>
      <w:r w:rsidRPr="00EB3323">
        <w:rPr>
          <w:color w:val="0070C0"/>
          <w:sz w:val="22"/>
          <w:szCs w:val="22"/>
        </w:rPr>
        <w:t>3</w:t>
      </w:r>
      <w:r w:rsidRPr="00CE1CE2">
        <w:rPr>
          <w:sz w:val="22"/>
          <w:szCs w:val="22"/>
        </w:rPr>
        <w:t xml:space="preserve"> focuses on </w:t>
      </w:r>
      <w:r w:rsidR="00667C90" w:rsidRPr="00CE1CE2">
        <w:rPr>
          <w:sz w:val="22"/>
          <w:szCs w:val="22"/>
        </w:rPr>
        <w:t>data</w:t>
      </w:r>
      <w:r w:rsidR="006561CE">
        <w:rPr>
          <w:sz w:val="22"/>
          <w:szCs w:val="22"/>
        </w:rPr>
        <w:t xml:space="preserve"> characteristics and </w:t>
      </w:r>
      <w:r w:rsidR="000E083D">
        <w:rPr>
          <w:sz w:val="22"/>
          <w:szCs w:val="22"/>
        </w:rPr>
        <w:t xml:space="preserve">the </w:t>
      </w:r>
      <w:r w:rsidR="006561CE">
        <w:rPr>
          <w:sz w:val="22"/>
          <w:szCs w:val="22"/>
        </w:rPr>
        <w:t xml:space="preserve">measurement of bank efficiency. Detailed methodology and estimation issues are discussed in Section </w:t>
      </w:r>
      <w:r w:rsidR="006561CE" w:rsidRPr="00EB3323">
        <w:rPr>
          <w:color w:val="0070C0"/>
          <w:sz w:val="22"/>
          <w:szCs w:val="22"/>
        </w:rPr>
        <w:t>4</w:t>
      </w:r>
      <w:r w:rsidR="006561CE">
        <w:rPr>
          <w:sz w:val="22"/>
          <w:szCs w:val="22"/>
        </w:rPr>
        <w:t xml:space="preserve">. Section </w:t>
      </w:r>
      <w:r w:rsidR="006561CE" w:rsidRPr="00EB3323">
        <w:rPr>
          <w:color w:val="0070C0"/>
          <w:sz w:val="22"/>
          <w:szCs w:val="22"/>
        </w:rPr>
        <w:t>5</w:t>
      </w:r>
      <w:r w:rsidR="006561CE">
        <w:rPr>
          <w:sz w:val="22"/>
          <w:szCs w:val="22"/>
        </w:rPr>
        <w:t xml:space="preserve"> elaborates on empirical results. Finally, Section </w:t>
      </w:r>
      <w:r w:rsidR="006561CE" w:rsidRPr="00DA153C">
        <w:rPr>
          <w:color w:val="0070C0"/>
          <w:sz w:val="22"/>
          <w:szCs w:val="22"/>
        </w:rPr>
        <w:t>6</w:t>
      </w:r>
      <w:r w:rsidR="006561CE">
        <w:rPr>
          <w:sz w:val="22"/>
          <w:szCs w:val="22"/>
        </w:rPr>
        <w:t xml:space="preserve"> presents </w:t>
      </w:r>
      <w:r w:rsidR="00AB7557">
        <w:rPr>
          <w:sz w:val="22"/>
          <w:szCs w:val="22"/>
        </w:rPr>
        <w:t xml:space="preserve">the </w:t>
      </w:r>
      <w:r w:rsidR="006561CE">
        <w:rPr>
          <w:sz w:val="22"/>
          <w:szCs w:val="22"/>
        </w:rPr>
        <w:t xml:space="preserve">conclusion and </w:t>
      </w:r>
      <w:r w:rsidR="00AB7557">
        <w:rPr>
          <w:sz w:val="22"/>
          <w:szCs w:val="22"/>
        </w:rPr>
        <w:t xml:space="preserve">its </w:t>
      </w:r>
      <w:r w:rsidR="006561CE">
        <w:rPr>
          <w:sz w:val="22"/>
          <w:szCs w:val="22"/>
        </w:rPr>
        <w:t xml:space="preserve">implications. </w:t>
      </w:r>
      <w:bookmarkStart w:id="4" w:name="_Toc305616048"/>
      <w:bookmarkStart w:id="5" w:name="_Toc306634421"/>
      <w:bookmarkStart w:id="6" w:name="_Toc320795768"/>
    </w:p>
    <w:p w14:paraId="4AA2D533" w14:textId="77777777" w:rsidR="000E083D" w:rsidRPr="00CE1CE2" w:rsidRDefault="000E083D" w:rsidP="00625356">
      <w:pPr>
        <w:spacing w:line="360" w:lineRule="auto"/>
        <w:ind w:firstLine="720"/>
        <w:jc w:val="both"/>
        <w:rPr>
          <w:sz w:val="22"/>
          <w:szCs w:val="22"/>
        </w:rPr>
      </w:pPr>
    </w:p>
    <w:p w14:paraId="1BCA6E81" w14:textId="1A57A9FD" w:rsidR="00DC2B60" w:rsidRPr="006F00FF" w:rsidRDefault="00862C4D" w:rsidP="005A2333">
      <w:pPr>
        <w:pStyle w:val="Heading1"/>
        <w:numPr>
          <w:ilvl w:val="0"/>
          <w:numId w:val="0"/>
        </w:numPr>
        <w:rPr>
          <w:sz w:val="22"/>
          <w:szCs w:val="22"/>
        </w:rPr>
      </w:pPr>
      <w:r w:rsidRPr="00CE1CE2">
        <w:rPr>
          <w:sz w:val="22"/>
          <w:szCs w:val="22"/>
          <w:lang w:val="en-US"/>
        </w:rPr>
        <w:t>2</w:t>
      </w:r>
      <w:r w:rsidRPr="00CE1CE2">
        <w:rPr>
          <w:sz w:val="22"/>
          <w:szCs w:val="22"/>
        </w:rPr>
        <w:t xml:space="preserve">. </w:t>
      </w:r>
      <w:bookmarkEnd w:id="4"/>
      <w:bookmarkEnd w:id="5"/>
      <w:bookmarkEnd w:id="6"/>
      <w:r w:rsidR="00180F69">
        <w:rPr>
          <w:sz w:val="22"/>
          <w:szCs w:val="22"/>
        </w:rPr>
        <w:t xml:space="preserve">Related </w:t>
      </w:r>
      <w:r w:rsidR="00AE6606">
        <w:rPr>
          <w:sz w:val="22"/>
          <w:szCs w:val="22"/>
        </w:rPr>
        <w:t>L</w:t>
      </w:r>
      <w:r w:rsidR="00180F69">
        <w:rPr>
          <w:sz w:val="22"/>
          <w:szCs w:val="22"/>
        </w:rPr>
        <w:t>iterature</w:t>
      </w:r>
    </w:p>
    <w:p w14:paraId="5D81730C" w14:textId="69203850" w:rsidR="006D498D" w:rsidRPr="00D76247" w:rsidRDefault="00DC2B60" w:rsidP="00D76247">
      <w:pPr>
        <w:spacing w:line="360" w:lineRule="auto"/>
        <w:jc w:val="both"/>
        <w:rPr>
          <w:color w:val="004F88"/>
          <w:sz w:val="22"/>
          <w:szCs w:val="22"/>
        </w:rPr>
      </w:pPr>
      <w:r w:rsidRPr="00CE1CE2">
        <w:rPr>
          <w:sz w:val="22"/>
          <w:szCs w:val="22"/>
        </w:rPr>
        <w:t xml:space="preserve">In the U.S., the federal government has limited power over all states. State governments have the power to regulate within their state boundaries. State powers are also limited in the sense that states cannot make laws that conflict with the laws of the federal government. </w:t>
      </w:r>
      <w:r w:rsidR="00D76247" w:rsidRPr="00D76247">
        <w:rPr>
          <w:color w:val="004F88"/>
          <w:sz w:val="22"/>
          <w:szCs w:val="22"/>
        </w:rPr>
        <w:t>Utilising commercial bank data from the U.S. from 1970 to 1995, Kroszner and Strahan (1999) investigate private- and public-interest theories of regulatory change to analyse state-level deregulation of bank branching restrictions. The private-interest (economic) theory suggests that well-organised groups use the coercive power of the state to capture rents at the expense of more dispersed groups (Peltzman 1976; Peltzman et al. 1989; Stigler 1984). A wide range of regulatory interventions that are difficult to justify on public-interest grounds have been explained by this theory. In contrast, the public-interest theory of regulation posits that government intervention can enhance social welfare and correct market failures (Joskow and Noll 1981). While this theory helps explain welfare-improving deregulation, it is less effective in explaining the emergence of rules that restrict competition and generate limited welfare gains.</w:t>
      </w:r>
      <w:r w:rsidR="006F16AD" w:rsidRPr="00D76247">
        <w:rPr>
          <w:color w:val="004F88"/>
          <w:sz w:val="22"/>
          <w:szCs w:val="22"/>
        </w:rPr>
        <w:t xml:space="preserve"> </w:t>
      </w:r>
      <w:r w:rsidR="00FB3A52" w:rsidRPr="00CE1CE2">
        <w:rPr>
          <w:sz w:val="22"/>
          <w:szCs w:val="22"/>
        </w:rPr>
        <w:t>Kroszner and Strahan (</w:t>
      </w:r>
      <w:r w:rsidR="00FB3A52" w:rsidRPr="00D76247">
        <w:rPr>
          <w:color w:val="004F88"/>
          <w:sz w:val="22"/>
          <w:szCs w:val="22"/>
        </w:rPr>
        <w:t>1999</w:t>
      </w:r>
      <w:r w:rsidR="00FB3A52" w:rsidRPr="00CE1CE2">
        <w:rPr>
          <w:sz w:val="22"/>
          <w:szCs w:val="22"/>
        </w:rPr>
        <w:t xml:space="preserve">) </w:t>
      </w:r>
      <w:r w:rsidRPr="00CE1CE2">
        <w:rPr>
          <w:sz w:val="22"/>
          <w:szCs w:val="22"/>
        </w:rPr>
        <w:t xml:space="preserve">find that </w:t>
      </w:r>
      <w:r w:rsidR="0084168E" w:rsidRPr="00CE1CE2">
        <w:rPr>
          <w:sz w:val="22"/>
          <w:szCs w:val="22"/>
        </w:rPr>
        <w:t xml:space="preserve">deregulation is influenced by political-institutional factors, </w:t>
      </w:r>
      <w:r w:rsidR="00D76247" w:rsidRPr="00D76247">
        <w:rPr>
          <w:color w:val="004F88"/>
          <w:sz w:val="22"/>
          <w:szCs w:val="22"/>
        </w:rPr>
        <w:t>although these variables may also proxy for unobserved economic objectives</w:t>
      </w:r>
      <w:r w:rsidRPr="00D76247">
        <w:rPr>
          <w:color w:val="004F88"/>
          <w:sz w:val="22"/>
          <w:szCs w:val="22"/>
        </w:rPr>
        <w:t xml:space="preserve">. </w:t>
      </w:r>
      <w:r w:rsidRPr="00CE1CE2">
        <w:rPr>
          <w:sz w:val="22"/>
          <w:szCs w:val="22"/>
        </w:rPr>
        <w:t xml:space="preserve">Republicans are typically perceived as more likely to </w:t>
      </w:r>
      <w:r w:rsidR="000E083D">
        <w:rPr>
          <w:sz w:val="22"/>
          <w:szCs w:val="22"/>
        </w:rPr>
        <w:t>favour</w:t>
      </w:r>
      <w:r w:rsidRPr="00CE1CE2">
        <w:rPr>
          <w:sz w:val="22"/>
          <w:szCs w:val="22"/>
        </w:rPr>
        <w:t xml:space="preserve"> deregulation than Democrats</w:t>
      </w:r>
      <w:r w:rsidR="006F16AD" w:rsidRPr="00CE1CE2">
        <w:rPr>
          <w:sz w:val="22"/>
          <w:szCs w:val="22"/>
        </w:rPr>
        <w:t>. Hence</w:t>
      </w:r>
      <w:r w:rsidRPr="00CE1CE2">
        <w:rPr>
          <w:sz w:val="22"/>
          <w:szCs w:val="22"/>
        </w:rPr>
        <w:t xml:space="preserve">, states that are controlled by Democrats deregulate later than those controlled by Republicans. </w:t>
      </w:r>
      <w:r w:rsidR="00D76247" w:rsidRPr="00D76247">
        <w:rPr>
          <w:color w:val="004F88"/>
          <w:sz w:val="22"/>
          <w:szCs w:val="22"/>
        </w:rPr>
        <w:t>While their study focuses on the role of politics in bank deregulation at the state level, our study instead examines the influence of elections on bank efficiency at the state level.</w:t>
      </w:r>
    </w:p>
    <w:p w14:paraId="670D9E41" w14:textId="624C9526" w:rsidR="006D498D" w:rsidRPr="000009BA" w:rsidRDefault="00053F8A" w:rsidP="000009BA">
      <w:pPr>
        <w:spacing w:line="360" w:lineRule="auto"/>
        <w:jc w:val="both"/>
        <w:rPr>
          <w:color w:val="004F88"/>
          <w:sz w:val="22"/>
          <w:szCs w:val="22"/>
        </w:rPr>
      </w:pPr>
      <w:r w:rsidRPr="00CE1CE2">
        <w:rPr>
          <w:sz w:val="22"/>
          <w:szCs w:val="22"/>
        </w:rPr>
        <w:t xml:space="preserve">Gropper </w:t>
      </w:r>
      <w:r w:rsidR="00EB3323" w:rsidRPr="00124435">
        <w:rPr>
          <w:sz w:val="22"/>
          <w:szCs w:val="22"/>
        </w:rPr>
        <w:t>et al.</w:t>
      </w:r>
      <w:r w:rsidRPr="00CE1CE2">
        <w:rPr>
          <w:sz w:val="22"/>
          <w:szCs w:val="22"/>
        </w:rPr>
        <w:t xml:space="preserve"> (</w:t>
      </w:r>
      <w:r w:rsidRPr="00D76247">
        <w:rPr>
          <w:color w:val="004F88"/>
          <w:sz w:val="22"/>
          <w:szCs w:val="22"/>
        </w:rPr>
        <w:t>2015</w:t>
      </w:r>
      <w:r w:rsidRPr="00CE1CE2">
        <w:rPr>
          <w:sz w:val="22"/>
          <w:szCs w:val="22"/>
        </w:rPr>
        <w:t xml:space="preserve">) </w:t>
      </w:r>
      <w:r w:rsidR="00D76247" w:rsidRPr="00D76247">
        <w:rPr>
          <w:color w:val="004F88"/>
          <w:sz w:val="22"/>
          <w:szCs w:val="22"/>
        </w:rPr>
        <w:t>examine</w:t>
      </w:r>
      <w:r w:rsidRPr="00CE1CE2">
        <w:rPr>
          <w:sz w:val="22"/>
          <w:szCs w:val="22"/>
        </w:rPr>
        <w:t xml:space="preserve"> the performance of US banks from 1989 to 2010 in relation to state economic freedom. They discover a significant relationship between state economic freedom and bank profitability</w:t>
      </w:r>
      <w:r w:rsidR="00D76247" w:rsidRPr="00D76247">
        <w:rPr>
          <w:sz w:val="22"/>
          <w:szCs w:val="22"/>
        </w:rPr>
        <w:t xml:space="preserve">, </w:t>
      </w:r>
      <w:r w:rsidR="00D76247" w:rsidRPr="00D76247">
        <w:rPr>
          <w:color w:val="004F88"/>
          <w:sz w:val="22"/>
          <w:szCs w:val="22"/>
        </w:rPr>
        <w:t>as measured by return on assets (</w:t>
      </w:r>
      <w:r w:rsidR="00D76247" w:rsidRPr="00D76247">
        <w:rPr>
          <w:i/>
          <w:iCs/>
          <w:color w:val="004F88"/>
          <w:sz w:val="22"/>
          <w:szCs w:val="22"/>
        </w:rPr>
        <w:t>ROA</w:t>
      </w:r>
      <w:r w:rsidR="00D76247" w:rsidRPr="00D76247">
        <w:rPr>
          <w:color w:val="004F88"/>
          <w:sz w:val="22"/>
          <w:szCs w:val="22"/>
        </w:rPr>
        <w:t>)</w:t>
      </w:r>
      <w:r w:rsidRPr="00D76247">
        <w:rPr>
          <w:color w:val="004F88"/>
          <w:sz w:val="22"/>
          <w:szCs w:val="22"/>
        </w:rPr>
        <w:t xml:space="preserve">. </w:t>
      </w:r>
      <w:r w:rsidR="0092212F" w:rsidRPr="00CE1CE2">
        <w:rPr>
          <w:sz w:val="22"/>
          <w:szCs w:val="22"/>
        </w:rPr>
        <w:t xml:space="preserve">They reconfirm the finding of Gropper </w:t>
      </w:r>
      <w:r w:rsidR="00EB3323" w:rsidRPr="00124435">
        <w:rPr>
          <w:sz w:val="22"/>
          <w:szCs w:val="22"/>
        </w:rPr>
        <w:t>et al</w:t>
      </w:r>
      <w:r w:rsidR="00EB3323">
        <w:rPr>
          <w:i/>
          <w:iCs/>
          <w:sz w:val="22"/>
          <w:szCs w:val="22"/>
        </w:rPr>
        <w:t>.</w:t>
      </w:r>
      <w:r w:rsidR="0092212F" w:rsidRPr="00CE1CE2">
        <w:rPr>
          <w:sz w:val="22"/>
          <w:szCs w:val="22"/>
        </w:rPr>
        <w:t xml:space="preserve"> (</w:t>
      </w:r>
      <w:r w:rsidR="0092212F" w:rsidRPr="008E0CC8">
        <w:rPr>
          <w:color w:val="0070C0"/>
          <w:sz w:val="22"/>
          <w:szCs w:val="22"/>
        </w:rPr>
        <w:t>2013</w:t>
      </w:r>
      <w:r w:rsidR="0092212F" w:rsidRPr="00CE1CE2">
        <w:rPr>
          <w:sz w:val="22"/>
          <w:szCs w:val="22"/>
        </w:rPr>
        <w:t xml:space="preserve">) and show that </w:t>
      </w:r>
      <w:r w:rsidR="0084168E" w:rsidRPr="00CE1CE2">
        <w:rPr>
          <w:sz w:val="22"/>
          <w:szCs w:val="22"/>
        </w:rPr>
        <w:t xml:space="preserve">when a bank's headquarters </w:t>
      </w:r>
      <w:r w:rsidR="00D76247">
        <w:rPr>
          <w:sz w:val="22"/>
          <w:szCs w:val="22"/>
        </w:rPr>
        <w:t>is</w:t>
      </w:r>
      <w:r w:rsidR="0084168E" w:rsidRPr="00CE1CE2">
        <w:rPr>
          <w:sz w:val="22"/>
          <w:szCs w:val="22"/>
        </w:rPr>
        <w:t xml:space="preserve"> in a state where a U.S. Senator or Representative chairs the relevant banking committee in Congress, that state's banks earn much greater ROA</w:t>
      </w:r>
      <w:r w:rsidR="0092212F" w:rsidRPr="00CE1CE2">
        <w:rPr>
          <w:sz w:val="22"/>
          <w:szCs w:val="22"/>
        </w:rPr>
        <w:t xml:space="preserve">. </w:t>
      </w:r>
      <w:r w:rsidR="003C641E" w:rsidRPr="00CE1CE2">
        <w:rPr>
          <w:sz w:val="22"/>
          <w:szCs w:val="22"/>
        </w:rPr>
        <w:t xml:space="preserve">Efficiency defines the degree of effective </w:t>
      </w:r>
      <w:r w:rsidR="000E083D">
        <w:rPr>
          <w:sz w:val="22"/>
          <w:szCs w:val="22"/>
        </w:rPr>
        <w:t>utilisation</w:t>
      </w:r>
      <w:r w:rsidR="00AB7557" w:rsidRPr="00CE1CE2">
        <w:rPr>
          <w:sz w:val="22"/>
          <w:szCs w:val="22"/>
        </w:rPr>
        <w:t xml:space="preserve"> </w:t>
      </w:r>
      <w:r w:rsidR="003C641E" w:rsidRPr="00CE1CE2">
        <w:rPr>
          <w:sz w:val="22"/>
          <w:szCs w:val="22"/>
        </w:rPr>
        <w:t xml:space="preserve">of the factors of production, whereas profitability reflects the amount of profit a business creates from those factors. </w:t>
      </w:r>
      <w:r w:rsidR="00357C27" w:rsidRPr="00CE1CE2">
        <w:rPr>
          <w:sz w:val="22"/>
          <w:szCs w:val="22"/>
        </w:rPr>
        <w:t xml:space="preserve">Based on data from 3,809 commercial banks from 1987 to 2002, Chortareas </w:t>
      </w:r>
      <w:r w:rsidR="00EB3323" w:rsidRPr="00124435">
        <w:rPr>
          <w:sz w:val="22"/>
          <w:szCs w:val="22"/>
        </w:rPr>
        <w:t>et al.</w:t>
      </w:r>
      <w:r w:rsidR="00357C27" w:rsidRPr="00CE1CE2">
        <w:rPr>
          <w:sz w:val="22"/>
          <w:szCs w:val="22"/>
        </w:rPr>
        <w:t xml:space="preserve"> (</w:t>
      </w:r>
      <w:r w:rsidR="00357C27" w:rsidRPr="008E0CC8">
        <w:rPr>
          <w:color w:val="0070C0"/>
          <w:sz w:val="22"/>
          <w:szCs w:val="22"/>
        </w:rPr>
        <w:t>2016</w:t>
      </w:r>
      <w:r w:rsidR="00357C27" w:rsidRPr="00CE1CE2">
        <w:rPr>
          <w:sz w:val="22"/>
          <w:szCs w:val="22"/>
        </w:rPr>
        <w:t xml:space="preserve">) </w:t>
      </w:r>
      <w:r w:rsidR="00090E87" w:rsidRPr="00CE1CE2">
        <w:rPr>
          <w:sz w:val="22"/>
          <w:szCs w:val="22"/>
        </w:rPr>
        <w:t>claim</w:t>
      </w:r>
      <w:r w:rsidR="00357C27" w:rsidRPr="00CE1CE2">
        <w:rPr>
          <w:sz w:val="22"/>
          <w:szCs w:val="22"/>
        </w:rPr>
        <w:t xml:space="preserve"> that </w:t>
      </w:r>
      <w:r w:rsidR="0084168E" w:rsidRPr="00CE1CE2">
        <w:rPr>
          <w:sz w:val="22"/>
          <w:szCs w:val="22"/>
        </w:rPr>
        <w:t>banks are more cost-</w:t>
      </w:r>
      <w:r w:rsidR="00D76247" w:rsidRPr="00D76247">
        <w:rPr>
          <w:color w:val="004F88"/>
          <w:sz w:val="22"/>
          <w:szCs w:val="22"/>
        </w:rPr>
        <w:t>efficient</w:t>
      </w:r>
      <w:r w:rsidR="0084168E" w:rsidRPr="00CE1CE2">
        <w:rPr>
          <w:sz w:val="22"/>
          <w:szCs w:val="22"/>
        </w:rPr>
        <w:t xml:space="preserve"> when operating in states with greater economic freedom. Higher bank efficiency may emerge from more freedom from governmental regulation in the financial and banking sectors</w:t>
      </w:r>
      <w:r w:rsidR="00357C27" w:rsidRPr="00CE1CE2">
        <w:rPr>
          <w:sz w:val="22"/>
          <w:szCs w:val="22"/>
        </w:rPr>
        <w:t xml:space="preserve">. </w:t>
      </w:r>
      <w:r w:rsidR="000009BA" w:rsidRPr="000009BA">
        <w:rPr>
          <w:sz w:val="22"/>
          <w:szCs w:val="22"/>
        </w:rPr>
        <w:t xml:space="preserve">An </w:t>
      </w:r>
      <w:r w:rsidR="000009BA" w:rsidRPr="000009BA">
        <w:rPr>
          <w:color w:val="004F88"/>
          <w:sz w:val="22"/>
          <w:szCs w:val="22"/>
        </w:rPr>
        <w:t xml:space="preserve">important </w:t>
      </w:r>
      <w:r w:rsidR="000009BA" w:rsidRPr="000009BA">
        <w:rPr>
          <w:sz w:val="22"/>
          <w:szCs w:val="22"/>
        </w:rPr>
        <w:t>question in the U.S. banking sector is how “economic freedom” relates to national and state political structures and how it affects bank efficiency.</w:t>
      </w:r>
      <w:r w:rsidR="000009BA">
        <w:rPr>
          <w:sz w:val="22"/>
          <w:szCs w:val="22"/>
        </w:rPr>
        <w:t xml:space="preserve"> </w:t>
      </w:r>
      <w:r w:rsidR="00CE729D" w:rsidRPr="00CE1CE2">
        <w:rPr>
          <w:sz w:val="22"/>
          <w:szCs w:val="22"/>
        </w:rPr>
        <w:t xml:space="preserve">Gropper </w:t>
      </w:r>
      <w:r w:rsidR="00EB3323" w:rsidRPr="00124435">
        <w:rPr>
          <w:sz w:val="22"/>
          <w:szCs w:val="22"/>
        </w:rPr>
        <w:t>et al.</w:t>
      </w:r>
      <w:r w:rsidR="00CE729D" w:rsidRPr="00CE1CE2">
        <w:rPr>
          <w:sz w:val="22"/>
          <w:szCs w:val="22"/>
        </w:rPr>
        <w:t xml:space="preserve"> (</w:t>
      </w:r>
      <w:r w:rsidR="00CE729D" w:rsidRPr="000009BA">
        <w:rPr>
          <w:color w:val="004F88"/>
          <w:sz w:val="22"/>
          <w:szCs w:val="22"/>
        </w:rPr>
        <w:t>2015</w:t>
      </w:r>
      <w:r w:rsidR="00CE729D" w:rsidRPr="00CE1CE2">
        <w:rPr>
          <w:sz w:val="22"/>
          <w:szCs w:val="22"/>
        </w:rPr>
        <w:t xml:space="preserve">) </w:t>
      </w:r>
      <w:r w:rsidR="00B4209B" w:rsidRPr="00CE1CE2">
        <w:rPr>
          <w:sz w:val="22"/>
          <w:szCs w:val="22"/>
        </w:rPr>
        <w:t>affirm</w:t>
      </w:r>
      <w:r w:rsidR="00CE729D" w:rsidRPr="00CE1CE2">
        <w:rPr>
          <w:sz w:val="22"/>
          <w:szCs w:val="22"/>
        </w:rPr>
        <w:t xml:space="preserve"> that </w:t>
      </w:r>
      <w:r w:rsidR="003144AA" w:rsidRPr="00CE1CE2">
        <w:rPr>
          <w:sz w:val="22"/>
          <w:szCs w:val="22"/>
        </w:rPr>
        <w:t>political connections may become more lucrative and more significant to banks and other heavily regulated companies if economic freedom continues to decline.</w:t>
      </w:r>
      <w:r w:rsidR="00801D91" w:rsidRPr="00CE1CE2">
        <w:rPr>
          <w:sz w:val="22"/>
          <w:szCs w:val="22"/>
        </w:rPr>
        <w:t xml:space="preserve"> </w:t>
      </w:r>
      <w:r w:rsidR="00CE729D" w:rsidRPr="00CE1CE2">
        <w:rPr>
          <w:sz w:val="22"/>
          <w:szCs w:val="22"/>
        </w:rPr>
        <w:t>However, t</w:t>
      </w:r>
      <w:r w:rsidR="001A02D9" w:rsidRPr="00CE1CE2">
        <w:rPr>
          <w:sz w:val="22"/>
          <w:szCs w:val="22"/>
        </w:rPr>
        <w:t xml:space="preserve">his study </w:t>
      </w:r>
      <w:r w:rsidR="004E3623" w:rsidRPr="00CE1CE2">
        <w:rPr>
          <w:sz w:val="22"/>
          <w:szCs w:val="22"/>
        </w:rPr>
        <w:t xml:space="preserve">only </w:t>
      </w:r>
      <w:r w:rsidR="001A02D9" w:rsidRPr="00CE1CE2">
        <w:rPr>
          <w:sz w:val="22"/>
          <w:szCs w:val="22"/>
        </w:rPr>
        <w:t xml:space="preserve">focuses on the relation between economic freedom and bank performance </w:t>
      </w:r>
      <w:r w:rsidR="004E3623" w:rsidRPr="00CE1CE2">
        <w:rPr>
          <w:sz w:val="22"/>
          <w:szCs w:val="22"/>
        </w:rPr>
        <w:t xml:space="preserve">at the state level </w:t>
      </w:r>
      <w:r w:rsidR="000009BA" w:rsidRPr="000009BA">
        <w:rPr>
          <w:color w:val="004F88"/>
          <w:sz w:val="22"/>
          <w:szCs w:val="22"/>
        </w:rPr>
        <w:t xml:space="preserve">over a relatively short period </w:t>
      </w:r>
      <w:r w:rsidR="001C704A" w:rsidRPr="00CE1CE2">
        <w:rPr>
          <w:sz w:val="22"/>
          <w:szCs w:val="22"/>
        </w:rPr>
        <w:t>(1989-2010)</w:t>
      </w:r>
      <w:r w:rsidR="001A02D9" w:rsidRPr="00CE1CE2">
        <w:rPr>
          <w:sz w:val="22"/>
          <w:szCs w:val="22"/>
        </w:rPr>
        <w:t xml:space="preserve">. </w:t>
      </w:r>
      <w:r w:rsidR="000009BA" w:rsidRPr="000009BA">
        <w:rPr>
          <w:color w:val="004F88"/>
          <w:sz w:val="22"/>
          <w:szCs w:val="22"/>
        </w:rPr>
        <w:t>The role of dominant political parties—Democratic or Republican—at both the state and federal levels in shaping bank efficiency remains largely unexplored.</w:t>
      </w:r>
    </w:p>
    <w:p w14:paraId="6E8500D9" w14:textId="77777777" w:rsidR="000009BA" w:rsidRPr="00CE1CE2" w:rsidRDefault="000009BA" w:rsidP="000009BA">
      <w:pPr>
        <w:spacing w:line="360" w:lineRule="auto"/>
        <w:jc w:val="both"/>
        <w:rPr>
          <w:sz w:val="22"/>
          <w:szCs w:val="22"/>
        </w:rPr>
      </w:pPr>
    </w:p>
    <w:p w14:paraId="3E6022C4" w14:textId="0E9F9FBA" w:rsidR="00115EB1" w:rsidRPr="00CE1CE2" w:rsidRDefault="002F7CB7" w:rsidP="006D498D">
      <w:pPr>
        <w:spacing w:line="360" w:lineRule="auto"/>
        <w:jc w:val="both"/>
        <w:rPr>
          <w:color w:val="FF0000"/>
          <w:sz w:val="22"/>
          <w:szCs w:val="22"/>
        </w:rPr>
      </w:pPr>
      <w:r w:rsidRPr="00CE1CE2">
        <w:rPr>
          <w:sz w:val="22"/>
          <w:szCs w:val="22"/>
        </w:rPr>
        <w:t xml:space="preserve">In the U.S., individual states and three federal agencies - the Federal Reserve, the Office of Comptroller of the Currency (OCC), and the Federal Deposit Insurance Corporation </w:t>
      </w:r>
      <w:r w:rsidR="00B15665" w:rsidRPr="00CE1CE2">
        <w:rPr>
          <w:sz w:val="22"/>
          <w:szCs w:val="22"/>
        </w:rPr>
        <w:t>(</w:t>
      </w:r>
      <w:r w:rsidR="00AF408B" w:rsidRPr="00CE1CE2">
        <w:rPr>
          <w:sz w:val="22"/>
          <w:szCs w:val="22"/>
        </w:rPr>
        <w:t>FDIC</w:t>
      </w:r>
      <w:r w:rsidR="00B15665" w:rsidRPr="00CE1CE2">
        <w:rPr>
          <w:sz w:val="22"/>
          <w:szCs w:val="22"/>
        </w:rPr>
        <w:t xml:space="preserve">) </w:t>
      </w:r>
      <w:r w:rsidRPr="00CE1CE2">
        <w:rPr>
          <w:sz w:val="22"/>
          <w:szCs w:val="22"/>
        </w:rPr>
        <w:t>- regulate commercial banks.</w:t>
      </w:r>
      <w:r w:rsidR="00B15665" w:rsidRPr="00CE1CE2">
        <w:rPr>
          <w:sz w:val="22"/>
          <w:szCs w:val="22"/>
        </w:rPr>
        <w:t xml:space="preserve"> Firstly, the Federal Reserve Chair is appointed by the U.S. president from one of the seven members of the Board of Governors that make up the highest rank of the Federal Reserve. Secondly, the OCC is also appointed by the U.S. president and approved by the Senate, heads of </w:t>
      </w:r>
      <w:r w:rsidR="00AB7557">
        <w:rPr>
          <w:sz w:val="22"/>
          <w:szCs w:val="22"/>
        </w:rPr>
        <w:t xml:space="preserve">the </w:t>
      </w:r>
      <w:r w:rsidR="00B15665" w:rsidRPr="00CE1CE2">
        <w:rPr>
          <w:sz w:val="22"/>
          <w:szCs w:val="22"/>
        </w:rPr>
        <w:t xml:space="preserve">OCC. Finally, the </w:t>
      </w:r>
      <w:r w:rsidR="00AF408B" w:rsidRPr="00CE1CE2">
        <w:rPr>
          <w:sz w:val="22"/>
          <w:szCs w:val="22"/>
        </w:rPr>
        <w:t>FDIC</w:t>
      </w:r>
      <w:r w:rsidR="00B15665" w:rsidRPr="00CE1CE2">
        <w:rPr>
          <w:sz w:val="22"/>
          <w:szCs w:val="22"/>
        </w:rPr>
        <w:t xml:space="preserve"> is managed by a board of five directors who are also appointed by the U.S. president. </w:t>
      </w:r>
      <w:r w:rsidR="00F44486" w:rsidRPr="00CE1CE2">
        <w:rPr>
          <w:sz w:val="22"/>
          <w:szCs w:val="22"/>
        </w:rPr>
        <w:t>Papadimi</w:t>
      </w:r>
      <w:r w:rsidR="00DA25AC" w:rsidRPr="00CE1CE2">
        <w:rPr>
          <w:sz w:val="22"/>
          <w:szCs w:val="22"/>
        </w:rPr>
        <w:t xml:space="preserve">tri </w:t>
      </w:r>
      <w:r w:rsidR="00EB3323" w:rsidRPr="00124435">
        <w:rPr>
          <w:sz w:val="22"/>
          <w:szCs w:val="22"/>
        </w:rPr>
        <w:t>et al.</w:t>
      </w:r>
      <w:r w:rsidR="00DA25AC" w:rsidRPr="00CE1CE2">
        <w:rPr>
          <w:sz w:val="22"/>
          <w:szCs w:val="22"/>
        </w:rPr>
        <w:t xml:space="preserve"> (</w:t>
      </w:r>
      <w:r w:rsidR="00DA25AC" w:rsidRPr="008E0CC8">
        <w:rPr>
          <w:color w:val="0070C0"/>
          <w:sz w:val="22"/>
          <w:szCs w:val="22"/>
        </w:rPr>
        <w:t>2021</w:t>
      </w:r>
      <w:r w:rsidR="00DA25AC" w:rsidRPr="00CE1CE2">
        <w:rPr>
          <w:sz w:val="22"/>
          <w:szCs w:val="22"/>
        </w:rPr>
        <w:t xml:space="preserve">) provide evidence on whether powerful politicians can exert influence on regulatory decision-making using data </w:t>
      </w:r>
      <w:r w:rsidR="00AB7557">
        <w:rPr>
          <w:sz w:val="22"/>
          <w:szCs w:val="22"/>
        </w:rPr>
        <w:t>from</w:t>
      </w:r>
      <w:r w:rsidR="00AB7557" w:rsidRPr="00CE1CE2">
        <w:rPr>
          <w:sz w:val="22"/>
          <w:szCs w:val="22"/>
        </w:rPr>
        <w:t xml:space="preserve"> </w:t>
      </w:r>
      <w:r w:rsidR="00DA25AC" w:rsidRPr="00CE1CE2">
        <w:rPr>
          <w:sz w:val="22"/>
          <w:szCs w:val="22"/>
        </w:rPr>
        <w:t>U</w:t>
      </w:r>
      <w:r w:rsidR="007229C4" w:rsidRPr="00CE1CE2">
        <w:rPr>
          <w:sz w:val="22"/>
          <w:szCs w:val="22"/>
        </w:rPr>
        <w:t>.</w:t>
      </w:r>
      <w:r w:rsidR="00DA25AC" w:rsidRPr="00CE1CE2">
        <w:rPr>
          <w:sz w:val="22"/>
          <w:szCs w:val="22"/>
        </w:rPr>
        <w:t>S</w:t>
      </w:r>
      <w:r w:rsidR="007229C4" w:rsidRPr="00CE1CE2">
        <w:rPr>
          <w:sz w:val="22"/>
          <w:szCs w:val="22"/>
        </w:rPr>
        <w:t>.</w:t>
      </w:r>
      <w:r w:rsidR="00DA25AC" w:rsidRPr="00CE1CE2">
        <w:rPr>
          <w:sz w:val="22"/>
          <w:szCs w:val="22"/>
        </w:rPr>
        <w:t xml:space="preserve"> commercial banks over the period 2000–2015. Their </w:t>
      </w:r>
      <w:r w:rsidR="00090E87" w:rsidRPr="00CE1CE2">
        <w:rPr>
          <w:sz w:val="22"/>
          <w:szCs w:val="22"/>
        </w:rPr>
        <w:t xml:space="preserve">research </w:t>
      </w:r>
      <w:r w:rsidR="00497433" w:rsidRPr="00CE1CE2">
        <w:rPr>
          <w:sz w:val="22"/>
          <w:szCs w:val="22"/>
        </w:rPr>
        <w:t>indicates</w:t>
      </w:r>
      <w:r w:rsidR="00DA25AC" w:rsidRPr="00CE1CE2">
        <w:rPr>
          <w:sz w:val="22"/>
          <w:szCs w:val="22"/>
        </w:rPr>
        <w:t xml:space="preserve"> </w:t>
      </w:r>
      <w:r w:rsidR="003144AA" w:rsidRPr="00CE1CE2">
        <w:rPr>
          <w:sz w:val="22"/>
          <w:szCs w:val="22"/>
        </w:rPr>
        <w:t>a negative correlation between political influence and the possibility of enforcement. They also demonstrate the likelihood that lawmakers with influence in Congress will be able to affect regulatory decisions.</w:t>
      </w:r>
      <w:r w:rsidR="00DA25AC" w:rsidRPr="00CE1CE2">
        <w:rPr>
          <w:sz w:val="22"/>
          <w:szCs w:val="22"/>
        </w:rPr>
        <w:t xml:space="preserve"> </w:t>
      </w:r>
      <w:r w:rsidR="00115EB1" w:rsidRPr="00CE1CE2">
        <w:rPr>
          <w:sz w:val="22"/>
          <w:szCs w:val="22"/>
        </w:rPr>
        <w:t>Unfortunately</w:t>
      </w:r>
      <w:r w:rsidR="004043C1" w:rsidRPr="00CE1CE2">
        <w:rPr>
          <w:sz w:val="22"/>
          <w:szCs w:val="22"/>
        </w:rPr>
        <w:t xml:space="preserve">, </w:t>
      </w:r>
      <w:r w:rsidR="00FA5F1D" w:rsidRPr="00CE1CE2">
        <w:rPr>
          <w:sz w:val="22"/>
          <w:szCs w:val="22"/>
        </w:rPr>
        <w:t xml:space="preserve">Papadimitri </w:t>
      </w:r>
      <w:r w:rsidR="00EB3323" w:rsidRPr="00124435">
        <w:rPr>
          <w:sz w:val="22"/>
          <w:szCs w:val="22"/>
        </w:rPr>
        <w:t>et al.</w:t>
      </w:r>
      <w:r w:rsidR="00FA5F1D" w:rsidRPr="00CE1CE2">
        <w:rPr>
          <w:sz w:val="22"/>
          <w:szCs w:val="22"/>
        </w:rPr>
        <w:t xml:space="preserve"> (</w:t>
      </w:r>
      <w:r w:rsidR="00FA5F1D" w:rsidRPr="008E0CC8">
        <w:rPr>
          <w:color w:val="0070C0"/>
          <w:sz w:val="22"/>
          <w:szCs w:val="22"/>
        </w:rPr>
        <w:t>2021</w:t>
      </w:r>
      <w:r w:rsidR="00FA5F1D" w:rsidRPr="00CE1CE2">
        <w:rPr>
          <w:sz w:val="22"/>
          <w:szCs w:val="22"/>
        </w:rPr>
        <w:t xml:space="preserve">) </w:t>
      </w:r>
      <w:r w:rsidR="004043C1" w:rsidRPr="00CE1CE2">
        <w:rPr>
          <w:sz w:val="22"/>
          <w:szCs w:val="22"/>
        </w:rPr>
        <w:t>d</w:t>
      </w:r>
      <w:r w:rsidR="00321FAD" w:rsidRPr="00CE1CE2">
        <w:rPr>
          <w:sz w:val="22"/>
          <w:szCs w:val="22"/>
        </w:rPr>
        <w:t>o</w:t>
      </w:r>
      <w:r w:rsidR="004043C1" w:rsidRPr="00CE1CE2">
        <w:rPr>
          <w:sz w:val="22"/>
          <w:szCs w:val="22"/>
        </w:rPr>
        <w:t xml:space="preserve"> not </w:t>
      </w:r>
      <w:r w:rsidR="00FA5F1D" w:rsidRPr="00CE1CE2">
        <w:rPr>
          <w:sz w:val="22"/>
          <w:szCs w:val="22"/>
        </w:rPr>
        <w:t>demonstrate</w:t>
      </w:r>
      <w:r w:rsidR="004043C1" w:rsidRPr="00CE1CE2">
        <w:rPr>
          <w:sz w:val="22"/>
          <w:szCs w:val="22"/>
        </w:rPr>
        <w:t xml:space="preserve"> </w:t>
      </w:r>
      <w:r w:rsidR="007B5931" w:rsidRPr="00CE1CE2">
        <w:rPr>
          <w:sz w:val="22"/>
          <w:szCs w:val="22"/>
        </w:rPr>
        <w:t xml:space="preserve">the </w:t>
      </w:r>
      <w:r w:rsidR="00115EB1" w:rsidRPr="00CE1CE2">
        <w:rPr>
          <w:sz w:val="22"/>
          <w:szCs w:val="22"/>
        </w:rPr>
        <w:t>impact</w:t>
      </w:r>
      <w:r w:rsidR="004043C1" w:rsidRPr="00CE1CE2">
        <w:rPr>
          <w:sz w:val="22"/>
          <w:szCs w:val="22"/>
        </w:rPr>
        <w:t xml:space="preserve"> of </w:t>
      </w:r>
      <w:r w:rsidR="00115EB1" w:rsidRPr="00CE1CE2">
        <w:rPr>
          <w:sz w:val="22"/>
          <w:szCs w:val="22"/>
        </w:rPr>
        <w:t>elected</w:t>
      </w:r>
      <w:r w:rsidR="004043C1" w:rsidRPr="00CE1CE2">
        <w:rPr>
          <w:sz w:val="22"/>
          <w:szCs w:val="22"/>
        </w:rPr>
        <w:t xml:space="preserve"> </w:t>
      </w:r>
      <w:r w:rsidR="00AB7557" w:rsidRPr="00CE1CE2">
        <w:rPr>
          <w:sz w:val="22"/>
          <w:szCs w:val="22"/>
        </w:rPr>
        <w:t>part</w:t>
      </w:r>
      <w:r w:rsidR="00AB7557">
        <w:rPr>
          <w:sz w:val="22"/>
          <w:szCs w:val="22"/>
        </w:rPr>
        <w:t>ies</w:t>
      </w:r>
      <w:r w:rsidR="00AB7557" w:rsidRPr="00CE1CE2">
        <w:rPr>
          <w:sz w:val="22"/>
          <w:szCs w:val="22"/>
        </w:rPr>
        <w:t xml:space="preserve"> </w:t>
      </w:r>
      <w:r w:rsidR="00B15665" w:rsidRPr="00CE1CE2">
        <w:rPr>
          <w:sz w:val="22"/>
          <w:szCs w:val="22"/>
        </w:rPr>
        <w:t xml:space="preserve">via the presidential elections </w:t>
      </w:r>
      <w:r w:rsidR="004043C1" w:rsidRPr="00CE1CE2">
        <w:rPr>
          <w:sz w:val="22"/>
          <w:szCs w:val="22"/>
        </w:rPr>
        <w:t xml:space="preserve">on </w:t>
      </w:r>
      <w:r w:rsidR="00115EB1" w:rsidRPr="00CE1CE2">
        <w:rPr>
          <w:sz w:val="22"/>
          <w:szCs w:val="22"/>
        </w:rPr>
        <w:t xml:space="preserve">bank </w:t>
      </w:r>
      <w:r w:rsidR="00321FAD" w:rsidRPr="00CE1CE2">
        <w:rPr>
          <w:sz w:val="22"/>
          <w:szCs w:val="22"/>
        </w:rPr>
        <w:t>efficiency</w:t>
      </w:r>
      <w:r w:rsidR="004043C1" w:rsidRPr="00CE1CE2">
        <w:rPr>
          <w:sz w:val="22"/>
          <w:szCs w:val="22"/>
        </w:rPr>
        <w:t xml:space="preserve">. </w:t>
      </w:r>
      <w:r w:rsidR="00E43170" w:rsidRPr="00CE1CE2">
        <w:rPr>
          <w:sz w:val="22"/>
          <w:szCs w:val="22"/>
        </w:rPr>
        <w:t>Like</w:t>
      </w:r>
      <w:r w:rsidR="00115EB1" w:rsidRPr="00CE1CE2">
        <w:rPr>
          <w:sz w:val="22"/>
          <w:szCs w:val="22"/>
        </w:rPr>
        <w:t xml:space="preserve"> Gropper </w:t>
      </w:r>
      <w:r w:rsidR="00EB3323" w:rsidRPr="00124435">
        <w:rPr>
          <w:sz w:val="22"/>
          <w:szCs w:val="22"/>
        </w:rPr>
        <w:t>et al.</w:t>
      </w:r>
      <w:r w:rsidR="00115EB1" w:rsidRPr="00CE1CE2">
        <w:rPr>
          <w:sz w:val="22"/>
          <w:szCs w:val="22"/>
        </w:rPr>
        <w:t xml:space="preserve"> (</w:t>
      </w:r>
      <w:r w:rsidR="00115EB1" w:rsidRPr="008E0CC8">
        <w:rPr>
          <w:color w:val="0070C0"/>
          <w:sz w:val="22"/>
          <w:szCs w:val="22"/>
        </w:rPr>
        <w:t>2015</w:t>
      </w:r>
      <w:r w:rsidR="00115EB1" w:rsidRPr="00CE1CE2">
        <w:rPr>
          <w:sz w:val="22"/>
          <w:szCs w:val="22"/>
        </w:rPr>
        <w:t xml:space="preserve">), this study </w:t>
      </w:r>
      <w:r w:rsidR="00321FAD" w:rsidRPr="00CE1CE2">
        <w:rPr>
          <w:sz w:val="22"/>
          <w:szCs w:val="22"/>
        </w:rPr>
        <w:t>neglect</w:t>
      </w:r>
      <w:r w:rsidR="000F3C7E" w:rsidRPr="00CE1CE2">
        <w:rPr>
          <w:sz w:val="22"/>
          <w:szCs w:val="22"/>
        </w:rPr>
        <w:t>s</w:t>
      </w:r>
      <w:r w:rsidR="00321FAD" w:rsidRPr="00CE1CE2">
        <w:rPr>
          <w:sz w:val="22"/>
          <w:szCs w:val="22"/>
        </w:rPr>
        <w:t xml:space="preserve"> the roles of ruling Democratic or Republican parties at both the state and federal levels.</w:t>
      </w:r>
    </w:p>
    <w:p w14:paraId="2B584029" w14:textId="77777777" w:rsidR="006D498D" w:rsidRDefault="006D498D" w:rsidP="006D498D">
      <w:pPr>
        <w:spacing w:line="360" w:lineRule="auto"/>
        <w:jc w:val="both"/>
        <w:rPr>
          <w:sz w:val="22"/>
          <w:szCs w:val="22"/>
        </w:rPr>
      </w:pPr>
    </w:p>
    <w:p w14:paraId="787744EA" w14:textId="107D2099" w:rsidR="00792612" w:rsidRPr="00CE1CE2" w:rsidRDefault="00E71597" w:rsidP="006D498D">
      <w:pPr>
        <w:spacing w:line="360" w:lineRule="auto"/>
        <w:jc w:val="both"/>
        <w:rPr>
          <w:sz w:val="22"/>
          <w:szCs w:val="22"/>
        </w:rPr>
      </w:pPr>
      <w:r w:rsidRPr="00CE1CE2">
        <w:rPr>
          <w:sz w:val="22"/>
          <w:szCs w:val="22"/>
        </w:rPr>
        <w:t xml:space="preserve">More conversations have shifted to </w:t>
      </w:r>
      <w:r w:rsidR="000E083D">
        <w:rPr>
          <w:sz w:val="22"/>
          <w:szCs w:val="22"/>
        </w:rPr>
        <w:t>favour</w:t>
      </w:r>
      <w:r w:rsidRPr="00CE1CE2">
        <w:rPr>
          <w:sz w:val="22"/>
          <w:szCs w:val="22"/>
        </w:rPr>
        <w:t xml:space="preserve"> "partisan theory”. </w:t>
      </w:r>
      <w:r w:rsidR="00556192" w:rsidRPr="00CE1CE2">
        <w:rPr>
          <w:sz w:val="22"/>
          <w:szCs w:val="22"/>
        </w:rPr>
        <w:t>In the U</w:t>
      </w:r>
      <w:r w:rsidR="00EB3323">
        <w:rPr>
          <w:sz w:val="22"/>
          <w:szCs w:val="22"/>
        </w:rPr>
        <w:t>.S.</w:t>
      </w:r>
      <w:r w:rsidR="00556192" w:rsidRPr="00CE1CE2">
        <w:rPr>
          <w:sz w:val="22"/>
          <w:szCs w:val="22"/>
        </w:rPr>
        <w:t xml:space="preserve">, partisan rivalry has spread to a wider range of subject areas, making it more ubiquitous (Brewer </w:t>
      </w:r>
      <w:r w:rsidR="00556192" w:rsidRPr="008E0CC8">
        <w:rPr>
          <w:color w:val="0070C0"/>
          <w:sz w:val="22"/>
          <w:szCs w:val="22"/>
        </w:rPr>
        <w:t>2005</w:t>
      </w:r>
      <w:r w:rsidR="00556192" w:rsidRPr="00CE1CE2">
        <w:rPr>
          <w:sz w:val="22"/>
          <w:szCs w:val="22"/>
        </w:rPr>
        <w:t xml:space="preserve">). Party identity is currently a more important predictor of Americans' core political ideals than any other social or demographic distinction, including gender, </w:t>
      </w:r>
      <w:r w:rsidR="000E083D">
        <w:rPr>
          <w:sz w:val="22"/>
          <w:szCs w:val="22"/>
        </w:rPr>
        <w:t>colour</w:t>
      </w:r>
      <w:r w:rsidR="00556192" w:rsidRPr="00CE1CE2">
        <w:rPr>
          <w:sz w:val="22"/>
          <w:szCs w:val="22"/>
        </w:rPr>
        <w:t>, education, and religion, according to Doherty (</w:t>
      </w:r>
      <w:r w:rsidR="00556192" w:rsidRPr="008E0CC8">
        <w:rPr>
          <w:color w:val="0070C0"/>
          <w:sz w:val="22"/>
          <w:szCs w:val="22"/>
        </w:rPr>
        <w:t>2017</w:t>
      </w:r>
      <w:r w:rsidR="00556192" w:rsidRPr="00CE1CE2">
        <w:rPr>
          <w:sz w:val="22"/>
          <w:szCs w:val="22"/>
        </w:rPr>
        <w:t>). Similar</w:t>
      </w:r>
      <w:r w:rsidR="00DA153C">
        <w:rPr>
          <w:sz w:val="22"/>
          <w:szCs w:val="22"/>
        </w:rPr>
        <w:t>ly</w:t>
      </w:r>
      <w:r w:rsidR="00556192" w:rsidRPr="00CE1CE2">
        <w:rPr>
          <w:sz w:val="22"/>
          <w:szCs w:val="22"/>
        </w:rPr>
        <w:t>, Bertrand and Kamenica (</w:t>
      </w:r>
      <w:r w:rsidR="00556192" w:rsidRPr="008E0CC8">
        <w:rPr>
          <w:color w:val="0070C0"/>
          <w:sz w:val="22"/>
          <w:szCs w:val="22"/>
        </w:rPr>
        <w:t>2018</w:t>
      </w:r>
      <w:r w:rsidR="00556192" w:rsidRPr="00CE1CE2">
        <w:rPr>
          <w:sz w:val="22"/>
          <w:szCs w:val="22"/>
        </w:rPr>
        <w:t>) discover</w:t>
      </w:r>
      <w:r w:rsidR="00AB7557">
        <w:rPr>
          <w:sz w:val="22"/>
          <w:szCs w:val="22"/>
        </w:rPr>
        <w:t>ed</w:t>
      </w:r>
      <w:r w:rsidR="00556192" w:rsidRPr="00CE1CE2">
        <w:rPr>
          <w:sz w:val="22"/>
          <w:szCs w:val="22"/>
        </w:rPr>
        <w:t xml:space="preserve"> that variations in social views by political ideology have grown in the U</w:t>
      </w:r>
      <w:r w:rsidR="00090E87" w:rsidRPr="00CE1CE2">
        <w:rPr>
          <w:sz w:val="22"/>
          <w:szCs w:val="22"/>
        </w:rPr>
        <w:t>.</w:t>
      </w:r>
      <w:r w:rsidR="00556192" w:rsidRPr="00CE1CE2">
        <w:rPr>
          <w:sz w:val="22"/>
          <w:szCs w:val="22"/>
        </w:rPr>
        <w:t>S</w:t>
      </w:r>
      <w:r w:rsidR="00090E87" w:rsidRPr="00CE1CE2">
        <w:rPr>
          <w:sz w:val="22"/>
          <w:szCs w:val="22"/>
        </w:rPr>
        <w:t>.</w:t>
      </w:r>
      <w:r w:rsidR="00556192" w:rsidRPr="00CE1CE2">
        <w:rPr>
          <w:sz w:val="22"/>
          <w:szCs w:val="22"/>
        </w:rPr>
        <w:t xml:space="preserve"> during the 1970s. </w:t>
      </w:r>
      <w:r w:rsidRPr="00CE1CE2">
        <w:rPr>
          <w:sz w:val="22"/>
          <w:szCs w:val="22"/>
        </w:rPr>
        <w:t>Hibbs (</w:t>
      </w:r>
      <w:r w:rsidRPr="008E0CC8">
        <w:rPr>
          <w:color w:val="0070C0"/>
          <w:sz w:val="22"/>
          <w:szCs w:val="22"/>
        </w:rPr>
        <w:t>1977</w:t>
      </w:r>
      <w:r w:rsidRPr="00CE1CE2">
        <w:rPr>
          <w:sz w:val="22"/>
          <w:szCs w:val="22"/>
        </w:rPr>
        <w:t>) was the first to advance this viewpoint</w:t>
      </w:r>
      <w:r w:rsidR="00556192" w:rsidRPr="00CE1CE2">
        <w:rPr>
          <w:sz w:val="22"/>
          <w:szCs w:val="22"/>
        </w:rPr>
        <w:t xml:space="preserve"> on “partisan theory”</w:t>
      </w:r>
      <w:r w:rsidRPr="00CE1CE2">
        <w:rPr>
          <w:sz w:val="22"/>
          <w:szCs w:val="22"/>
        </w:rPr>
        <w:t xml:space="preserve">, contending that the Democratic party has been </w:t>
      </w:r>
      <w:r w:rsidR="00AB7557">
        <w:rPr>
          <w:sz w:val="22"/>
          <w:szCs w:val="22"/>
        </w:rPr>
        <w:t>warier</w:t>
      </w:r>
      <w:r w:rsidRPr="00CE1CE2">
        <w:rPr>
          <w:sz w:val="22"/>
          <w:szCs w:val="22"/>
        </w:rPr>
        <w:t xml:space="preserve"> of unemployment and less wary of inflation than the Republican party. Furthermore, compared to the Republican </w:t>
      </w:r>
      <w:r w:rsidR="000E083D">
        <w:rPr>
          <w:sz w:val="22"/>
          <w:szCs w:val="22"/>
        </w:rPr>
        <w:t>Party</w:t>
      </w:r>
      <w:r w:rsidRPr="00CE1CE2">
        <w:rPr>
          <w:sz w:val="22"/>
          <w:szCs w:val="22"/>
        </w:rPr>
        <w:t xml:space="preserve">, </w:t>
      </w:r>
      <w:r w:rsidR="003144AA" w:rsidRPr="00CE1CE2">
        <w:rPr>
          <w:sz w:val="22"/>
          <w:szCs w:val="22"/>
        </w:rPr>
        <w:t xml:space="preserve">the Democratic Party has </w:t>
      </w:r>
      <w:r w:rsidR="000E083D">
        <w:rPr>
          <w:sz w:val="22"/>
          <w:szCs w:val="22"/>
        </w:rPr>
        <w:t>prioritised</w:t>
      </w:r>
      <w:r w:rsidR="00AB7557" w:rsidRPr="00CE1CE2">
        <w:rPr>
          <w:sz w:val="22"/>
          <w:szCs w:val="22"/>
        </w:rPr>
        <w:t xml:space="preserve"> </w:t>
      </w:r>
      <w:r w:rsidR="003144AA" w:rsidRPr="00CE1CE2">
        <w:rPr>
          <w:sz w:val="22"/>
          <w:szCs w:val="22"/>
        </w:rPr>
        <w:t>the output goal over the goal of inflation and money creation</w:t>
      </w:r>
      <w:r w:rsidR="006550EA" w:rsidRPr="00CE1CE2">
        <w:rPr>
          <w:sz w:val="22"/>
          <w:szCs w:val="22"/>
        </w:rPr>
        <w:t xml:space="preserve"> </w:t>
      </w:r>
      <w:r w:rsidRPr="00CE1CE2">
        <w:rPr>
          <w:sz w:val="22"/>
          <w:szCs w:val="22"/>
        </w:rPr>
        <w:t xml:space="preserve">(Alesina and Sachs </w:t>
      </w:r>
      <w:r w:rsidRPr="008E0CC8">
        <w:rPr>
          <w:color w:val="0070C0"/>
          <w:sz w:val="22"/>
          <w:szCs w:val="22"/>
        </w:rPr>
        <w:t>1988</w:t>
      </w:r>
      <w:r w:rsidRPr="00CE1CE2">
        <w:rPr>
          <w:sz w:val="22"/>
          <w:szCs w:val="22"/>
        </w:rPr>
        <w:t>). Using data for 1949-2009, Comiskey and Marsh (</w:t>
      </w:r>
      <w:r w:rsidRPr="008E0CC8">
        <w:rPr>
          <w:color w:val="0070C0"/>
          <w:sz w:val="22"/>
          <w:szCs w:val="22"/>
        </w:rPr>
        <w:t>2012</w:t>
      </w:r>
      <w:r w:rsidRPr="00CE1CE2">
        <w:rPr>
          <w:sz w:val="22"/>
          <w:szCs w:val="22"/>
        </w:rPr>
        <w:t xml:space="preserve">) uncover that </w:t>
      </w:r>
      <w:r w:rsidR="003144AA" w:rsidRPr="00CE1CE2">
        <w:rPr>
          <w:sz w:val="22"/>
          <w:szCs w:val="22"/>
        </w:rPr>
        <w:t>in terms of real economic growth and unemployment, Democratic presidential cycles appear to be stronger than Republican presidential cycles</w:t>
      </w:r>
      <w:r w:rsidRPr="00CE1CE2">
        <w:rPr>
          <w:sz w:val="22"/>
          <w:szCs w:val="22"/>
        </w:rPr>
        <w:t>. Blinder and Watson (</w:t>
      </w:r>
      <w:r w:rsidRPr="008E0CC8">
        <w:rPr>
          <w:color w:val="0070C0"/>
          <w:sz w:val="22"/>
          <w:szCs w:val="22"/>
        </w:rPr>
        <w:t>2016</w:t>
      </w:r>
      <w:r w:rsidRPr="00CE1CE2">
        <w:rPr>
          <w:sz w:val="22"/>
          <w:szCs w:val="22"/>
        </w:rPr>
        <w:t xml:space="preserve">) </w:t>
      </w:r>
      <w:r w:rsidR="00B4209B" w:rsidRPr="00CE1CE2">
        <w:rPr>
          <w:sz w:val="22"/>
          <w:szCs w:val="22"/>
        </w:rPr>
        <w:t>explain</w:t>
      </w:r>
      <w:r w:rsidRPr="00CE1CE2">
        <w:rPr>
          <w:sz w:val="22"/>
          <w:szCs w:val="22"/>
        </w:rPr>
        <w:t xml:space="preserve"> that the performance of the American economy during Democratic and Republican presidential administrations differs significantly and consistently. On practically every measure, Democrats perform better. Regardless </w:t>
      </w:r>
      <w:r w:rsidR="00695582">
        <w:rPr>
          <w:sz w:val="22"/>
          <w:szCs w:val="22"/>
        </w:rPr>
        <w:t>of</w:t>
      </w:r>
      <w:r w:rsidRPr="00CE1CE2">
        <w:rPr>
          <w:sz w:val="22"/>
          <w:szCs w:val="22"/>
        </w:rPr>
        <w:t xml:space="preserve"> how success is measured, </w:t>
      </w:r>
      <w:r w:rsidR="003144AA" w:rsidRPr="00CE1CE2">
        <w:rPr>
          <w:sz w:val="22"/>
          <w:szCs w:val="22"/>
        </w:rPr>
        <w:t>when a Democrat rather than a Republican has been in office as president, the U</w:t>
      </w:r>
      <w:r w:rsidR="00090E87" w:rsidRPr="00CE1CE2">
        <w:rPr>
          <w:sz w:val="22"/>
          <w:szCs w:val="22"/>
        </w:rPr>
        <w:t>.</w:t>
      </w:r>
      <w:r w:rsidR="003144AA" w:rsidRPr="00CE1CE2">
        <w:rPr>
          <w:sz w:val="22"/>
          <w:szCs w:val="22"/>
        </w:rPr>
        <w:t>S</w:t>
      </w:r>
      <w:r w:rsidR="00090E87" w:rsidRPr="00CE1CE2">
        <w:rPr>
          <w:sz w:val="22"/>
          <w:szCs w:val="22"/>
        </w:rPr>
        <w:t>.</w:t>
      </w:r>
      <w:r w:rsidR="003144AA" w:rsidRPr="00CE1CE2">
        <w:rPr>
          <w:sz w:val="22"/>
          <w:szCs w:val="22"/>
        </w:rPr>
        <w:t xml:space="preserve"> economy has performed better.</w:t>
      </w:r>
      <w:r w:rsidRPr="00CE1CE2">
        <w:rPr>
          <w:sz w:val="22"/>
          <w:szCs w:val="22"/>
        </w:rPr>
        <w:t xml:space="preserve"> </w:t>
      </w:r>
      <w:r w:rsidR="005C4AFC" w:rsidRPr="00CE1CE2">
        <w:rPr>
          <w:sz w:val="22"/>
          <w:szCs w:val="22"/>
        </w:rPr>
        <w:t xml:space="preserve">The support for the Democrats is also found in </w:t>
      </w:r>
      <w:r w:rsidR="00FA1251" w:rsidRPr="00CE1CE2">
        <w:rPr>
          <w:sz w:val="22"/>
          <w:szCs w:val="22"/>
        </w:rPr>
        <w:t>Cahan and Potra</w:t>
      </w:r>
      <w:r w:rsidR="00FA1251">
        <w:rPr>
          <w:sz w:val="22"/>
          <w:szCs w:val="22"/>
        </w:rPr>
        <w:t>fk</w:t>
      </w:r>
      <w:r w:rsidR="00FA1251" w:rsidRPr="00CE1CE2">
        <w:rPr>
          <w:sz w:val="22"/>
          <w:szCs w:val="22"/>
        </w:rPr>
        <w:t xml:space="preserve">e </w:t>
      </w:r>
      <w:r w:rsidR="00FA1251" w:rsidRPr="008E0CC8">
        <w:rPr>
          <w:color w:val="0070C0"/>
          <w:sz w:val="22"/>
          <w:szCs w:val="22"/>
        </w:rPr>
        <w:t>2021</w:t>
      </w:r>
      <w:r w:rsidR="00FA1251">
        <w:rPr>
          <w:color w:val="0070C0"/>
          <w:sz w:val="22"/>
          <w:szCs w:val="22"/>
        </w:rPr>
        <w:t xml:space="preserve">; </w:t>
      </w:r>
      <w:r w:rsidR="005C4AFC" w:rsidRPr="00CE1CE2">
        <w:rPr>
          <w:sz w:val="22"/>
          <w:szCs w:val="22"/>
        </w:rPr>
        <w:t xml:space="preserve">Chappell and Keech </w:t>
      </w:r>
      <w:r w:rsidR="005C4AFC" w:rsidRPr="008E0CC8">
        <w:rPr>
          <w:color w:val="0070C0"/>
          <w:sz w:val="22"/>
          <w:szCs w:val="22"/>
        </w:rPr>
        <w:t>1986</w:t>
      </w:r>
      <w:r w:rsidR="005C4AFC" w:rsidRPr="00CE1CE2">
        <w:rPr>
          <w:sz w:val="22"/>
          <w:szCs w:val="22"/>
        </w:rPr>
        <w:t xml:space="preserve">; </w:t>
      </w:r>
      <w:r w:rsidR="00FA1251">
        <w:rPr>
          <w:sz w:val="22"/>
          <w:szCs w:val="22"/>
        </w:rPr>
        <w:t xml:space="preserve">and </w:t>
      </w:r>
      <w:r w:rsidR="000A28A8">
        <w:rPr>
          <w:sz w:val="22"/>
          <w:szCs w:val="22"/>
        </w:rPr>
        <w:t>Gerber</w:t>
      </w:r>
      <w:r w:rsidR="005C4AFC" w:rsidRPr="00CE1CE2">
        <w:rPr>
          <w:sz w:val="22"/>
          <w:szCs w:val="22"/>
        </w:rPr>
        <w:t xml:space="preserve"> and Huber </w:t>
      </w:r>
      <w:r w:rsidR="005C4AFC" w:rsidRPr="008E0CC8">
        <w:rPr>
          <w:color w:val="0070C0"/>
          <w:sz w:val="22"/>
          <w:szCs w:val="22"/>
        </w:rPr>
        <w:t>2009</w:t>
      </w:r>
      <w:r w:rsidR="005C4AFC" w:rsidRPr="00CE1CE2">
        <w:rPr>
          <w:sz w:val="22"/>
          <w:szCs w:val="22"/>
        </w:rPr>
        <w:t xml:space="preserve">. </w:t>
      </w:r>
      <w:r w:rsidR="003144AA" w:rsidRPr="00CE1CE2">
        <w:rPr>
          <w:sz w:val="22"/>
          <w:szCs w:val="22"/>
        </w:rPr>
        <w:t>The relationship between bank efficiency and the ruling party has not been thoroughly studied, though.</w:t>
      </w:r>
      <w:r w:rsidR="005C4AFC" w:rsidRPr="00CE1CE2">
        <w:rPr>
          <w:sz w:val="22"/>
          <w:szCs w:val="22"/>
        </w:rPr>
        <w:t xml:space="preserve"> </w:t>
      </w:r>
    </w:p>
    <w:p w14:paraId="300BBDF7" w14:textId="77777777" w:rsidR="006D498D" w:rsidRDefault="006D498D" w:rsidP="006D498D">
      <w:pPr>
        <w:spacing w:line="360" w:lineRule="auto"/>
        <w:jc w:val="both"/>
        <w:rPr>
          <w:sz w:val="22"/>
          <w:szCs w:val="22"/>
        </w:rPr>
      </w:pPr>
    </w:p>
    <w:p w14:paraId="44B71688" w14:textId="56F249CA" w:rsidR="008D6074" w:rsidRPr="00CE1CE2" w:rsidRDefault="000009BA" w:rsidP="000009BA">
      <w:pPr>
        <w:spacing w:line="360" w:lineRule="auto"/>
        <w:jc w:val="both"/>
        <w:rPr>
          <w:sz w:val="22"/>
          <w:szCs w:val="22"/>
        </w:rPr>
      </w:pPr>
      <w:r w:rsidRPr="000009BA">
        <w:rPr>
          <w:color w:val="004F88"/>
          <w:sz w:val="22"/>
          <w:szCs w:val="22"/>
        </w:rPr>
        <w:t xml:space="preserve">To the best of our knowledge, prior studies on U.S. politics have not adequately examined how presidential election outcomes, through the selection of political parties, affect bank efficiency at both the state and </w:t>
      </w:r>
      <w:r>
        <w:rPr>
          <w:color w:val="004F88"/>
          <w:sz w:val="22"/>
          <w:szCs w:val="22"/>
        </w:rPr>
        <w:t>federal</w:t>
      </w:r>
      <w:r w:rsidRPr="000009BA">
        <w:rPr>
          <w:color w:val="004F88"/>
          <w:sz w:val="22"/>
          <w:szCs w:val="22"/>
        </w:rPr>
        <w:t xml:space="preserve"> levels. </w:t>
      </w:r>
      <w:r w:rsidR="004043C1" w:rsidRPr="00CE1CE2">
        <w:rPr>
          <w:sz w:val="22"/>
          <w:szCs w:val="22"/>
        </w:rPr>
        <w:t xml:space="preserve">The </w:t>
      </w:r>
      <w:r w:rsidR="007229C4" w:rsidRPr="00CE1CE2">
        <w:rPr>
          <w:sz w:val="22"/>
          <w:szCs w:val="22"/>
        </w:rPr>
        <w:t>U.S. banking</w:t>
      </w:r>
      <w:r w:rsidR="004043C1" w:rsidRPr="00CE1CE2">
        <w:rPr>
          <w:sz w:val="22"/>
          <w:szCs w:val="22"/>
        </w:rPr>
        <w:t xml:space="preserve"> institutions were chartered, supervised, and regulated at both the state and federal levels. </w:t>
      </w:r>
      <w:r w:rsidR="006550EA" w:rsidRPr="00CE1CE2">
        <w:rPr>
          <w:sz w:val="22"/>
          <w:szCs w:val="22"/>
        </w:rPr>
        <w:t>The impact of state and national policies on the inputs and outputs</w:t>
      </w:r>
      <w:r w:rsidR="00D64D3D" w:rsidRPr="00CE1CE2">
        <w:rPr>
          <w:sz w:val="22"/>
          <w:szCs w:val="22"/>
        </w:rPr>
        <w:t xml:space="preserve"> of bank efficiency</w:t>
      </w:r>
      <w:r w:rsidR="006550EA" w:rsidRPr="00CE1CE2">
        <w:rPr>
          <w:sz w:val="22"/>
          <w:szCs w:val="22"/>
        </w:rPr>
        <w:t xml:space="preserve"> (loans, deposits, securities, and number of </w:t>
      </w:r>
      <w:r w:rsidR="00D64D3D" w:rsidRPr="00CE1CE2">
        <w:rPr>
          <w:sz w:val="22"/>
          <w:szCs w:val="22"/>
        </w:rPr>
        <w:t>employees</w:t>
      </w:r>
      <w:r w:rsidR="006550EA" w:rsidRPr="00CE1CE2">
        <w:rPr>
          <w:sz w:val="22"/>
          <w:szCs w:val="22"/>
        </w:rPr>
        <w:t xml:space="preserve">) can therefore be determined by looking at election outcomes at the state </w:t>
      </w:r>
      <w:r w:rsidR="00B4209B" w:rsidRPr="00CE1CE2">
        <w:rPr>
          <w:sz w:val="22"/>
          <w:szCs w:val="22"/>
        </w:rPr>
        <w:t xml:space="preserve">and national </w:t>
      </w:r>
      <w:r w:rsidR="006550EA" w:rsidRPr="00CE1CE2">
        <w:rPr>
          <w:sz w:val="22"/>
          <w:szCs w:val="22"/>
        </w:rPr>
        <w:t>levels</w:t>
      </w:r>
      <w:r w:rsidR="00C242F2" w:rsidRPr="00CE1CE2">
        <w:rPr>
          <w:sz w:val="22"/>
          <w:szCs w:val="22"/>
        </w:rPr>
        <w:t xml:space="preserve">. </w:t>
      </w:r>
      <w:r w:rsidR="0035020A" w:rsidRPr="00CE1CE2">
        <w:rPr>
          <w:sz w:val="22"/>
          <w:szCs w:val="22"/>
        </w:rPr>
        <w:t xml:space="preserve">Economic conditions influence voting </w:t>
      </w:r>
      <w:r w:rsidR="000E083D">
        <w:rPr>
          <w:sz w:val="22"/>
          <w:szCs w:val="22"/>
        </w:rPr>
        <w:t>behaviour</w:t>
      </w:r>
      <w:r w:rsidR="0035020A" w:rsidRPr="00CE1CE2">
        <w:rPr>
          <w:sz w:val="22"/>
          <w:szCs w:val="22"/>
        </w:rPr>
        <w:t xml:space="preserve"> in presidential and congressional elections (Chappell and Keech </w:t>
      </w:r>
      <w:r w:rsidR="0035020A" w:rsidRPr="008E0CC8">
        <w:rPr>
          <w:color w:val="0070C0"/>
          <w:sz w:val="22"/>
          <w:szCs w:val="22"/>
        </w:rPr>
        <w:t>1985</w:t>
      </w:r>
      <w:r w:rsidR="00124FE2" w:rsidRPr="00CE1CE2">
        <w:rPr>
          <w:sz w:val="22"/>
          <w:szCs w:val="22"/>
        </w:rPr>
        <w:t>)</w:t>
      </w:r>
      <w:r w:rsidR="00AB7557">
        <w:rPr>
          <w:sz w:val="22"/>
          <w:szCs w:val="22"/>
        </w:rPr>
        <w:t>,</w:t>
      </w:r>
      <w:r w:rsidR="00124FE2" w:rsidRPr="00CE1CE2">
        <w:rPr>
          <w:sz w:val="22"/>
          <w:szCs w:val="22"/>
        </w:rPr>
        <w:t xml:space="preserve"> </w:t>
      </w:r>
      <w:r w:rsidR="0035020A" w:rsidRPr="00CE1CE2">
        <w:rPr>
          <w:sz w:val="22"/>
          <w:szCs w:val="22"/>
        </w:rPr>
        <w:t>and the policies of the elected presidents and administrations, in turn, affect fundamental macroeconomic factors (</w:t>
      </w:r>
      <w:r w:rsidR="00FA1251" w:rsidRPr="00CE1CE2">
        <w:rPr>
          <w:sz w:val="22"/>
          <w:szCs w:val="22"/>
        </w:rPr>
        <w:t xml:space="preserve">Alesina and Sachs </w:t>
      </w:r>
      <w:r w:rsidR="00FA1251" w:rsidRPr="008E0CC8">
        <w:rPr>
          <w:color w:val="0070C0"/>
          <w:sz w:val="22"/>
          <w:szCs w:val="22"/>
        </w:rPr>
        <w:t>1988</w:t>
      </w:r>
      <w:r w:rsidR="00FA1251">
        <w:rPr>
          <w:color w:val="0070C0"/>
          <w:sz w:val="22"/>
          <w:szCs w:val="22"/>
        </w:rPr>
        <w:t xml:space="preserve">; </w:t>
      </w:r>
      <w:r w:rsidR="0035020A" w:rsidRPr="00CE1CE2">
        <w:rPr>
          <w:sz w:val="22"/>
          <w:szCs w:val="22"/>
        </w:rPr>
        <w:t xml:space="preserve">Chappell and Keech </w:t>
      </w:r>
      <w:r w:rsidR="0035020A" w:rsidRPr="008E0CC8">
        <w:rPr>
          <w:color w:val="0070C0"/>
          <w:sz w:val="22"/>
          <w:szCs w:val="22"/>
        </w:rPr>
        <w:t>1986</w:t>
      </w:r>
      <w:r w:rsidR="00124FE2" w:rsidRPr="00CE1CE2">
        <w:rPr>
          <w:sz w:val="22"/>
          <w:szCs w:val="22"/>
        </w:rPr>
        <w:t>)</w:t>
      </w:r>
      <w:r w:rsidR="00321FAD" w:rsidRPr="00CE1CE2">
        <w:rPr>
          <w:sz w:val="22"/>
          <w:szCs w:val="22"/>
        </w:rPr>
        <w:t xml:space="preserve">. </w:t>
      </w:r>
      <w:r w:rsidRPr="000009BA">
        <w:rPr>
          <w:color w:val="004F88"/>
          <w:sz w:val="22"/>
          <w:szCs w:val="22"/>
        </w:rPr>
        <w:t xml:space="preserve">Subsequently, the core components of financial institutions, including banking inputs and outputs, are influenced by these policies. </w:t>
      </w:r>
      <w:r w:rsidR="00F26B3A" w:rsidRPr="00CE1CE2">
        <w:rPr>
          <w:color w:val="000000" w:themeColor="text1"/>
          <w:sz w:val="22"/>
          <w:szCs w:val="22"/>
        </w:rPr>
        <w:t xml:space="preserve">There is a close connection between banking and politics. </w:t>
      </w:r>
      <w:r w:rsidR="006550EA" w:rsidRPr="00CE1CE2">
        <w:rPr>
          <w:color w:val="000000" w:themeColor="text1"/>
          <w:sz w:val="22"/>
          <w:szCs w:val="22"/>
        </w:rPr>
        <w:t>Liu and Ngo (</w:t>
      </w:r>
      <w:r w:rsidR="006550EA" w:rsidRPr="008E0CC8">
        <w:rPr>
          <w:color w:val="0070C0"/>
          <w:sz w:val="22"/>
          <w:szCs w:val="22"/>
        </w:rPr>
        <w:t>2014</w:t>
      </w:r>
      <w:r w:rsidR="006550EA" w:rsidRPr="00CE1CE2">
        <w:rPr>
          <w:color w:val="000000" w:themeColor="text1"/>
          <w:sz w:val="22"/>
          <w:szCs w:val="22"/>
        </w:rPr>
        <w:t xml:space="preserve">) assert that </w:t>
      </w:r>
      <w:r w:rsidR="00D64D3D" w:rsidRPr="00CE1CE2">
        <w:rPr>
          <w:color w:val="000000" w:themeColor="text1"/>
          <w:sz w:val="22"/>
          <w:szCs w:val="22"/>
        </w:rPr>
        <w:t xml:space="preserve">governments </w:t>
      </w:r>
      <w:r w:rsidRPr="000009BA">
        <w:rPr>
          <w:color w:val="004F88"/>
          <w:sz w:val="22"/>
          <w:szCs w:val="22"/>
        </w:rPr>
        <w:t>impose</w:t>
      </w:r>
      <w:r w:rsidR="00D64D3D" w:rsidRPr="00CE1CE2">
        <w:rPr>
          <w:color w:val="000000" w:themeColor="text1"/>
          <w:sz w:val="22"/>
          <w:szCs w:val="22"/>
        </w:rPr>
        <w:t xml:space="preserve"> constraints on bank </w:t>
      </w:r>
      <w:r w:rsidR="00AB7557" w:rsidRPr="00CE1CE2">
        <w:rPr>
          <w:color w:val="000000" w:themeColor="text1"/>
          <w:sz w:val="22"/>
          <w:szCs w:val="22"/>
        </w:rPr>
        <w:t>licen</w:t>
      </w:r>
      <w:r w:rsidR="00AB7557">
        <w:rPr>
          <w:color w:val="000000" w:themeColor="text1"/>
          <w:sz w:val="22"/>
          <w:szCs w:val="22"/>
        </w:rPr>
        <w:t>s</w:t>
      </w:r>
      <w:r w:rsidR="00AB7557" w:rsidRPr="00CE1CE2">
        <w:rPr>
          <w:color w:val="000000" w:themeColor="text1"/>
          <w:sz w:val="22"/>
          <w:szCs w:val="22"/>
        </w:rPr>
        <w:t xml:space="preserve">ing </w:t>
      </w:r>
      <w:r w:rsidR="00D64D3D" w:rsidRPr="00CE1CE2">
        <w:rPr>
          <w:color w:val="000000" w:themeColor="text1"/>
          <w:sz w:val="22"/>
          <w:szCs w:val="22"/>
        </w:rPr>
        <w:t xml:space="preserve">and chartering, </w:t>
      </w:r>
      <w:r w:rsidRPr="000009BA">
        <w:rPr>
          <w:color w:val="004F88"/>
          <w:sz w:val="22"/>
          <w:szCs w:val="22"/>
        </w:rPr>
        <w:t xml:space="preserve">establish institutions that act as lenders of last resort and providers of deposit protection, and often enact laws that limit banks’ propensity to take on risk. </w:t>
      </w:r>
      <w:r w:rsidR="006550EA" w:rsidRPr="00CE1CE2">
        <w:rPr>
          <w:color w:val="000000" w:themeColor="text1"/>
          <w:sz w:val="22"/>
          <w:szCs w:val="22"/>
        </w:rPr>
        <w:t>Their analysis is based on an unbalance</w:t>
      </w:r>
      <w:r w:rsidR="00AB7557">
        <w:rPr>
          <w:color w:val="000000" w:themeColor="text1"/>
          <w:sz w:val="22"/>
          <w:szCs w:val="22"/>
        </w:rPr>
        <w:t>d</w:t>
      </w:r>
      <w:r w:rsidR="006550EA" w:rsidRPr="00CE1CE2">
        <w:rPr>
          <w:color w:val="000000" w:themeColor="text1"/>
          <w:sz w:val="22"/>
          <w:szCs w:val="22"/>
        </w:rPr>
        <w:t xml:space="preserve"> panel </w:t>
      </w:r>
      <w:r>
        <w:rPr>
          <w:color w:val="000000" w:themeColor="text1"/>
          <w:sz w:val="22"/>
          <w:szCs w:val="22"/>
        </w:rPr>
        <w:t xml:space="preserve">data </w:t>
      </w:r>
      <w:r w:rsidR="006550EA" w:rsidRPr="00CE1CE2">
        <w:rPr>
          <w:color w:val="000000" w:themeColor="text1"/>
          <w:sz w:val="22"/>
          <w:szCs w:val="22"/>
        </w:rPr>
        <w:t xml:space="preserve">of 22,230 U.S. commercial banks </w:t>
      </w:r>
      <w:r w:rsidR="00A9102F" w:rsidRPr="00A9102F">
        <w:rPr>
          <w:color w:val="004F88"/>
          <w:sz w:val="22"/>
          <w:szCs w:val="22"/>
        </w:rPr>
        <w:t>over the period</w:t>
      </w:r>
      <w:r w:rsidR="005A2333">
        <w:rPr>
          <w:color w:val="000000" w:themeColor="text1"/>
          <w:sz w:val="22"/>
          <w:szCs w:val="22"/>
        </w:rPr>
        <w:t xml:space="preserve"> </w:t>
      </w:r>
      <w:r w:rsidR="006550EA" w:rsidRPr="00CE1CE2">
        <w:rPr>
          <w:color w:val="000000" w:themeColor="text1"/>
          <w:sz w:val="22"/>
          <w:szCs w:val="22"/>
        </w:rPr>
        <w:t>1976</w:t>
      </w:r>
      <w:r w:rsidR="00D64D3D" w:rsidRPr="00CE1CE2">
        <w:rPr>
          <w:color w:val="000000" w:themeColor="text1"/>
          <w:sz w:val="22"/>
          <w:szCs w:val="22"/>
        </w:rPr>
        <w:t xml:space="preserve"> to</w:t>
      </w:r>
      <w:r w:rsidR="006550EA" w:rsidRPr="00CE1CE2">
        <w:rPr>
          <w:color w:val="000000" w:themeColor="text1"/>
          <w:sz w:val="22"/>
          <w:szCs w:val="22"/>
        </w:rPr>
        <w:t xml:space="preserve"> 2010. </w:t>
      </w:r>
      <w:r w:rsidR="008C18A8" w:rsidRPr="00CE1CE2">
        <w:rPr>
          <w:color w:val="000000" w:themeColor="text1"/>
          <w:sz w:val="22"/>
          <w:szCs w:val="22"/>
        </w:rPr>
        <w:t>Finally</w:t>
      </w:r>
      <w:r w:rsidR="00AF695B" w:rsidRPr="00CE1CE2">
        <w:rPr>
          <w:color w:val="000000" w:themeColor="text1"/>
          <w:sz w:val="22"/>
          <w:szCs w:val="22"/>
        </w:rPr>
        <w:t>, bank e</w:t>
      </w:r>
      <w:r w:rsidR="00321FAD" w:rsidRPr="00CE1CE2">
        <w:rPr>
          <w:color w:val="000000" w:themeColor="text1"/>
          <w:sz w:val="22"/>
          <w:szCs w:val="22"/>
        </w:rPr>
        <w:t xml:space="preserve">fficiency </w:t>
      </w:r>
      <w:r w:rsidR="00321FAD" w:rsidRPr="00CE1CE2">
        <w:rPr>
          <w:sz w:val="22"/>
          <w:szCs w:val="22"/>
        </w:rPr>
        <w:t>analysis deals with the relationship between inputs and outputs</w:t>
      </w:r>
      <w:r w:rsidR="00AF695B" w:rsidRPr="00CE1CE2">
        <w:rPr>
          <w:sz w:val="22"/>
          <w:szCs w:val="22"/>
        </w:rPr>
        <w:t xml:space="preserve"> (Mat</w:t>
      </w:r>
      <w:r w:rsidR="00193119">
        <w:rPr>
          <w:sz w:val="22"/>
          <w:szCs w:val="22"/>
        </w:rPr>
        <w:t>t</w:t>
      </w:r>
      <w:r w:rsidR="00AF695B" w:rsidRPr="00CE1CE2">
        <w:rPr>
          <w:sz w:val="22"/>
          <w:szCs w:val="22"/>
        </w:rPr>
        <w:t xml:space="preserve">hews and Thompson </w:t>
      </w:r>
      <w:r w:rsidR="00AF695B" w:rsidRPr="008E0CC8">
        <w:rPr>
          <w:color w:val="0070C0"/>
          <w:sz w:val="22"/>
          <w:szCs w:val="22"/>
        </w:rPr>
        <w:t>2014</w:t>
      </w:r>
      <w:r w:rsidR="00AF695B" w:rsidRPr="00CE1CE2">
        <w:rPr>
          <w:sz w:val="22"/>
          <w:szCs w:val="22"/>
        </w:rPr>
        <w:t>).</w:t>
      </w:r>
      <w:r w:rsidR="00792612" w:rsidRPr="00CE1CE2">
        <w:rPr>
          <w:sz w:val="22"/>
          <w:szCs w:val="22"/>
        </w:rPr>
        <w:t xml:space="preserve"> </w:t>
      </w:r>
      <w:r w:rsidR="00D619D3" w:rsidRPr="00CE1CE2">
        <w:rPr>
          <w:sz w:val="22"/>
          <w:szCs w:val="22"/>
        </w:rPr>
        <w:t xml:space="preserve">Our key contribution is to pinpoint the </w:t>
      </w:r>
      <w:r w:rsidRPr="000009BA">
        <w:rPr>
          <w:sz w:val="22"/>
          <w:szCs w:val="22"/>
        </w:rPr>
        <w:t>theoretical framework</w:t>
      </w:r>
      <w:r w:rsidR="00D619D3" w:rsidRPr="00CE1CE2">
        <w:rPr>
          <w:sz w:val="22"/>
          <w:szCs w:val="22"/>
        </w:rPr>
        <w:t xml:space="preserve"> that best captures how state-level regulation in the United States from 1972 to 2020</w:t>
      </w:r>
      <w:r>
        <w:rPr>
          <w:sz w:val="22"/>
          <w:szCs w:val="22"/>
        </w:rPr>
        <w:t xml:space="preserve"> </w:t>
      </w:r>
      <w:r w:rsidRPr="000009BA">
        <w:rPr>
          <w:color w:val="004F88"/>
          <w:sz w:val="22"/>
          <w:szCs w:val="22"/>
        </w:rPr>
        <w:t>has</w:t>
      </w:r>
      <w:r w:rsidR="00D619D3" w:rsidRPr="00CE1CE2">
        <w:rPr>
          <w:sz w:val="22"/>
          <w:szCs w:val="22"/>
        </w:rPr>
        <w:t xml:space="preserve"> affected bank efficiency.</w:t>
      </w:r>
    </w:p>
    <w:p w14:paraId="63451905" w14:textId="47D953AD" w:rsidR="00BD0C25" w:rsidRPr="00CE1CE2" w:rsidRDefault="00BD0C25" w:rsidP="005A2333">
      <w:pPr>
        <w:pStyle w:val="Heading1"/>
        <w:numPr>
          <w:ilvl w:val="0"/>
          <w:numId w:val="0"/>
        </w:numPr>
        <w:rPr>
          <w:sz w:val="22"/>
          <w:szCs w:val="22"/>
        </w:rPr>
      </w:pPr>
      <w:bookmarkStart w:id="7" w:name="_Toc305616017"/>
      <w:bookmarkStart w:id="8" w:name="_Toc306634390"/>
      <w:bookmarkStart w:id="9" w:name="_Toc320795747"/>
      <w:r w:rsidRPr="00CE1CE2">
        <w:rPr>
          <w:sz w:val="22"/>
          <w:szCs w:val="22"/>
          <w:lang w:val="en-US"/>
        </w:rPr>
        <w:t>3</w:t>
      </w:r>
      <w:r w:rsidRPr="00CE1CE2">
        <w:rPr>
          <w:sz w:val="22"/>
          <w:szCs w:val="22"/>
        </w:rPr>
        <w:t xml:space="preserve">. Data </w:t>
      </w:r>
      <w:r w:rsidR="00FB41ED">
        <w:rPr>
          <w:sz w:val="22"/>
          <w:szCs w:val="22"/>
        </w:rPr>
        <w:t>C</w:t>
      </w:r>
      <w:r w:rsidR="00180F69">
        <w:rPr>
          <w:sz w:val="22"/>
          <w:szCs w:val="22"/>
        </w:rPr>
        <w:t xml:space="preserve">haracteristics </w:t>
      </w:r>
      <w:r w:rsidRPr="00CE1CE2">
        <w:rPr>
          <w:sz w:val="22"/>
          <w:szCs w:val="22"/>
        </w:rPr>
        <w:t xml:space="preserve">and </w:t>
      </w:r>
      <w:bookmarkEnd w:id="7"/>
      <w:bookmarkEnd w:id="8"/>
      <w:bookmarkEnd w:id="9"/>
      <w:r w:rsidR="00FB41ED">
        <w:rPr>
          <w:sz w:val="22"/>
          <w:szCs w:val="22"/>
        </w:rPr>
        <w:t>M</w:t>
      </w:r>
      <w:r w:rsidR="0002747E">
        <w:rPr>
          <w:sz w:val="22"/>
          <w:szCs w:val="22"/>
        </w:rPr>
        <w:t>easurement</w:t>
      </w:r>
    </w:p>
    <w:p w14:paraId="1225B651" w14:textId="00F37F1D" w:rsidR="00BD0C25" w:rsidRPr="0067691E" w:rsidRDefault="00BD0C25" w:rsidP="005A2333">
      <w:pPr>
        <w:pStyle w:val="Heading2"/>
        <w:rPr>
          <w:b w:val="0"/>
          <w:bCs w:val="0"/>
          <w:iCs/>
          <w:sz w:val="22"/>
          <w:szCs w:val="22"/>
        </w:rPr>
      </w:pPr>
      <w:bookmarkStart w:id="10" w:name="_Toc305616054"/>
      <w:bookmarkStart w:id="11" w:name="_Toc306634431"/>
      <w:bookmarkStart w:id="12" w:name="_Toc320795774"/>
      <w:r w:rsidRPr="0067691E">
        <w:rPr>
          <w:iCs/>
          <w:sz w:val="22"/>
          <w:szCs w:val="22"/>
        </w:rPr>
        <w:t>3.1. Data</w:t>
      </w:r>
      <w:r w:rsidR="00260B68" w:rsidRPr="0067691E">
        <w:rPr>
          <w:iCs/>
          <w:sz w:val="22"/>
          <w:szCs w:val="22"/>
        </w:rPr>
        <w:t xml:space="preserve"> </w:t>
      </w:r>
      <w:r w:rsidR="008C0785" w:rsidRPr="0067691E">
        <w:rPr>
          <w:iCs/>
          <w:sz w:val="22"/>
          <w:szCs w:val="22"/>
        </w:rPr>
        <w:t xml:space="preserve">Characteristics </w:t>
      </w:r>
    </w:p>
    <w:p w14:paraId="027D6468" w14:textId="5DA81EFE" w:rsidR="00BD0C25" w:rsidRPr="00CE1CE2" w:rsidRDefault="003C71F6" w:rsidP="00BD0C25">
      <w:pPr>
        <w:tabs>
          <w:tab w:val="right" w:pos="9072"/>
        </w:tabs>
        <w:spacing w:line="360" w:lineRule="auto"/>
        <w:jc w:val="both"/>
        <w:rPr>
          <w:sz w:val="22"/>
          <w:szCs w:val="22"/>
        </w:rPr>
      </w:pPr>
      <w:r>
        <w:rPr>
          <w:sz w:val="22"/>
          <w:szCs w:val="22"/>
        </w:rPr>
        <w:tab/>
      </w:r>
      <w:r w:rsidR="00AB7557">
        <w:rPr>
          <w:sz w:val="22"/>
          <w:szCs w:val="22"/>
        </w:rPr>
        <w:t>We</w:t>
      </w:r>
      <w:r w:rsidR="008C0785">
        <w:rPr>
          <w:sz w:val="22"/>
          <w:szCs w:val="22"/>
        </w:rPr>
        <w:t xml:space="preserve"> </w:t>
      </w:r>
      <w:r w:rsidR="000E083D">
        <w:rPr>
          <w:sz w:val="22"/>
          <w:szCs w:val="22"/>
        </w:rPr>
        <w:t>utilise</w:t>
      </w:r>
      <w:r w:rsidR="00AB7557">
        <w:rPr>
          <w:sz w:val="22"/>
          <w:szCs w:val="22"/>
        </w:rPr>
        <w:t xml:space="preserve"> a</w:t>
      </w:r>
      <w:r w:rsidR="008C0785">
        <w:rPr>
          <w:sz w:val="22"/>
          <w:szCs w:val="22"/>
        </w:rPr>
        <w:t xml:space="preserve"> </w:t>
      </w:r>
      <w:r w:rsidR="00D21F36" w:rsidRPr="00CE1CE2">
        <w:rPr>
          <w:sz w:val="22"/>
          <w:szCs w:val="22"/>
        </w:rPr>
        <w:t>balance</w:t>
      </w:r>
      <w:r w:rsidR="00AB7557">
        <w:rPr>
          <w:sz w:val="22"/>
          <w:szCs w:val="22"/>
        </w:rPr>
        <w:t>d</w:t>
      </w:r>
      <w:r w:rsidR="00D21F36" w:rsidRPr="00CE1CE2">
        <w:rPr>
          <w:sz w:val="22"/>
          <w:szCs w:val="22"/>
        </w:rPr>
        <w:t xml:space="preserve"> panel </w:t>
      </w:r>
      <w:r w:rsidR="00BD0C25" w:rsidRPr="00CE1CE2">
        <w:rPr>
          <w:sz w:val="22"/>
          <w:szCs w:val="22"/>
        </w:rPr>
        <w:t xml:space="preserve">dataset </w:t>
      </w:r>
      <w:r w:rsidR="008C0785">
        <w:rPr>
          <w:sz w:val="22"/>
          <w:szCs w:val="22"/>
        </w:rPr>
        <w:t xml:space="preserve">that </w:t>
      </w:r>
      <w:r w:rsidR="00BD0C25" w:rsidRPr="00CE1CE2">
        <w:rPr>
          <w:sz w:val="22"/>
          <w:szCs w:val="22"/>
        </w:rPr>
        <w:t xml:space="preserve">includes all commercial banks from 50 </w:t>
      </w:r>
      <w:r w:rsidR="007229C4" w:rsidRPr="00CE1CE2">
        <w:rPr>
          <w:sz w:val="22"/>
          <w:szCs w:val="22"/>
        </w:rPr>
        <w:t>U.S. states</w:t>
      </w:r>
      <w:r w:rsidR="00BD0C25" w:rsidRPr="00CE1CE2">
        <w:rPr>
          <w:sz w:val="22"/>
          <w:szCs w:val="22"/>
        </w:rPr>
        <w:t xml:space="preserve"> and the District of Columbia over the period 19</w:t>
      </w:r>
      <w:r w:rsidR="0054610E" w:rsidRPr="00CE1CE2">
        <w:rPr>
          <w:sz w:val="22"/>
          <w:szCs w:val="22"/>
        </w:rPr>
        <w:t>72</w:t>
      </w:r>
      <w:r w:rsidR="00BD0C25" w:rsidRPr="00CE1CE2">
        <w:rPr>
          <w:sz w:val="22"/>
          <w:szCs w:val="22"/>
        </w:rPr>
        <w:t xml:space="preserve"> to 20</w:t>
      </w:r>
      <w:r w:rsidR="0054610E" w:rsidRPr="00CE1CE2">
        <w:rPr>
          <w:sz w:val="22"/>
          <w:szCs w:val="22"/>
        </w:rPr>
        <w:t>20</w:t>
      </w:r>
      <w:r w:rsidR="00BD0C25" w:rsidRPr="00CE1CE2">
        <w:rPr>
          <w:sz w:val="22"/>
          <w:szCs w:val="22"/>
        </w:rPr>
        <w:t xml:space="preserve">. </w:t>
      </w:r>
      <w:r w:rsidR="008C18A8" w:rsidRPr="00CE1CE2">
        <w:rPr>
          <w:sz w:val="22"/>
          <w:szCs w:val="22"/>
        </w:rPr>
        <w:t xml:space="preserve">Details of data sources are presented in Table </w:t>
      </w:r>
      <w:r w:rsidR="008C18A8" w:rsidRPr="00EB3323">
        <w:rPr>
          <w:color w:val="0070C0"/>
          <w:sz w:val="22"/>
          <w:szCs w:val="22"/>
        </w:rPr>
        <w:t>2</w:t>
      </w:r>
      <w:r w:rsidR="008C18A8" w:rsidRPr="00CE1CE2">
        <w:rPr>
          <w:sz w:val="22"/>
          <w:szCs w:val="22"/>
        </w:rPr>
        <w:t xml:space="preserve">. </w:t>
      </w:r>
      <w:r w:rsidR="00BD0C25" w:rsidRPr="00CE1CE2">
        <w:rPr>
          <w:sz w:val="22"/>
          <w:szCs w:val="22"/>
        </w:rPr>
        <w:t xml:space="preserve">Input and output data </w:t>
      </w:r>
      <w:r w:rsidR="00E43170" w:rsidRPr="00CE1CE2">
        <w:rPr>
          <w:sz w:val="22"/>
          <w:szCs w:val="22"/>
        </w:rPr>
        <w:t xml:space="preserve">of commercial banks at the state level </w:t>
      </w:r>
      <w:r w:rsidR="00BD0C25" w:rsidRPr="00CE1CE2">
        <w:rPr>
          <w:sz w:val="22"/>
          <w:szCs w:val="22"/>
        </w:rPr>
        <w:t xml:space="preserve">are collected from </w:t>
      </w:r>
      <w:r w:rsidR="000E083D">
        <w:rPr>
          <w:sz w:val="22"/>
          <w:szCs w:val="22"/>
        </w:rPr>
        <w:t xml:space="preserve">the </w:t>
      </w:r>
      <w:r w:rsidR="00BD0C25" w:rsidRPr="00CE1CE2">
        <w:rPr>
          <w:sz w:val="22"/>
          <w:szCs w:val="22"/>
        </w:rPr>
        <w:t>Federal Deposit Insurance Corporation</w:t>
      </w:r>
      <w:r w:rsidR="00C62DAA" w:rsidRPr="00CE1CE2">
        <w:rPr>
          <w:sz w:val="22"/>
          <w:szCs w:val="22"/>
        </w:rPr>
        <w:t xml:space="preserve"> (FDIC)</w:t>
      </w:r>
      <w:r w:rsidR="00E71597" w:rsidRPr="001D1C7B">
        <w:rPr>
          <w:rStyle w:val="FootnoteReference"/>
          <w:color w:val="0070C0"/>
          <w:sz w:val="22"/>
          <w:szCs w:val="22"/>
        </w:rPr>
        <w:footnoteReference w:id="1"/>
      </w:r>
      <w:r w:rsidR="00143B2F">
        <w:rPr>
          <w:sz w:val="22"/>
          <w:szCs w:val="22"/>
        </w:rPr>
        <w:t xml:space="preserve"> while i</w:t>
      </w:r>
      <w:r w:rsidR="00143B2F" w:rsidRPr="00CE1CE2">
        <w:rPr>
          <w:sz w:val="22"/>
          <w:szCs w:val="22"/>
        </w:rPr>
        <w:t xml:space="preserve">nput and output data of commercial banks at the </w:t>
      </w:r>
      <w:r w:rsidR="00143B2F">
        <w:rPr>
          <w:sz w:val="22"/>
          <w:szCs w:val="22"/>
        </w:rPr>
        <w:t>bank</w:t>
      </w:r>
      <w:r w:rsidR="00143B2F" w:rsidRPr="00CE1CE2">
        <w:rPr>
          <w:sz w:val="22"/>
          <w:szCs w:val="22"/>
        </w:rPr>
        <w:t xml:space="preserve"> level</w:t>
      </w:r>
      <w:r w:rsidR="00143B2F">
        <w:rPr>
          <w:sz w:val="22"/>
          <w:szCs w:val="22"/>
        </w:rPr>
        <w:t xml:space="preserve"> are retrieved from Compustat</w:t>
      </w:r>
      <w:r w:rsidR="00BD0C25" w:rsidRPr="00CE1CE2">
        <w:rPr>
          <w:sz w:val="22"/>
          <w:szCs w:val="22"/>
        </w:rPr>
        <w:t xml:space="preserve">. </w:t>
      </w:r>
      <w:r w:rsidR="007B5931" w:rsidRPr="00CE1CE2">
        <w:rPr>
          <w:sz w:val="22"/>
          <w:szCs w:val="22"/>
        </w:rPr>
        <w:t xml:space="preserve">The </w:t>
      </w:r>
      <w:r w:rsidR="00C62DAA" w:rsidRPr="00CE1CE2">
        <w:rPr>
          <w:sz w:val="22"/>
          <w:szCs w:val="22"/>
        </w:rPr>
        <w:t>U</w:t>
      </w:r>
      <w:r w:rsidR="007229C4" w:rsidRPr="00CE1CE2">
        <w:rPr>
          <w:sz w:val="22"/>
          <w:szCs w:val="22"/>
        </w:rPr>
        <w:t>.</w:t>
      </w:r>
      <w:r w:rsidR="00C62DAA" w:rsidRPr="00CE1CE2">
        <w:rPr>
          <w:sz w:val="22"/>
          <w:szCs w:val="22"/>
        </w:rPr>
        <w:t>S</w:t>
      </w:r>
      <w:r w:rsidR="007229C4" w:rsidRPr="00CE1CE2">
        <w:rPr>
          <w:sz w:val="22"/>
          <w:szCs w:val="22"/>
        </w:rPr>
        <w:t>.</w:t>
      </w:r>
      <w:r w:rsidR="00C62DAA" w:rsidRPr="00CE1CE2">
        <w:rPr>
          <w:sz w:val="22"/>
          <w:szCs w:val="22"/>
        </w:rPr>
        <w:t xml:space="preserve"> </w:t>
      </w:r>
      <w:r w:rsidR="007B5931" w:rsidRPr="00CE1CE2">
        <w:rPr>
          <w:sz w:val="22"/>
          <w:szCs w:val="22"/>
        </w:rPr>
        <w:t>p</w:t>
      </w:r>
      <w:r w:rsidR="00C62DAA" w:rsidRPr="00CE1CE2">
        <w:rPr>
          <w:sz w:val="22"/>
          <w:szCs w:val="22"/>
        </w:rPr>
        <w:t xml:space="preserve">residential election results </w:t>
      </w:r>
      <w:r w:rsidR="00373EA9" w:rsidRPr="00CE1CE2">
        <w:rPr>
          <w:sz w:val="22"/>
          <w:szCs w:val="22"/>
        </w:rPr>
        <w:t xml:space="preserve">at the state and national levels </w:t>
      </w:r>
      <w:r w:rsidR="00C62DAA" w:rsidRPr="00CE1CE2">
        <w:rPr>
          <w:sz w:val="22"/>
          <w:szCs w:val="22"/>
        </w:rPr>
        <w:t xml:space="preserve">are collected from </w:t>
      </w:r>
      <w:r w:rsidR="00AB7557">
        <w:rPr>
          <w:sz w:val="22"/>
          <w:szCs w:val="22"/>
        </w:rPr>
        <w:t xml:space="preserve">the </w:t>
      </w:r>
      <w:r w:rsidR="00D94531">
        <w:rPr>
          <w:sz w:val="22"/>
          <w:szCs w:val="22"/>
        </w:rPr>
        <w:t>M</w:t>
      </w:r>
      <w:r w:rsidR="00B51737">
        <w:rPr>
          <w:sz w:val="22"/>
          <w:szCs w:val="22"/>
        </w:rPr>
        <w:t>assachusetts Institute of Technology Election Data – Science Lab</w:t>
      </w:r>
      <w:r w:rsidR="002E798C" w:rsidRPr="00CE1CE2">
        <w:rPr>
          <w:sz w:val="22"/>
          <w:szCs w:val="22"/>
        </w:rPr>
        <w:t xml:space="preserve"> (</w:t>
      </w:r>
      <w:r w:rsidR="00D94531">
        <w:rPr>
          <w:sz w:val="22"/>
          <w:szCs w:val="22"/>
        </w:rPr>
        <w:t>MIT</w:t>
      </w:r>
      <w:r w:rsidR="002E798C" w:rsidRPr="00CE1CE2">
        <w:rPr>
          <w:sz w:val="22"/>
          <w:szCs w:val="22"/>
        </w:rPr>
        <w:t>)</w:t>
      </w:r>
      <w:r w:rsidR="00E71597" w:rsidRPr="001D1C7B">
        <w:rPr>
          <w:rStyle w:val="FootnoteReference"/>
          <w:color w:val="0070C0"/>
          <w:sz w:val="22"/>
          <w:szCs w:val="22"/>
        </w:rPr>
        <w:footnoteReference w:id="2"/>
      </w:r>
      <w:r w:rsidR="00D94531">
        <w:rPr>
          <w:sz w:val="22"/>
          <w:szCs w:val="22"/>
        </w:rPr>
        <w:t>.</w:t>
      </w:r>
      <w:r w:rsidR="0009018A" w:rsidRPr="00CE1CE2">
        <w:rPr>
          <w:sz w:val="22"/>
          <w:szCs w:val="22"/>
        </w:rPr>
        <w:t xml:space="preserve"> </w:t>
      </w:r>
      <w:r w:rsidR="00A73973" w:rsidRPr="00CE1CE2">
        <w:rPr>
          <w:sz w:val="22"/>
          <w:szCs w:val="22"/>
        </w:rPr>
        <w:t xml:space="preserve">We use aggregate data for all the banks of each state rather than </w:t>
      </w:r>
      <w:r w:rsidR="00AB7557" w:rsidRPr="00CE1CE2">
        <w:rPr>
          <w:sz w:val="22"/>
          <w:szCs w:val="22"/>
        </w:rPr>
        <w:t>bank</w:t>
      </w:r>
      <w:r w:rsidR="00AB7557">
        <w:rPr>
          <w:sz w:val="22"/>
          <w:szCs w:val="22"/>
        </w:rPr>
        <w:t>-</w:t>
      </w:r>
      <w:r w:rsidR="00A73973" w:rsidRPr="00CE1CE2">
        <w:rPr>
          <w:sz w:val="22"/>
          <w:szCs w:val="22"/>
        </w:rPr>
        <w:t>level data to reduce the risk of non-representativeness of the sample.</w:t>
      </w:r>
    </w:p>
    <w:bookmarkEnd w:id="10"/>
    <w:bookmarkEnd w:id="11"/>
    <w:bookmarkEnd w:id="12"/>
    <w:p w14:paraId="766DD31B" w14:textId="22A107C7" w:rsidR="00821E7B" w:rsidRPr="0067691E" w:rsidRDefault="00F2635D" w:rsidP="00682ED0">
      <w:pPr>
        <w:pStyle w:val="Heading3"/>
        <w:numPr>
          <w:ilvl w:val="0"/>
          <w:numId w:val="0"/>
        </w:numPr>
        <w:rPr>
          <w:sz w:val="22"/>
          <w:szCs w:val="22"/>
        </w:rPr>
      </w:pPr>
      <w:r w:rsidRPr="0067691E">
        <w:rPr>
          <w:sz w:val="22"/>
          <w:szCs w:val="22"/>
        </w:rPr>
        <w:t>3.1.1.</w:t>
      </w:r>
      <w:r w:rsidR="00584FEF" w:rsidRPr="0067691E">
        <w:rPr>
          <w:sz w:val="22"/>
          <w:szCs w:val="22"/>
        </w:rPr>
        <w:t xml:space="preserve"> </w:t>
      </w:r>
      <w:r w:rsidR="00BD0C25" w:rsidRPr="0067691E">
        <w:rPr>
          <w:sz w:val="22"/>
          <w:szCs w:val="22"/>
        </w:rPr>
        <w:t xml:space="preserve">Dependent </w:t>
      </w:r>
      <w:r w:rsidR="00AE6606" w:rsidRPr="0067691E">
        <w:rPr>
          <w:sz w:val="22"/>
          <w:szCs w:val="22"/>
        </w:rPr>
        <w:t>V</w:t>
      </w:r>
      <w:r w:rsidR="00BD0C25" w:rsidRPr="0067691E">
        <w:rPr>
          <w:sz w:val="22"/>
          <w:szCs w:val="22"/>
        </w:rPr>
        <w:t>ariable</w:t>
      </w:r>
      <w:r w:rsidR="005A2333" w:rsidRPr="0067691E">
        <w:rPr>
          <w:sz w:val="22"/>
          <w:szCs w:val="22"/>
        </w:rPr>
        <w:t>s</w:t>
      </w:r>
      <w:r w:rsidR="008C0785" w:rsidRPr="0067691E">
        <w:rPr>
          <w:sz w:val="22"/>
          <w:szCs w:val="22"/>
        </w:rPr>
        <w:t xml:space="preserve">: </w:t>
      </w:r>
      <w:r w:rsidR="00AE6606" w:rsidRPr="0067691E">
        <w:rPr>
          <w:sz w:val="22"/>
          <w:szCs w:val="22"/>
        </w:rPr>
        <w:t>M</w:t>
      </w:r>
      <w:r w:rsidR="008C0785" w:rsidRPr="0067691E">
        <w:rPr>
          <w:sz w:val="22"/>
          <w:szCs w:val="22"/>
        </w:rPr>
        <w:t xml:space="preserve">easuring </w:t>
      </w:r>
      <w:r w:rsidR="00AE6606" w:rsidRPr="0067691E">
        <w:rPr>
          <w:sz w:val="22"/>
          <w:szCs w:val="22"/>
        </w:rPr>
        <w:t>E</w:t>
      </w:r>
      <w:r w:rsidR="008C0785" w:rsidRPr="0067691E">
        <w:rPr>
          <w:sz w:val="22"/>
          <w:szCs w:val="22"/>
        </w:rPr>
        <w:t xml:space="preserve">fficiency </w:t>
      </w:r>
      <w:r w:rsidR="00AE6606" w:rsidRPr="0067691E">
        <w:rPr>
          <w:sz w:val="22"/>
          <w:szCs w:val="22"/>
        </w:rPr>
        <w:t>S</w:t>
      </w:r>
      <w:r w:rsidR="008C0785" w:rsidRPr="0067691E">
        <w:rPr>
          <w:sz w:val="22"/>
          <w:szCs w:val="22"/>
        </w:rPr>
        <w:t>core</w:t>
      </w:r>
    </w:p>
    <w:p w14:paraId="2AE92A29" w14:textId="15273CE1" w:rsidR="002571BF" w:rsidRPr="00CE1CE2" w:rsidRDefault="0009018A" w:rsidP="00A9102F">
      <w:pPr>
        <w:spacing w:line="360" w:lineRule="auto"/>
        <w:jc w:val="both"/>
        <w:rPr>
          <w:sz w:val="22"/>
          <w:szCs w:val="22"/>
        </w:rPr>
      </w:pPr>
      <w:r w:rsidRPr="00CE1CE2">
        <w:rPr>
          <w:sz w:val="22"/>
          <w:szCs w:val="22"/>
        </w:rPr>
        <w:t>E</w:t>
      </w:r>
      <w:r w:rsidR="001669EB" w:rsidRPr="00CE1CE2">
        <w:rPr>
          <w:sz w:val="22"/>
          <w:szCs w:val="22"/>
        </w:rPr>
        <w:t xml:space="preserve">fficiency </w:t>
      </w:r>
      <w:r w:rsidRPr="00CE1CE2">
        <w:rPr>
          <w:sz w:val="22"/>
          <w:szCs w:val="22"/>
        </w:rPr>
        <w:t xml:space="preserve">is </w:t>
      </w:r>
      <w:r w:rsidR="001669EB" w:rsidRPr="00CE1CE2">
        <w:rPr>
          <w:sz w:val="22"/>
          <w:szCs w:val="22"/>
        </w:rPr>
        <w:t xml:space="preserve">a relative concept where </w:t>
      </w:r>
      <w:r w:rsidR="00AB7557">
        <w:rPr>
          <w:sz w:val="22"/>
          <w:szCs w:val="22"/>
        </w:rPr>
        <w:t xml:space="preserve">the </w:t>
      </w:r>
      <w:r w:rsidR="001669EB" w:rsidRPr="00CE1CE2">
        <w:rPr>
          <w:sz w:val="22"/>
          <w:szCs w:val="22"/>
        </w:rPr>
        <w:t xml:space="preserve">transformation of inputs into outputs is seen as the performance of an economic unit against a standard unit. </w:t>
      </w:r>
      <w:r w:rsidR="00F413CB" w:rsidRPr="00CE1CE2">
        <w:rPr>
          <w:sz w:val="22"/>
          <w:szCs w:val="22"/>
        </w:rPr>
        <w:t>The non-parametric</w:t>
      </w:r>
      <w:r w:rsidR="00326B3D">
        <w:rPr>
          <w:sz w:val="22"/>
          <w:szCs w:val="22"/>
        </w:rPr>
        <w:t xml:space="preserve"> </w:t>
      </w:r>
      <w:r w:rsidR="00F413CB" w:rsidRPr="00CE1CE2">
        <w:rPr>
          <w:sz w:val="22"/>
          <w:szCs w:val="22"/>
        </w:rPr>
        <w:t xml:space="preserve">Data Envelopment Analysis (DEA) is a relatively flexible method that can account for multiple inputs and outputs (Assaf </w:t>
      </w:r>
      <w:r w:rsidR="00EB3323" w:rsidRPr="00DA153C">
        <w:rPr>
          <w:sz w:val="22"/>
          <w:szCs w:val="22"/>
        </w:rPr>
        <w:t>et al</w:t>
      </w:r>
      <w:r w:rsidR="00EB3323">
        <w:rPr>
          <w:i/>
          <w:iCs/>
          <w:sz w:val="22"/>
          <w:szCs w:val="22"/>
        </w:rPr>
        <w:t>.</w:t>
      </w:r>
      <w:r w:rsidR="00F413CB" w:rsidRPr="00CE1CE2">
        <w:rPr>
          <w:sz w:val="22"/>
          <w:szCs w:val="22"/>
        </w:rPr>
        <w:t xml:space="preserve">, </w:t>
      </w:r>
      <w:r w:rsidR="00F413CB" w:rsidRPr="00532F45">
        <w:rPr>
          <w:color w:val="0070C0"/>
          <w:sz w:val="22"/>
          <w:szCs w:val="22"/>
        </w:rPr>
        <w:t>2011</w:t>
      </w:r>
      <w:r w:rsidR="00F413CB" w:rsidRPr="00CE1CE2">
        <w:rPr>
          <w:sz w:val="22"/>
          <w:szCs w:val="22"/>
        </w:rPr>
        <w:t>). In this study, we apply</w:t>
      </w:r>
      <w:r w:rsidR="00A9102F">
        <w:rPr>
          <w:sz w:val="22"/>
          <w:szCs w:val="22"/>
        </w:rPr>
        <w:t xml:space="preserve"> </w:t>
      </w:r>
      <w:r w:rsidR="00A9102F" w:rsidRPr="00A9102F">
        <w:rPr>
          <w:color w:val="004F88"/>
          <w:sz w:val="22"/>
          <w:szCs w:val="22"/>
        </w:rPr>
        <w:t>the</w:t>
      </w:r>
      <w:r w:rsidR="00F413CB" w:rsidRPr="00CE1CE2">
        <w:rPr>
          <w:sz w:val="22"/>
          <w:szCs w:val="22"/>
        </w:rPr>
        <w:t xml:space="preserve"> </w:t>
      </w:r>
      <w:r w:rsidR="00A9102F" w:rsidRPr="00A9102F">
        <w:rPr>
          <w:color w:val="004F88"/>
          <w:sz w:val="22"/>
          <w:szCs w:val="22"/>
        </w:rPr>
        <w:t>two-stage DEA bootstrap procedure to estimate efficiency scores in the U.S. banking system</w:t>
      </w:r>
      <w:r w:rsidR="00F413CB" w:rsidRPr="00CE1CE2">
        <w:rPr>
          <w:sz w:val="22"/>
          <w:szCs w:val="22"/>
        </w:rPr>
        <w:t>. In the first stage, we estimate the bootstrap efficiency scores</w:t>
      </w:r>
      <w:r w:rsidR="00B81711" w:rsidRPr="00CE1CE2">
        <w:rPr>
          <w:sz w:val="22"/>
          <w:szCs w:val="22"/>
        </w:rPr>
        <w:t xml:space="preserve"> using</w:t>
      </w:r>
      <w:r w:rsidR="00D619D3" w:rsidRPr="00CE1CE2">
        <w:rPr>
          <w:sz w:val="22"/>
          <w:szCs w:val="22"/>
        </w:rPr>
        <w:t xml:space="preserve"> </w:t>
      </w:r>
      <w:r w:rsidR="00AB7557" w:rsidRPr="00CE1CE2">
        <w:rPr>
          <w:sz w:val="22"/>
          <w:szCs w:val="22"/>
        </w:rPr>
        <w:t>bias</w:t>
      </w:r>
      <w:r w:rsidR="00AB7557">
        <w:rPr>
          <w:sz w:val="22"/>
          <w:szCs w:val="22"/>
        </w:rPr>
        <w:t>-</w:t>
      </w:r>
      <w:r w:rsidR="00CB0B73" w:rsidRPr="00CE1CE2">
        <w:rPr>
          <w:sz w:val="22"/>
          <w:szCs w:val="22"/>
        </w:rPr>
        <w:t xml:space="preserve">corrected </w:t>
      </w:r>
      <w:r w:rsidR="00D619D3" w:rsidRPr="00CE1CE2">
        <w:rPr>
          <w:sz w:val="22"/>
          <w:szCs w:val="22"/>
        </w:rPr>
        <w:t>constant return to scale (</w:t>
      </w:r>
      <w:r w:rsidR="00187F5A" w:rsidRPr="00E14280">
        <w:rPr>
          <w:i/>
          <w:iCs/>
          <w:sz w:val="22"/>
          <w:szCs w:val="22"/>
        </w:rPr>
        <w:t>CRS</w:t>
      </w:r>
      <w:r w:rsidR="00D619D3" w:rsidRPr="00CE1CE2">
        <w:rPr>
          <w:sz w:val="22"/>
          <w:szCs w:val="22"/>
        </w:rPr>
        <w:t>) and variable return to scale (</w:t>
      </w:r>
      <w:r w:rsidR="00187F5A" w:rsidRPr="00E14280">
        <w:rPr>
          <w:i/>
          <w:iCs/>
          <w:sz w:val="22"/>
          <w:szCs w:val="22"/>
        </w:rPr>
        <w:t>VRS</w:t>
      </w:r>
      <w:r w:rsidR="00D619D3" w:rsidRPr="00CE1CE2">
        <w:rPr>
          <w:sz w:val="22"/>
          <w:szCs w:val="22"/>
        </w:rPr>
        <w:t>)</w:t>
      </w:r>
      <w:r w:rsidR="00CB0B73" w:rsidRPr="00CE1CE2">
        <w:rPr>
          <w:sz w:val="22"/>
          <w:szCs w:val="22"/>
        </w:rPr>
        <w:t xml:space="preserve">. </w:t>
      </w:r>
      <w:r w:rsidR="00F413CB" w:rsidRPr="00CE1CE2">
        <w:rPr>
          <w:sz w:val="22"/>
          <w:szCs w:val="22"/>
        </w:rPr>
        <w:t xml:space="preserve">In the second stage, we examine the impacts of independent </w:t>
      </w:r>
      <w:r w:rsidR="00BD7B5E" w:rsidRPr="00CE1CE2">
        <w:rPr>
          <w:sz w:val="22"/>
          <w:szCs w:val="22"/>
        </w:rPr>
        <w:t xml:space="preserve">and control </w:t>
      </w:r>
      <w:r w:rsidR="00F413CB" w:rsidRPr="00CE1CE2">
        <w:rPr>
          <w:sz w:val="22"/>
          <w:szCs w:val="22"/>
        </w:rPr>
        <w:t xml:space="preserve">variables on the </w:t>
      </w:r>
      <w:r w:rsidR="00AB7557" w:rsidRPr="00CE1CE2">
        <w:rPr>
          <w:sz w:val="22"/>
          <w:szCs w:val="22"/>
        </w:rPr>
        <w:t>bias</w:t>
      </w:r>
      <w:r w:rsidR="00AB7557">
        <w:rPr>
          <w:sz w:val="22"/>
          <w:szCs w:val="22"/>
        </w:rPr>
        <w:t>-</w:t>
      </w:r>
      <w:r w:rsidR="00CB0B73" w:rsidRPr="00CE1CE2">
        <w:rPr>
          <w:sz w:val="22"/>
          <w:szCs w:val="22"/>
        </w:rPr>
        <w:t xml:space="preserve">corrected </w:t>
      </w:r>
      <w:r w:rsidR="00BD7B5E" w:rsidRPr="00CE1CE2">
        <w:rPr>
          <w:sz w:val="22"/>
          <w:szCs w:val="22"/>
        </w:rPr>
        <w:t xml:space="preserve">bootstrap </w:t>
      </w:r>
      <w:r w:rsidR="00F413CB" w:rsidRPr="00CE1CE2">
        <w:rPr>
          <w:sz w:val="22"/>
          <w:szCs w:val="22"/>
        </w:rPr>
        <w:t>efficiency scores.</w:t>
      </w:r>
      <w:r w:rsidR="00BD7B5E" w:rsidRPr="00CE1CE2">
        <w:rPr>
          <w:sz w:val="22"/>
          <w:szCs w:val="22"/>
        </w:rPr>
        <w:t xml:space="preserve"> </w:t>
      </w:r>
    </w:p>
    <w:p w14:paraId="5018D93E" w14:textId="1519858F" w:rsidR="00F61EDF" w:rsidRPr="0067691E" w:rsidRDefault="00F2635D" w:rsidP="00BD0C25">
      <w:pPr>
        <w:pStyle w:val="Heading3"/>
        <w:numPr>
          <w:ilvl w:val="0"/>
          <w:numId w:val="0"/>
        </w:numPr>
        <w:rPr>
          <w:sz w:val="22"/>
          <w:szCs w:val="22"/>
        </w:rPr>
      </w:pPr>
      <w:r w:rsidRPr="0067691E">
        <w:rPr>
          <w:sz w:val="22"/>
          <w:szCs w:val="22"/>
        </w:rPr>
        <w:t>3.1.2.</w:t>
      </w:r>
      <w:r w:rsidR="008C0785" w:rsidRPr="0067691E">
        <w:rPr>
          <w:sz w:val="22"/>
          <w:szCs w:val="22"/>
        </w:rPr>
        <w:t xml:space="preserve"> </w:t>
      </w:r>
      <w:r w:rsidR="00F61EDF" w:rsidRPr="0067691E">
        <w:rPr>
          <w:sz w:val="22"/>
          <w:szCs w:val="22"/>
        </w:rPr>
        <w:t xml:space="preserve">Independent </w:t>
      </w:r>
      <w:r w:rsidR="00AE6606" w:rsidRPr="0067691E">
        <w:rPr>
          <w:sz w:val="22"/>
          <w:szCs w:val="22"/>
        </w:rPr>
        <w:t>V</w:t>
      </w:r>
      <w:r w:rsidR="00F61EDF" w:rsidRPr="0067691E">
        <w:rPr>
          <w:sz w:val="22"/>
          <w:szCs w:val="22"/>
        </w:rPr>
        <w:t>ariable</w:t>
      </w:r>
      <w:r w:rsidR="005A2333" w:rsidRPr="0067691E">
        <w:rPr>
          <w:sz w:val="22"/>
          <w:szCs w:val="22"/>
        </w:rPr>
        <w:t>s</w:t>
      </w:r>
    </w:p>
    <w:p w14:paraId="41297C1F" w14:textId="49D28168" w:rsidR="000A10A8" w:rsidRPr="00CE1CE2" w:rsidRDefault="00F94F17" w:rsidP="006D498D">
      <w:pPr>
        <w:spacing w:line="360" w:lineRule="auto"/>
        <w:jc w:val="both"/>
        <w:rPr>
          <w:sz w:val="22"/>
          <w:szCs w:val="22"/>
        </w:rPr>
      </w:pPr>
      <w:r w:rsidRPr="008D1701">
        <w:rPr>
          <w:i/>
          <w:iCs/>
          <w:sz w:val="22"/>
          <w:szCs w:val="22"/>
        </w:rPr>
        <w:t>SVOTE</w:t>
      </w:r>
      <w:r w:rsidRPr="00CE1CE2">
        <w:rPr>
          <w:sz w:val="22"/>
          <w:szCs w:val="22"/>
        </w:rPr>
        <w:t xml:space="preserve"> </w:t>
      </w:r>
      <w:r w:rsidR="00F61EDF" w:rsidRPr="00CE1CE2">
        <w:rPr>
          <w:sz w:val="22"/>
          <w:szCs w:val="22"/>
        </w:rPr>
        <w:t xml:space="preserve">is included to show the impact of state political </w:t>
      </w:r>
      <w:r w:rsidR="0004130C" w:rsidRPr="00CE1CE2">
        <w:rPr>
          <w:sz w:val="22"/>
          <w:szCs w:val="22"/>
        </w:rPr>
        <w:t>outcome</w:t>
      </w:r>
      <w:r w:rsidR="00AB7557">
        <w:rPr>
          <w:sz w:val="22"/>
          <w:szCs w:val="22"/>
        </w:rPr>
        <w:t>s</w:t>
      </w:r>
      <w:r w:rsidR="00F61EDF" w:rsidRPr="00CE1CE2">
        <w:rPr>
          <w:sz w:val="22"/>
          <w:szCs w:val="22"/>
        </w:rPr>
        <w:t xml:space="preserve"> on bank efficiency</w:t>
      </w:r>
      <w:r w:rsidR="006709A1">
        <w:rPr>
          <w:rStyle w:val="FootnoteReference"/>
          <w:sz w:val="22"/>
          <w:szCs w:val="22"/>
        </w:rPr>
        <w:footnoteReference w:id="3"/>
      </w:r>
      <w:r w:rsidR="00F61EDF" w:rsidRPr="00CE1CE2">
        <w:rPr>
          <w:sz w:val="22"/>
          <w:szCs w:val="22"/>
        </w:rPr>
        <w:t>. This is a dummy variable</w:t>
      </w:r>
      <w:r w:rsidR="00AB7557">
        <w:rPr>
          <w:sz w:val="22"/>
          <w:szCs w:val="22"/>
        </w:rPr>
        <w:t xml:space="preserve"> that</w:t>
      </w:r>
      <w:r w:rsidR="00F61EDF" w:rsidRPr="00CE1CE2">
        <w:rPr>
          <w:sz w:val="22"/>
          <w:szCs w:val="22"/>
        </w:rPr>
        <w:t xml:space="preserve"> equals 1 if the state votes for </w:t>
      </w:r>
      <w:r w:rsidR="00AB7557">
        <w:rPr>
          <w:sz w:val="22"/>
          <w:szCs w:val="22"/>
        </w:rPr>
        <w:t xml:space="preserve">the </w:t>
      </w:r>
      <w:r w:rsidR="00F61EDF" w:rsidRPr="00CE1CE2">
        <w:rPr>
          <w:sz w:val="22"/>
          <w:szCs w:val="22"/>
        </w:rPr>
        <w:t xml:space="preserve">Democratic </w:t>
      </w:r>
      <w:r w:rsidR="000E083D">
        <w:rPr>
          <w:sz w:val="22"/>
          <w:szCs w:val="22"/>
        </w:rPr>
        <w:t>Party</w:t>
      </w:r>
      <w:r w:rsidR="00F61EDF" w:rsidRPr="00CE1CE2">
        <w:rPr>
          <w:sz w:val="22"/>
          <w:szCs w:val="22"/>
        </w:rPr>
        <w:t xml:space="preserve"> and 0 otherwise</w:t>
      </w:r>
      <w:r w:rsidR="00081DC6" w:rsidRPr="001D1C7B">
        <w:rPr>
          <w:rStyle w:val="FootnoteReference"/>
          <w:color w:val="0070C0"/>
          <w:sz w:val="22"/>
          <w:szCs w:val="22"/>
        </w:rPr>
        <w:footnoteReference w:id="4"/>
      </w:r>
      <w:r w:rsidR="00F61EDF" w:rsidRPr="00CE1CE2">
        <w:rPr>
          <w:sz w:val="22"/>
          <w:szCs w:val="22"/>
        </w:rPr>
        <w:t xml:space="preserve">. </w:t>
      </w:r>
      <w:r w:rsidR="007A61A7" w:rsidRPr="00CE1CE2">
        <w:rPr>
          <w:sz w:val="22"/>
          <w:szCs w:val="22"/>
        </w:rPr>
        <w:t xml:space="preserve">Table </w:t>
      </w:r>
      <w:r w:rsidR="007A61A7" w:rsidRPr="00EB3323">
        <w:rPr>
          <w:color w:val="0070C0"/>
          <w:sz w:val="22"/>
          <w:szCs w:val="22"/>
        </w:rPr>
        <w:t>1</w:t>
      </w:r>
      <w:r w:rsidR="007A61A7" w:rsidRPr="00CE1CE2">
        <w:rPr>
          <w:sz w:val="22"/>
          <w:szCs w:val="22"/>
        </w:rPr>
        <w:t xml:space="preserve"> illustrates</w:t>
      </w:r>
      <w:r w:rsidR="00457EF4" w:rsidRPr="00CE1CE2">
        <w:rPr>
          <w:sz w:val="22"/>
          <w:szCs w:val="22"/>
        </w:rPr>
        <w:t xml:space="preserve"> the</w:t>
      </w:r>
      <w:r w:rsidR="007A61A7" w:rsidRPr="00CE1CE2">
        <w:rPr>
          <w:sz w:val="22"/>
          <w:szCs w:val="22"/>
        </w:rPr>
        <w:t xml:space="preserve"> presidential election results for each state and the whole country from 19</w:t>
      </w:r>
      <w:r w:rsidR="00B66ECA" w:rsidRPr="00CE1CE2">
        <w:rPr>
          <w:sz w:val="22"/>
          <w:szCs w:val="22"/>
        </w:rPr>
        <w:t>72</w:t>
      </w:r>
      <w:r w:rsidR="007A61A7" w:rsidRPr="00CE1CE2">
        <w:rPr>
          <w:sz w:val="22"/>
          <w:szCs w:val="22"/>
        </w:rPr>
        <w:t xml:space="preserve"> to 20</w:t>
      </w:r>
      <w:r w:rsidR="00B66ECA" w:rsidRPr="00CE1CE2">
        <w:rPr>
          <w:sz w:val="22"/>
          <w:szCs w:val="22"/>
        </w:rPr>
        <w:t>20</w:t>
      </w:r>
      <w:r w:rsidR="007A61A7" w:rsidRPr="00CE1CE2">
        <w:rPr>
          <w:sz w:val="22"/>
          <w:szCs w:val="22"/>
        </w:rPr>
        <w:t xml:space="preserve">. </w:t>
      </w:r>
      <w:r w:rsidR="000A10A8" w:rsidRPr="00CE1CE2">
        <w:rPr>
          <w:sz w:val="22"/>
          <w:szCs w:val="22"/>
        </w:rPr>
        <w:t xml:space="preserve">In our research period, </w:t>
      </w:r>
      <w:r w:rsidR="00AB7557">
        <w:rPr>
          <w:sz w:val="22"/>
          <w:szCs w:val="22"/>
        </w:rPr>
        <w:t xml:space="preserve">the </w:t>
      </w:r>
      <w:r w:rsidR="000A10A8" w:rsidRPr="00CE1CE2">
        <w:rPr>
          <w:sz w:val="22"/>
          <w:szCs w:val="22"/>
        </w:rPr>
        <w:t xml:space="preserve">District of Columbia had voted for </w:t>
      </w:r>
      <w:r w:rsidR="00AB7557">
        <w:rPr>
          <w:sz w:val="22"/>
          <w:szCs w:val="22"/>
        </w:rPr>
        <w:t xml:space="preserve">the </w:t>
      </w:r>
      <w:r w:rsidR="000A10A8" w:rsidRPr="00CE1CE2">
        <w:rPr>
          <w:sz w:val="22"/>
          <w:szCs w:val="22"/>
        </w:rPr>
        <w:t xml:space="preserve">Democratic </w:t>
      </w:r>
      <w:r w:rsidR="000E083D">
        <w:rPr>
          <w:sz w:val="22"/>
          <w:szCs w:val="22"/>
        </w:rPr>
        <w:t>Party</w:t>
      </w:r>
      <w:r w:rsidR="000A10A8" w:rsidRPr="00CE1CE2">
        <w:rPr>
          <w:sz w:val="22"/>
          <w:szCs w:val="22"/>
        </w:rPr>
        <w:t xml:space="preserve"> in all 1</w:t>
      </w:r>
      <w:r w:rsidR="00B66ECA" w:rsidRPr="00CE1CE2">
        <w:rPr>
          <w:sz w:val="22"/>
          <w:szCs w:val="22"/>
        </w:rPr>
        <w:t>3</w:t>
      </w:r>
      <w:r w:rsidR="000A10A8" w:rsidRPr="00CE1CE2">
        <w:rPr>
          <w:sz w:val="22"/>
          <w:szCs w:val="22"/>
        </w:rPr>
        <w:t xml:space="preserve"> presidential elections. Some states mainly </w:t>
      </w:r>
      <w:r w:rsidR="000E083D">
        <w:rPr>
          <w:sz w:val="22"/>
          <w:szCs w:val="22"/>
        </w:rPr>
        <w:t>favoured</w:t>
      </w:r>
      <w:r w:rsidR="000A10A8" w:rsidRPr="00CE1CE2">
        <w:rPr>
          <w:sz w:val="22"/>
          <w:szCs w:val="22"/>
        </w:rPr>
        <w:t xml:space="preserve"> </w:t>
      </w:r>
      <w:r w:rsidR="00AB7557">
        <w:rPr>
          <w:sz w:val="22"/>
          <w:szCs w:val="22"/>
        </w:rPr>
        <w:t xml:space="preserve">the </w:t>
      </w:r>
      <w:r w:rsidR="000A10A8" w:rsidRPr="00CE1CE2">
        <w:rPr>
          <w:sz w:val="22"/>
          <w:szCs w:val="22"/>
        </w:rPr>
        <w:t xml:space="preserve">Democratic </w:t>
      </w:r>
      <w:r w:rsidR="000E083D">
        <w:rPr>
          <w:sz w:val="22"/>
          <w:szCs w:val="22"/>
        </w:rPr>
        <w:t>Party,</w:t>
      </w:r>
      <w:r w:rsidR="000A10A8" w:rsidRPr="00CE1CE2">
        <w:rPr>
          <w:sz w:val="22"/>
          <w:szCs w:val="22"/>
        </w:rPr>
        <w:t xml:space="preserve"> including Hawaii, Massachusetts, Minnesota, and Rhode Island. </w:t>
      </w:r>
      <w:r w:rsidR="00AB7557">
        <w:rPr>
          <w:sz w:val="22"/>
          <w:szCs w:val="22"/>
        </w:rPr>
        <w:t xml:space="preserve">The </w:t>
      </w:r>
      <w:r w:rsidR="000A10A8" w:rsidRPr="00CE1CE2">
        <w:rPr>
          <w:sz w:val="22"/>
          <w:szCs w:val="22"/>
        </w:rPr>
        <w:t xml:space="preserve">Republican </w:t>
      </w:r>
      <w:r w:rsidR="000E083D">
        <w:rPr>
          <w:sz w:val="22"/>
          <w:szCs w:val="22"/>
        </w:rPr>
        <w:t>Party</w:t>
      </w:r>
      <w:r w:rsidR="000A10A8" w:rsidRPr="00CE1CE2">
        <w:rPr>
          <w:sz w:val="22"/>
          <w:szCs w:val="22"/>
        </w:rPr>
        <w:t xml:space="preserve"> was elected by 49 out of 50 states in 1972 and 1984. </w:t>
      </w:r>
      <w:r w:rsidR="001B57E4" w:rsidRPr="00CE1CE2">
        <w:rPr>
          <w:sz w:val="22"/>
          <w:szCs w:val="22"/>
        </w:rPr>
        <w:t>S</w:t>
      </w:r>
      <w:r w:rsidR="000A10A8" w:rsidRPr="00CE1CE2">
        <w:rPr>
          <w:sz w:val="22"/>
          <w:szCs w:val="22"/>
        </w:rPr>
        <w:t xml:space="preserve">ome states only voted for </w:t>
      </w:r>
      <w:r w:rsidR="00AB7557">
        <w:rPr>
          <w:sz w:val="22"/>
          <w:szCs w:val="22"/>
        </w:rPr>
        <w:t xml:space="preserve">the </w:t>
      </w:r>
      <w:r w:rsidR="000A10A8" w:rsidRPr="00CE1CE2">
        <w:rPr>
          <w:sz w:val="22"/>
          <w:szCs w:val="22"/>
        </w:rPr>
        <w:t xml:space="preserve">Republican </w:t>
      </w:r>
      <w:r w:rsidR="000E083D">
        <w:rPr>
          <w:sz w:val="22"/>
          <w:szCs w:val="22"/>
        </w:rPr>
        <w:t>Party,</w:t>
      </w:r>
      <w:r w:rsidR="000A10A8" w:rsidRPr="00CE1CE2">
        <w:rPr>
          <w:sz w:val="22"/>
          <w:szCs w:val="22"/>
        </w:rPr>
        <w:t xml:space="preserve"> including Alaska, Idaho, Kansas, Nebraska, North Dakota, Oklahoma, South Dakota, Utah, and Wyoming. In total, </w:t>
      </w:r>
      <w:r w:rsidR="001B57E4" w:rsidRPr="00CE1CE2">
        <w:rPr>
          <w:sz w:val="22"/>
          <w:szCs w:val="22"/>
        </w:rPr>
        <w:t>30</w:t>
      </w:r>
      <w:r w:rsidR="000A10A8" w:rsidRPr="00CE1CE2">
        <w:rPr>
          <w:sz w:val="22"/>
          <w:szCs w:val="22"/>
        </w:rPr>
        <w:t xml:space="preserve"> states preferred </w:t>
      </w:r>
      <w:r w:rsidR="00AB7557">
        <w:rPr>
          <w:sz w:val="22"/>
          <w:szCs w:val="22"/>
        </w:rPr>
        <w:t xml:space="preserve">the </w:t>
      </w:r>
      <w:r w:rsidR="000A10A8" w:rsidRPr="00CE1CE2">
        <w:rPr>
          <w:sz w:val="22"/>
          <w:szCs w:val="22"/>
        </w:rPr>
        <w:t xml:space="preserve">Republican </w:t>
      </w:r>
      <w:r w:rsidR="000E083D">
        <w:rPr>
          <w:sz w:val="22"/>
          <w:szCs w:val="22"/>
        </w:rPr>
        <w:t>Party</w:t>
      </w:r>
      <w:r w:rsidR="000A10A8" w:rsidRPr="00CE1CE2">
        <w:rPr>
          <w:sz w:val="22"/>
          <w:szCs w:val="22"/>
        </w:rPr>
        <w:t xml:space="preserve"> in comparison</w:t>
      </w:r>
      <w:r w:rsidR="000E083D">
        <w:rPr>
          <w:sz w:val="22"/>
          <w:szCs w:val="22"/>
        </w:rPr>
        <w:t>,</w:t>
      </w:r>
      <w:r w:rsidR="000A10A8" w:rsidRPr="00CE1CE2">
        <w:rPr>
          <w:sz w:val="22"/>
          <w:szCs w:val="22"/>
        </w:rPr>
        <w:t xml:space="preserve"> </w:t>
      </w:r>
      <w:r w:rsidR="00AB7557" w:rsidRPr="00CE1CE2">
        <w:rPr>
          <w:sz w:val="22"/>
          <w:szCs w:val="22"/>
        </w:rPr>
        <w:t>w</w:t>
      </w:r>
      <w:r w:rsidR="00AB7557">
        <w:rPr>
          <w:sz w:val="22"/>
          <w:szCs w:val="22"/>
        </w:rPr>
        <w:t>hile</w:t>
      </w:r>
      <w:r w:rsidR="00AB7557" w:rsidRPr="00CE1CE2">
        <w:rPr>
          <w:sz w:val="22"/>
          <w:szCs w:val="22"/>
        </w:rPr>
        <w:t xml:space="preserve"> </w:t>
      </w:r>
      <w:r w:rsidR="001B57E4" w:rsidRPr="00CE1CE2">
        <w:rPr>
          <w:sz w:val="22"/>
          <w:szCs w:val="22"/>
        </w:rPr>
        <w:t>20</w:t>
      </w:r>
      <w:r w:rsidR="000A10A8" w:rsidRPr="00CE1CE2">
        <w:rPr>
          <w:sz w:val="22"/>
          <w:szCs w:val="22"/>
        </w:rPr>
        <w:t xml:space="preserve"> states chose </w:t>
      </w:r>
      <w:r w:rsidR="00AB7557">
        <w:rPr>
          <w:sz w:val="22"/>
          <w:szCs w:val="22"/>
        </w:rPr>
        <w:t xml:space="preserve">the </w:t>
      </w:r>
      <w:r w:rsidR="000A10A8" w:rsidRPr="00CE1CE2">
        <w:rPr>
          <w:sz w:val="22"/>
          <w:szCs w:val="22"/>
        </w:rPr>
        <w:t xml:space="preserve">Democratic </w:t>
      </w:r>
      <w:r w:rsidR="000E083D">
        <w:rPr>
          <w:sz w:val="22"/>
          <w:szCs w:val="22"/>
        </w:rPr>
        <w:t>Party</w:t>
      </w:r>
      <w:r w:rsidR="000A10A8" w:rsidRPr="00CE1CE2">
        <w:rPr>
          <w:sz w:val="22"/>
          <w:szCs w:val="22"/>
        </w:rPr>
        <w:t xml:space="preserve"> from 19</w:t>
      </w:r>
      <w:r w:rsidR="001B57E4" w:rsidRPr="00CE1CE2">
        <w:rPr>
          <w:sz w:val="22"/>
          <w:szCs w:val="22"/>
        </w:rPr>
        <w:t>72</w:t>
      </w:r>
      <w:r w:rsidR="000A10A8" w:rsidRPr="00CE1CE2">
        <w:rPr>
          <w:sz w:val="22"/>
          <w:szCs w:val="22"/>
        </w:rPr>
        <w:t xml:space="preserve"> to 20</w:t>
      </w:r>
      <w:r w:rsidR="001B57E4" w:rsidRPr="00CE1CE2">
        <w:rPr>
          <w:sz w:val="22"/>
          <w:szCs w:val="22"/>
        </w:rPr>
        <w:t>20</w:t>
      </w:r>
      <w:r w:rsidR="000A10A8" w:rsidRPr="00CE1CE2">
        <w:rPr>
          <w:sz w:val="22"/>
          <w:szCs w:val="22"/>
        </w:rPr>
        <w:t xml:space="preserve">. </w:t>
      </w:r>
    </w:p>
    <w:p w14:paraId="15A54C5F" w14:textId="77777777" w:rsidR="006D498D" w:rsidRDefault="006D498D" w:rsidP="006D498D">
      <w:pPr>
        <w:spacing w:line="360" w:lineRule="auto"/>
        <w:jc w:val="both"/>
        <w:rPr>
          <w:sz w:val="22"/>
          <w:szCs w:val="22"/>
        </w:rPr>
      </w:pPr>
    </w:p>
    <w:p w14:paraId="58A68D0B" w14:textId="06FC719C" w:rsidR="00622172" w:rsidRPr="00A9102F" w:rsidRDefault="00CB0B73" w:rsidP="00A9102F">
      <w:pPr>
        <w:spacing w:line="360" w:lineRule="auto"/>
        <w:jc w:val="both"/>
        <w:rPr>
          <w:color w:val="004F88"/>
          <w:sz w:val="22"/>
          <w:szCs w:val="22"/>
        </w:rPr>
      </w:pPr>
      <w:r w:rsidRPr="00CE1CE2">
        <w:rPr>
          <w:sz w:val="22"/>
          <w:szCs w:val="22"/>
        </w:rPr>
        <w:t xml:space="preserve">According to its population, each state has a specific number of delegates. If a political party wins a state, </w:t>
      </w:r>
      <w:r w:rsidR="000E083D">
        <w:rPr>
          <w:sz w:val="22"/>
          <w:szCs w:val="22"/>
        </w:rPr>
        <w:t>it</w:t>
      </w:r>
      <w:r w:rsidRPr="00CE1CE2">
        <w:rPr>
          <w:sz w:val="22"/>
          <w:szCs w:val="22"/>
        </w:rPr>
        <w:t xml:space="preserve"> </w:t>
      </w:r>
      <w:r w:rsidR="000E083D">
        <w:rPr>
          <w:sz w:val="22"/>
          <w:szCs w:val="22"/>
        </w:rPr>
        <w:t>receives</w:t>
      </w:r>
      <w:r w:rsidRPr="00CE1CE2">
        <w:rPr>
          <w:sz w:val="22"/>
          <w:szCs w:val="22"/>
        </w:rPr>
        <w:t xml:space="preserve"> </w:t>
      </w:r>
      <w:r w:rsidR="00532F45" w:rsidRPr="00CE1CE2">
        <w:rPr>
          <w:sz w:val="22"/>
          <w:szCs w:val="22"/>
        </w:rPr>
        <w:t>all</w:t>
      </w:r>
      <w:r w:rsidRPr="00CE1CE2">
        <w:rPr>
          <w:sz w:val="22"/>
          <w:szCs w:val="22"/>
        </w:rPr>
        <w:t xml:space="preserve"> the delegates from that state. A state will have more delegates the more people there are living there.</w:t>
      </w:r>
      <w:r w:rsidR="000A10A8" w:rsidRPr="00CE1CE2">
        <w:rPr>
          <w:sz w:val="22"/>
          <w:szCs w:val="22"/>
        </w:rPr>
        <w:t xml:space="preserve"> The party </w:t>
      </w:r>
      <w:r w:rsidR="00AB7557">
        <w:rPr>
          <w:sz w:val="22"/>
          <w:szCs w:val="22"/>
        </w:rPr>
        <w:t>that</w:t>
      </w:r>
      <w:r w:rsidR="00AB7557" w:rsidRPr="00CE1CE2">
        <w:rPr>
          <w:sz w:val="22"/>
          <w:szCs w:val="22"/>
        </w:rPr>
        <w:t xml:space="preserve"> </w:t>
      </w:r>
      <w:r w:rsidR="000A10A8" w:rsidRPr="00CE1CE2">
        <w:rPr>
          <w:sz w:val="22"/>
          <w:szCs w:val="22"/>
        </w:rPr>
        <w:t>has the most electors win</w:t>
      </w:r>
      <w:r w:rsidR="00AB7557">
        <w:rPr>
          <w:sz w:val="22"/>
          <w:szCs w:val="22"/>
        </w:rPr>
        <w:t>s</w:t>
      </w:r>
      <w:r w:rsidR="000A10A8" w:rsidRPr="00CE1CE2">
        <w:rPr>
          <w:sz w:val="22"/>
          <w:szCs w:val="22"/>
        </w:rPr>
        <w:t xml:space="preserve"> all the state's electoral college votes. The first candidate to win enough states to get to 270 electoral votes becomes the </w:t>
      </w:r>
      <w:r w:rsidR="00457EF4" w:rsidRPr="00CE1CE2">
        <w:rPr>
          <w:sz w:val="22"/>
          <w:szCs w:val="22"/>
        </w:rPr>
        <w:t>P</w:t>
      </w:r>
      <w:r w:rsidR="000A10A8" w:rsidRPr="00CE1CE2">
        <w:rPr>
          <w:sz w:val="22"/>
          <w:szCs w:val="22"/>
        </w:rPr>
        <w:t>resident</w:t>
      </w:r>
      <w:r w:rsidR="000A10A8" w:rsidRPr="001D1C7B">
        <w:rPr>
          <w:rStyle w:val="FootnoteReference"/>
          <w:color w:val="0070C0"/>
          <w:sz w:val="22"/>
          <w:szCs w:val="22"/>
        </w:rPr>
        <w:footnoteReference w:id="5"/>
      </w:r>
      <w:r w:rsidR="000A10A8" w:rsidRPr="00CE1CE2">
        <w:rPr>
          <w:sz w:val="22"/>
          <w:szCs w:val="22"/>
        </w:rPr>
        <w:t xml:space="preserve">. </w:t>
      </w:r>
      <w:r w:rsidRPr="00CE1CE2">
        <w:rPr>
          <w:sz w:val="22"/>
          <w:szCs w:val="22"/>
        </w:rPr>
        <w:t xml:space="preserve">When state-level elections are decided by voters rather than national ones, </w:t>
      </w:r>
      <w:r w:rsidR="00AB7557">
        <w:rPr>
          <w:sz w:val="22"/>
          <w:szCs w:val="22"/>
        </w:rPr>
        <w:t>a party can</w:t>
      </w:r>
      <w:r w:rsidRPr="00CE1CE2">
        <w:rPr>
          <w:sz w:val="22"/>
          <w:szCs w:val="22"/>
        </w:rPr>
        <w:t xml:space="preserve"> receive the most votes nationally </w:t>
      </w:r>
      <w:r w:rsidR="00AB7557">
        <w:rPr>
          <w:sz w:val="22"/>
          <w:szCs w:val="22"/>
        </w:rPr>
        <w:t xml:space="preserve">but </w:t>
      </w:r>
      <w:r w:rsidRPr="00CE1CE2">
        <w:rPr>
          <w:sz w:val="22"/>
          <w:szCs w:val="22"/>
        </w:rPr>
        <w:t xml:space="preserve">still lose the electoral college. </w:t>
      </w:r>
      <w:r w:rsidR="00557760" w:rsidRPr="00557760">
        <w:rPr>
          <w:sz w:val="22"/>
          <w:szCs w:val="22"/>
        </w:rPr>
        <w:t>All but two states follow a winner-takes-all system</w:t>
      </w:r>
      <w:r w:rsidR="00557760" w:rsidRPr="001D1C7B">
        <w:rPr>
          <w:rStyle w:val="FootnoteReference"/>
          <w:color w:val="0070C0"/>
          <w:sz w:val="22"/>
          <w:szCs w:val="22"/>
        </w:rPr>
        <w:footnoteReference w:id="6"/>
      </w:r>
      <w:r w:rsidR="00557760" w:rsidRPr="00557760">
        <w:rPr>
          <w:sz w:val="22"/>
          <w:szCs w:val="22"/>
        </w:rPr>
        <w:t xml:space="preserve">, meaning the candidate with the most votes receives all of the state’s electoral college votes. Since most states strongly </w:t>
      </w:r>
      <w:r w:rsidR="000E083D">
        <w:rPr>
          <w:sz w:val="22"/>
          <w:szCs w:val="22"/>
        </w:rPr>
        <w:t>favour</w:t>
      </w:r>
      <w:r w:rsidR="00557760" w:rsidRPr="00557760">
        <w:rPr>
          <w:sz w:val="22"/>
          <w:szCs w:val="22"/>
        </w:rPr>
        <w:t xml:space="preserve"> one political party, </w:t>
      </w:r>
      <w:r w:rsidR="00A9102F" w:rsidRPr="00A9102F">
        <w:rPr>
          <w:color w:val="004F88"/>
          <w:sz w:val="22"/>
          <w:szCs w:val="22"/>
        </w:rPr>
        <w:t>attention typically focuses on a limited number of swing states where either candidate has a viable chance of winning</w:t>
      </w:r>
      <w:r w:rsidR="00557760" w:rsidRPr="00557760">
        <w:rPr>
          <w:sz w:val="22"/>
          <w:szCs w:val="22"/>
        </w:rPr>
        <w:t>.</w:t>
      </w:r>
      <w:r w:rsidR="00557760">
        <w:rPr>
          <w:sz w:val="22"/>
          <w:szCs w:val="22"/>
        </w:rPr>
        <w:t xml:space="preserve"> </w:t>
      </w:r>
      <w:r w:rsidR="00A9102F" w:rsidRPr="00A9102F">
        <w:rPr>
          <w:color w:val="004F88"/>
          <w:sz w:val="22"/>
          <w:szCs w:val="22"/>
        </w:rPr>
        <w:t xml:space="preserve">These are often referred to as battleground (or swing) states, defined as states in which election outcomes can be determined by relatively small shifts in voter preferences. </w:t>
      </w:r>
      <w:r w:rsidR="000A10A8" w:rsidRPr="00CE1CE2">
        <w:rPr>
          <w:sz w:val="22"/>
          <w:szCs w:val="22"/>
        </w:rPr>
        <w:t xml:space="preserve">These states are usually targeted by both Democratic and Republican parties. </w:t>
      </w:r>
      <w:r w:rsidRPr="00CE1CE2">
        <w:rPr>
          <w:sz w:val="22"/>
          <w:szCs w:val="22"/>
        </w:rPr>
        <w:t xml:space="preserve">Conversely, states that typically </w:t>
      </w:r>
      <w:r w:rsidR="000E083D">
        <w:rPr>
          <w:sz w:val="22"/>
          <w:szCs w:val="22"/>
        </w:rPr>
        <w:t>favour</w:t>
      </w:r>
      <w:r w:rsidRPr="00CE1CE2">
        <w:rPr>
          <w:sz w:val="22"/>
          <w:szCs w:val="22"/>
        </w:rPr>
        <w:t xml:space="preserve"> one party are referred to as safe states because it is commonly believed that one candidate has a support base </w:t>
      </w:r>
      <w:r w:rsidR="00A9102F" w:rsidRPr="00A9102F">
        <w:rPr>
          <w:sz w:val="22"/>
          <w:szCs w:val="22"/>
        </w:rPr>
        <w:t xml:space="preserve">to </w:t>
      </w:r>
      <w:r w:rsidR="00A9102F" w:rsidRPr="00A9102F">
        <w:rPr>
          <w:color w:val="004F88"/>
          <w:sz w:val="22"/>
          <w:szCs w:val="22"/>
        </w:rPr>
        <w:t>secure victory without extensive campaign effort or expenditure</w:t>
      </w:r>
      <w:r w:rsidRPr="00A9102F">
        <w:rPr>
          <w:color w:val="004F88"/>
          <w:sz w:val="22"/>
          <w:szCs w:val="22"/>
        </w:rPr>
        <w:t>.</w:t>
      </w:r>
      <w:r w:rsidR="000A10A8" w:rsidRPr="00A9102F">
        <w:rPr>
          <w:color w:val="004F88"/>
          <w:sz w:val="22"/>
          <w:szCs w:val="22"/>
        </w:rPr>
        <w:t xml:space="preserve"> </w:t>
      </w:r>
    </w:p>
    <w:p w14:paraId="053D6802" w14:textId="77777777" w:rsidR="006D498D" w:rsidRDefault="006D498D" w:rsidP="006D498D">
      <w:pPr>
        <w:spacing w:line="360" w:lineRule="auto"/>
        <w:jc w:val="both"/>
        <w:rPr>
          <w:i/>
          <w:iCs/>
          <w:sz w:val="22"/>
          <w:szCs w:val="22"/>
        </w:rPr>
      </w:pPr>
    </w:p>
    <w:p w14:paraId="6D684D71" w14:textId="0B06216F" w:rsidR="00634529" w:rsidRPr="00CE1CE2" w:rsidRDefault="00D64D3D" w:rsidP="006D498D">
      <w:pPr>
        <w:spacing w:line="360" w:lineRule="auto"/>
        <w:jc w:val="both"/>
        <w:rPr>
          <w:sz w:val="22"/>
          <w:szCs w:val="22"/>
        </w:rPr>
      </w:pPr>
      <w:r w:rsidRPr="008D1701">
        <w:rPr>
          <w:i/>
          <w:iCs/>
          <w:sz w:val="22"/>
          <w:szCs w:val="22"/>
        </w:rPr>
        <w:t>NVOTE</w:t>
      </w:r>
      <w:r w:rsidRPr="00CE1CE2">
        <w:rPr>
          <w:sz w:val="22"/>
          <w:szCs w:val="22"/>
        </w:rPr>
        <w:t xml:space="preserve"> is another dummy variable used to represent the outcome of the American </w:t>
      </w:r>
      <w:r w:rsidR="003C40CB">
        <w:rPr>
          <w:sz w:val="22"/>
          <w:szCs w:val="22"/>
        </w:rPr>
        <w:t xml:space="preserve">presidential </w:t>
      </w:r>
      <w:r w:rsidRPr="00CE1CE2">
        <w:rPr>
          <w:sz w:val="22"/>
          <w:szCs w:val="22"/>
        </w:rPr>
        <w:t xml:space="preserve">election. If the Democratic </w:t>
      </w:r>
      <w:r w:rsidR="000E083D">
        <w:rPr>
          <w:sz w:val="22"/>
          <w:szCs w:val="22"/>
        </w:rPr>
        <w:t>Party</w:t>
      </w:r>
      <w:r w:rsidRPr="00CE1CE2">
        <w:rPr>
          <w:sz w:val="22"/>
          <w:szCs w:val="22"/>
        </w:rPr>
        <w:t xml:space="preserve"> wins the federal election, it equals 1, and if the Republican </w:t>
      </w:r>
      <w:r w:rsidR="000E083D">
        <w:rPr>
          <w:sz w:val="22"/>
          <w:szCs w:val="22"/>
        </w:rPr>
        <w:t>Party</w:t>
      </w:r>
      <w:r w:rsidRPr="00CE1CE2">
        <w:rPr>
          <w:sz w:val="22"/>
          <w:szCs w:val="22"/>
        </w:rPr>
        <w:t xml:space="preserve"> wins, it equals 0.</w:t>
      </w:r>
      <w:r w:rsidR="00622172" w:rsidRPr="00CE1CE2">
        <w:rPr>
          <w:sz w:val="22"/>
          <w:szCs w:val="22"/>
        </w:rPr>
        <w:t xml:space="preserve"> In the U.S. election, each state gets a certain number of electoral college votes based on its population. In 13 presidential elections from 1972 to 2020, </w:t>
      </w:r>
      <w:r w:rsidR="00AB7557">
        <w:rPr>
          <w:sz w:val="22"/>
          <w:szCs w:val="22"/>
        </w:rPr>
        <w:t xml:space="preserve">the </w:t>
      </w:r>
      <w:r w:rsidR="00622172" w:rsidRPr="00CE1CE2">
        <w:rPr>
          <w:sz w:val="22"/>
          <w:szCs w:val="22"/>
        </w:rPr>
        <w:t xml:space="preserve">Democratic party won 6 times while </w:t>
      </w:r>
      <w:r w:rsidR="00AB7557">
        <w:rPr>
          <w:sz w:val="22"/>
          <w:szCs w:val="22"/>
        </w:rPr>
        <w:t xml:space="preserve">the </w:t>
      </w:r>
      <w:r w:rsidR="00622172" w:rsidRPr="00CE1CE2">
        <w:rPr>
          <w:sz w:val="22"/>
          <w:szCs w:val="22"/>
        </w:rPr>
        <w:t xml:space="preserve">Republican party was elected 7 times (see Table </w:t>
      </w:r>
      <w:r w:rsidR="00622172" w:rsidRPr="00532F45">
        <w:rPr>
          <w:color w:val="0070C0"/>
          <w:sz w:val="22"/>
          <w:szCs w:val="22"/>
        </w:rPr>
        <w:t>1</w:t>
      </w:r>
      <w:r w:rsidR="00622172" w:rsidRPr="00CE1CE2">
        <w:rPr>
          <w:sz w:val="22"/>
          <w:szCs w:val="22"/>
        </w:rPr>
        <w:t xml:space="preserve">). </w:t>
      </w:r>
      <w:r w:rsidR="00CB0B73" w:rsidRPr="00CE1CE2">
        <w:rPr>
          <w:sz w:val="22"/>
          <w:szCs w:val="22"/>
        </w:rPr>
        <w:t>The American election schedule is determined by law externally. Since it has been held on the Tuesday following the first Monday in November since 1845, Election Day must come between November 2 and November 8</w:t>
      </w:r>
      <w:r w:rsidR="00D96B28" w:rsidRPr="00CE1CE2">
        <w:rPr>
          <w:sz w:val="22"/>
          <w:szCs w:val="22"/>
        </w:rPr>
        <w:t xml:space="preserve">. In </w:t>
      </w:r>
      <w:r w:rsidR="00AB7557" w:rsidRPr="00CE1CE2">
        <w:rPr>
          <w:sz w:val="22"/>
          <w:szCs w:val="22"/>
        </w:rPr>
        <w:t>even</w:t>
      </w:r>
      <w:r w:rsidR="00AB7557">
        <w:rPr>
          <w:sz w:val="22"/>
          <w:szCs w:val="22"/>
        </w:rPr>
        <w:t>-</w:t>
      </w:r>
      <w:r w:rsidR="00D96B28" w:rsidRPr="00CE1CE2">
        <w:rPr>
          <w:sz w:val="22"/>
          <w:szCs w:val="22"/>
        </w:rPr>
        <w:t>numbered years, there are four years between presidential elections</w:t>
      </w:r>
      <w:r w:rsidR="003C40CB" w:rsidRPr="003C40CB">
        <w:rPr>
          <w:rStyle w:val="FootnoteReference"/>
          <w:color w:val="0070C0"/>
          <w:sz w:val="22"/>
          <w:szCs w:val="22"/>
        </w:rPr>
        <w:footnoteReference w:id="7"/>
      </w:r>
      <w:r w:rsidR="00D96B28" w:rsidRPr="00CE1CE2">
        <w:rPr>
          <w:sz w:val="22"/>
          <w:szCs w:val="22"/>
        </w:rPr>
        <w:t xml:space="preserve">. </w:t>
      </w:r>
      <w:r w:rsidR="008F774B" w:rsidRPr="00CE1CE2">
        <w:rPr>
          <w:sz w:val="22"/>
          <w:szCs w:val="22"/>
        </w:rPr>
        <w:t xml:space="preserve">Most states opt to hold their state-level gubernatorial elections concurrently with the federal elections (gubernatorial elections coincide with either presidential or midterm elections) </w:t>
      </w:r>
      <w:r w:rsidR="00D96B28" w:rsidRPr="00CE1CE2">
        <w:rPr>
          <w:sz w:val="22"/>
          <w:szCs w:val="22"/>
        </w:rPr>
        <w:t xml:space="preserve">(Liu and Ngo, </w:t>
      </w:r>
      <w:r w:rsidR="00D96B28" w:rsidRPr="00532F45">
        <w:rPr>
          <w:color w:val="0070C0"/>
          <w:sz w:val="22"/>
          <w:szCs w:val="22"/>
        </w:rPr>
        <w:t>2014</w:t>
      </w:r>
      <w:r w:rsidR="00D96B28" w:rsidRPr="00CE1CE2">
        <w:rPr>
          <w:sz w:val="22"/>
          <w:szCs w:val="22"/>
        </w:rPr>
        <w:t>).</w:t>
      </w:r>
      <w:r w:rsidR="00CE1A17" w:rsidRPr="00CE1CE2">
        <w:rPr>
          <w:sz w:val="22"/>
          <w:szCs w:val="22"/>
        </w:rPr>
        <w:t xml:space="preserve"> </w:t>
      </w:r>
    </w:p>
    <w:p w14:paraId="071B263B" w14:textId="77777777" w:rsidR="00D96B28" w:rsidRPr="00CE1CE2" w:rsidRDefault="00D96B28" w:rsidP="00D96B28">
      <w:pPr>
        <w:spacing w:line="360" w:lineRule="auto"/>
        <w:ind w:firstLine="720"/>
        <w:jc w:val="both"/>
        <w:rPr>
          <w:sz w:val="22"/>
          <w:szCs w:val="22"/>
        </w:rPr>
      </w:pPr>
    </w:p>
    <w:p w14:paraId="7477F08D" w14:textId="45295982" w:rsidR="001C0B30" w:rsidRPr="00CC70D8" w:rsidRDefault="00532F45" w:rsidP="00695582">
      <w:pPr>
        <w:spacing w:line="360" w:lineRule="auto"/>
        <w:jc w:val="center"/>
        <w:rPr>
          <w:sz w:val="22"/>
          <w:szCs w:val="22"/>
        </w:rPr>
      </w:pPr>
      <w:r w:rsidRPr="00CC70D8">
        <w:rPr>
          <w:sz w:val="22"/>
          <w:szCs w:val="22"/>
        </w:rPr>
        <w:t>(Insert Table</w:t>
      </w:r>
      <w:r w:rsidR="00695582" w:rsidRPr="00CC70D8">
        <w:rPr>
          <w:sz w:val="22"/>
          <w:szCs w:val="22"/>
        </w:rPr>
        <w:t xml:space="preserve"> </w:t>
      </w:r>
      <w:r w:rsidRPr="00CC70D8">
        <w:rPr>
          <w:color w:val="0070C0"/>
          <w:sz w:val="22"/>
          <w:szCs w:val="22"/>
        </w:rPr>
        <w:t>1</w:t>
      </w:r>
      <w:r w:rsidR="00695582" w:rsidRPr="00CC70D8">
        <w:rPr>
          <w:color w:val="0070C0"/>
          <w:sz w:val="22"/>
          <w:szCs w:val="22"/>
        </w:rPr>
        <w:t xml:space="preserve"> </w:t>
      </w:r>
      <w:r w:rsidR="00695582" w:rsidRPr="00CC70D8">
        <w:rPr>
          <w:sz w:val="22"/>
          <w:szCs w:val="22"/>
        </w:rPr>
        <w:t>about here</w:t>
      </w:r>
      <w:r w:rsidRPr="00CC70D8">
        <w:rPr>
          <w:sz w:val="22"/>
          <w:szCs w:val="22"/>
        </w:rPr>
        <w:t>)</w:t>
      </w:r>
    </w:p>
    <w:p w14:paraId="1FE50D0C" w14:textId="0844A33E" w:rsidR="00BD0C25" w:rsidRPr="0067691E" w:rsidRDefault="00F2635D" w:rsidP="00BD0C25">
      <w:pPr>
        <w:pStyle w:val="Heading3"/>
        <w:numPr>
          <w:ilvl w:val="0"/>
          <w:numId w:val="0"/>
        </w:numPr>
        <w:rPr>
          <w:color w:val="000000" w:themeColor="text1"/>
          <w:sz w:val="22"/>
          <w:szCs w:val="22"/>
        </w:rPr>
      </w:pPr>
      <w:r w:rsidRPr="0067691E">
        <w:rPr>
          <w:color w:val="000000" w:themeColor="text1"/>
          <w:sz w:val="22"/>
          <w:szCs w:val="22"/>
        </w:rPr>
        <w:t>3.1.3.</w:t>
      </w:r>
      <w:r w:rsidR="008C0785" w:rsidRPr="0067691E">
        <w:rPr>
          <w:color w:val="000000" w:themeColor="text1"/>
          <w:sz w:val="22"/>
          <w:szCs w:val="22"/>
        </w:rPr>
        <w:t xml:space="preserve"> </w:t>
      </w:r>
      <w:r w:rsidR="00F61EDF" w:rsidRPr="0067691E">
        <w:rPr>
          <w:color w:val="000000" w:themeColor="text1"/>
          <w:sz w:val="22"/>
          <w:szCs w:val="22"/>
        </w:rPr>
        <w:t>Control</w:t>
      </w:r>
      <w:r w:rsidR="00BD0C25" w:rsidRPr="0067691E">
        <w:rPr>
          <w:color w:val="000000" w:themeColor="text1"/>
          <w:sz w:val="22"/>
          <w:szCs w:val="22"/>
        </w:rPr>
        <w:t xml:space="preserve"> </w:t>
      </w:r>
      <w:r w:rsidR="00FB41ED" w:rsidRPr="0067691E">
        <w:rPr>
          <w:color w:val="000000" w:themeColor="text1"/>
          <w:sz w:val="22"/>
          <w:szCs w:val="22"/>
        </w:rPr>
        <w:t>V</w:t>
      </w:r>
      <w:r w:rsidR="00BD0C25" w:rsidRPr="0067691E">
        <w:rPr>
          <w:color w:val="000000" w:themeColor="text1"/>
          <w:sz w:val="22"/>
          <w:szCs w:val="22"/>
        </w:rPr>
        <w:t>ariables</w:t>
      </w:r>
    </w:p>
    <w:p w14:paraId="2D5810C8" w14:textId="32461C40" w:rsidR="00337D66" w:rsidRDefault="00F61EDF" w:rsidP="006D498D">
      <w:pPr>
        <w:spacing w:line="360" w:lineRule="auto"/>
        <w:jc w:val="both"/>
        <w:rPr>
          <w:sz w:val="22"/>
          <w:szCs w:val="22"/>
        </w:rPr>
      </w:pPr>
      <w:r w:rsidRPr="00CE1CE2">
        <w:rPr>
          <w:sz w:val="22"/>
          <w:szCs w:val="22"/>
        </w:rPr>
        <w:t xml:space="preserve">The control variables include </w:t>
      </w:r>
      <w:r w:rsidR="00AB7557" w:rsidRPr="00CE1CE2">
        <w:rPr>
          <w:sz w:val="22"/>
          <w:szCs w:val="22"/>
        </w:rPr>
        <w:t>bank</w:t>
      </w:r>
      <w:r w:rsidR="00AB7557">
        <w:rPr>
          <w:sz w:val="22"/>
          <w:szCs w:val="22"/>
        </w:rPr>
        <w:t>-</w:t>
      </w:r>
      <w:r w:rsidRPr="00CE1CE2">
        <w:rPr>
          <w:sz w:val="22"/>
          <w:szCs w:val="22"/>
        </w:rPr>
        <w:t>specific</w:t>
      </w:r>
      <w:r w:rsidR="002A3504" w:rsidRPr="00CE1CE2">
        <w:rPr>
          <w:sz w:val="22"/>
          <w:szCs w:val="22"/>
        </w:rPr>
        <w:t xml:space="preserve"> and macroeconomic variables. </w:t>
      </w:r>
      <w:r w:rsidR="00AB7557" w:rsidRPr="00CE1CE2">
        <w:rPr>
          <w:sz w:val="22"/>
          <w:szCs w:val="22"/>
        </w:rPr>
        <w:t>Bank</w:t>
      </w:r>
      <w:r w:rsidR="00AB7557">
        <w:rPr>
          <w:sz w:val="22"/>
          <w:szCs w:val="22"/>
        </w:rPr>
        <w:t>-</w:t>
      </w:r>
      <w:r w:rsidR="002A3504" w:rsidRPr="00CE1CE2">
        <w:rPr>
          <w:sz w:val="22"/>
          <w:szCs w:val="22"/>
        </w:rPr>
        <w:t xml:space="preserve">specific variables are </w:t>
      </w:r>
      <w:r w:rsidR="00AB7557">
        <w:rPr>
          <w:sz w:val="22"/>
          <w:szCs w:val="22"/>
        </w:rPr>
        <w:t xml:space="preserve">the </w:t>
      </w:r>
      <w:r w:rsidR="00374B90" w:rsidRPr="00CE1CE2">
        <w:rPr>
          <w:sz w:val="22"/>
          <w:szCs w:val="22"/>
        </w:rPr>
        <w:t xml:space="preserve">logarithm of </w:t>
      </w:r>
      <w:r w:rsidR="002A3504" w:rsidRPr="00CE1CE2">
        <w:rPr>
          <w:sz w:val="22"/>
          <w:szCs w:val="22"/>
        </w:rPr>
        <w:t>total assets</w:t>
      </w:r>
      <w:r w:rsidR="00664C5D" w:rsidRPr="00CE1CE2">
        <w:rPr>
          <w:sz w:val="22"/>
          <w:szCs w:val="22"/>
        </w:rPr>
        <w:t xml:space="preserve"> (</w:t>
      </w:r>
      <w:r w:rsidR="00664C5D" w:rsidRPr="00EF579E">
        <w:rPr>
          <w:i/>
          <w:iCs/>
          <w:sz w:val="22"/>
          <w:szCs w:val="22"/>
        </w:rPr>
        <w:t>LNTA</w:t>
      </w:r>
      <w:r w:rsidR="00664C5D" w:rsidRPr="00CE1CE2">
        <w:rPr>
          <w:sz w:val="22"/>
          <w:szCs w:val="22"/>
        </w:rPr>
        <w:t xml:space="preserve">), </w:t>
      </w:r>
      <w:r w:rsidR="003C40CB">
        <w:rPr>
          <w:sz w:val="22"/>
          <w:szCs w:val="22"/>
        </w:rPr>
        <w:t>n</w:t>
      </w:r>
      <w:r w:rsidR="00455F1F" w:rsidRPr="00CE1CE2">
        <w:rPr>
          <w:sz w:val="22"/>
          <w:szCs w:val="22"/>
        </w:rPr>
        <w:t xml:space="preserve">on-performing loans over total loans </w:t>
      </w:r>
      <w:r w:rsidR="00664C5D" w:rsidRPr="00CE1CE2">
        <w:rPr>
          <w:sz w:val="22"/>
          <w:szCs w:val="22"/>
        </w:rPr>
        <w:t>(</w:t>
      </w:r>
      <w:r w:rsidR="00455F1F" w:rsidRPr="00EF579E">
        <w:rPr>
          <w:i/>
          <w:iCs/>
          <w:sz w:val="22"/>
          <w:szCs w:val="22"/>
        </w:rPr>
        <w:t>NPLT</w:t>
      </w:r>
      <w:r w:rsidR="00455F1F" w:rsidRPr="00CE1CE2">
        <w:rPr>
          <w:sz w:val="22"/>
          <w:szCs w:val="22"/>
        </w:rPr>
        <w:t>L</w:t>
      </w:r>
      <w:r w:rsidR="00664C5D" w:rsidRPr="00CE1CE2">
        <w:rPr>
          <w:sz w:val="22"/>
          <w:szCs w:val="22"/>
        </w:rPr>
        <w:t>)</w:t>
      </w:r>
      <w:r w:rsidR="00AB7557">
        <w:rPr>
          <w:sz w:val="22"/>
          <w:szCs w:val="22"/>
        </w:rPr>
        <w:t>,</w:t>
      </w:r>
      <w:r w:rsidR="005C0856" w:rsidRPr="00CE1CE2">
        <w:rPr>
          <w:sz w:val="22"/>
          <w:szCs w:val="22"/>
        </w:rPr>
        <w:t xml:space="preserve"> and </w:t>
      </w:r>
      <w:r w:rsidR="00C70807" w:rsidRPr="0067691E">
        <w:rPr>
          <w:sz w:val="22"/>
          <w:szCs w:val="22"/>
        </w:rPr>
        <w:t>total deposits over total assets</w:t>
      </w:r>
      <w:r w:rsidR="00664C5D" w:rsidRPr="0067691E">
        <w:rPr>
          <w:sz w:val="22"/>
          <w:szCs w:val="22"/>
        </w:rPr>
        <w:t xml:space="preserve"> (</w:t>
      </w:r>
      <w:r w:rsidR="00C70807" w:rsidRPr="0067691E">
        <w:rPr>
          <w:i/>
          <w:iCs/>
          <w:sz w:val="22"/>
          <w:szCs w:val="22"/>
        </w:rPr>
        <w:t>DOA</w:t>
      </w:r>
      <w:r w:rsidR="00664C5D" w:rsidRPr="0067691E">
        <w:rPr>
          <w:sz w:val="22"/>
          <w:szCs w:val="22"/>
        </w:rPr>
        <w:t>).</w:t>
      </w:r>
      <w:r w:rsidR="002A3504" w:rsidRPr="0067691E">
        <w:rPr>
          <w:sz w:val="22"/>
          <w:szCs w:val="22"/>
        </w:rPr>
        <w:t xml:space="preserve"> </w:t>
      </w:r>
      <w:r w:rsidR="00267EFF" w:rsidRPr="00CE1CE2">
        <w:rPr>
          <w:sz w:val="22"/>
          <w:szCs w:val="22"/>
        </w:rPr>
        <w:t>We incorporated the pandemic (</w:t>
      </w:r>
      <w:r w:rsidR="00267EFF" w:rsidRPr="00EF579E">
        <w:rPr>
          <w:i/>
          <w:iCs/>
          <w:sz w:val="22"/>
          <w:szCs w:val="22"/>
        </w:rPr>
        <w:t>C</w:t>
      </w:r>
      <w:r w:rsidR="00783103">
        <w:rPr>
          <w:i/>
          <w:iCs/>
          <w:sz w:val="22"/>
          <w:szCs w:val="22"/>
        </w:rPr>
        <w:t>OVID</w:t>
      </w:r>
      <w:r w:rsidR="00084194">
        <w:rPr>
          <w:i/>
          <w:iCs/>
          <w:sz w:val="22"/>
          <w:szCs w:val="22"/>
        </w:rPr>
        <w:t>-</w:t>
      </w:r>
      <w:r w:rsidR="00267EFF" w:rsidRPr="00EF579E">
        <w:rPr>
          <w:i/>
          <w:iCs/>
          <w:sz w:val="22"/>
          <w:szCs w:val="22"/>
        </w:rPr>
        <w:t>19</w:t>
      </w:r>
      <w:r w:rsidR="00267EFF" w:rsidRPr="00CE1CE2">
        <w:rPr>
          <w:sz w:val="22"/>
          <w:szCs w:val="22"/>
        </w:rPr>
        <w:t>) to address the consequences of the recent catastrophe</w:t>
      </w:r>
      <w:r w:rsidR="006B6B69" w:rsidRPr="00CE1CE2">
        <w:rPr>
          <w:sz w:val="22"/>
          <w:szCs w:val="22"/>
        </w:rPr>
        <w:t xml:space="preserve"> on </w:t>
      </w:r>
      <w:r w:rsidR="00B4209B" w:rsidRPr="00CE1CE2">
        <w:rPr>
          <w:sz w:val="22"/>
          <w:szCs w:val="22"/>
        </w:rPr>
        <w:t xml:space="preserve">bank </w:t>
      </w:r>
      <w:r w:rsidR="006B6B69" w:rsidRPr="00CE1CE2">
        <w:rPr>
          <w:sz w:val="22"/>
          <w:szCs w:val="22"/>
        </w:rPr>
        <w:t>efficiency</w:t>
      </w:r>
      <w:r w:rsidR="00267EFF" w:rsidRPr="00CE1CE2">
        <w:rPr>
          <w:sz w:val="22"/>
          <w:szCs w:val="22"/>
        </w:rPr>
        <w:t>.</w:t>
      </w:r>
      <w:r w:rsidR="006F00FF">
        <w:rPr>
          <w:sz w:val="22"/>
          <w:szCs w:val="22"/>
        </w:rPr>
        <w:t xml:space="preserve"> </w:t>
      </w:r>
    </w:p>
    <w:p w14:paraId="618422AE" w14:textId="77777777" w:rsidR="00337D66" w:rsidRDefault="00337D66" w:rsidP="006D498D">
      <w:pPr>
        <w:spacing w:line="360" w:lineRule="auto"/>
        <w:jc w:val="both"/>
        <w:rPr>
          <w:sz w:val="22"/>
          <w:szCs w:val="22"/>
        </w:rPr>
      </w:pPr>
    </w:p>
    <w:p w14:paraId="1DD6D124" w14:textId="268899E1" w:rsidR="00E561A9" w:rsidRPr="00CE1CE2" w:rsidRDefault="0080190D" w:rsidP="006D498D">
      <w:pPr>
        <w:spacing w:line="360" w:lineRule="auto"/>
        <w:jc w:val="both"/>
        <w:rPr>
          <w:sz w:val="22"/>
          <w:szCs w:val="22"/>
        </w:rPr>
      </w:pPr>
      <w:r w:rsidRPr="00CE1CE2">
        <w:rPr>
          <w:bCs/>
          <w:sz w:val="22"/>
          <w:szCs w:val="22"/>
        </w:rPr>
        <w:t>Bank size (</w:t>
      </w:r>
      <w:r w:rsidRPr="00EF579E">
        <w:rPr>
          <w:bCs/>
          <w:i/>
          <w:iCs/>
          <w:sz w:val="22"/>
          <w:szCs w:val="22"/>
        </w:rPr>
        <w:t>LNTA</w:t>
      </w:r>
      <w:r w:rsidRPr="00CE1CE2">
        <w:rPr>
          <w:bCs/>
          <w:sz w:val="22"/>
          <w:szCs w:val="22"/>
        </w:rPr>
        <w:t>) is measured as the natural logarithm of total assets</w:t>
      </w:r>
      <w:r w:rsidR="00ED33FB" w:rsidRPr="00CE1CE2">
        <w:rPr>
          <w:bCs/>
          <w:sz w:val="22"/>
          <w:szCs w:val="22"/>
        </w:rPr>
        <w:t xml:space="preserve">. </w:t>
      </w:r>
      <w:r w:rsidR="00711D4F" w:rsidRPr="00CE1CE2">
        <w:rPr>
          <w:bCs/>
          <w:sz w:val="22"/>
          <w:szCs w:val="22"/>
        </w:rPr>
        <w:t xml:space="preserve">Larger firms might be more efficient as they can use more </w:t>
      </w:r>
      <w:r w:rsidR="00BE7991">
        <w:rPr>
          <w:bCs/>
          <w:sz w:val="22"/>
          <w:szCs w:val="22"/>
        </w:rPr>
        <w:t>specialised</w:t>
      </w:r>
      <w:r w:rsidR="00AB7557" w:rsidRPr="00CE1CE2">
        <w:rPr>
          <w:bCs/>
          <w:sz w:val="22"/>
          <w:szCs w:val="22"/>
        </w:rPr>
        <w:t xml:space="preserve"> </w:t>
      </w:r>
      <w:r w:rsidR="00711D4F" w:rsidRPr="00CE1CE2">
        <w:rPr>
          <w:bCs/>
          <w:sz w:val="22"/>
          <w:szCs w:val="22"/>
        </w:rPr>
        <w:t>inputs</w:t>
      </w:r>
      <w:r w:rsidR="00ED33FB" w:rsidRPr="00CE1CE2">
        <w:rPr>
          <w:bCs/>
          <w:sz w:val="22"/>
          <w:szCs w:val="22"/>
        </w:rPr>
        <w:t xml:space="preserve">, coordinate their resources better, reap the advantages of economies of scale, </w:t>
      </w:r>
      <w:r w:rsidR="00AB7557">
        <w:rPr>
          <w:bCs/>
          <w:sz w:val="22"/>
          <w:szCs w:val="22"/>
        </w:rPr>
        <w:t xml:space="preserve">and </w:t>
      </w:r>
      <w:r w:rsidR="00711D4F" w:rsidRPr="00CE1CE2">
        <w:rPr>
          <w:bCs/>
          <w:sz w:val="22"/>
          <w:szCs w:val="22"/>
        </w:rPr>
        <w:t>decrease the costs of gathering and processing information. Hence</w:t>
      </w:r>
      <w:r w:rsidR="00BE7991">
        <w:rPr>
          <w:bCs/>
          <w:sz w:val="22"/>
          <w:szCs w:val="22"/>
        </w:rPr>
        <w:t>,</w:t>
      </w:r>
      <w:r w:rsidR="00711D4F" w:rsidRPr="00CE1CE2">
        <w:rPr>
          <w:bCs/>
          <w:sz w:val="22"/>
          <w:szCs w:val="22"/>
        </w:rPr>
        <w:t xml:space="preserve"> there is a positive relationship between asset size and efficiency</w:t>
      </w:r>
      <w:r w:rsidR="00142C8B" w:rsidRPr="00CE1CE2">
        <w:rPr>
          <w:bCs/>
          <w:sz w:val="22"/>
          <w:szCs w:val="22"/>
        </w:rPr>
        <w:t xml:space="preserve"> in the U</w:t>
      </w:r>
      <w:r w:rsidR="00090E87" w:rsidRPr="00CE1CE2">
        <w:rPr>
          <w:bCs/>
          <w:sz w:val="22"/>
          <w:szCs w:val="22"/>
        </w:rPr>
        <w:t>.</w:t>
      </w:r>
      <w:r w:rsidR="00142C8B" w:rsidRPr="00CE1CE2">
        <w:rPr>
          <w:bCs/>
          <w:sz w:val="22"/>
          <w:szCs w:val="22"/>
        </w:rPr>
        <w:t>S</w:t>
      </w:r>
      <w:r w:rsidR="00090E87" w:rsidRPr="00CE1CE2">
        <w:rPr>
          <w:bCs/>
          <w:sz w:val="22"/>
          <w:szCs w:val="22"/>
        </w:rPr>
        <w:t>.</w:t>
      </w:r>
      <w:r w:rsidR="00142C8B" w:rsidRPr="00CE1CE2">
        <w:rPr>
          <w:bCs/>
          <w:sz w:val="22"/>
          <w:szCs w:val="22"/>
        </w:rPr>
        <w:t xml:space="preserve"> bank efficiency</w:t>
      </w:r>
      <w:r w:rsidR="00711D4F" w:rsidRPr="00CE1CE2">
        <w:rPr>
          <w:bCs/>
          <w:sz w:val="22"/>
          <w:szCs w:val="22"/>
        </w:rPr>
        <w:t xml:space="preserve"> (</w:t>
      </w:r>
      <w:r w:rsidR="00FA1251" w:rsidRPr="00CE1CE2">
        <w:rPr>
          <w:sz w:val="22"/>
          <w:szCs w:val="22"/>
        </w:rPr>
        <w:t xml:space="preserve">Akhigbe and Nulty </w:t>
      </w:r>
      <w:r w:rsidR="00FA1251" w:rsidRPr="00532F45">
        <w:rPr>
          <w:color w:val="0070C0"/>
          <w:sz w:val="22"/>
          <w:szCs w:val="22"/>
        </w:rPr>
        <w:t>2003</w:t>
      </w:r>
      <w:r w:rsidR="00FA1251" w:rsidRPr="00CE1CE2">
        <w:rPr>
          <w:sz w:val="22"/>
          <w:szCs w:val="22"/>
        </w:rPr>
        <w:t>;</w:t>
      </w:r>
      <w:r w:rsidR="00FA1251">
        <w:rPr>
          <w:sz w:val="22"/>
          <w:szCs w:val="22"/>
        </w:rPr>
        <w:t xml:space="preserve"> </w:t>
      </w:r>
      <w:r w:rsidR="00FA1251" w:rsidRPr="00CE1CE2">
        <w:rPr>
          <w:sz w:val="22"/>
          <w:szCs w:val="22"/>
        </w:rPr>
        <w:t xml:space="preserve">DeYoung and Hasan </w:t>
      </w:r>
      <w:r w:rsidR="00FA1251" w:rsidRPr="00532F45">
        <w:rPr>
          <w:color w:val="0070C0"/>
          <w:sz w:val="22"/>
          <w:szCs w:val="22"/>
        </w:rPr>
        <w:t>1998</w:t>
      </w:r>
      <w:r w:rsidR="00FA1251" w:rsidRPr="00CE1CE2">
        <w:rPr>
          <w:sz w:val="22"/>
          <w:szCs w:val="22"/>
        </w:rPr>
        <w:t>;</w:t>
      </w:r>
      <w:r w:rsidR="00FA1251">
        <w:rPr>
          <w:sz w:val="22"/>
          <w:szCs w:val="22"/>
        </w:rPr>
        <w:t xml:space="preserve"> </w:t>
      </w:r>
      <w:r w:rsidR="00FA1251" w:rsidRPr="00CE1CE2">
        <w:rPr>
          <w:sz w:val="22"/>
          <w:szCs w:val="22"/>
        </w:rPr>
        <w:t xml:space="preserve">Le </w:t>
      </w:r>
      <w:r w:rsidR="00FA1251" w:rsidRPr="003C40CB">
        <w:rPr>
          <w:sz w:val="22"/>
          <w:szCs w:val="22"/>
        </w:rPr>
        <w:t>et al.</w:t>
      </w:r>
      <w:r w:rsidR="00FA1251" w:rsidRPr="00CE1CE2">
        <w:rPr>
          <w:sz w:val="22"/>
          <w:szCs w:val="22"/>
        </w:rPr>
        <w:t xml:space="preserve"> </w:t>
      </w:r>
      <w:r w:rsidR="00FA1251" w:rsidRPr="00532F45">
        <w:rPr>
          <w:color w:val="0070C0"/>
          <w:sz w:val="22"/>
          <w:szCs w:val="22"/>
        </w:rPr>
        <w:t>2020</w:t>
      </w:r>
      <w:r w:rsidR="00FA1251">
        <w:rPr>
          <w:color w:val="0070C0"/>
          <w:sz w:val="22"/>
          <w:szCs w:val="22"/>
        </w:rPr>
        <w:t xml:space="preserve">; </w:t>
      </w:r>
      <w:r w:rsidR="00ED33FB" w:rsidRPr="00CE1CE2">
        <w:rPr>
          <w:sz w:val="22"/>
          <w:szCs w:val="22"/>
        </w:rPr>
        <w:t xml:space="preserve">Miller and Noulas </w:t>
      </w:r>
      <w:r w:rsidR="00ED33FB" w:rsidRPr="00532F45">
        <w:rPr>
          <w:color w:val="0070C0"/>
          <w:sz w:val="22"/>
          <w:szCs w:val="22"/>
        </w:rPr>
        <w:t>1996</w:t>
      </w:r>
      <w:r w:rsidR="00142C8B" w:rsidRPr="00CE1CE2">
        <w:rPr>
          <w:sz w:val="22"/>
          <w:szCs w:val="22"/>
        </w:rPr>
        <w:t xml:space="preserve">). </w:t>
      </w:r>
      <w:r w:rsidR="00E561A9" w:rsidRPr="00CE1CE2">
        <w:rPr>
          <w:bCs/>
          <w:sz w:val="22"/>
          <w:szCs w:val="22"/>
        </w:rPr>
        <w:t>We expect a positive relationship between bank efficiency and total assets.</w:t>
      </w:r>
    </w:p>
    <w:p w14:paraId="68E5F7E3" w14:textId="77777777" w:rsidR="006D498D" w:rsidRDefault="006D498D" w:rsidP="006D498D">
      <w:pPr>
        <w:spacing w:line="360" w:lineRule="auto"/>
        <w:jc w:val="both"/>
        <w:rPr>
          <w:bCs/>
          <w:sz w:val="22"/>
          <w:szCs w:val="22"/>
        </w:rPr>
      </w:pPr>
    </w:p>
    <w:p w14:paraId="08E4B9ED" w14:textId="0281C669" w:rsidR="00893A2F" w:rsidRPr="00337D66" w:rsidRDefault="0017356D" w:rsidP="00337D66">
      <w:pPr>
        <w:spacing w:line="360" w:lineRule="auto"/>
        <w:jc w:val="both"/>
        <w:rPr>
          <w:bCs/>
          <w:color w:val="004F88"/>
          <w:sz w:val="22"/>
          <w:szCs w:val="22"/>
        </w:rPr>
      </w:pPr>
      <w:r w:rsidRPr="00CE1CE2">
        <w:rPr>
          <w:bCs/>
          <w:sz w:val="22"/>
          <w:szCs w:val="22"/>
        </w:rPr>
        <w:t xml:space="preserve">The empirical literature has examined the relationship between bank efficiency and risk using </w:t>
      </w:r>
      <w:r w:rsidR="00532F45" w:rsidRPr="00CE1CE2">
        <w:rPr>
          <w:bCs/>
          <w:sz w:val="22"/>
          <w:szCs w:val="22"/>
        </w:rPr>
        <w:t>several</w:t>
      </w:r>
      <w:r w:rsidRPr="00CE1CE2">
        <w:rPr>
          <w:bCs/>
          <w:sz w:val="22"/>
          <w:szCs w:val="22"/>
        </w:rPr>
        <w:t xml:space="preserve"> risk metrics based on balance sheet and market data. </w:t>
      </w:r>
      <w:r w:rsidR="00B81711" w:rsidRPr="00CE1CE2">
        <w:rPr>
          <w:bCs/>
          <w:sz w:val="22"/>
          <w:szCs w:val="22"/>
        </w:rPr>
        <w:t>Non-performing loans (</w:t>
      </w:r>
      <w:r w:rsidRPr="00EF579E">
        <w:rPr>
          <w:bCs/>
          <w:i/>
          <w:iCs/>
          <w:sz w:val="22"/>
          <w:szCs w:val="22"/>
        </w:rPr>
        <w:t>NPLs</w:t>
      </w:r>
      <w:r w:rsidR="00B81711" w:rsidRPr="00CE1CE2">
        <w:rPr>
          <w:bCs/>
          <w:sz w:val="22"/>
          <w:szCs w:val="22"/>
        </w:rPr>
        <w:t>)</w:t>
      </w:r>
      <w:r w:rsidRPr="00CE1CE2">
        <w:rPr>
          <w:bCs/>
          <w:sz w:val="22"/>
          <w:szCs w:val="22"/>
        </w:rPr>
        <w:t xml:space="preserve">, which are a representation of credit risk, are the most prevalent type of balance-sheet risk. </w:t>
      </w:r>
      <w:r w:rsidR="00337D66" w:rsidRPr="00337D66">
        <w:rPr>
          <w:bCs/>
          <w:color w:val="004F88"/>
          <w:sz w:val="22"/>
          <w:szCs w:val="22"/>
        </w:rPr>
        <w:t>Berger and DeYoung (1997) use the Stochastic Frontier Analysis (SFA) technique to assess cost efficiency in the first stage</w:t>
      </w:r>
      <w:r w:rsidR="006F6604" w:rsidRPr="00337D66">
        <w:rPr>
          <w:bCs/>
          <w:color w:val="004F88"/>
          <w:sz w:val="22"/>
          <w:szCs w:val="22"/>
        </w:rPr>
        <w:t xml:space="preserve">. </w:t>
      </w:r>
      <w:r w:rsidR="00337D66" w:rsidRPr="00337D66">
        <w:rPr>
          <w:bCs/>
          <w:sz w:val="22"/>
          <w:szCs w:val="22"/>
        </w:rPr>
        <w:t>In the second stage, they examine the relationship using non-performing loans (</w:t>
      </w:r>
      <w:r w:rsidR="00337D66" w:rsidRPr="00337D66">
        <w:rPr>
          <w:bCs/>
          <w:i/>
          <w:iCs/>
          <w:sz w:val="22"/>
          <w:szCs w:val="22"/>
        </w:rPr>
        <w:t>NPLs</w:t>
      </w:r>
      <w:r w:rsidR="00337D66" w:rsidRPr="00337D66">
        <w:rPr>
          <w:bCs/>
          <w:sz w:val="22"/>
          <w:szCs w:val="22"/>
        </w:rPr>
        <w:t>)</w:t>
      </w:r>
      <w:r w:rsidR="006F6604" w:rsidRPr="00CE1CE2">
        <w:rPr>
          <w:bCs/>
          <w:sz w:val="22"/>
          <w:szCs w:val="22"/>
        </w:rPr>
        <w:t xml:space="preserve">. </w:t>
      </w:r>
      <w:r w:rsidR="00337D66" w:rsidRPr="00337D66">
        <w:rPr>
          <w:bCs/>
          <w:i/>
          <w:iCs/>
          <w:sz w:val="22"/>
          <w:szCs w:val="22"/>
        </w:rPr>
        <w:t xml:space="preserve">NPLs </w:t>
      </w:r>
      <w:r w:rsidR="00337D66" w:rsidRPr="00337D66">
        <w:rPr>
          <w:bCs/>
          <w:color w:val="004F88"/>
          <w:sz w:val="22"/>
          <w:szCs w:val="22"/>
        </w:rPr>
        <w:t>have the advantage of requiring less managerial discretion than charge-offs and loan loss reserves</w:t>
      </w:r>
      <w:r w:rsidRPr="00337D66">
        <w:rPr>
          <w:bCs/>
          <w:color w:val="004F88"/>
          <w:sz w:val="22"/>
          <w:szCs w:val="22"/>
        </w:rPr>
        <w:t>.</w:t>
      </w:r>
      <w:r w:rsidRPr="00CE1CE2">
        <w:rPr>
          <w:bCs/>
          <w:sz w:val="22"/>
          <w:szCs w:val="22"/>
        </w:rPr>
        <w:t xml:space="preserve"> </w:t>
      </w:r>
      <w:r w:rsidR="00337D66" w:rsidRPr="00337D66">
        <w:rPr>
          <w:bCs/>
          <w:sz w:val="22"/>
          <w:szCs w:val="22"/>
        </w:rPr>
        <w:t xml:space="preserve">NPLs have the advantage of requiring less managerial discretion than charge-offs and loan loss reserves. </w:t>
      </w:r>
      <w:r w:rsidR="00337D66" w:rsidRPr="00337D66">
        <w:rPr>
          <w:bCs/>
          <w:color w:val="004F88"/>
          <w:sz w:val="22"/>
          <w:szCs w:val="22"/>
        </w:rPr>
        <w:t xml:space="preserve">Using Granger causality techniques on a sample of U.S. commercial bank data from 1985 to 1994, they document a negative relationship between risk and efficiency. </w:t>
      </w:r>
      <w:r w:rsidR="00337D66" w:rsidRPr="00337D66">
        <w:rPr>
          <w:bCs/>
          <w:sz w:val="22"/>
          <w:szCs w:val="22"/>
        </w:rPr>
        <w:t xml:space="preserve">imilarly, studies such as Akhigbe et al. (2017), Akhigbe and McNulty (2003), DeYoung and Hasan (1998), Harris et al. (2013), and Le et al. (2020), </w:t>
      </w:r>
      <w:r w:rsidR="00337D66" w:rsidRPr="00337D66">
        <w:rPr>
          <w:bCs/>
          <w:color w:val="004F88"/>
          <w:sz w:val="22"/>
          <w:szCs w:val="22"/>
        </w:rPr>
        <w:t>which use loan loss reserves, reach similar conclusions</w:t>
      </w:r>
      <w:r w:rsidR="006F6604" w:rsidRPr="00337D66">
        <w:rPr>
          <w:color w:val="004F88"/>
          <w:sz w:val="22"/>
          <w:szCs w:val="22"/>
        </w:rPr>
        <w:t>.</w:t>
      </w:r>
      <w:r w:rsidR="00B81711" w:rsidRPr="00337D66">
        <w:rPr>
          <w:bCs/>
          <w:color w:val="004F88"/>
          <w:sz w:val="22"/>
          <w:szCs w:val="22"/>
        </w:rPr>
        <w:t xml:space="preserve"> </w:t>
      </w:r>
      <w:r w:rsidR="00337D66" w:rsidRPr="00337D66">
        <w:rPr>
          <w:bCs/>
          <w:color w:val="004F88"/>
          <w:sz w:val="22"/>
          <w:szCs w:val="22"/>
        </w:rPr>
        <w:t>The ratio of non-performing loans to total loans (NPLTL) is therefore expected to be negatively related to efficiency</w:t>
      </w:r>
      <w:r w:rsidRPr="00337D66">
        <w:rPr>
          <w:bCs/>
          <w:color w:val="004F88"/>
          <w:sz w:val="22"/>
          <w:szCs w:val="22"/>
        </w:rPr>
        <w:t>.</w:t>
      </w:r>
    </w:p>
    <w:p w14:paraId="5FA3787C" w14:textId="77777777" w:rsidR="006D498D" w:rsidRDefault="006D498D" w:rsidP="006D498D">
      <w:pPr>
        <w:spacing w:line="360" w:lineRule="auto"/>
        <w:jc w:val="both"/>
        <w:rPr>
          <w:bCs/>
          <w:color w:val="0070C0"/>
          <w:sz w:val="22"/>
          <w:szCs w:val="22"/>
        </w:rPr>
      </w:pPr>
    </w:p>
    <w:p w14:paraId="440E1877" w14:textId="5963AAFC" w:rsidR="00B00673" w:rsidRPr="0067691E" w:rsidRDefault="00B81711" w:rsidP="006D498D">
      <w:pPr>
        <w:spacing w:line="360" w:lineRule="auto"/>
        <w:jc w:val="both"/>
        <w:rPr>
          <w:bCs/>
          <w:sz w:val="22"/>
          <w:szCs w:val="22"/>
        </w:rPr>
      </w:pPr>
      <w:r w:rsidRPr="0067691E">
        <w:rPr>
          <w:bCs/>
          <w:sz w:val="22"/>
          <w:szCs w:val="22"/>
        </w:rPr>
        <w:t xml:space="preserve">The importance of </w:t>
      </w:r>
      <w:r w:rsidR="00DF3886" w:rsidRPr="0067691E">
        <w:rPr>
          <w:bCs/>
          <w:sz w:val="22"/>
          <w:szCs w:val="22"/>
        </w:rPr>
        <w:t>deposits</w:t>
      </w:r>
      <w:r w:rsidRPr="0067691E">
        <w:rPr>
          <w:bCs/>
          <w:sz w:val="22"/>
          <w:szCs w:val="22"/>
        </w:rPr>
        <w:t xml:space="preserve"> in relation to the bank's total assets is examined using the ratio of </w:t>
      </w:r>
      <w:r w:rsidR="00C85774" w:rsidRPr="0067691E">
        <w:rPr>
          <w:bCs/>
          <w:sz w:val="22"/>
          <w:szCs w:val="22"/>
        </w:rPr>
        <w:t>deposits</w:t>
      </w:r>
      <w:r w:rsidRPr="0067691E">
        <w:rPr>
          <w:bCs/>
          <w:sz w:val="22"/>
          <w:szCs w:val="22"/>
        </w:rPr>
        <w:t xml:space="preserve"> to total assets (</w:t>
      </w:r>
      <w:r w:rsidR="00C85774" w:rsidRPr="0067691E">
        <w:rPr>
          <w:bCs/>
          <w:i/>
          <w:iCs/>
          <w:sz w:val="22"/>
          <w:szCs w:val="22"/>
        </w:rPr>
        <w:t>DO</w:t>
      </w:r>
      <w:r w:rsidRPr="0067691E">
        <w:rPr>
          <w:bCs/>
          <w:i/>
          <w:iCs/>
          <w:sz w:val="22"/>
          <w:szCs w:val="22"/>
        </w:rPr>
        <w:t>A</w:t>
      </w:r>
      <w:r w:rsidRPr="0067691E">
        <w:rPr>
          <w:bCs/>
          <w:sz w:val="22"/>
          <w:szCs w:val="22"/>
        </w:rPr>
        <w:t>)</w:t>
      </w:r>
      <w:r w:rsidR="0080190D" w:rsidRPr="0067691E">
        <w:rPr>
          <w:bCs/>
          <w:sz w:val="22"/>
          <w:szCs w:val="22"/>
        </w:rPr>
        <w:t xml:space="preserve">. </w:t>
      </w:r>
      <w:r w:rsidR="00B00673" w:rsidRPr="0067691E">
        <w:rPr>
          <w:bCs/>
          <w:sz w:val="22"/>
          <w:szCs w:val="22"/>
        </w:rPr>
        <w:t>Akhigabe et al. (</w:t>
      </w:r>
      <w:r w:rsidR="00B00673" w:rsidRPr="0067691E">
        <w:rPr>
          <w:bCs/>
          <w:color w:val="004F88"/>
          <w:sz w:val="22"/>
          <w:szCs w:val="22"/>
        </w:rPr>
        <w:t>2017</w:t>
      </w:r>
      <w:r w:rsidR="00B00673" w:rsidRPr="0067691E">
        <w:rPr>
          <w:bCs/>
          <w:sz w:val="22"/>
          <w:szCs w:val="22"/>
        </w:rPr>
        <w:t xml:space="preserve">) show that a higher proportion of demand deposits relative to total deposits is anticipated to enhance profit efficiency, as these deposits represent a low-cost source of funds. In contrast, the share of large deposits (over $100,000) in total deposits is expected to have a negative coefficient, reflecting the higher cost associated with these funds. </w:t>
      </w:r>
      <w:r w:rsidR="00D3745F" w:rsidRPr="0067691E">
        <w:rPr>
          <w:bCs/>
          <w:sz w:val="22"/>
          <w:szCs w:val="22"/>
        </w:rPr>
        <w:t>Khan et al. (</w:t>
      </w:r>
      <w:r w:rsidR="00D3745F" w:rsidRPr="0067691E">
        <w:rPr>
          <w:bCs/>
          <w:color w:val="004F88"/>
          <w:sz w:val="22"/>
          <w:szCs w:val="22"/>
        </w:rPr>
        <w:t>2020</w:t>
      </w:r>
      <w:r w:rsidR="00D3745F" w:rsidRPr="0067691E">
        <w:rPr>
          <w:bCs/>
          <w:sz w:val="22"/>
          <w:szCs w:val="22"/>
        </w:rPr>
        <w:t xml:space="preserve">), using a sample of 3,697 U.S. banks over the period 2002–2010, find that deposits are positively associated with bank efficiency scores. </w:t>
      </w:r>
      <w:r w:rsidR="00B00673" w:rsidRPr="0067691E">
        <w:rPr>
          <w:bCs/>
          <w:sz w:val="22"/>
          <w:szCs w:val="22"/>
        </w:rPr>
        <w:t xml:space="preserve">On the other hand, </w:t>
      </w:r>
      <w:r w:rsidR="00A0418F" w:rsidRPr="0067691E">
        <w:rPr>
          <w:bCs/>
          <w:sz w:val="22"/>
          <w:szCs w:val="22"/>
        </w:rPr>
        <w:t xml:space="preserve">Harris </w:t>
      </w:r>
      <w:r w:rsidR="00EB3323" w:rsidRPr="0067691E">
        <w:rPr>
          <w:bCs/>
          <w:sz w:val="22"/>
          <w:szCs w:val="22"/>
        </w:rPr>
        <w:t>et al.</w:t>
      </w:r>
      <w:r w:rsidR="00A0418F" w:rsidRPr="0067691E">
        <w:rPr>
          <w:bCs/>
          <w:sz w:val="22"/>
          <w:szCs w:val="22"/>
        </w:rPr>
        <w:t xml:space="preserve"> (</w:t>
      </w:r>
      <w:r w:rsidR="00A0418F" w:rsidRPr="0067691E">
        <w:rPr>
          <w:bCs/>
          <w:color w:val="004F88"/>
          <w:sz w:val="22"/>
          <w:szCs w:val="22"/>
        </w:rPr>
        <w:t>2013</w:t>
      </w:r>
      <w:r w:rsidR="00A0418F" w:rsidRPr="0067691E">
        <w:rPr>
          <w:bCs/>
          <w:sz w:val="22"/>
          <w:szCs w:val="22"/>
        </w:rPr>
        <w:t xml:space="preserve">) </w:t>
      </w:r>
      <w:r w:rsidR="00DF3886" w:rsidRPr="0067691E">
        <w:rPr>
          <w:bCs/>
          <w:sz w:val="22"/>
          <w:szCs w:val="22"/>
        </w:rPr>
        <w:t>find that deposits show a significant negative relationship with the efficiency score.</w:t>
      </w:r>
      <w:r w:rsidR="00B00673" w:rsidRPr="0067691E">
        <w:rPr>
          <w:bCs/>
          <w:sz w:val="22"/>
          <w:szCs w:val="22"/>
        </w:rPr>
        <w:t xml:space="preserve"> In this study, we anticipate that the ratio of deposits to total assets may exhibit either a positive or negative correlation with the efficiency score.</w:t>
      </w:r>
    </w:p>
    <w:p w14:paraId="728819F9" w14:textId="77777777" w:rsidR="006D498D" w:rsidRDefault="006D498D" w:rsidP="006D498D">
      <w:pPr>
        <w:spacing w:line="360" w:lineRule="auto"/>
        <w:jc w:val="both"/>
        <w:rPr>
          <w:bCs/>
          <w:sz w:val="22"/>
          <w:szCs w:val="22"/>
        </w:rPr>
      </w:pPr>
    </w:p>
    <w:p w14:paraId="2E75B010" w14:textId="05D5369A" w:rsidR="00743C2A" w:rsidRDefault="00783103" w:rsidP="00783103">
      <w:pPr>
        <w:spacing w:line="360" w:lineRule="auto"/>
        <w:jc w:val="both"/>
        <w:rPr>
          <w:bCs/>
          <w:color w:val="004F88"/>
          <w:sz w:val="22"/>
          <w:szCs w:val="22"/>
        </w:rPr>
      </w:pPr>
      <w:r w:rsidRPr="00783103">
        <w:rPr>
          <w:bCs/>
          <w:color w:val="004F88"/>
          <w:sz w:val="22"/>
          <w:szCs w:val="22"/>
        </w:rPr>
        <w:t xml:space="preserve">Finally, we include variables to examine the relationship between bank efficiency and the </w:t>
      </w:r>
      <w:r w:rsidRPr="00783103">
        <w:rPr>
          <w:bCs/>
          <w:i/>
          <w:iCs/>
          <w:color w:val="004F88"/>
          <w:sz w:val="22"/>
          <w:szCs w:val="22"/>
        </w:rPr>
        <w:t>COVID-19</w:t>
      </w:r>
      <w:r w:rsidRPr="00783103">
        <w:rPr>
          <w:bCs/>
          <w:color w:val="004F88"/>
          <w:sz w:val="22"/>
          <w:szCs w:val="22"/>
        </w:rPr>
        <w:t xml:space="preserve"> pandemic in 2020. The global health crisis caused significant financial market volatility and heightened uncertainty among market participants. Berger and Demirgüç-Kunt (2021) note that banks were also adversely affected by </w:t>
      </w:r>
      <w:r w:rsidRPr="00783103">
        <w:rPr>
          <w:bCs/>
          <w:i/>
          <w:iCs/>
          <w:color w:val="004F88"/>
          <w:sz w:val="22"/>
          <w:szCs w:val="22"/>
        </w:rPr>
        <w:t>COVID-19</w:t>
      </w:r>
      <w:r w:rsidRPr="00783103">
        <w:rPr>
          <w:bCs/>
          <w:color w:val="004F88"/>
          <w:sz w:val="22"/>
          <w:szCs w:val="22"/>
        </w:rPr>
        <w:t xml:space="preserve">, particularly due to the financial distress faced by their clients. Concerns that disruptions in the real economy would lead to widespread bank failures and a broader financial crisis were well founded. Loan losses from businesses and households unable to meet their debt obligations may have weakened bank capital positions. In response, the Federal Reserve announced in June 2020 that it would restrict dividends and prohibit stock buybacks by major banks as a precautionary measure, with these restrictions being lifted in December 2020. Heitmann et al. (2023) further show that </w:t>
      </w:r>
      <w:r w:rsidRPr="00783103">
        <w:rPr>
          <w:bCs/>
          <w:i/>
          <w:iCs/>
          <w:color w:val="004F88"/>
          <w:sz w:val="22"/>
          <w:szCs w:val="22"/>
        </w:rPr>
        <w:t>COVID-19</w:t>
      </w:r>
      <w:r w:rsidRPr="00783103">
        <w:rPr>
          <w:bCs/>
          <w:color w:val="004F88"/>
          <w:sz w:val="22"/>
          <w:szCs w:val="22"/>
        </w:rPr>
        <w:t xml:space="preserve"> is associated with declining profitability, reduced cost efficiency, and a lower ratio of level 3 assets to securities, based on quarterly data from 87 major U.S. banks over the period 2017–2021. Accordingly, we expect this variable to have a negative effect on bank efficiency.</w:t>
      </w:r>
    </w:p>
    <w:p w14:paraId="65B298AA" w14:textId="77777777" w:rsidR="00783103" w:rsidRPr="00783103" w:rsidRDefault="00783103" w:rsidP="00783103">
      <w:pPr>
        <w:spacing w:line="360" w:lineRule="auto"/>
        <w:jc w:val="both"/>
        <w:rPr>
          <w:b/>
          <w:color w:val="004F88"/>
          <w:sz w:val="22"/>
          <w:szCs w:val="22"/>
        </w:rPr>
      </w:pPr>
    </w:p>
    <w:p w14:paraId="48E0C93E" w14:textId="7DB4DE8D" w:rsidR="001C0B30" w:rsidRPr="00CC70D8" w:rsidRDefault="00743C2A" w:rsidP="00695582">
      <w:pPr>
        <w:spacing w:line="360" w:lineRule="auto"/>
        <w:jc w:val="center"/>
        <w:rPr>
          <w:bCs/>
          <w:sz w:val="22"/>
          <w:szCs w:val="22"/>
        </w:rPr>
      </w:pPr>
      <w:r w:rsidRPr="00CC70D8">
        <w:rPr>
          <w:bCs/>
          <w:sz w:val="22"/>
          <w:szCs w:val="22"/>
        </w:rPr>
        <w:t xml:space="preserve">(Insert Table </w:t>
      </w:r>
      <w:r w:rsidRPr="00CC70D8">
        <w:rPr>
          <w:bCs/>
          <w:color w:val="0070C0"/>
          <w:sz w:val="22"/>
          <w:szCs w:val="22"/>
        </w:rPr>
        <w:t>2</w:t>
      </w:r>
      <w:r w:rsidR="00695582" w:rsidRPr="00CC70D8">
        <w:rPr>
          <w:bCs/>
          <w:color w:val="0070C0"/>
          <w:sz w:val="22"/>
          <w:szCs w:val="22"/>
        </w:rPr>
        <w:t xml:space="preserve"> </w:t>
      </w:r>
      <w:r w:rsidR="00695582" w:rsidRPr="00CC70D8">
        <w:rPr>
          <w:bCs/>
          <w:sz w:val="22"/>
          <w:szCs w:val="22"/>
        </w:rPr>
        <w:t>about here</w:t>
      </w:r>
      <w:r w:rsidRPr="00CC70D8">
        <w:rPr>
          <w:bCs/>
          <w:sz w:val="22"/>
          <w:szCs w:val="22"/>
        </w:rPr>
        <w:t>)</w:t>
      </w:r>
    </w:p>
    <w:p w14:paraId="6F00D3FD" w14:textId="4D16CEF1" w:rsidR="00821E7B" w:rsidRPr="0067691E" w:rsidRDefault="00F2635D" w:rsidP="00821E7B">
      <w:pPr>
        <w:pStyle w:val="Heading3"/>
        <w:rPr>
          <w:bCs w:val="0"/>
          <w:sz w:val="22"/>
          <w:szCs w:val="22"/>
        </w:rPr>
      </w:pPr>
      <w:bookmarkStart w:id="13" w:name="_Toc305616053"/>
      <w:bookmarkStart w:id="14" w:name="_Toc306634430"/>
      <w:bookmarkStart w:id="15" w:name="_Toc320795773"/>
      <w:r w:rsidRPr="0067691E">
        <w:rPr>
          <w:bCs w:val="0"/>
          <w:sz w:val="22"/>
          <w:szCs w:val="22"/>
        </w:rPr>
        <w:t>3.1.4.</w:t>
      </w:r>
      <w:r w:rsidR="00821E7B" w:rsidRPr="0067691E">
        <w:rPr>
          <w:bCs w:val="0"/>
          <w:sz w:val="22"/>
          <w:szCs w:val="22"/>
        </w:rPr>
        <w:t xml:space="preserve"> Input and </w:t>
      </w:r>
      <w:r w:rsidR="00FB41ED" w:rsidRPr="0067691E">
        <w:rPr>
          <w:bCs w:val="0"/>
          <w:sz w:val="22"/>
          <w:szCs w:val="22"/>
        </w:rPr>
        <w:t>O</w:t>
      </w:r>
      <w:r w:rsidR="00821E7B" w:rsidRPr="0067691E">
        <w:rPr>
          <w:bCs w:val="0"/>
          <w:sz w:val="22"/>
          <w:szCs w:val="22"/>
        </w:rPr>
        <w:t xml:space="preserve">utput </w:t>
      </w:r>
      <w:r w:rsidR="00FB41ED" w:rsidRPr="0067691E">
        <w:rPr>
          <w:bCs w:val="0"/>
          <w:sz w:val="22"/>
          <w:szCs w:val="22"/>
        </w:rPr>
        <w:t>S</w:t>
      </w:r>
      <w:r w:rsidR="00821E7B" w:rsidRPr="0067691E">
        <w:rPr>
          <w:bCs w:val="0"/>
          <w:sz w:val="22"/>
          <w:szCs w:val="22"/>
        </w:rPr>
        <w:t>pecification</w:t>
      </w:r>
      <w:bookmarkEnd w:id="13"/>
      <w:bookmarkEnd w:id="14"/>
      <w:bookmarkEnd w:id="15"/>
    </w:p>
    <w:p w14:paraId="58E3243D" w14:textId="6A596475" w:rsidR="00821E7B" w:rsidRPr="00CE1CE2" w:rsidRDefault="00821E7B" w:rsidP="006D498D">
      <w:pPr>
        <w:spacing w:line="360" w:lineRule="auto"/>
        <w:jc w:val="both"/>
        <w:rPr>
          <w:sz w:val="22"/>
          <w:szCs w:val="22"/>
        </w:rPr>
      </w:pPr>
      <w:r w:rsidRPr="00CE1CE2">
        <w:rPr>
          <w:sz w:val="22"/>
          <w:szCs w:val="22"/>
        </w:rPr>
        <w:t>There are two main approaches to the input and output specification of financial institutions, that is, the production approach and the intermediation approach (</w:t>
      </w:r>
      <w:r w:rsidR="006C3122" w:rsidRPr="00CE1CE2">
        <w:rPr>
          <w:sz w:val="22"/>
          <w:szCs w:val="22"/>
        </w:rPr>
        <w:t xml:space="preserve">Sealey and Lindley </w:t>
      </w:r>
      <w:r w:rsidR="006C3122" w:rsidRPr="000940A7">
        <w:rPr>
          <w:color w:val="0070C0"/>
          <w:sz w:val="22"/>
          <w:szCs w:val="22"/>
        </w:rPr>
        <w:t>1977</w:t>
      </w:r>
      <w:r w:rsidRPr="00CE1CE2">
        <w:rPr>
          <w:sz w:val="22"/>
          <w:szCs w:val="22"/>
        </w:rPr>
        <w:t xml:space="preserve">). </w:t>
      </w:r>
      <w:r w:rsidR="009209D8" w:rsidRPr="00CE1CE2">
        <w:rPr>
          <w:sz w:val="22"/>
          <w:szCs w:val="22"/>
        </w:rPr>
        <w:t xml:space="preserve">According to the production theory, banks handle deposits and loans to create accounts of varying sizes, incurring labor and capital costs in the process. Operating expenses are used to measure inputs, and the number of deposit and loan accounts is used to assess output. </w:t>
      </w:r>
      <w:r w:rsidR="00557760" w:rsidRPr="00557760">
        <w:rPr>
          <w:sz w:val="22"/>
          <w:szCs w:val="22"/>
        </w:rPr>
        <w:t>The intermediation approach views banks as entities that convert deposits and borrowed funds into loans and other assets. Inputs are represented by total operating costs, interest expenses, and deposits, while output is in monetary terms.</w:t>
      </w:r>
    </w:p>
    <w:p w14:paraId="3124A68D" w14:textId="77777777" w:rsidR="006D498D" w:rsidRDefault="006D498D" w:rsidP="006D498D">
      <w:pPr>
        <w:spacing w:line="360" w:lineRule="auto"/>
        <w:jc w:val="both"/>
        <w:rPr>
          <w:sz w:val="22"/>
          <w:szCs w:val="22"/>
        </w:rPr>
      </w:pPr>
    </w:p>
    <w:p w14:paraId="322525BE" w14:textId="17C66530" w:rsidR="007A0022" w:rsidRDefault="00821E7B" w:rsidP="006D498D">
      <w:pPr>
        <w:spacing w:line="360" w:lineRule="auto"/>
        <w:jc w:val="both"/>
        <w:rPr>
          <w:sz w:val="22"/>
          <w:szCs w:val="22"/>
        </w:rPr>
      </w:pPr>
      <w:r w:rsidRPr="00CE1CE2">
        <w:rPr>
          <w:sz w:val="22"/>
          <w:szCs w:val="22"/>
        </w:rPr>
        <w:t xml:space="preserve">These two approaches have been applied in different ways depending on the availability of data and the purpose of the study. </w:t>
      </w:r>
      <w:r w:rsidR="005A22F2" w:rsidRPr="00CE1CE2">
        <w:rPr>
          <w:sz w:val="22"/>
          <w:szCs w:val="22"/>
        </w:rPr>
        <w:t>We follow the intermediation approach classified by Berger and Mester (</w:t>
      </w:r>
      <w:r w:rsidR="005A22F2" w:rsidRPr="000940A7">
        <w:rPr>
          <w:color w:val="0070C0"/>
          <w:sz w:val="22"/>
          <w:szCs w:val="22"/>
        </w:rPr>
        <w:t>1997</w:t>
      </w:r>
      <w:r w:rsidR="005A22F2" w:rsidRPr="00CE1CE2">
        <w:rPr>
          <w:sz w:val="22"/>
          <w:szCs w:val="22"/>
        </w:rPr>
        <w:t>) as the</w:t>
      </w:r>
      <w:r w:rsidR="007229C4" w:rsidRPr="00CE1CE2">
        <w:rPr>
          <w:sz w:val="22"/>
          <w:szCs w:val="22"/>
        </w:rPr>
        <w:t xml:space="preserve"> U.S. banking</w:t>
      </w:r>
      <w:r w:rsidR="005A22F2" w:rsidRPr="00CE1CE2">
        <w:rPr>
          <w:sz w:val="22"/>
          <w:szCs w:val="22"/>
        </w:rPr>
        <w:t xml:space="preserve"> system behaves as the transformer of deposits and purchased funds into customer loans and other loans. </w:t>
      </w:r>
      <w:r w:rsidRPr="00CE1CE2">
        <w:rPr>
          <w:sz w:val="22"/>
          <w:szCs w:val="22"/>
        </w:rPr>
        <w:t xml:space="preserve">This choice is also due to the availability of data. All the data are indices of aggregated state </w:t>
      </w:r>
      <m:oMath>
        <m:r>
          <w:rPr>
            <w:rFonts w:ascii="Cambria Math" w:hAnsi="Cambria Math"/>
            <w:sz w:val="22"/>
            <w:szCs w:val="22"/>
          </w:rPr>
          <m:t xml:space="preserve">i </m:t>
        </m:r>
      </m:oMath>
      <w:r w:rsidRPr="00CE1CE2">
        <w:rPr>
          <w:sz w:val="22"/>
          <w:szCs w:val="22"/>
        </w:rPr>
        <w:t xml:space="preserve">in year </w:t>
      </w:r>
      <m:oMath>
        <m:r>
          <w:rPr>
            <w:rFonts w:ascii="Cambria Math" w:hAnsi="Cambria Math"/>
            <w:sz w:val="22"/>
            <w:szCs w:val="22"/>
          </w:rPr>
          <m:t>t</m:t>
        </m:r>
      </m:oMath>
      <w:r w:rsidRPr="00CE1CE2">
        <w:rPr>
          <w:sz w:val="22"/>
          <w:szCs w:val="22"/>
        </w:rPr>
        <w:t xml:space="preserve">. </w:t>
      </w:r>
      <w:bookmarkStart w:id="16" w:name="_Hlk212038761"/>
      <w:r w:rsidRPr="00CE1CE2">
        <w:rPr>
          <w:sz w:val="22"/>
          <w:szCs w:val="22"/>
        </w:rPr>
        <w:t>Inputs are (i) staff, measured by the number of employees; (ii) customer deposits, which are described as total deposits from individuals, partnerships</w:t>
      </w:r>
      <w:r w:rsidR="00CD437D" w:rsidRPr="00CE1CE2">
        <w:rPr>
          <w:sz w:val="22"/>
          <w:szCs w:val="22"/>
        </w:rPr>
        <w:t>,</w:t>
      </w:r>
      <w:r w:rsidRPr="00CE1CE2">
        <w:rPr>
          <w:sz w:val="22"/>
          <w:szCs w:val="22"/>
        </w:rPr>
        <w:t xml:space="preserve"> and corporations</w:t>
      </w:r>
      <w:r w:rsidR="00CD437D" w:rsidRPr="00CE1CE2">
        <w:rPr>
          <w:sz w:val="22"/>
          <w:szCs w:val="22"/>
        </w:rPr>
        <w:t>; and (iii) purchased funds are deposits from the U.S. government, states</w:t>
      </w:r>
      <w:r w:rsidR="00AB7557">
        <w:rPr>
          <w:sz w:val="22"/>
          <w:szCs w:val="22"/>
        </w:rPr>
        <w:t>,</w:t>
      </w:r>
      <w:r w:rsidR="00CD437D" w:rsidRPr="00CE1CE2">
        <w:rPr>
          <w:sz w:val="22"/>
          <w:szCs w:val="22"/>
        </w:rPr>
        <w:t xml:space="preserve"> and political subdivisions, and other deposits</w:t>
      </w:r>
      <w:r w:rsidRPr="00CE1CE2">
        <w:rPr>
          <w:sz w:val="22"/>
          <w:szCs w:val="22"/>
        </w:rPr>
        <w:t xml:space="preserve">. Outputs include: (i) real estate loans: all loans from </w:t>
      </w:r>
      <w:r w:rsidR="00AB7557">
        <w:rPr>
          <w:sz w:val="22"/>
          <w:szCs w:val="22"/>
        </w:rPr>
        <w:t xml:space="preserve">the </w:t>
      </w:r>
      <w:r w:rsidRPr="00CE1CE2">
        <w:rPr>
          <w:sz w:val="22"/>
          <w:szCs w:val="22"/>
        </w:rPr>
        <w:t xml:space="preserve">real estate market; (ii) other loans, which are </w:t>
      </w:r>
      <w:r w:rsidR="00CD437D" w:rsidRPr="00CE1CE2">
        <w:rPr>
          <w:sz w:val="22"/>
          <w:szCs w:val="22"/>
        </w:rPr>
        <w:t>agricultural, commercial, individual, state</w:t>
      </w:r>
      <w:r w:rsidR="00AB7557">
        <w:rPr>
          <w:sz w:val="22"/>
          <w:szCs w:val="22"/>
        </w:rPr>
        <w:t>,</w:t>
      </w:r>
      <w:r w:rsidR="00CD437D" w:rsidRPr="00CE1CE2">
        <w:rPr>
          <w:sz w:val="22"/>
          <w:szCs w:val="22"/>
        </w:rPr>
        <w:t xml:space="preserve"> and other loans</w:t>
      </w:r>
      <w:r w:rsidRPr="00CE1CE2">
        <w:rPr>
          <w:sz w:val="22"/>
          <w:szCs w:val="22"/>
        </w:rPr>
        <w:t>; and (iii) securities</w:t>
      </w:r>
      <w:bookmarkEnd w:id="16"/>
      <w:r w:rsidRPr="00CE1CE2">
        <w:rPr>
          <w:sz w:val="22"/>
          <w:szCs w:val="22"/>
        </w:rPr>
        <w:t xml:space="preserve"> </w:t>
      </w:r>
      <w:bookmarkStart w:id="17" w:name="_Hlk212038884"/>
      <w:r w:rsidRPr="00CE1CE2">
        <w:rPr>
          <w:sz w:val="22"/>
          <w:szCs w:val="22"/>
        </w:rPr>
        <w:t xml:space="preserve">(Berger and Mester, </w:t>
      </w:r>
      <w:r w:rsidRPr="00822666">
        <w:rPr>
          <w:color w:val="0070C0"/>
          <w:sz w:val="22"/>
          <w:szCs w:val="22"/>
        </w:rPr>
        <w:t>1997</w:t>
      </w:r>
      <w:r w:rsidRPr="00CE1CE2">
        <w:rPr>
          <w:sz w:val="22"/>
          <w:szCs w:val="22"/>
        </w:rPr>
        <w:t>)</w:t>
      </w:r>
      <w:bookmarkEnd w:id="17"/>
      <w:r w:rsidRPr="00CE1CE2">
        <w:rPr>
          <w:sz w:val="22"/>
          <w:szCs w:val="22"/>
        </w:rPr>
        <w:t xml:space="preserve">. Table </w:t>
      </w:r>
      <w:r w:rsidR="002E12D9" w:rsidRPr="00EB3323">
        <w:rPr>
          <w:color w:val="0070C0"/>
          <w:sz w:val="22"/>
          <w:szCs w:val="22"/>
        </w:rPr>
        <w:t>3</w:t>
      </w:r>
      <w:r w:rsidRPr="00CE1CE2">
        <w:rPr>
          <w:sz w:val="22"/>
          <w:szCs w:val="22"/>
        </w:rPr>
        <w:t xml:space="preserve"> reports the characteristics of </w:t>
      </w:r>
      <w:r w:rsidR="00CD437D" w:rsidRPr="00CE1CE2">
        <w:rPr>
          <w:sz w:val="22"/>
          <w:szCs w:val="22"/>
        </w:rPr>
        <w:t xml:space="preserve">selected </w:t>
      </w:r>
      <w:r w:rsidRPr="00CE1CE2">
        <w:rPr>
          <w:sz w:val="22"/>
          <w:szCs w:val="22"/>
        </w:rPr>
        <w:t>inputs and outputs</w:t>
      </w:r>
      <w:r w:rsidR="00CD437D" w:rsidRPr="00CE1CE2">
        <w:rPr>
          <w:sz w:val="22"/>
          <w:szCs w:val="22"/>
        </w:rPr>
        <w:t xml:space="preserve"> (</w:t>
      </w:r>
      <w:r w:rsidRPr="00CE1CE2">
        <w:rPr>
          <w:sz w:val="22"/>
          <w:szCs w:val="22"/>
        </w:rPr>
        <w:t xml:space="preserve">mean, </w:t>
      </w:r>
      <w:r w:rsidR="00CD437D" w:rsidRPr="00CE1CE2">
        <w:rPr>
          <w:sz w:val="22"/>
          <w:szCs w:val="22"/>
        </w:rPr>
        <w:t xml:space="preserve">median, </w:t>
      </w:r>
      <w:r w:rsidRPr="00CE1CE2">
        <w:rPr>
          <w:sz w:val="22"/>
          <w:szCs w:val="22"/>
        </w:rPr>
        <w:t>standard deviation, minimum valu</w:t>
      </w:r>
      <w:r w:rsidR="00CD437D" w:rsidRPr="00CE1CE2">
        <w:rPr>
          <w:sz w:val="22"/>
          <w:szCs w:val="22"/>
        </w:rPr>
        <w:t xml:space="preserve">e, </w:t>
      </w:r>
      <w:r w:rsidRPr="00CE1CE2">
        <w:rPr>
          <w:sz w:val="22"/>
          <w:szCs w:val="22"/>
        </w:rPr>
        <w:t>maximum value</w:t>
      </w:r>
      <w:r w:rsidR="00B12651" w:rsidRPr="00CE1CE2">
        <w:rPr>
          <w:sz w:val="22"/>
          <w:szCs w:val="22"/>
        </w:rPr>
        <w:t>,</w:t>
      </w:r>
      <w:r w:rsidR="00CD437D" w:rsidRPr="00CE1CE2">
        <w:rPr>
          <w:sz w:val="22"/>
          <w:szCs w:val="22"/>
        </w:rPr>
        <w:t xml:space="preserve"> and the number of observations)</w:t>
      </w:r>
      <w:r w:rsidR="000940A7">
        <w:rPr>
          <w:sz w:val="22"/>
          <w:szCs w:val="22"/>
        </w:rPr>
        <w:t>.</w:t>
      </w:r>
    </w:p>
    <w:p w14:paraId="4539264D" w14:textId="3C7F376F" w:rsidR="000940A7" w:rsidRDefault="000940A7" w:rsidP="000940A7">
      <w:pPr>
        <w:spacing w:line="360" w:lineRule="auto"/>
        <w:jc w:val="both"/>
        <w:rPr>
          <w:sz w:val="22"/>
          <w:szCs w:val="22"/>
        </w:rPr>
      </w:pPr>
    </w:p>
    <w:p w14:paraId="1CA171E6" w14:textId="5E5BAAD0" w:rsidR="000940A7" w:rsidRPr="00CC70D8" w:rsidRDefault="000940A7" w:rsidP="00695582">
      <w:pPr>
        <w:spacing w:line="360" w:lineRule="auto"/>
        <w:jc w:val="center"/>
        <w:rPr>
          <w:sz w:val="22"/>
          <w:szCs w:val="22"/>
        </w:rPr>
      </w:pPr>
      <w:r w:rsidRPr="00CC70D8">
        <w:rPr>
          <w:sz w:val="22"/>
          <w:szCs w:val="22"/>
        </w:rPr>
        <w:t xml:space="preserve">(Insert Table </w:t>
      </w:r>
      <w:r w:rsidRPr="00CC70D8">
        <w:rPr>
          <w:color w:val="0070C0"/>
          <w:sz w:val="22"/>
          <w:szCs w:val="22"/>
        </w:rPr>
        <w:t>3</w:t>
      </w:r>
      <w:r w:rsidR="00695582" w:rsidRPr="00CC70D8">
        <w:rPr>
          <w:color w:val="0070C0"/>
          <w:sz w:val="22"/>
          <w:szCs w:val="22"/>
        </w:rPr>
        <w:t xml:space="preserve"> </w:t>
      </w:r>
      <w:r w:rsidR="00695582" w:rsidRPr="00CC70D8">
        <w:rPr>
          <w:sz w:val="22"/>
          <w:szCs w:val="22"/>
        </w:rPr>
        <w:t>about here</w:t>
      </w:r>
      <w:r w:rsidRPr="00CC70D8">
        <w:rPr>
          <w:sz w:val="22"/>
          <w:szCs w:val="22"/>
        </w:rPr>
        <w:t>)</w:t>
      </w:r>
    </w:p>
    <w:p w14:paraId="3A3EDEC8" w14:textId="7AF0CA14" w:rsidR="00821E7B" w:rsidRPr="0067691E" w:rsidRDefault="00821E7B" w:rsidP="005A2333">
      <w:pPr>
        <w:pStyle w:val="Heading2"/>
        <w:rPr>
          <w:sz w:val="22"/>
          <w:szCs w:val="22"/>
        </w:rPr>
      </w:pPr>
      <w:r w:rsidRPr="0067691E">
        <w:rPr>
          <w:sz w:val="22"/>
          <w:szCs w:val="22"/>
        </w:rPr>
        <w:t>3.</w:t>
      </w:r>
      <w:r w:rsidR="0002747E" w:rsidRPr="0067691E">
        <w:rPr>
          <w:sz w:val="22"/>
          <w:szCs w:val="22"/>
        </w:rPr>
        <w:t>2</w:t>
      </w:r>
      <w:r w:rsidR="00F2635D" w:rsidRPr="0067691E">
        <w:rPr>
          <w:sz w:val="22"/>
          <w:szCs w:val="22"/>
        </w:rPr>
        <w:t>.</w:t>
      </w:r>
      <w:r w:rsidR="0002747E" w:rsidRPr="0067691E">
        <w:rPr>
          <w:sz w:val="22"/>
          <w:szCs w:val="22"/>
        </w:rPr>
        <w:t xml:space="preserve"> </w:t>
      </w:r>
      <w:r w:rsidR="00C364B4" w:rsidRPr="0067691E">
        <w:rPr>
          <w:sz w:val="22"/>
          <w:szCs w:val="22"/>
        </w:rPr>
        <w:t>Measuring Bank Efficiency:</w:t>
      </w:r>
      <w:r w:rsidR="008C0785" w:rsidRPr="0067691E">
        <w:rPr>
          <w:sz w:val="22"/>
          <w:szCs w:val="22"/>
        </w:rPr>
        <w:t xml:space="preserve">  Two-stage</w:t>
      </w:r>
      <w:r w:rsidR="00C364B4" w:rsidRPr="0067691E">
        <w:rPr>
          <w:sz w:val="22"/>
          <w:szCs w:val="22"/>
        </w:rPr>
        <w:t xml:space="preserve"> </w:t>
      </w:r>
      <w:r w:rsidRPr="0067691E">
        <w:rPr>
          <w:sz w:val="22"/>
          <w:szCs w:val="22"/>
        </w:rPr>
        <w:t xml:space="preserve">Bootstrap </w:t>
      </w:r>
      <w:r w:rsidR="00FB41ED" w:rsidRPr="0067691E">
        <w:rPr>
          <w:sz w:val="22"/>
          <w:szCs w:val="22"/>
        </w:rPr>
        <w:t>P</w:t>
      </w:r>
      <w:r w:rsidRPr="0067691E">
        <w:rPr>
          <w:sz w:val="22"/>
          <w:szCs w:val="22"/>
        </w:rPr>
        <w:t>rocedure</w:t>
      </w:r>
    </w:p>
    <w:p w14:paraId="1CDD0925" w14:textId="66163DF8" w:rsidR="00821E7B" w:rsidRPr="00CE1CE2" w:rsidRDefault="00256B35" w:rsidP="006D498D">
      <w:pPr>
        <w:spacing w:line="360" w:lineRule="auto"/>
        <w:jc w:val="both"/>
        <w:rPr>
          <w:sz w:val="22"/>
          <w:szCs w:val="22"/>
        </w:rPr>
      </w:pPr>
      <w:r w:rsidRPr="00CE1CE2">
        <w:rPr>
          <w:sz w:val="22"/>
          <w:szCs w:val="22"/>
        </w:rPr>
        <w:t>Bootstrap two-stage procedure (</w:t>
      </w:r>
      <w:r w:rsidR="00B666D4">
        <w:rPr>
          <w:sz w:val="22"/>
          <w:szCs w:val="22"/>
        </w:rPr>
        <w:t xml:space="preserve">Simar and Wilson </w:t>
      </w:r>
      <w:r w:rsidR="00B666D4" w:rsidRPr="000940A7">
        <w:rPr>
          <w:color w:val="0070C0"/>
          <w:sz w:val="22"/>
          <w:szCs w:val="22"/>
        </w:rPr>
        <w:t>1998</w:t>
      </w:r>
      <w:r w:rsidR="00B666D4">
        <w:rPr>
          <w:sz w:val="22"/>
          <w:szCs w:val="22"/>
        </w:rPr>
        <w:t xml:space="preserve">; </w:t>
      </w:r>
      <w:r w:rsidRPr="00CE1CE2">
        <w:rPr>
          <w:sz w:val="22"/>
          <w:szCs w:val="22"/>
        </w:rPr>
        <w:t xml:space="preserve">Simar and Wilson </w:t>
      </w:r>
      <w:r w:rsidRPr="000940A7">
        <w:rPr>
          <w:color w:val="0070C0"/>
          <w:sz w:val="22"/>
          <w:szCs w:val="22"/>
        </w:rPr>
        <w:t>2007</w:t>
      </w:r>
      <w:r w:rsidRPr="00CE1CE2">
        <w:rPr>
          <w:sz w:val="22"/>
          <w:szCs w:val="22"/>
        </w:rPr>
        <w:t xml:space="preserve">) has been widely </w:t>
      </w:r>
      <w:r w:rsidR="00354FC6" w:rsidRPr="00CE1CE2">
        <w:rPr>
          <w:sz w:val="22"/>
          <w:szCs w:val="22"/>
        </w:rPr>
        <w:t xml:space="preserve">used </w:t>
      </w:r>
      <w:r w:rsidRPr="00CE1CE2">
        <w:rPr>
          <w:sz w:val="22"/>
          <w:szCs w:val="22"/>
        </w:rPr>
        <w:t>to estimate bank efficiency (</w:t>
      </w:r>
      <w:r w:rsidR="00FA1251" w:rsidRPr="00CE1CE2">
        <w:rPr>
          <w:sz w:val="22"/>
          <w:szCs w:val="22"/>
        </w:rPr>
        <w:t xml:space="preserve">Du </w:t>
      </w:r>
      <w:r w:rsidR="00FA1251" w:rsidRPr="003C40CB">
        <w:rPr>
          <w:sz w:val="22"/>
          <w:szCs w:val="22"/>
        </w:rPr>
        <w:t>et al.</w:t>
      </w:r>
      <w:r w:rsidR="00FA1251" w:rsidRPr="00CE1CE2">
        <w:rPr>
          <w:sz w:val="22"/>
          <w:szCs w:val="22"/>
        </w:rPr>
        <w:t xml:space="preserve"> </w:t>
      </w:r>
      <w:r w:rsidR="00FA1251" w:rsidRPr="000940A7">
        <w:rPr>
          <w:color w:val="0070C0"/>
          <w:sz w:val="22"/>
          <w:szCs w:val="22"/>
        </w:rPr>
        <w:t>2018</w:t>
      </w:r>
      <w:r w:rsidR="00FA1251">
        <w:rPr>
          <w:color w:val="0070C0"/>
          <w:sz w:val="22"/>
          <w:szCs w:val="22"/>
        </w:rPr>
        <w:t xml:space="preserve">; </w:t>
      </w:r>
      <w:r w:rsidRPr="003C40CB">
        <w:rPr>
          <w:sz w:val="22"/>
          <w:szCs w:val="22"/>
        </w:rPr>
        <w:t xml:space="preserve">Wanke </w:t>
      </w:r>
      <w:r w:rsidR="00EB3323" w:rsidRPr="003C40CB">
        <w:rPr>
          <w:sz w:val="22"/>
          <w:szCs w:val="22"/>
        </w:rPr>
        <w:t>et al.</w:t>
      </w:r>
      <w:r w:rsidR="00484BCF">
        <w:rPr>
          <w:sz w:val="22"/>
          <w:szCs w:val="22"/>
        </w:rPr>
        <w:t xml:space="preserve"> </w:t>
      </w:r>
      <w:r w:rsidRPr="000940A7">
        <w:rPr>
          <w:color w:val="0070C0"/>
          <w:sz w:val="22"/>
          <w:szCs w:val="22"/>
        </w:rPr>
        <w:t>2016</w:t>
      </w:r>
      <w:r w:rsidRPr="00CE1CE2">
        <w:rPr>
          <w:sz w:val="22"/>
          <w:szCs w:val="22"/>
        </w:rPr>
        <w:t xml:space="preserve">). </w:t>
      </w:r>
      <w:r w:rsidR="008C1DE4" w:rsidRPr="008C1DE4">
        <w:rPr>
          <w:sz w:val="22"/>
          <w:szCs w:val="22"/>
        </w:rPr>
        <w:t xml:space="preserve">Consider the </w:t>
      </w:r>
      <w:r w:rsidR="008C1DE4" w:rsidRPr="008C1DE4">
        <w:rPr>
          <w:i/>
          <w:iCs/>
          <w:sz w:val="22"/>
          <w:szCs w:val="22"/>
        </w:rPr>
        <w:t>i</w:t>
      </w:r>
      <w:r w:rsidR="008C1DE4" w:rsidRPr="008C1DE4">
        <w:rPr>
          <w:sz w:val="22"/>
          <w:szCs w:val="22"/>
        </w:rPr>
        <w:t xml:space="preserve">th </w:t>
      </w:r>
      <w:r w:rsidR="008C1DE4">
        <w:rPr>
          <w:sz w:val="22"/>
          <w:szCs w:val="22"/>
        </w:rPr>
        <w:t>state</w:t>
      </w:r>
      <w:r w:rsidR="008C1DE4" w:rsidRPr="008C1DE4">
        <w:rPr>
          <w:sz w:val="22"/>
          <w:szCs w:val="22"/>
        </w:rPr>
        <w:t xml:space="preserve"> with outputs and inputs </w:t>
      </w:r>
      <w:r w:rsidR="008C1DE4" w:rsidRPr="008C1DE4">
        <w:rPr>
          <w:i/>
          <w:iCs/>
        </w:rPr>
        <w:t>y</w:t>
      </w:r>
      <w:r w:rsidR="008C1DE4" w:rsidRPr="008C1DE4">
        <w:rPr>
          <w:i/>
          <w:iCs/>
          <w:vertAlign w:val="subscript"/>
        </w:rPr>
        <w:t>i</w:t>
      </w:r>
      <w:r w:rsidR="008C1DE4" w:rsidRPr="008C1DE4">
        <w:rPr>
          <w:i/>
          <w:iCs/>
        </w:rPr>
        <w:t>, x</w:t>
      </w:r>
      <w:r w:rsidR="008C1DE4" w:rsidRPr="008C1DE4">
        <w:rPr>
          <w:i/>
          <w:iCs/>
          <w:vertAlign w:val="subscript"/>
        </w:rPr>
        <w:t>i</w:t>
      </w:r>
      <w:r w:rsidR="008C1DE4" w:rsidRPr="008C1DE4">
        <w:rPr>
          <w:sz w:val="22"/>
          <w:szCs w:val="22"/>
        </w:rPr>
        <w:t xml:space="preserve"> (that are all positive) the output-oriented DEA efficiency score </w:t>
      </w:r>
      <m:oMath>
        <m:sSub>
          <m:sSubPr>
            <m:ctrlPr>
              <w:rPr>
                <w:rFonts w:ascii="Cambria Math" w:hAnsi="Cambria Math"/>
                <w:sz w:val="22"/>
                <w:szCs w:val="22"/>
              </w:rPr>
            </m:ctrlPr>
          </m:sSubPr>
          <m:e>
            <m:acc>
              <m:accPr>
                <m:ctrlPr>
                  <w:rPr>
                    <w:rFonts w:ascii="Cambria Math" w:hAnsi="Cambria Math"/>
                    <w:sz w:val="22"/>
                    <w:szCs w:val="22"/>
                  </w:rPr>
                </m:ctrlPr>
              </m:accPr>
              <m:e>
                <m:r>
                  <w:rPr>
                    <w:rFonts w:ascii="Cambria Math" w:hAnsi="Cambria Math"/>
                    <w:sz w:val="22"/>
                    <w:szCs w:val="22"/>
                  </w:rPr>
                  <m:t>δ</m:t>
                </m:r>
              </m:e>
            </m:acc>
          </m:e>
          <m:sub>
            <m:r>
              <w:rPr>
                <w:rFonts w:ascii="Cambria Math" w:hAnsi="Cambria Math"/>
                <w:sz w:val="22"/>
                <w:szCs w:val="22"/>
              </w:rPr>
              <m:t>i</m:t>
            </m:r>
          </m:sub>
        </m:sSub>
        <m:r>
          <m:rPr>
            <m:sty m:val="p"/>
          </m:rPr>
          <w:rPr>
            <w:rFonts w:ascii="Cambria Math" w:hAnsi="Cambria Math"/>
            <w:sz w:val="22"/>
            <w:szCs w:val="22"/>
          </w:rPr>
          <m:t xml:space="preserve"> </m:t>
        </m:r>
      </m:oMath>
      <w:r w:rsidR="008C1DE4" w:rsidRPr="008C1DE4">
        <w:rPr>
          <w:sz w:val="22"/>
          <w:szCs w:val="22"/>
        </w:rPr>
        <w:t>is determined by the solution of the problem below</w:t>
      </w:r>
      <w:r w:rsidR="00821E7B" w:rsidRPr="00CE1CE2">
        <w:rPr>
          <w:sz w:val="22"/>
          <w:szCs w:val="22"/>
        </w:rPr>
        <w:t xml:space="preserve"> (</w:t>
      </w:r>
      <w:r w:rsidR="00FA1251" w:rsidRPr="00CE1CE2">
        <w:rPr>
          <w:sz w:val="22"/>
          <w:szCs w:val="22"/>
        </w:rPr>
        <w:t xml:space="preserve">Banker </w:t>
      </w:r>
      <w:r w:rsidR="00FA1251" w:rsidRPr="003C40CB">
        <w:rPr>
          <w:sz w:val="22"/>
          <w:szCs w:val="22"/>
        </w:rPr>
        <w:t>et al.</w:t>
      </w:r>
      <w:r w:rsidR="00FA1251" w:rsidRPr="00CE1CE2">
        <w:rPr>
          <w:sz w:val="22"/>
          <w:szCs w:val="22"/>
        </w:rPr>
        <w:t xml:space="preserve"> </w:t>
      </w:r>
      <w:r w:rsidR="00FA1251" w:rsidRPr="000940A7">
        <w:rPr>
          <w:color w:val="0070C0"/>
          <w:sz w:val="22"/>
          <w:szCs w:val="22"/>
        </w:rPr>
        <w:t>1984</w:t>
      </w:r>
      <w:r w:rsidR="00FA1251">
        <w:rPr>
          <w:color w:val="0070C0"/>
          <w:sz w:val="22"/>
          <w:szCs w:val="22"/>
        </w:rPr>
        <w:t xml:space="preserve">; </w:t>
      </w:r>
      <w:r w:rsidR="00821E7B" w:rsidRPr="00CE1CE2">
        <w:rPr>
          <w:sz w:val="22"/>
          <w:szCs w:val="22"/>
        </w:rPr>
        <w:t xml:space="preserve">Charnes </w:t>
      </w:r>
      <w:r w:rsidR="00EB3323" w:rsidRPr="003C40CB">
        <w:rPr>
          <w:sz w:val="22"/>
          <w:szCs w:val="22"/>
        </w:rPr>
        <w:t>et al.</w:t>
      </w:r>
      <w:r w:rsidR="00821E7B" w:rsidRPr="00CE1CE2">
        <w:rPr>
          <w:sz w:val="22"/>
          <w:szCs w:val="22"/>
        </w:rPr>
        <w:t xml:space="preserve"> </w:t>
      </w:r>
      <w:r w:rsidR="00821E7B" w:rsidRPr="000940A7">
        <w:rPr>
          <w:color w:val="0070C0"/>
          <w:sz w:val="22"/>
          <w:szCs w:val="22"/>
        </w:rPr>
        <w:t>1978</w:t>
      </w:r>
      <w:r w:rsidR="00821E7B" w:rsidRPr="00CE1CE2">
        <w:rPr>
          <w:sz w:val="22"/>
          <w:szCs w:val="22"/>
        </w:rPr>
        <w:t>).</w:t>
      </w:r>
    </w:p>
    <w:p w14:paraId="61EB8158" w14:textId="77777777" w:rsidR="00866C11" w:rsidRDefault="00866C11" w:rsidP="00256B35">
      <w:pPr>
        <w:spacing w:line="360" w:lineRule="auto"/>
        <w:jc w:val="both"/>
        <w:rPr>
          <w:sz w:val="22"/>
          <w:szCs w:val="22"/>
        </w:rPr>
      </w:pPr>
    </w:p>
    <w:p w14:paraId="063AACC2" w14:textId="0E77578F" w:rsidR="008C1DE4" w:rsidRPr="00B83FB8" w:rsidRDefault="00000000" w:rsidP="008C1DE4">
      <w:pPr>
        <w:pStyle w:val="Newparagraph"/>
        <w:ind w:firstLine="0"/>
      </w:pPr>
      <m:oMath>
        <m:sSub>
          <m:sSubPr>
            <m:ctrlPr>
              <w:rPr>
                <w:rFonts w:ascii="Cambria Math" w:hAnsi="Cambria Math"/>
                <w:i/>
              </w:rPr>
            </m:ctrlPr>
          </m:sSubPr>
          <m:e>
            <m:acc>
              <m:accPr>
                <m:ctrlPr>
                  <w:rPr>
                    <w:rFonts w:ascii="Cambria Math" w:hAnsi="Cambria Math"/>
                    <w:i/>
                  </w:rPr>
                </m:ctrlPr>
              </m:accPr>
              <m:e>
                <m:r>
                  <w:rPr>
                    <w:rFonts w:ascii="Cambria Math" w:hAnsi="Cambria Math"/>
                  </w:rPr>
                  <m:t>δ</m:t>
                </m:r>
              </m:e>
            </m:acc>
          </m:e>
          <m:sub>
            <m:r>
              <w:rPr>
                <w:rFonts w:ascii="Cambria Math" w:hAnsi="Cambria Math"/>
              </w:rPr>
              <m:t>i</m:t>
            </m:r>
          </m:sub>
        </m:sSub>
        <m:r>
          <w:rPr>
            <w:rFonts w:ascii="Cambria Math" w:hAnsi="Cambria Math"/>
          </w:rPr>
          <m:t>=max</m:t>
        </m:r>
        <m:d>
          <m:dPr>
            <m:begChr m:val="{"/>
            <m:endChr m:val="}"/>
            <m:ctrlPr>
              <w:rPr>
                <w:rFonts w:ascii="Cambria Math" w:hAnsi="Cambria Math"/>
                <w:i/>
              </w:rPr>
            </m:ctrlPr>
          </m:dPr>
          <m:e>
            <m:r>
              <w:rPr>
                <w:rFonts w:ascii="Cambria Math" w:hAnsi="Cambria Math"/>
              </w:rPr>
              <m:t>δ&gt;0|</m:t>
            </m:r>
            <m:sSub>
              <m:sSubPr>
                <m:ctrlPr>
                  <w:rPr>
                    <w:rFonts w:ascii="Cambria Math" w:hAnsi="Cambria Math"/>
                    <w:i/>
                  </w:rPr>
                </m:ctrlPr>
              </m:sSubPr>
              <m:e>
                <m:r>
                  <w:rPr>
                    <w:rFonts w:ascii="Cambria Math" w:hAnsi="Cambria Math"/>
                  </w:rPr>
                  <m:t>δ</m:t>
                </m:r>
              </m:e>
              <m:sub>
                <m:sSub>
                  <m:sSubPr>
                    <m:ctrlPr>
                      <w:rPr>
                        <w:rFonts w:ascii="Cambria Math" w:hAnsi="Cambria Math"/>
                        <w:i/>
                      </w:rPr>
                    </m:ctrlPr>
                  </m:sSubPr>
                  <m:e>
                    <m:r>
                      <w:rPr>
                        <w:rFonts w:ascii="Cambria Math" w:hAnsi="Cambria Math"/>
                      </w:rPr>
                      <m:t>y</m:t>
                    </m:r>
                  </m:e>
                  <m:sub>
                    <m:r>
                      <w:rPr>
                        <w:rFonts w:ascii="Cambria Math" w:hAnsi="Cambria Math"/>
                      </w:rPr>
                      <m:t>i</m:t>
                    </m:r>
                  </m:sub>
                </m:sSub>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y</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y</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≥0,i=1,…n</m:t>
                        </m:r>
                      </m:e>
                    </m:nary>
                  </m:e>
                </m:nary>
              </m:e>
            </m:nary>
          </m:e>
        </m:d>
      </m:oMath>
      <w:r w:rsidR="008C1DE4">
        <w:t xml:space="preserve"> </w:t>
      </w:r>
      <w:r w:rsidR="009C0BB7">
        <w:tab/>
        <w:t>(1)</w:t>
      </w:r>
    </w:p>
    <w:p w14:paraId="0BC89BE5" w14:textId="3ED71A62" w:rsidR="00942D1F" w:rsidRDefault="008C1DE4" w:rsidP="00783103">
      <w:pPr>
        <w:pStyle w:val="Newparagraph"/>
        <w:spacing w:line="360" w:lineRule="auto"/>
        <w:ind w:firstLine="0"/>
        <w:jc w:val="both"/>
        <w:rPr>
          <w:b/>
          <w:bCs/>
          <w:color w:val="000000" w:themeColor="text1"/>
          <w:sz w:val="22"/>
          <w:szCs w:val="22"/>
        </w:rPr>
      </w:pPr>
      <w:r w:rsidRPr="008C1DE4">
        <w:rPr>
          <w:sz w:val="22"/>
          <w:szCs w:val="22"/>
        </w:rPr>
        <w:t xml:space="preserve">A measure of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δ</m:t>
                </m:r>
              </m:e>
            </m:acc>
          </m:e>
          <m:sub>
            <m:r>
              <w:rPr>
                <w:rFonts w:ascii="Cambria Math" w:hAnsi="Cambria Math"/>
                <w:sz w:val="22"/>
                <w:szCs w:val="22"/>
              </w:rPr>
              <m:t>i</m:t>
            </m:r>
          </m:sub>
        </m:sSub>
        <m:r>
          <w:rPr>
            <w:rFonts w:ascii="Cambria Math" w:hAnsi="Cambria Math"/>
            <w:sz w:val="22"/>
            <w:szCs w:val="22"/>
          </w:rPr>
          <m:t>=1</m:t>
        </m:r>
      </m:oMath>
      <w:r w:rsidRPr="008C1DE4">
        <w:rPr>
          <w:rFonts w:eastAsiaTheme="minorEastAsia"/>
          <w:sz w:val="22"/>
          <w:szCs w:val="22"/>
        </w:rPr>
        <w:t xml:space="preserve"> </w:t>
      </w:r>
      <w:r w:rsidRPr="008C1DE4">
        <w:rPr>
          <w:sz w:val="22"/>
          <w:szCs w:val="22"/>
        </w:rPr>
        <w:t xml:space="preserve">indicates that </w:t>
      </w:r>
      <w:r w:rsidR="005A2333">
        <w:rPr>
          <w:sz w:val="22"/>
          <w:szCs w:val="22"/>
        </w:rPr>
        <w:t>banks are</w:t>
      </w:r>
      <w:r w:rsidRPr="008C1DE4">
        <w:rPr>
          <w:sz w:val="22"/>
          <w:szCs w:val="22"/>
        </w:rPr>
        <w:t xml:space="preserve"> </w:t>
      </w:r>
      <w:r w:rsidRPr="008C1DE4" w:rsidDel="00863F6F">
        <w:rPr>
          <w:sz w:val="22"/>
          <w:szCs w:val="22"/>
        </w:rPr>
        <w:t xml:space="preserve">technically </w:t>
      </w:r>
      <w:r w:rsidRPr="008C1DE4">
        <w:rPr>
          <w:sz w:val="22"/>
          <w:szCs w:val="22"/>
        </w:rPr>
        <w:t>efficient</w:t>
      </w:r>
      <w:r w:rsidR="005A2333">
        <w:rPr>
          <w:sz w:val="22"/>
          <w:szCs w:val="22"/>
        </w:rPr>
        <w:t xml:space="preserve"> at the state level</w:t>
      </w:r>
      <w:r w:rsidRPr="008C1DE4">
        <w:rPr>
          <w:sz w:val="22"/>
          <w:szCs w:val="22"/>
        </w:rPr>
        <w:t xml:space="preserve">, and inefficient if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δ</m:t>
                </m:r>
              </m:e>
            </m:acc>
          </m:e>
          <m:sub>
            <m:r>
              <w:rPr>
                <w:rFonts w:ascii="Cambria Math" w:hAnsi="Cambria Math"/>
                <w:sz w:val="22"/>
                <w:szCs w:val="22"/>
              </w:rPr>
              <m:t>i</m:t>
            </m:r>
          </m:sub>
        </m:sSub>
        <m:r>
          <w:rPr>
            <w:rFonts w:ascii="Cambria Math" w:hAnsi="Cambria Math"/>
            <w:sz w:val="22"/>
            <w:szCs w:val="22"/>
          </w:rPr>
          <m:t>&lt;1</m:t>
        </m:r>
      </m:oMath>
      <w:r w:rsidRPr="008C1DE4">
        <w:rPr>
          <w:sz w:val="22"/>
          <w:szCs w:val="22"/>
        </w:rPr>
        <w:t xml:space="preserve">. The DEA efficiency score given assumes </w:t>
      </w:r>
      <w:r w:rsidR="00AB7557">
        <w:rPr>
          <w:sz w:val="22"/>
          <w:szCs w:val="22"/>
        </w:rPr>
        <w:t xml:space="preserve">a </w:t>
      </w:r>
      <w:r w:rsidRPr="008C1DE4">
        <w:rPr>
          <w:sz w:val="22"/>
          <w:szCs w:val="22"/>
        </w:rPr>
        <w:t>variable return to scale (</w:t>
      </w:r>
      <w:r w:rsidRPr="00E14280">
        <w:rPr>
          <w:i/>
          <w:iCs/>
          <w:sz w:val="22"/>
          <w:szCs w:val="22"/>
        </w:rPr>
        <w:t>VRS</w:t>
      </w:r>
      <w:r w:rsidRPr="008C1DE4">
        <w:rPr>
          <w:sz w:val="22"/>
          <w:szCs w:val="22"/>
        </w:rPr>
        <w:t xml:space="preserve">), but we can impose </w:t>
      </w:r>
      <w:r w:rsidR="00AB7557">
        <w:rPr>
          <w:sz w:val="22"/>
          <w:szCs w:val="22"/>
        </w:rPr>
        <w:t xml:space="preserve">a </w:t>
      </w:r>
      <w:r w:rsidRPr="008C1DE4">
        <w:rPr>
          <w:sz w:val="22"/>
          <w:szCs w:val="22"/>
        </w:rPr>
        <w:t>constant return to scale (</w:t>
      </w:r>
      <w:r w:rsidRPr="00E14280">
        <w:rPr>
          <w:i/>
          <w:iCs/>
          <w:sz w:val="22"/>
          <w:szCs w:val="22"/>
        </w:rPr>
        <w:t>CRS</w:t>
      </w:r>
      <w:r w:rsidRPr="008C1DE4">
        <w:rPr>
          <w:sz w:val="22"/>
          <w:szCs w:val="22"/>
        </w:rPr>
        <w:t xml:space="preserve">) by removing the constraint </w:t>
      </w:r>
      <m:oMath>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m:t>
            </m:r>
          </m:e>
        </m:nary>
      </m:oMath>
      <w:r w:rsidR="005D71C2">
        <w:rPr>
          <w:sz w:val="22"/>
          <w:szCs w:val="22"/>
        </w:rPr>
        <w:t xml:space="preserve">. </w:t>
      </w:r>
      <w:r w:rsidR="00821E7B" w:rsidRPr="008F352E">
        <w:rPr>
          <w:sz w:val="22"/>
          <w:szCs w:val="22"/>
        </w:rPr>
        <w:t>The true efficiency score</w:t>
      </w:r>
      <w:r w:rsidR="00821E7B" w:rsidRPr="00CE1CE2">
        <w:rPr>
          <w:sz w:val="22"/>
          <w:szCs w:val="22"/>
        </w:rPr>
        <w:t xml:space="preserv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δ</m:t>
                </m:r>
              </m:e>
            </m:acc>
          </m:e>
          <m:sub>
            <m:r>
              <w:rPr>
                <w:rFonts w:ascii="Cambria Math" w:hAnsi="Cambria Math"/>
                <w:sz w:val="22"/>
                <w:szCs w:val="22"/>
              </w:rPr>
              <m:t>i</m:t>
            </m:r>
          </m:sub>
        </m:sSub>
      </m:oMath>
      <w:r w:rsidR="00821E7B" w:rsidRPr="00CE1CE2">
        <w:rPr>
          <w:sz w:val="22"/>
          <w:szCs w:val="22"/>
        </w:rPr>
        <w:t xml:space="preserve">, is not observed directly, it is empirically estimated. </w:t>
      </w:r>
      <w:r w:rsidR="00783103" w:rsidRPr="00783103">
        <w:rPr>
          <w:color w:val="004F88"/>
          <w:sz w:val="22"/>
          <w:szCs w:val="22"/>
        </w:rPr>
        <w:t>To implement the DEA bootstrap approach, we assume that the original data are generated by a data-generating process that can be replicated by constructing a new (pseudo) dataset based on the original data. We then re-estimate the DEA model using this new dataset.</w:t>
      </w:r>
      <w:r w:rsidR="00783103">
        <w:rPr>
          <w:sz w:val="22"/>
          <w:szCs w:val="22"/>
        </w:rPr>
        <w:t xml:space="preserve"> </w:t>
      </w:r>
      <w:r w:rsidR="00821E7B" w:rsidRPr="00CE1CE2">
        <w:rPr>
          <w:sz w:val="22"/>
          <w:szCs w:val="22"/>
        </w:rPr>
        <w:t>By repeating this process 2000 times</w:t>
      </w:r>
      <w:r w:rsidR="00821E7B" w:rsidRPr="001D1C7B">
        <w:rPr>
          <w:rStyle w:val="FootnoteReference"/>
          <w:rFonts w:eastAsia="SimSun"/>
          <w:color w:val="0070C0"/>
          <w:sz w:val="22"/>
          <w:szCs w:val="22"/>
        </w:rPr>
        <w:footnoteReference w:id="8"/>
      </w:r>
      <w:r w:rsidR="00695582">
        <w:rPr>
          <w:color w:val="0070C0"/>
          <w:sz w:val="22"/>
          <w:szCs w:val="22"/>
        </w:rPr>
        <w:t xml:space="preserve">, </w:t>
      </w:r>
      <w:r w:rsidR="00821E7B" w:rsidRPr="00CE1CE2">
        <w:rPr>
          <w:sz w:val="22"/>
          <w:szCs w:val="22"/>
        </w:rPr>
        <w:t xml:space="preserve"> </w:t>
      </w:r>
      <w:r w:rsidR="00695582">
        <w:rPr>
          <w:sz w:val="22"/>
          <w:szCs w:val="22"/>
        </w:rPr>
        <w:t xml:space="preserve">we </w:t>
      </w:r>
      <w:r w:rsidR="00C057E7" w:rsidRPr="00CE1CE2">
        <w:rPr>
          <w:sz w:val="22"/>
          <w:szCs w:val="22"/>
        </w:rPr>
        <w:t>can</w:t>
      </w:r>
      <w:r w:rsidR="00821E7B" w:rsidRPr="00CE1CE2">
        <w:rPr>
          <w:sz w:val="22"/>
          <w:szCs w:val="22"/>
        </w:rPr>
        <w:t xml:space="preserve"> derive an empirical distribution of these bootstrap values (</w:t>
      </w:r>
      <w:r w:rsidR="00292658" w:rsidRPr="00CE1CE2">
        <w:rPr>
          <w:sz w:val="22"/>
          <w:szCs w:val="22"/>
        </w:rPr>
        <w:t>Du</w:t>
      </w:r>
      <w:r w:rsidR="00821E7B" w:rsidRPr="00CE1CE2">
        <w:rPr>
          <w:sz w:val="22"/>
          <w:szCs w:val="22"/>
        </w:rPr>
        <w:t xml:space="preserve"> </w:t>
      </w:r>
      <w:r w:rsidR="00EB3323" w:rsidRPr="005D71C2">
        <w:rPr>
          <w:iCs/>
          <w:sz w:val="22"/>
          <w:szCs w:val="22"/>
        </w:rPr>
        <w:t>et al</w:t>
      </w:r>
      <w:r w:rsidR="00484BCF">
        <w:rPr>
          <w:i/>
          <w:sz w:val="22"/>
          <w:szCs w:val="22"/>
        </w:rPr>
        <w:t>.</w:t>
      </w:r>
      <w:r w:rsidR="00821E7B" w:rsidRPr="00CE1CE2">
        <w:rPr>
          <w:sz w:val="22"/>
          <w:szCs w:val="22"/>
        </w:rPr>
        <w:t xml:space="preserve"> </w:t>
      </w:r>
      <w:r w:rsidR="00821E7B" w:rsidRPr="000940A7">
        <w:rPr>
          <w:color w:val="0070C0"/>
          <w:sz w:val="22"/>
          <w:szCs w:val="22"/>
        </w:rPr>
        <w:t>201</w:t>
      </w:r>
      <w:r w:rsidR="00292658" w:rsidRPr="000940A7">
        <w:rPr>
          <w:color w:val="0070C0"/>
          <w:sz w:val="22"/>
          <w:szCs w:val="22"/>
        </w:rPr>
        <w:t>8</w:t>
      </w:r>
      <w:r w:rsidR="00821E7B" w:rsidRPr="00CE1CE2">
        <w:rPr>
          <w:sz w:val="22"/>
          <w:szCs w:val="22"/>
        </w:rPr>
        <w:t>). One hundred bootstrap replications are used to compute the bias-corrected estimates</w:t>
      </w:r>
      <w:r w:rsidR="00175E9B" w:rsidRPr="00CE1CE2">
        <w:rPr>
          <w:sz w:val="22"/>
          <w:szCs w:val="22"/>
        </w:rPr>
        <w:t xml:space="preserve"> </w:t>
      </w:r>
      <m:oMath>
        <m:sSub>
          <m:sSubPr>
            <m:ctrlPr>
              <w:rPr>
                <w:rFonts w:ascii="Cambria Math" w:hAnsi="Cambria Math"/>
                <w:i/>
                <w:sz w:val="22"/>
                <w:szCs w:val="22"/>
              </w:rPr>
            </m:ctrlPr>
          </m:sSubPr>
          <m:e>
            <m:acc>
              <m:accPr>
                <m:ctrlPr>
                  <w:rPr>
                    <w:rFonts w:ascii="Cambria Math" w:hAnsi="Cambria Math"/>
                    <w:i/>
                    <w:sz w:val="22"/>
                    <w:szCs w:val="22"/>
                  </w:rPr>
                </m:ctrlPr>
              </m:accPr>
              <m:e>
                <m:acc>
                  <m:accPr>
                    <m:ctrlPr>
                      <w:rPr>
                        <w:rFonts w:ascii="Cambria Math" w:hAnsi="Cambria Math"/>
                        <w:bCs/>
                        <w:i/>
                        <w:sz w:val="22"/>
                        <w:szCs w:val="22"/>
                      </w:rPr>
                    </m:ctrlPr>
                  </m:accPr>
                  <m:e>
                    <m:r>
                      <w:rPr>
                        <w:rFonts w:ascii="Cambria Math" w:hAnsi="Cambria Math"/>
                        <w:sz w:val="22"/>
                        <w:szCs w:val="22"/>
                      </w:rPr>
                      <m:t xml:space="preserve">δ </m:t>
                    </m:r>
                  </m:e>
                </m:acc>
              </m:e>
            </m:acc>
          </m:e>
          <m:sub>
            <m:r>
              <w:rPr>
                <w:rFonts w:ascii="Cambria Math" w:hAnsi="Cambria Math"/>
                <w:sz w:val="22"/>
                <w:szCs w:val="22"/>
              </w:rPr>
              <m:t>i,t</m:t>
            </m:r>
          </m:sub>
        </m:sSub>
      </m:oMath>
      <w:r w:rsidR="00E71FC9" w:rsidRPr="001D1C7B">
        <w:rPr>
          <w:color w:val="0070C0"/>
          <w:sz w:val="22"/>
          <w:szCs w:val="22"/>
        </w:rPr>
        <w:t>.</w:t>
      </w:r>
      <w:r w:rsidR="00821E7B" w:rsidRPr="00CE1CE2">
        <w:rPr>
          <w:sz w:val="22"/>
          <w:szCs w:val="22"/>
        </w:rPr>
        <w:t xml:space="preserve"> </w:t>
      </w:r>
      <w:r w:rsidR="00821E7B" w:rsidRPr="008F352E">
        <w:rPr>
          <w:sz w:val="22"/>
          <w:szCs w:val="22"/>
        </w:rPr>
        <w:t xml:space="preserve">The </w:t>
      </w:r>
      <w:r w:rsidR="00430853" w:rsidRPr="008F352E">
        <w:rPr>
          <w:sz w:val="22"/>
          <w:szCs w:val="22"/>
        </w:rPr>
        <w:t xml:space="preserve">bootstrap </w:t>
      </w:r>
      <w:r w:rsidR="00821E7B" w:rsidRPr="008F352E">
        <w:rPr>
          <w:sz w:val="22"/>
          <w:szCs w:val="22"/>
        </w:rPr>
        <w:t xml:space="preserve">efficiency scores, </w:t>
      </w:r>
      <m:oMath>
        <m:sSub>
          <m:sSubPr>
            <m:ctrlPr>
              <w:rPr>
                <w:rFonts w:ascii="Cambria Math" w:hAnsi="Cambria Math"/>
                <w:i/>
                <w:sz w:val="22"/>
                <w:szCs w:val="22"/>
              </w:rPr>
            </m:ctrlPr>
          </m:sSubPr>
          <m:e>
            <m:acc>
              <m:accPr>
                <m:ctrlPr>
                  <w:rPr>
                    <w:rFonts w:ascii="Cambria Math" w:hAnsi="Cambria Math"/>
                    <w:i/>
                    <w:sz w:val="22"/>
                    <w:szCs w:val="22"/>
                  </w:rPr>
                </m:ctrlPr>
              </m:accPr>
              <m:e>
                <m:acc>
                  <m:accPr>
                    <m:ctrlPr>
                      <w:rPr>
                        <w:rFonts w:ascii="Cambria Math" w:hAnsi="Cambria Math"/>
                        <w:bCs/>
                        <w:i/>
                        <w:sz w:val="22"/>
                        <w:szCs w:val="22"/>
                      </w:rPr>
                    </m:ctrlPr>
                  </m:accPr>
                  <m:e>
                    <m:r>
                      <w:rPr>
                        <w:rFonts w:ascii="Cambria Math" w:hAnsi="Cambria Math"/>
                        <w:sz w:val="22"/>
                        <w:szCs w:val="22"/>
                      </w:rPr>
                      <m:t xml:space="preserve">δ </m:t>
                    </m:r>
                  </m:e>
                </m:acc>
              </m:e>
            </m:acc>
          </m:e>
          <m:sub>
            <m:r>
              <w:rPr>
                <w:rFonts w:ascii="Cambria Math" w:hAnsi="Cambria Math"/>
                <w:sz w:val="22"/>
                <w:szCs w:val="22"/>
              </w:rPr>
              <m:t>i,t</m:t>
            </m:r>
          </m:sub>
        </m:sSub>
      </m:oMath>
      <w:r w:rsidR="00175E9B" w:rsidRPr="008F352E">
        <w:rPr>
          <w:sz w:val="22"/>
          <w:szCs w:val="22"/>
        </w:rPr>
        <w:t xml:space="preserve"> </w:t>
      </w:r>
      <w:r w:rsidR="00821E7B" w:rsidRPr="008F352E">
        <w:rPr>
          <w:sz w:val="22"/>
          <w:szCs w:val="22"/>
        </w:rPr>
        <w:t xml:space="preserve">, obtained in the first stage are regressed on explanatory variables in the second stage. </w:t>
      </w:r>
      <w:r w:rsidR="00942D1F" w:rsidRPr="000940A7">
        <w:rPr>
          <w:color w:val="000000" w:themeColor="text1"/>
          <w:sz w:val="22"/>
          <w:szCs w:val="22"/>
        </w:rPr>
        <w:t>The second stage regression is given by</w:t>
      </w:r>
      <w:r w:rsidR="00D94531" w:rsidRPr="000940A7">
        <w:rPr>
          <w:color w:val="000000" w:themeColor="text1"/>
          <w:sz w:val="22"/>
          <w:szCs w:val="22"/>
        </w:rPr>
        <w:t>:</w:t>
      </w:r>
      <w:r w:rsidR="00942D1F" w:rsidRPr="000940A7">
        <w:rPr>
          <w:b/>
          <w:bCs/>
          <w:color w:val="000000" w:themeColor="text1"/>
          <w:sz w:val="22"/>
          <w:szCs w:val="22"/>
        </w:rPr>
        <w:t xml:space="preserve"> </w:t>
      </w:r>
    </w:p>
    <w:p w14:paraId="2A115DB6" w14:textId="5E49E9F8" w:rsidR="00942D1F" w:rsidRPr="000940A7" w:rsidRDefault="00000000" w:rsidP="006D498D">
      <w:pPr>
        <w:spacing w:line="360" w:lineRule="auto"/>
        <w:ind w:left="1440" w:firstLine="720"/>
        <w:jc w:val="center"/>
        <w:rPr>
          <w:color w:val="000000" w:themeColor="text1"/>
          <w:sz w:val="22"/>
          <w:szCs w:val="22"/>
        </w:rPr>
      </w:pPr>
      <m:oMath>
        <m:sSub>
          <m:sSubPr>
            <m:ctrlPr>
              <w:rPr>
                <w:rFonts w:ascii="Cambria Math" w:hAnsi="Cambria Math"/>
                <w:i/>
                <w:color w:val="000000" w:themeColor="text1"/>
                <w:sz w:val="22"/>
                <w:szCs w:val="22"/>
              </w:rPr>
            </m:ctrlPr>
          </m:sSubPr>
          <m:e>
            <m:acc>
              <m:accPr>
                <m:ctrlPr>
                  <w:rPr>
                    <w:rFonts w:ascii="Cambria Math" w:hAnsi="Cambria Math"/>
                    <w:i/>
                    <w:color w:val="000000" w:themeColor="text1"/>
                    <w:sz w:val="22"/>
                    <w:szCs w:val="22"/>
                  </w:rPr>
                </m:ctrlPr>
              </m:accPr>
              <m:e>
                <m:acc>
                  <m:accPr>
                    <m:ctrlPr>
                      <w:rPr>
                        <w:rFonts w:ascii="Cambria Math" w:hAnsi="Cambria Math"/>
                        <w:bCs/>
                        <w:i/>
                        <w:color w:val="000000" w:themeColor="text1"/>
                        <w:sz w:val="22"/>
                        <w:szCs w:val="22"/>
                      </w:rPr>
                    </m:ctrlPr>
                  </m:accPr>
                  <m:e>
                    <m:r>
                      <w:rPr>
                        <w:rFonts w:ascii="Cambria Math" w:hAnsi="Cambria Math"/>
                        <w:color w:val="000000" w:themeColor="text1"/>
                        <w:sz w:val="22"/>
                        <w:szCs w:val="22"/>
                      </w:rPr>
                      <m:t xml:space="preserve">δ </m:t>
                    </m:r>
                  </m:e>
                </m:acc>
              </m:e>
            </m:acc>
          </m:e>
          <m:sub>
            <m:r>
              <w:rPr>
                <w:rFonts w:ascii="Cambria Math" w:hAnsi="Cambria Math"/>
                <w:color w:val="000000" w:themeColor="text1"/>
                <w:sz w:val="22"/>
                <w:szCs w:val="22"/>
              </w:rPr>
              <m:t>i,t</m:t>
            </m:r>
          </m:sub>
        </m:sSub>
        <m:r>
          <w:rPr>
            <w:rFonts w:ascii="Cambria Math" w:hAnsi="Cambria Math"/>
            <w:color w:val="000000" w:themeColor="text1"/>
            <w:sz w:val="22"/>
            <w:szCs w:val="22"/>
          </w:rPr>
          <m:t>=</m:t>
        </m:r>
        <m:r>
          <m:rPr>
            <m:sty m:val="p"/>
          </m:rPr>
          <w:rPr>
            <w:rFonts w:ascii="Cambria Math" w:hAnsi="Cambria Math"/>
            <w:color w:val="000000" w:themeColor="text1"/>
            <w:sz w:val="22"/>
            <w:szCs w:val="22"/>
          </w:rPr>
          <m:t>α</m:t>
        </m:r>
        <m:r>
          <w:rPr>
            <w:rFonts w:ascii="Cambria Math" w:hAnsi="Cambria Math"/>
            <w:color w:val="000000" w:themeColor="text1"/>
            <w:sz w:val="22"/>
            <w:szCs w:val="22"/>
          </w:rPr>
          <m:t>+</m:t>
        </m:r>
        <m:nary>
          <m:naryPr>
            <m:chr m:val="∑"/>
            <m:limLoc m:val="undOvr"/>
            <m:ctrlPr>
              <w:rPr>
                <w:rFonts w:ascii="Cambria Math" w:hAnsi="Cambria Math"/>
                <w:i/>
                <w:color w:val="000000" w:themeColor="text1"/>
                <w:sz w:val="22"/>
                <w:szCs w:val="22"/>
              </w:rPr>
            </m:ctrlPr>
          </m:naryPr>
          <m:sub>
            <m:r>
              <w:rPr>
                <w:rFonts w:ascii="Cambria Math" w:hAnsi="Cambria Math"/>
                <w:color w:val="000000" w:themeColor="text1"/>
                <w:sz w:val="22"/>
                <w:szCs w:val="22"/>
              </w:rPr>
              <m:t>j=1</m:t>
            </m:r>
          </m:sub>
          <m:sup>
            <m:r>
              <w:rPr>
                <w:rFonts w:ascii="Cambria Math" w:hAnsi="Cambria Math"/>
                <w:color w:val="000000" w:themeColor="text1"/>
                <w:sz w:val="22"/>
                <w:szCs w:val="22"/>
              </w:rPr>
              <m:t>J</m:t>
            </m:r>
          </m:sup>
          <m:e>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j</m:t>
                </m:r>
              </m:sub>
            </m:sSub>
          </m:e>
        </m:nary>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X</m:t>
            </m:r>
          </m:e>
          <m:sub>
            <m:r>
              <w:rPr>
                <w:rFonts w:ascii="Cambria Math" w:hAnsi="Cambria Math"/>
                <w:color w:val="000000" w:themeColor="text1"/>
                <w:sz w:val="22"/>
                <w:szCs w:val="22"/>
              </w:rPr>
              <m:t>i,t</m:t>
            </m:r>
          </m:sub>
          <m:sup>
            <m:r>
              <w:rPr>
                <w:rFonts w:ascii="Cambria Math" w:hAnsi="Cambria Math"/>
                <w:color w:val="000000" w:themeColor="text1"/>
                <w:sz w:val="22"/>
                <w:szCs w:val="22"/>
              </w:rPr>
              <m:t>j</m:t>
            </m:r>
          </m:sup>
        </m:sSubSup>
        <m:r>
          <w:rPr>
            <w:rFonts w:ascii="Cambria Math" w:hAnsi="Cambria Math"/>
            <w:color w:val="000000" w:themeColor="text1"/>
            <w:sz w:val="22"/>
            <w:szCs w:val="22"/>
          </w:rPr>
          <m:t>+</m:t>
        </m:r>
        <m:nary>
          <m:naryPr>
            <m:chr m:val="∑"/>
            <m:limLoc m:val="undOvr"/>
            <m:ctrlPr>
              <w:rPr>
                <w:rFonts w:ascii="Cambria Math" w:hAnsi="Cambria Math"/>
                <w:i/>
                <w:color w:val="000000" w:themeColor="text1"/>
                <w:sz w:val="22"/>
                <w:szCs w:val="22"/>
              </w:rPr>
            </m:ctrlPr>
          </m:naryPr>
          <m:sub>
            <m:r>
              <w:rPr>
                <w:rFonts w:ascii="Cambria Math" w:hAnsi="Cambria Math"/>
                <w:color w:val="000000" w:themeColor="text1"/>
                <w:sz w:val="22"/>
                <w:szCs w:val="22"/>
              </w:rPr>
              <m:t>m=1</m:t>
            </m:r>
          </m:sub>
          <m:sup>
            <m:r>
              <w:rPr>
                <w:rFonts w:ascii="Cambria Math" w:hAnsi="Cambria Math"/>
                <w:color w:val="000000" w:themeColor="text1"/>
                <w:sz w:val="22"/>
                <w:szCs w:val="22"/>
              </w:rPr>
              <m:t>M</m:t>
            </m:r>
          </m:sup>
          <m:e>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β</m:t>
                </m:r>
              </m:e>
              <m:sub>
                <m:r>
                  <w:rPr>
                    <w:rFonts w:ascii="Cambria Math" w:hAnsi="Cambria Math"/>
                    <w:color w:val="000000" w:themeColor="text1"/>
                    <w:sz w:val="22"/>
                    <w:szCs w:val="22"/>
                  </w:rPr>
                  <m:t>m</m:t>
                </m:r>
              </m:sub>
            </m:sSub>
          </m:e>
        </m:nary>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X</m:t>
            </m:r>
          </m:e>
          <m:sub>
            <m:r>
              <w:rPr>
                <w:rFonts w:ascii="Cambria Math" w:hAnsi="Cambria Math"/>
                <w:color w:val="000000" w:themeColor="text1"/>
                <w:sz w:val="22"/>
                <w:szCs w:val="22"/>
              </w:rPr>
              <m:t>i,t</m:t>
            </m:r>
          </m:sub>
          <m:sup>
            <m:r>
              <w:rPr>
                <w:rFonts w:ascii="Cambria Math" w:hAnsi="Cambria Math"/>
                <w:color w:val="000000" w:themeColor="text1"/>
                <w:sz w:val="22"/>
                <w:szCs w:val="22"/>
              </w:rPr>
              <m:t>m</m:t>
            </m:r>
          </m:sup>
        </m:sSubSup>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ε</m:t>
            </m:r>
          </m:e>
          <m:sub>
            <m:r>
              <w:rPr>
                <w:rFonts w:ascii="Cambria Math" w:hAnsi="Cambria Math"/>
                <w:color w:val="000000" w:themeColor="text1"/>
                <w:sz w:val="22"/>
                <w:szCs w:val="22"/>
              </w:rPr>
              <m:t>i,t</m:t>
            </m:r>
          </m:sub>
        </m:sSub>
      </m:oMath>
      <w:r w:rsidR="009C0BB7">
        <w:rPr>
          <w:color w:val="000000" w:themeColor="text1"/>
          <w:sz w:val="22"/>
          <w:szCs w:val="22"/>
        </w:rPr>
        <w:tab/>
      </w:r>
      <w:r w:rsidR="009C0BB7">
        <w:rPr>
          <w:color w:val="000000" w:themeColor="text1"/>
          <w:sz w:val="22"/>
          <w:szCs w:val="22"/>
        </w:rPr>
        <w:tab/>
      </w:r>
      <w:r w:rsidR="009C0BB7">
        <w:rPr>
          <w:color w:val="000000" w:themeColor="text1"/>
          <w:sz w:val="22"/>
          <w:szCs w:val="22"/>
        </w:rPr>
        <w:tab/>
      </w:r>
      <w:r w:rsidR="009C0BB7">
        <w:rPr>
          <w:color w:val="000000" w:themeColor="text1"/>
          <w:sz w:val="22"/>
          <w:szCs w:val="22"/>
        </w:rPr>
        <w:tab/>
        <w:t>(2)</w:t>
      </w:r>
    </w:p>
    <w:p w14:paraId="13E6F039" w14:textId="32F64A0F" w:rsidR="008C1DE4" w:rsidRPr="008C1DE4" w:rsidRDefault="00942D1F" w:rsidP="008C1DE4">
      <w:pPr>
        <w:pStyle w:val="NormalWeb"/>
        <w:spacing w:line="360" w:lineRule="auto"/>
        <w:jc w:val="both"/>
        <w:rPr>
          <w:sz w:val="22"/>
          <w:szCs w:val="22"/>
        </w:rPr>
      </w:pPr>
      <w:r w:rsidRPr="008C1DE4">
        <w:rPr>
          <w:color w:val="000000" w:themeColor="text1"/>
          <w:sz w:val="22"/>
          <w:szCs w:val="22"/>
        </w:rPr>
        <w:t xml:space="preserve">where </w:t>
      </w:r>
      <m:oMath>
        <m:sSub>
          <m:sSubPr>
            <m:ctrlPr>
              <w:rPr>
                <w:rFonts w:ascii="Cambria Math" w:hAnsi="Cambria Math"/>
                <w:i/>
                <w:color w:val="000000" w:themeColor="text1"/>
                <w:sz w:val="22"/>
                <w:szCs w:val="22"/>
              </w:rPr>
            </m:ctrlPr>
          </m:sSubPr>
          <m:e>
            <m:acc>
              <m:accPr>
                <m:ctrlPr>
                  <w:rPr>
                    <w:rFonts w:ascii="Cambria Math" w:hAnsi="Cambria Math"/>
                    <w:i/>
                    <w:color w:val="000000" w:themeColor="text1"/>
                    <w:sz w:val="22"/>
                    <w:szCs w:val="22"/>
                  </w:rPr>
                </m:ctrlPr>
              </m:accPr>
              <m:e>
                <m:acc>
                  <m:accPr>
                    <m:ctrlPr>
                      <w:rPr>
                        <w:rFonts w:ascii="Cambria Math" w:hAnsi="Cambria Math"/>
                        <w:bCs/>
                        <w:i/>
                        <w:color w:val="000000" w:themeColor="text1"/>
                        <w:sz w:val="22"/>
                        <w:szCs w:val="22"/>
                      </w:rPr>
                    </m:ctrlPr>
                  </m:accPr>
                  <m:e>
                    <m:r>
                      <w:rPr>
                        <w:rFonts w:ascii="Cambria Math" w:hAnsi="Cambria Math"/>
                        <w:color w:val="000000" w:themeColor="text1"/>
                        <w:sz w:val="22"/>
                        <w:szCs w:val="22"/>
                      </w:rPr>
                      <m:t xml:space="preserve">δ </m:t>
                    </m:r>
                  </m:e>
                </m:acc>
              </m:e>
            </m:acc>
          </m:e>
          <m:sub>
            <m:r>
              <w:rPr>
                <w:rFonts w:ascii="Cambria Math" w:hAnsi="Cambria Math"/>
                <w:color w:val="000000" w:themeColor="text1"/>
                <w:sz w:val="22"/>
                <w:szCs w:val="22"/>
              </w:rPr>
              <m:t>i,t</m:t>
            </m:r>
          </m:sub>
        </m:sSub>
        <m:r>
          <w:rPr>
            <w:rFonts w:ascii="Cambria Math" w:hAnsi="Cambria Math"/>
            <w:color w:val="000000" w:themeColor="text1"/>
            <w:sz w:val="22"/>
            <w:szCs w:val="22"/>
          </w:rPr>
          <m:t xml:space="preserve"> </m:t>
        </m:r>
      </m:oMath>
      <w:r w:rsidRPr="008C1DE4">
        <w:rPr>
          <w:bCs/>
          <w:color w:val="000000" w:themeColor="text1"/>
          <w:sz w:val="22"/>
          <w:szCs w:val="22"/>
        </w:rPr>
        <w:t>is</w:t>
      </w:r>
      <w:r w:rsidRPr="008C1DE4">
        <w:rPr>
          <w:b/>
          <w:color w:val="000000" w:themeColor="text1"/>
          <w:sz w:val="22"/>
          <w:szCs w:val="22"/>
        </w:rPr>
        <w:t xml:space="preserve"> </w:t>
      </w:r>
      <w:r w:rsidR="00E1383B" w:rsidRPr="008C1DE4">
        <w:rPr>
          <w:color w:val="000000" w:themeColor="text1"/>
          <w:sz w:val="22"/>
          <w:szCs w:val="22"/>
        </w:rPr>
        <w:t>state</w:t>
      </w:r>
      <w:r w:rsidRPr="008C1DE4">
        <w:rPr>
          <w:color w:val="000000" w:themeColor="text1"/>
          <w:sz w:val="22"/>
          <w:szCs w:val="22"/>
        </w:rPr>
        <w:t xml:space="preserve"> </w:t>
      </w:r>
      <w:r w:rsidRPr="008C1DE4">
        <w:rPr>
          <w:i/>
          <w:iCs/>
          <w:color w:val="000000" w:themeColor="text1"/>
          <w:sz w:val="22"/>
          <w:szCs w:val="22"/>
        </w:rPr>
        <w:t>i</w:t>
      </w:r>
      <w:r w:rsidRPr="008C1DE4">
        <w:rPr>
          <w:color w:val="000000" w:themeColor="text1"/>
          <w:sz w:val="22"/>
          <w:szCs w:val="22"/>
        </w:rPr>
        <w:t>’s</w:t>
      </w:r>
      <w:r w:rsidR="009209D8" w:rsidRPr="008C1DE4">
        <w:rPr>
          <w:color w:val="000000" w:themeColor="text1"/>
          <w:sz w:val="22"/>
          <w:szCs w:val="22"/>
        </w:rPr>
        <w:t xml:space="preserve"> bias-corrected </w:t>
      </w:r>
      <w:r w:rsidRPr="008C1DE4">
        <w:rPr>
          <w:color w:val="000000" w:themeColor="text1"/>
          <w:sz w:val="22"/>
          <w:szCs w:val="22"/>
        </w:rPr>
        <w:t xml:space="preserve">bootstrap efficiency scores </w:t>
      </w:r>
      <w:r w:rsidR="009209D8" w:rsidRPr="008C1DE4">
        <w:rPr>
          <w:color w:val="000000" w:themeColor="text1"/>
          <w:sz w:val="22"/>
          <w:szCs w:val="22"/>
        </w:rPr>
        <w:t>(</w:t>
      </w:r>
      <w:r w:rsidR="00187F5A" w:rsidRPr="00E14280">
        <w:rPr>
          <w:i/>
          <w:iCs/>
          <w:color w:val="000000" w:themeColor="text1"/>
          <w:sz w:val="22"/>
          <w:szCs w:val="22"/>
        </w:rPr>
        <w:t>CRS</w:t>
      </w:r>
      <w:r w:rsidR="009209D8" w:rsidRPr="008C1DE4">
        <w:rPr>
          <w:color w:val="000000" w:themeColor="text1"/>
          <w:sz w:val="22"/>
          <w:szCs w:val="22"/>
        </w:rPr>
        <w:t xml:space="preserve"> and </w:t>
      </w:r>
      <w:r w:rsidR="00187F5A" w:rsidRPr="00E14280">
        <w:rPr>
          <w:i/>
          <w:iCs/>
          <w:color w:val="000000" w:themeColor="text1"/>
          <w:sz w:val="22"/>
          <w:szCs w:val="22"/>
        </w:rPr>
        <w:t>VRS</w:t>
      </w:r>
      <w:r w:rsidR="009209D8" w:rsidRPr="008C1DE4">
        <w:rPr>
          <w:color w:val="000000" w:themeColor="text1"/>
          <w:sz w:val="22"/>
          <w:szCs w:val="22"/>
        </w:rPr>
        <w:t xml:space="preserve">) </w:t>
      </w:r>
      <w:r w:rsidRPr="008C1DE4">
        <w:rPr>
          <w:color w:val="000000" w:themeColor="text1"/>
          <w:sz w:val="22"/>
          <w:szCs w:val="22"/>
        </w:rPr>
        <w:t xml:space="preserve">in period </w:t>
      </w:r>
      <w:r w:rsidRPr="008C1DE4">
        <w:rPr>
          <w:i/>
          <w:iCs/>
          <w:color w:val="000000" w:themeColor="text1"/>
          <w:sz w:val="22"/>
          <w:szCs w:val="22"/>
        </w:rPr>
        <w:t>t</w:t>
      </w:r>
      <w:r w:rsidRPr="008C1DE4">
        <w:rPr>
          <w:color w:val="000000" w:themeColor="text1"/>
          <w:sz w:val="22"/>
          <w:szCs w:val="22"/>
        </w:rPr>
        <w:t xml:space="preserve">; </w:t>
      </w:r>
      <m:oMath>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X</m:t>
            </m:r>
          </m:e>
          <m:sub>
            <m:r>
              <w:rPr>
                <w:rFonts w:ascii="Cambria Math" w:hAnsi="Cambria Math"/>
                <w:color w:val="000000" w:themeColor="text1"/>
                <w:sz w:val="22"/>
                <w:szCs w:val="22"/>
              </w:rPr>
              <m:t>i,t</m:t>
            </m:r>
          </m:sub>
          <m:sup>
            <m:r>
              <w:rPr>
                <w:rFonts w:ascii="Cambria Math" w:hAnsi="Cambria Math"/>
                <w:color w:val="000000" w:themeColor="text1"/>
                <w:sz w:val="22"/>
                <w:szCs w:val="22"/>
              </w:rPr>
              <m:t>j</m:t>
            </m:r>
          </m:sup>
        </m:sSubSup>
      </m:oMath>
      <w:r w:rsidRPr="008C1DE4">
        <w:rPr>
          <w:color w:val="000000" w:themeColor="text1"/>
          <w:sz w:val="22"/>
          <w:szCs w:val="22"/>
        </w:rPr>
        <w:t xml:space="preserve"> is the independent variable</w:t>
      </w:r>
      <w:r w:rsidR="009209D8" w:rsidRPr="008C1DE4">
        <w:rPr>
          <w:color w:val="000000" w:themeColor="text1"/>
          <w:sz w:val="22"/>
          <w:szCs w:val="22"/>
        </w:rPr>
        <w:t>s</w:t>
      </w:r>
      <w:r w:rsidRPr="008C1DE4">
        <w:rPr>
          <w:color w:val="000000" w:themeColor="text1"/>
          <w:sz w:val="22"/>
          <w:szCs w:val="22"/>
        </w:rPr>
        <w:t xml:space="preserve"> (</w:t>
      </w:r>
      <w:r w:rsidRPr="00EB3323">
        <w:rPr>
          <w:i/>
          <w:iCs/>
          <w:color w:val="000000" w:themeColor="text1"/>
          <w:sz w:val="22"/>
          <w:szCs w:val="22"/>
        </w:rPr>
        <w:t>SVOTE</w:t>
      </w:r>
      <w:r w:rsidR="009209D8" w:rsidRPr="008C1DE4">
        <w:rPr>
          <w:color w:val="000000" w:themeColor="text1"/>
          <w:sz w:val="22"/>
          <w:szCs w:val="22"/>
        </w:rPr>
        <w:t xml:space="preserve"> and </w:t>
      </w:r>
      <w:r w:rsidR="009209D8" w:rsidRPr="00EB3323">
        <w:rPr>
          <w:i/>
          <w:iCs/>
          <w:color w:val="000000" w:themeColor="text1"/>
          <w:sz w:val="22"/>
          <w:szCs w:val="22"/>
        </w:rPr>
        <w:t>NVOT</w:t>
      </w:r>
      <w:r w:rsidR="00A0418F" w:rsidRPr="00EB3323">
        <w:rPr>
          <w:i/>
          <w:iCs/>
          <w:color w:val="000000" w:themeColor="text1"/>
          <w:sz w:val="22"/>
          <w:szCs w:val="22"/>
        </w:rPr>
        <w:t>E</w:t>
      </w:r>
      <w:r w:rsidRPr="008C1DE4">
        <w:rPr>
          <w:color w:val="000000" w:themeColor="text1"/>
          <w:sz w:val="22"/>
          <w:szCs w:val="22"/>
        </w:rPr>
        <w:t>)</w:t>
      </w:r>
      <w:r w:rsidR="00695582">
        <w:rPr>
          <w:color w:val="000000" w:themeColor="text1"/>
          <w:sz w:val="22"/>
          <w:szCs w:val="22"/>
        </w:rPr>
        <w:t>,</w:t>
      </w:r>
      <w:r w:rsidRPr="008C1DE4">
        <w:rPr>
          <w:color w:val="000000" w:themeColor="text1"/>
          <w:sz w:val="22"/>
          <w:szCs w:val="22"/>
        </w:rPr>
        <w:t xml:space="preserve"> while </w:t>
      </w:r>
      <w:r w:rsidR="00AB7557" w:rsidRPr="008C1DE4">
        <w:rPr>
          <w:color w:val="000000" w:themeColor="text1"/>
          <w:sz w:val="22"/>
          <w:szCs w:val="22"/>
        </w:rPr>
        <w:t>bank</w:t>
      </w:r>
      <w:r w:rsidR="00AB7557">
        <w:rPr>
          <w:color w:val="000000" w:themeColor="text1"/>
          <w:sz w:val="22"/>
          <w:szCs w:val="22"/>
        </w:rPr>
        <w:t>-</w:t>
      </w:r>
      <w:r w:rsidRPr="008C1DE4">
        <w:rPr>
          <w:color w:val="000000" w:themeColor="text1"/>
          <w:sz w:val="22"/>
          <w:szCs w:val="22"/>
        </w:rPr>
        <w:t xml:space="preserve">specific and </w:t>
      </w:r>
      <w:r w:rsidR="00386B53" w:rsidRPr="008C1DE4">
        <w:rPr>
          <w:color w:val="000000" w:themeColor="text1"/>
          <w:sz w:val="22"/>
          <w:szCs w:val="22"/>
        </w:rPr>
        <w:t>risk</w:t>
      </w:r>
      <w:r w:rsidRPr="008C1DE4">
        <w:rPr>
          <w:color w:val="000000" w:themeColor="text1"/>
          <w:sz w:val="22"/>
          <w:szCs w:val="22"/>
        </w:rPr>
        <w:t xml:space="preserve"> variables are </w:t>
      </w:r>
      <m:oMath>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X</m:t>
            </m:r>
          </m:e>
          <m:sub>
            <m:r>
              <w:rPr>
                <w:rFonts w:ascii="Cambria Math" w:hAnsi="Cambria Math"/>
                <w:color w:val="000000" w:themeColor="text1"/>
                <w:sz w:val="22"/>
                <w:szCs w:val="22"/>
              </w:rPr>
              <m:t>i,t</m:t>
            </m:r>
          </m:sub>
          <m:sup>
            <m:r>
              <w:rPr>
                <w:rFonts w:ascii="Cambria Math" w:hAnsi="Cambria Math"/>
                <w:color w:val="000000" w:themeColor="text1"/>
                <w:sz w:val="22"/>
                <w:szCs w:val="22"/>
              </w:rPr>
              <m:t>m</m:t>
            </m:r>
          </m:sup>
        </m:sSubSup>
      </m:oMath>
      <w:r w:rsidRPr="008C1DE4">
        <w:rPr>
          <w:color w:val="000000" w:themeColor="text1"/>
          <w:sz w:val="22"/>
          <w:szCs w:val="22"/>
        </w:rPr>
        <w:t>.</w:t>
      </w:r>
      <w:r w:rsidR="008C1DE4" w:rsidRPr="008C1DE4">
        <w:rPr>
          <w:color w:val="000000" w:themeColor="text1"/>
          <w:sz w:val="22"/>
          <w:szCs w:val="22"/>
        </w:rPr>
        <w:t xml:space="preserve"> </w:t>
      </w:r>
      <w:r w:rsidR="008C1DE4" w:rsidRPr="008C1DE4">
        <w:rPr>
          <w:sz w:val="22"/>
          <w:szCs w:val="22"/>
        </w:rPr>
        <w:t xml:space="preserve">Finally, </w:t>
      </w:r>
      <m:oMath>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i,t</m:t>
            </m:r>
          </m:sub>
        </m:sSub>
      </m:oMath>
      <w:r w:rsidR="008C1DE4" w:rsidRPr="008C1DE4">
        <w:rPr>
          <w:sz w:val="22"/>
          <w:szCs w:val="22"/>
        </w:rPr>
        <w:t xml:space="preserve"> is the state-year-specific error term.</w:t>
      </w:r>
    </w:p>
    <w:p w14:paraId="4A172687" w14:textId="7D014144" w:rsidR="003528CC" w:rsidRPr="005B1D9D" w:rsidRDefault="003528CC" w:rsidP="00F2635D">
      <w:pPr>
        <w:pStyle w:val="ListParagraph"/>
        <w:numPr>
          <w:ilvl w:val="1"/>
          <w:numId w:val="9"/>
        </w:numPr>
        <w:spacing w:after="200" w:line="276" w:lineRule="auto"/>
        <w:outlineLvl w:val="1"/>
        <w:rPr>
          <w:rFonts w:asciiTheme="majorBidi" w:hAnsiTheme="majorBidi" w:cstheme="majorBidi"/>
          <w:b/>
          <w:bCs/>
        </w:rPr>
      </w:pPr>
      <w:r w:rsidRPr="005B1D9D">
        <w:rPr>
          <w:rFonts w:asciiTheme="majorBidi" w:hAnsiTheme="majorBidi" w:cstheme="majorBidi"/>
          <w:b/>
          <w:bCs/>
        </w:rPr>
        <w:t xml:space="preserve">Constant </w:t>
      </w:r>
      <w:r w:rsidR="00FB41ED" w:rsidRPr="005B1D9D">
        <w:rPr>
          <w:rFonts w:asciiTheme="majorBidi" w:hAnsiTheme="majorBidi" w:cstheme="majorBidi"/>
          <w:b/>
          <w:bCs/>
        </w:rPr>
        <w:t>R</w:t>
      </w:r>
      <w:r w:rsidRPr="005B1D9D">
        <w:rPr>
          <w:rFonts w:asciiTheme="majorBidi" w:hAnsiTheme="majorBidi" w:cstheme="majorBidi"/>
          <w:b/>
          <w:bCs/>
        </w:rPr>
        <w:t xml:space="preserve">eturn to </w:t>
      </w:r>
      <w:r w:rsidR="00FB41ED" w:rsidRPr="005B1D9D">
        <w:rPr>
          <w:rFonts w:asciiTheme="majorBidi" w:hAnsiTheme="majorBidi" w:cstheme="majorBidi"/>
          <w:b/>
          <w:bCs/>
        </w:rPr>
        <w:t>S</w:t>
      </w:r>
      <w:r w:rsidRPr="005B1D9D">
        <w:rPr>
          <w:rFonts w:asciiTheme="majorBidi" w:hAnsiTheme="majorBidi" w:cstheme="majorBidi"/>
          <w:b/>
          <w:bCs/>
        </w:rPr>
        <w:t xml:space="preserve">cale </w:t>
      </w:r>
      <w:r w:rsidR="00166432" w:rsidRPr="005B1D9D">
        <w:rPr>
          <w:rFonts w:asciiTheme="majorBidi" w:hAnsiTheme="majorBidi" w:cstheme="majorBidi"/>
          <w:b/>
          <w:bCs/>
        </w:rPr>
        <w:t xml:space="preserve">(CRS) </w:t>
      </w:r>
      <w:r w:rsidR="00FA7ADA" w:rsidRPr="005B1D9D">
        <w:rPr>
          <w:rFonts w:asciiTheme="majorBidi" w:hAnsiTheme="majorBidi" w:cstheme="majorBidi"/>
          <w:b/>
          <w:bCs/>
        </w:rPr>
        <w:t>v</w:t>
      </w:r>
      <w:r w:rsidR="00166432" w:rsidRPr="005B1D9D">
        <w:rPr>
          <w:rFonts w:asciiTheme="majorBidi" w:hAnsiTheme="majorBidi" w:cstheme="majorBidi"/>
          <w:b/>
          <w:bCs/>
        </w:rPr>
        <w:t xml:space="preserve">ersus </w:t>
      </w:r>
      <w:r w:rsidR="00FB41ED" w:rsidRPr="005B1D9D">
        <w:rPr>
          <w:rFonts w:asciiTheme="majorBidi" w:hAnsiTheme="majorBidi" w:cstheme="majorBidi"/>
          <w:b/>
          <w:bCs/>
        </w:rPr>
        <w:t>V</w:t>
      </w:r>
      <w:r w:rsidRPr="005B1D9D">
        <w:rPr>
          <w:rFonts w:asciiTheme="majorBidi" w:hAnsiTheme="majorBidi" w:cstheme="majorBidi"/>
          <w:b/>
          <w:bCs/>
        </w:rPr>
        <w:t xml:space="preserve">ariable </w:t>
      </w:r>
      <w:r w:rsidR="00FB41ED" w:rsidRPr="005B1D9D">
        <w:rPr>
          <w:rFonts w:asciiTheme="majorBidi" w:hAnsiTheme="majorBidi" w:cstheme="majorBidi"/>
          <w:b/>
          <w:bCs/>
        </w:rPr>
        <w:t>R</w:t>
      </w:r>
      <w:r w:rsidRPr="005B1D9D">
        <w:rPr>
          <w:rFonts w:asciiTheme="majorBidi" w:hAnsiTheme="majorBidi" w:cstheme="majorBidi"/>
          <w:b/>
          <w:bCs/>
        </w:rPr>
        <w:t xml:space="preserve">eturn to </w:t>
      </w:r>
      <w:r w:rsidR="00FB41ED" w:rsidRPr="005B1D9D">
        <w:rPr>
          <w:rFonts w:asciiTheme="majorBidi" w:hAnsiTheme="majorBidi" w:cstheme="majorBidi"/>
          <w:b/>
          <w:bCs/>
        </w:rPr>
        <w:t>S</w:t>
      </w:r>
      <w:r w:rsidRPr="005B1D9D">
        <w:rPr>
          <w:rFonts w:asciiTheme="majorBidi" w:hAnsiTheme="majorBidi" w:cstheme="majorBidi"/>
          <w:b/>
          <w:bCs/>
        </w:rPr>
        <w:t>cale</w:t>
      </w:r>
      <w:r w:rsidR="00166432" w:rsidRPr="005B1D9D">
        <w:rPr>
          <w:rFonts w:asciiTheme="majorBidi" w:hAnsiTheme="majorBidi" w:cstheme="majorBidi"/>
          <w:b/>
          <w:bCs/>
        </w:rPr>
        <w:t xml:space="preserve"> (VRS)</w:t>
      </w:r>
    </w:p>
    <w:p w14:paraId="10DDD6EB" w14:textId="5CF369BA" w:rsidR="000940A7" w:rsidRDefault="003528CC" w:rsidP="006D498D">
      <w:pPr>
        <w:spacing w:after="200" w:line="360" w:lineRule="auto"/>
        <w:jc w:val="both"/>
        <w:rPr>
          <w:sz w:val="22"/>
          <w:szCs w:val="22"/>
        </w:rPr>
      </w:pPr>
      <w:r w:rsidRPr="00CE1CE2">
        <w:rPr>
          <w:sz w:val="22"/>
          <w:szCs w:val="22"/>
        </w:rPr>
        <w:t xml:space="preserve">The </w:t>
      </w:r>
      <w:r w:rsidR="00187F5A" w:rsidRPr="00E14280">
        <w:rPr>
          <w:i/>
          <w:iCs/>
          <w:sz w:val="22"/>
          <w:szCs w:val="22"/>
        </w:rPr>
        <w:t>CRS</w:t>
      </w:r>
      <w:r w:rsidR="008364A0" w:rsidRPr="00CE1CE2">
        <w:rPr>
          <w:sz w:val="22"/>
          <w:szCs w:val="22"/>
        </w:rPr>
        <w:t xml:space="preserve"> </w:t>
      </w:r>
      <w:r w:rsidRPr="00CE1CE2">
        <w:rPr>
          <w:sz w:val="22"/>
          <w:szCs w:val="22"/>
        </w:rPr>
        <w:t xml:space="preserve">and the </w:t>
      </w:r>
      <w:r w:rsidR="00187F5A" w:rsidRPr="00E14280">
        <w:rPr>
          <w:i/>
          <w:iCs/>
          <w:sz w:val="22"/>
          <w:szCs w:val="22"/>
        </w:rPr>
        <w:t>VRS</w:t>
      </w:r>
      <w:r w:rsidRPr="00CE1CE2">
        <w:rPr>
          <w:sz w:val="22"/>
          <w:szCs w:val="22"/>
        </w:rPr>
        <w:t xml:space="preserve"> model</w:t>
      </w:r>
      <w:r w:rsidR="008364A0" w:rsidRPr="00CE1CE2">
        <w:rPr>
          <w:sz w:val="22"/>
          <w:szCs w:val="22"/>
        </w:rPr>
        <w:t>s</w:t>
      </w:r>
      <w:r w:rsidRPr="00CE1CE2">
        <w:rPr>
          <w:sz w:val="22"/>
          <w:szCs w:val="22"/>
        </w:rPr>
        <w:t xml:space="preserve"> are the two most important DEA models. The </w:t>
      </w:r>
      <w:r w:rsidR="00E1383B" w:rsidRPr="00E14280">
        <w:rPr>
          <w:i/>
          <w:iCs/>
          <w:sz w:val="22"/>
          <w:szCs w:val="22"/>
        </w:rPr>
        <w:t>CRS</w:t>
      </w:r>
      <w:r w:rsidRPr="00CE1CE2">
        <w:rPr>
          <w:sz w:val="22"/>
          <w:szCs w:val="22"/>
        </w:rPr>
        <w:t xml:space="preserve"> was developed by </w:t>
      </w:r>
      <w:r w:rsidR="00E1383B" w:rsidRPr="00CE1CE2">
        <w:rPr>
          <w:sz w:val="22"/>
          <w:szCs w:val="22"/>
        </w:rPr>
        <w:t xml:space="preserve">Charnes </w:t>
      </w:r>
      <w:r w:rsidR="00EB3323" w:rsidRPr="005D71C2">
        <w:rPr>
          <w:sz w:val="22"/>
          <w:szCs w:val="22"/>
        </w:rPr>
        <w:t>et al.</w:t>
      </w:r>
      <w:r w:rsidR="00E1383B" w:rsidRPr="005D71C2">
        <w:rPr>
          <w:sz w:val="22"/>
          <w:szCs w:val="22"/>
        </w:rPr>
        <w:t xml:space="preserve"> </w:t>
      </w:r>
      <w:r w:rsidR="00E1383B" w:rsidRPr="00CE1CE2">
        <w:rPr>
          <w:sz w:val="22"/>
          <w:szCs w:val="22"/>
        </w:rPr>
        <w:t>(</w:t>
      </w:r>
      <w:r w:rsidR="00E1383B" w:rsidRPr="000940A7">
        <w:rPr>
          <w:color w:val="0070C0"/>
          <w:sz w:val="22"/>
          <w:szCs w:val="22"/>
        </w:rPr>
        <w:t>1978</w:t>
      </w:r>
      <w:r w:rsidR="00E1383B" w:rsidRPr="00CE1CE2">
        <w:rPr>
          <w:sz w:val="22"/>
          <w:szCs w:val="22"/>
        </w:rPr>
        <w:t xml:space="preserve">) </w:t>
      </w:r>
      <w:r w:rsidRPr="00CE1CE2">
        <w:rPr>
          <w:sz w:val="22"/>
          <w:szCs w:val="22"/>
        </w:rPr>
        <w:t xml:space="preserve">to assess </w:t>
      </w:r>
      <w:r w:rsidR="00B666D4">
        <w:rPr>
          <w:sz w:val="22"/>
          <w:szCs w:val="22"/>
        </w:rPr>
        <w:t xml:space="preserve">overall </w:t>
      </w:r>
      <w:r w:rsidRPr="00CE1CE2">
        <w:rPr>
          <w:sz w:val="22"/>
          <w:szCs w:val="22"/>
        </w:rPr>
        <w:t xml:space="preserve">efficiency. </w:t>
      </w:r>
      <w:r w:rsidR="00B7415C" w:rsidRPr="00CE1CE2">
        <w:rPr>
          <w:sz w:val="22"/>
          <w:szCs w:val="22"/>
        </w:rPr>
        <w:t>To</w:t>
      </w:r>
      <w:r w:rsidRPr="00CE1CE2">
        <w:rPr>
          <w:sz w:val="22"/>
          <w:szCs w:val="22"/>
        </w:rPr>
        <w:t xml:space="preserve"> determine the </w:t>
      </w:r>
      <w:r w:rsidR="00AE510E">
        <w:rPr>
          <w:sz w:val="22"/>
          <w:szCs w:val="22"/>
        </w:rPr>
        <w:t xml:space="preserve">pure </w:t>
      </w:r>
      <w:r w:rsidRPr="00CE1CE2">
        <w:rPr>
          <w:sz w:val="22"/>
          <w:szCs w:val="22"/>
        </w:rPr>
        <w:t xml:space="preserve">technical efficiency based on the size of operation in the unit necessary to provide services to beneficiaries at the time of measurement, </w:t>
      </w:r>
      <w:r w:rsidR="00E1383B" w:rsidRPr="00CE1CE2">
        <w:rPr>
          <w:sz w:val="22"/>
          <w:szCs w:val="22"/>
        </w:rPr>
        <w:t xml:space="preserve">Banker </w:t>
      </w:r>
      <w:r w:rsidR="00EB3323" w:rsidRPr="005D71C2">
        <w:rPr>
          <w:sz w:val="22"/>
          <w:szCs w:val="22"/>
        </w:rPr>
        <w:t>et al.</w:t>
      </w:r>
      <w:r w:rsidR="00E1383B" w:rsidRPr="00CE1CE2">
        <w:rPr>
          <w:sz w:val="22"/>
          <w:szCs w:val="22"/>
        </w:rPr>
        <w:t xml:space="preserve"> (</w:t>
      </w:r>
      <w:r w:rsidR="00E1383B" w:rsidRPr="000940A7">
        <w:rPr>
          <w:color w:val="0070C0"/>
          <w:sz w:val="22"/>
          <w:szCs w:val="22"/>
        </w:rPr>
        <w:t>1984</w:t>
      </w:r>
      <w:r w:rsidR="00E1383B" w:rsidRPr="00CE1CE2">
        <w:rPr>
          <w:sz w:val="22"/>
          <w:szCs w:val="22"/>
        </w:rPr>
        <w:t xml:space="preserve">) </w:t>
      </w:r>
      <w:r w:rsidRPr="00CE1CE2">
        <w:rPr>
          <w:sz w:val="22"/>
          <w:szCs w:val="22"/>
        </w:rPr>
        <w:t xml:space="preserve">developed the </w:t>
      </w:r>
      <w:r w:rsidR="00E1383B" w:rsidRPr="00E14280">
        <w:rPr>
          <w:i/>
          <w:iCs/>
          <w:sz w:val="22"/>
          <w:szCs w:val="22"/>
        </w:rPr>
        <w:t>VRS</w:t>
      </w:r>
      <w:r w:rsidRPr="00CE1CE2">
        <w:rPr>
          <w:sz w:val="22"/>
          <w:szCs w:val="22"/>
        </w:rPr>
        <w:t xml:space="preserve"> model, which is based on the </w:t>
      </w:r>
      <w:r w:rsidRPr="00E14280">
        <w:rPr>
          <w:i/>
          <w:iCs/>
          <w:sz w:val="22"/>
          <w:szCs w:val="22"/>
        </w:rPr>
        <w:t>C</w:t>
      </w:r>
      <w:r w:rsidR="00E1383B" w:rsidRPr="00E14280">
        <w:rPr>
          <w:i/>
          <w:iCs/>
          <w:sz w:val="22"/>
          <w:szCs w:val="22"/>
        </w:rPr>
        <w:t>RS</w:t>
      </w:r>
      <w:r w:rsidRPr="00CE1CE2">
        <w:rPr>
          <w:sz w:val="22"/>
          <w:szCs w:val="22"/>
        </w:rPr>
        <w:t xml:space="preserve"> model. They presumptively believe that efficiency and particular operation size are related.</w:t>
      </w:r>
      <w:r w:rsidR="00E1383B" w:rsidRPr="00CE1CE2">
        <w:rPr>
          <w:sz w:val="22"/>
          <w:szCs w:val="22"/>
        </w:rPr>
        <w:t xml:space="preserve"> These models will be used to calculate the </w:t>
      </w:r>
      <w:r w:rsidR="00E1383B" w:rsidRPr="00E14280">
        <w:rPr>
          <w:i/>
          <w:iCs/>
          <w:sz w:val="22"/>
          <w:szCs w:val="22"/>
        </w:rPr>
        <w:t>CRS</w:t>
      </w:r>
      <w:r w:rsidR="00E1383B" w:rsidRPr="00CE1CE2">
        <w:rPr>
          <w:sz w:val="22"/>
          <w:szCs w:val="22"/>
        </w:rPr>
        <w:t xml:space="preserve"> and </w:t>
      </w:r>
      <w:r w:rsidR="00E1383B" w:rsidRPr="00E14280">
        <w:rPr>
          <w:i/>
          <w:iCs/>
          <w:sz w:val="22"/>
          <w:szCs w:val="22"/>
        </w:rPr>
        <w:t>VRS</w:t>
      </w:r>
      <w:r w:rsidR="00E1383B" w:rsidRPr="00CE1CE2">
        <w:rPr>
          <w:sz w:val="22"/>
          <w:szCs w:val="22"/>
        </w:rPr>
        <w:t xml:space="preserve"> efficiency scores for each </w:t>
      </w:r>
      <w:r w:rsidR="00593B7D" w:rsidRPr="00CE1CE2">
        <w:rPr>
          <w:sz w:val="22"/>
          <w:szCs w:val="22"/>
        </w:rPr>
        <w:t>decision-making unit (DMU)</w:t>
      </w:r>
      <w:r w:rsidR="00E1383B" w:rsidRPr="00CE1CE2">
        <w:rPr>
          <w:sz w:val="22"/>
          <w:szCs w:val="22"/>
        </w:rPr>
        <w:t xml:space="preserve">, also known as the overall and </w:t>
      </w:r>
      <w:r w:rsidR="00AE510E">
        <w:rPr>
          <w:sz w:val="22"/>
          <w:szCs w:val="22"/>
        </w:rPr>
        <w:t xml:space="preserve">pure </w:t>
      </w:r>
      <w:r w:rsidR="00E1383B" w:rsidRPr="00CE1CE2">
        <w:rPr>
          <w:sz w:val="22"/>
          <w:szCs w:val="22"/>
        </w:rPr>
        <w:t xml:space="preserve">technical efficiency scores. </w:t>
      </w:r>
      <w:r w:rsidR="00AB7557">
        <w:rPr>
          <w:sz w:val="22"/>
          <w:szCs w:val="22"/>
        </w:rPr>
        <w:t>For</w:t>
      </w:r>
      <w:r w:rsidR="00E1383B" w:rsidRPr="00CE1CE2">
        <w:rPr>
          <w:sz w:val="22"/>
          <w:szCs w:val="22"/>
        </w:rPr>
        <w:t xml:space="preserve"> the size of the </w:t>
      </w:r>
      <w:r w:rsidR="00593B7D" w:rsidRPr="00CE1CE2">
        <w:rPr>
          <w:sz w:val="22"/>
          <w:szCs w:val="22"/>
        </w:rPr>
        <w:t>DMU</w:t>
      </w:r>
      <w:r w:rsidR="00E1383B" w:rsidRPr="00CE1CE2">
        <w:rPr>
          <w:sz w:val="22"/>
          <w:szCs w:val="22"/>
        </w:rPr>
        <w:t xml:space="preserve">, </w:t>
      </w:r>
      <w:r w:rsidR="00A0418F" w:rsidRPr="00CE1CE2">
        <w:rPr>
          <w:sz w:val="22"/>
          <w:szCs w:val="22"/>
        </w:rPr>
        <w:t>c</w:t>
      </w:r>
      <w:r w:rsidR="00E1383B" w:rsidRPr="00CE1CE2">
        <w:rPr>
          <w:sz w:val="22"/>
          <w:szCs w:val="22"/>
        </w:rPr>
        <w:t xml:space="preserve">onstant </w:t>
      </w:r>
      <w:r w:rsidR="00A0418F" w:rsidRPr="00CE1CE2">
        <w:rPr>
          <w:sz w:val="22"/>
          <w:szCs w:val="22"/>
        </w:rPr>
        <w:t>r</w:t>
      </w:r>
      <w:r w:rsidR="00E1383B" w:rsidRPr="00CE1CE2">
        <w:rPr>
          <w:sz w:val="22"/>
          <w:szCs w:val="22"/>
        </w:rPr>
        <w:t xml:space="preserve">eturn to </w:t>
      </w:r>
      <w:r w:rsidR="00A0418F" w:rsidRPr="00CE1CE2">
        <w:rPr>
          <w:sz w:val="22"/>
          <w:szCs w:val="22"/>
        </w:rPr>
        <w:t>s</w:t>
      </w:r>
      <w:r w:rsidR="00E1383B" w:rsidRPr="00CE1CE2">
        <w:rPr>
          <w:sz w:val="22"/>
          <w:szCs w:val="22"/>
        </w:rPr>
        <w:t>cale (</w:t>
      </w:r>
      <w:r w:rsidR="00E1383B" w:rsidRPr="00E14280">
        <w:rPr>
          <w:i/>
          <w:iCs/>
          <w:sz w:val="22"/>
          <w:szCs w:val="22"/>
        </w:rPr>
        <w:t>CRS</w:t>
      </w:r>
      <w:r w:rsidR="00E1383B" w:rsidRPr="00CE1CE2">
        <w:rPr>
          <w:sz w:val="22"/>
          <w:szCs w:val="22"/>
        </w:rPr>
        <w:t xml:space="preserve">) assumes that output variation is directly proportional to input variance. For a set of </w:t>
      </w:r>
      <w:r w:rsidR="00593B7D" w:rsidRPr="00CE1CE2">
        <w:rPr>
          <w:sz w:val="22"/>
          <w:szCs w:val="22"/>
        </w:rPr>
        <w:t>DMU</w:t>
      </w:r>
      <w:r w:rsidR="00E1383B" w:rsidRPr="00CE1CE2">
        <w:rPr>
          <w:sz w:val="22"/>
          <w:szCs w:val="22"/>
        </w:rPr>
        <w:t xml:space="preserve">s with a vast scale of operations, the </w:t>
      </w:r>
      <w:r w:rsidR="00E1383B" w:rsidRPr="00E14280">
        <w:rPr>
          <w:i/>
          <w:iCs/>
          <w:sz w:val="22"/>
          <w:szCs w:val="22"/>
        </w:rPr>
        <w:t>CRS</w:t>
      </w:r>
      <w:r w:rsidR="00E1383B" w:rsidRPr="00CE1CE2">
        <w:rPr>
          <w:sz w:val="22"/>
          <w:szCs w:val="22"/>
        </w:rPr>
        <w:t xml:space="preserve"> might not be appropriate. The </w:t>
      </w:r>
      <w:r w:rsidR="00A0418F" w:rsidRPr="00CE1CE2">
        <w:rPr>
          <w:sz w:val="22"/>
          <w:szCs w:val="22"/>
        </w:rPr>
        <w:t>v</w:t>
      </w:r>
      <w:r w:rsidR="00E1383B" w:rsidRPr="00CE1CE2">
        <w:rPr>
          <w:sz w:val="22"/>
          <w:szCs w:val="22"/>
        </w:rPr>
        <w:t xml:space="preserve">ariable </w:t>
      </w:r>
      <w:r w:rsidR="00A0418F" w:rsidRPr="00CE1CE2">
        <w:rPr>
          <w:sz w:val="22"/>
          <w:szCs w:val="22"/>
        </w:rPr>
        <w:t>r</w:t>
      </w:r>
      <w:r w:rsidR="00E1383B" w:rsidRPr="00CE1CE2">
        <w:rPr>
          <w:sz w:val="22"/>
          <w:szCs w:val="22"/>
        </w:rPr>
        <w:t xml:space="preserve">eturn to </w:t>
      </w:r>
      <w:r w:rsidR="00A0418F" w:rsidRPr="00CE1CE2">
        <w:rPr>
          <w:sz w:val="22"/>
          <w:szCs w:val="22"/>
        </w:rPr>
        <w:t>s</w:t>
      </w:r>
      <w:r w:rsidR="00E1383B" w:rsidRPr="00CE1CE2">
        <w:rPr>
          <w:sz w:val="22"/>
          <w:szCs w:val="22"/>
        </w:rPr>
        <w:t>cale (</w:t>
      </w:r>
      <w:r w:rsidR="00E1383B" w:rsidRPr="00E14280">
        <w:rPr>
          <w:i/>
          <w:iCs/>
          <w:sz w:val="22"/>
          <w:szCs w:val="22"/>
        </w:rPr>
        <w:t>VRS</w:t>
      </w:r>
      <w:r w:rsidR="00E1383B" w:rsidRPr="00CE1CE2">
        <w:rPr>
          <w:sz w:val="22"/>
          <w:szCs w:val="22"/>
        </w:rPr>
        <w:t>) model assumes that changing inputs does not result in a corresponding change in output</w:t>
      </w:r>
      <w:r w:rsidR="00BE7991">
        <w:rPr>
          <w:sz w:val="22"/>
          <w:szCs w:val="22"/>
        </w:rPr>
        <w:t>;</w:t>
      </w:r>
      <w:r w:rsidR="00E1383B" w:rsidRPr="00CE1CE2">
        <w:rPr>
          <w:sz w:val="22"/>
          <w:szCs w:val="22"/>
        </w:rPr>
        <w:t xml:space="preserve"> therefore</w:t>
      </w:r>
      <w:r w:rsidR="00BE7991">
        <w:rPr>
          <w:sz w:val="22"/>
          <w:szCs w:val="22"/>
        </w:rPr>
        <w:t>,</w:t>
      </w:r>
      <w:r w:rsidR="00E1383B" w:rsidRPr="00CE1CE2">
        <w:rPr>
          <w:sz w:val="22"/>
          <w:szCs w:val="22"/>
        </w:rPr>
        <w:t xml:space="preserve"> when a </w:t>
      </w:r>
      <w:r w:rsidR="00593B7D" w:rsidRPr="00CE1CE2">
        <w:rPr>
          <w:sz w:val="22"/>
          <w:szCs w:val="22"/>
        </w:rPr>
        <w:t>DMU</w:t>
      </w:r>
      <w:r w:rsidR="00E1383B" w:rsidRPr="00CE1CE2">
        <w:rPr>
          <w:sz w:val="22"/>
          <w:szCs w:val="22"/>
        </w:rPr>
        <w:t xml:space="preserve"> is expanded, its average cost either decreases or increases. </w:t>
      </w:r>
      <w:r w:rsidR="00166432" w:rsidRPr="00CE1CE2">
        <w:rPr>
          <w:sz w:val="22"/>
          <w:szCs w:val="22"/>
        </w:rPr>
        <w:t>W</w:t>
      </w:r>
      <w:r w:rsidR="00E1383B" w:rsidRPr="00CE1CE2">
        <w:rPr>
          <w:sz w:val="22"/>
          <w:szCs w:val="22"/>
        </w:rPr>
        <w:t xml:space="preserve">hen the sample consists of small to large </w:t>
      </w:r>
      <w:r w:rsidR="000940A7">
        <w:rPr>
          <w:sz w:val="22"/>
          <w:szCs w:val="22"/>
        </w:rPr>
        <w:t>DMUs</w:t>
      </w:r>
      <w:r w:rsidR="00E1383B" w:rsidRPr="00CE1CE2">
        <w:rPr>
          <w:sz w:val="22"/>
          <w:szCs w:val="22"/>
        </w:rPr>
        <w:t xml:space="preserve">, the </w:t>
      </w:r>
      <w:r w:rsidR="00E1383B" w:rsidRPr="00E14280">
        <w:rPr>
          <w:i/>
          <w:iCs/>
          <w:sz w:val="22"/>
          <w:szCs w:val="22"/>
        </w:rPr>
        <w:t>VRS</w:t>
      </w:r>
      <w:r w:rsidR="00E1383B" w:rsidRPr="00CE1CE2">
        <w:rPr>
          <w:sz w:val="22"/>
          <w:szCs w:val="22"/>
        </w:rPr>
        <w:t xml:space="preserve"> approach is more appropriate than the </w:t>
      </w:r>
      <w:r w:rsidR="00E1383B" w:rsidRPr="00E14280">
        <w:rPr>
          <w:i/>
          <w:iCs/>
          <w:sz w:val="22"/>
          <w:szCs w:val="22"/>
        </w:rPr>
        <w:t>CRS</w:t>
      </w:r>
      <w:r w:rsidR="00E1383B" w:rsidRPr="00CE1CE2">
        <w:rPr>
          <w:sz w:val="22"/>
          <w:szCs w:val="22"/>
        </w:rPr>
        <w:t xml:space="preserve"> approach. The likelihood that banks may experience non-constant returns to scale increases with banking system development, which is another reason why the </w:t>
      </w:r>
      <w:r w:rsidR="00E1383B" w:rsidRPr="00E14280">
        <w:rPr>
          <w:i/>
          <w:iCs/>
          <w:sz w:val="22"/>
          <w:szCs w:val="22"/>
        </w:rPr>
        <w:t>VRS</w:t>
      </w:r>
      <w:r w:rsidR="00E1383B" w:rsidRPr="00CE1CE2">
        <w:rPr>
          <w:sz w:val="22"/>
          <w:szCs w:val="22"/>
        </w:rPr>
        <w:t xml:space="preserve"> approach is preferred over the </w:t>
      </w:r>
      <w:r w:rsidR="00E1383B" w:rsidRPr="00E14280">
        <w:rPr>
          <w:i/>
          <w:iCs/>
          <w:sz w:val="22"/>
          <w:szCs w:val="22"/>
        </w:rPr>
        <w:t>CRS</w:t>
      </w:r>
      <w:r w:rsidR="00E1383B" w:rsidRPr="00CE1CE2">
        <w:rPr>
          <w:sz w:val="22"/>
          <w:szCs w:val="22"/>
        </w:rPr>
        <w:t xml:space="preserve">. In addition, the </w:t>
      </w:r>
      <w:r w:rsidR="00E1383B" w:rsidRPr="00E14280">
        <w:rPr>
          <w:i/>
          <w:iCs/>
          <w:sz w:val="22"/>
          <w:szCs w:val="22"/>
        </w:rPr>
        <w:t>VRS</w:t>
      </w:r>
      <w:r w:rsidR="00E1383B" w:rsidRPr="00CE1CE2">
        <w:rPr>
          <w:sz w:val="22"/>
          <w:szCs w:val="22"/>
        </w:rPr>
        <w:t xml:space="preserve"> permits banks to depart from the </w:t>
      </w:r>
      <w:r w:rsidR="00E1383B" w:rsidRPr="00E14280">
        <w:rPr>
          <w:i/>
          <w:iCs/>
          <w:sz w:val="22"/>
          <w:szCs w:val="22"/>
        </w:rPr>
        <w:t>CRS</w:t>
      </w:r>
      <w:r w:rsidR="00E1383B" w:rsidRPr="00CE1CE2">
        <w:rPr>
          <w:sz w:val="22"/>
          <w:szCs w:val="22"/>
        </w:rPr>
        <w:t xml:space="preserve"> line, which is thought to be an ideal scale operation, in response to issues including imperfect competition, legal requirements, credit and loan restrictions, and macroeconomic repercussions. Only when all banks are operating at their optimal scale is the </w:t>
      </w:r>
      <w:r w:rsidR="00E1383B" w:rsidRPr="00E14280">
        <w:rPr>
          <w:i/>
          <w:iCs/>
          <w:sz w:val="22"/>
          <w:szCs w:val="22"/>
        </w:rPr>
        <w:t>CRS</w:t>
      </w:r>
      <w:r w:rsidR="00E1383B" w:rsidRPr="00CE1CE2">
        <w:rPr>
          <w:sz w:val="22"/>
          <w:szCs w:val="22"/>
        </w:rPr>
        <w:t xml:space="preserve"> appropriate. Yet, a bank might not operate at an ideal size if imperfect competition </w:t>
      </w:r>
      <w:r w:rsidR="00E1383B" w:rsidRPr="008C1DE4">
        <w:rPr>
          <w:sz w:val="22"/>
          <w:szCs w:val="22"/>
        </w:rPr>
        <w:t>occurs.</w:t>
      </w:r>
      <w:r w:rsidR="000940A7" w:rsidRPr="008C1DE4">
        <w:rPr>
          <w:sz w:val="22"/>
          <w:szCs w:val="22"/>
        </w:rPr>
        <w:t xml:space="preserve"> </w:t>
      </w:r>
      <w:r w:rsidR="00EB3323" w:rsidRPr="00EB3323">
        <w:rPr>
          <w:sz w:val="22"/>
          <w:szCs w:val="22"/>
        </w:rPr>
        <w:t xml:space="preserve">In this study, we present the results obtained with the </w:t>
      </w:r>
      <w:r w:rsidR="00EB3323" w:rsidRPr="00E14280">
        <w:rPr>
          <w:i/>
          <w:iCs/>
          <w:sz w:val="22"/>
          <w:szCs w:val="22"/>
        </w:rPr>
        <w:t>VRS</w:t>
      </w:r>
      <w:r w:rsidR="00EB3323" w:rsidRPr="00EB3323">
        <w:rPr>
          <w:sz w:val="22"/>
          <w:szCs w:val="22"/>
        </w:rPr>
        <w:t xml:space="preserve"> model. In addition, the </w:t>
      </w:r>
      <w:r w:rsidR="00EB3323" w:rsidRPr="00E14280">
        <w:rPr>
          <w:i/>
          <w:iCs/>
          <w:sz w:val="22"/>
          <w:szCs w:val="22"/>
        </w:rPr>
        <w:t>CRS</w:t>
      </w:r>
      <w:r w:rsidR="00EB3323" w:rsidRPr="00EB3323">
        <w:rPr>
          <w:sz w:val="22"/>
          <w:szCs w:val="22"/>
        </w:rPr>
        <w:t xml:space="preserve"> model findings will be </w:t>
      </w:r>
      <w:r w:rsidR="00EB3323">
        <w:rPr>
          <w:sz w:val="22"/>
          <w:szCs w:val="22"/>
        </w:rPr>
        <w:t>displayed</w:t>
      </w:r>
      <w:r w:rsidR="00EB3323" w:rsidRPr="00EB3323">
        <w:rPr>
          <w:sz w:val="22"/>
          <w:szCs w:val="22"/>
        </w:rPr>
        <w:t xml:space="preserve"> </w:t>
      </w:r>
      <w:r w:rsidR="007E0F6A">
        <w:rPr>
          <w:sz w:val="22"/>
          <w:szCs w:val="22"/>
        </w:rPr>
        <w:t>as robustness tests</w:t>
      </w:r>
      <w:r w:rsidR="00EB3323" w:rsidRPr="00EB3323">
        <w:rPr>
          <w:sz w:val="22"/>
          <w:szCs w:val="22"/>
        </w:rPr>
        <w:t xml:space="preserve">.  </w:t>
      </w:r>
    </w:p>
    <w:p w14:paraId="30246972" w14:textId="63579ADF" w:rsidR="00DF4DB2" w:rsidRPr="005B1D9D" w:rsidRDefault="00DF4DB2" w:rsidP="00DF4DB2">
      <w:pPr>
        <w:spacing w:after="200" w:line="360" w:lineRule="auto"/>
        <w:jc w:val="both"/>
        <w:rPr>
          <w:b/>
          <w:bCs/>
          <w:sz w:val="22"/>
          <w:szCs w:val="22"/>
        </w:rPr>
      </w:pPr>
      <w:r w:rsidRPr="005B1D9D">
        <w:rPr>
          <w:b/>
          <w:bCs/>
          <w:sz w:val="22"/>
          <w:szCs w:val="22"/>
        </w:rPr>
        <w:t xml:space="preserve">3.4. Measuring Bank Efficiency: Stochastic Frontier Analysis (SFA)  </w:t>
      </w:r>
    </w:p>
    <w:p w14:paraId="7A2E7D1C" w14:textId="4CB48BC2" w:rsidR="00850917" w:rsidRPr="00317677" w:rsidRDefault="00317677" w:rsidP="006D498D">
      <w:pPr>
        <w:spacing w:line="360" w:lineRule="auto"/>
        <w:jc w:val="both"/>
        <w:rPr>
          <w:sz w:val="22"/>
          <w:szCs w:val="22"/>
        </w:rPr>
      </w:pPr>
      <w:r w:rsidRPr="00317677">
        <w:rPr>
          <w:color w:val="004F88"/>
          <w:sz w:val="22"/>
          <w:szCs w:val="22"/>
        </w:rPr>
        <w:t xml:space="preserve">To assess the robustness of our results, we also employ Stochastic Frontier Analysis (SFA). Following the conventional SFA framework in production efficiency, we model a single output as a function of multiple inputs (Beccalli et al. 2015; Reinhard et al. 2020). </w:t>
      </w:r>
      <w:r w:rsidRPr="00317677">
        <w:rPr>
          <w:sz w:val="22"/>
          <w:szCs w:val="22"/>
        </w:rPr>
        <w:t>To accommodate this structure, we use Principal Component Analysis (PCA) to combine our three output variables—real estate loans, other loans, and securities—into a single composite measure, which is then incorporated into the SFA model.</w:t>
      </w:r>
      <w:r>
        <w:rPr>
          <w:sz w:val="22"/>
          <w:szCs w:val="22"/>
        </w:rPr>
        <w:t xml:space="preserve"> </w:t>
      </w:r>
      <w:r w:rsidR="00850917" w:rsidRPr="00317677">
        <w:rPr>
          <w:sz w:val="22"/>
          <w:szCs w:val="22"/>
        </w:rPr>
        <w:t>For ease of interpretation, we specify the production function in the Cobb-Douglas form (Aigner et al. 1977; Meeusen and Van Den Broeck 1977; Reinhard et al. 2000).</w:t>
      </w:r>
    </w:p>
    <w:p w14:paraId="007B900B" w14:textId="77777777" w:rsidR="00850917" w:rsidRPr="00317677" w:rsidRDefault="00850917" w:rsidP="00850917">
      <w:pPr>
        <w:spacing w:line="360" w:lineRule="auto"/>
        <w:rPr>
          <w:sz w:val="22"/>
          <w:szCs w:val="22"/>
        </w:rPr>
      </w:pPr>
    </w:p>
    <w:p w14:paraId="3CA54479" w14:textId="3D1C1B43" w:rsidR="001622ED" w:rsidRPr="00317677" w:rsidRDefault="00000000" w:rsidP="006D498D">
      <w:pPr>
        <w:spacing w:line="360" w:lineRule="auto"/>
        <w:ind w:left="1440" w:firstLine="720"/>
        <w:jc w:val="center"/>
        <w:rPr>
          <w:sz w:val="22"/>
          <w:szCs w:val="22"/>
        </w:rPr>
      </w:pPr>
      <m:oMath>
        <m:sSub>
          <m:sSubPr>
            <m:ctrlPr>
              <w:rPr>
                <w:rFonts w:ascii="Cambria Math" w:hAnsi="Cambria Math"/>
                <w:i/>
                <w:sz w:val="22"/>
                <w:szCs w:val="22"/>
              </w:rPr>
            </m:ctrlPr>
          </m:sSubPr>
          <m:e>
            <m:r>
              <m:rPr>
                <m:sty m:val="p"/>
              </m:rPr>
              <w:rPr>
                <w:rFonts w:ascii="Cambria Math" w:hAnsi="Cambria Math"/>
                <w:sz w:val="22"/>
                <w:szCs w:val="22"/>
              </w:rPr>
              <m:t>ln⁡</m:t>
            </m:r>
            <m:r>
              <w:rPr>
                <w:rFonts w:ascii="Cambria Math" w:hAnsi="Cambria Math"/>
                <w:sz w:val="22"/>
                <w:szCs w:val="22"/>
              </w:rPr>
              <m:t>(Y</m:t>
            </m:r>
          </m:e>
          <m:sub>
            <m:r>
              <w:rPr>
                <w:rFonts w:ascii="Cambria Math" w:hAnsi="Cambria Math"/>
                <w:sz w:val="22"/>
                <w:szCs w:val="22"/>
              </w:rPr>
              <m:t>i,t</m:t>
            </m:r>
          </m:sub>
        </m:sSub>
        <m:r>
          <w:rPr>
            <w:rFonts w:ascii="Cambria Math" w:hAnsi="Cambria Math"/>
            <w:sz w:val="22"/>
            <w:szCs w:val="22"/>
          </w:rPr>
          <m:t>)=</m:t>
        </m:r>
        <m:r>
          <m:rPr>
            <m:sty m:val="p"/>
          </m:rPr>
          <w:rPr>
            <w:rFonts w:ascii="Cambria Math" w:hAnsi="Cambria Math"/>
            <w:sz w:val="22"/>
            <w:szCs w:val="22"/>
          </w:rPr>
          <m:t>α</m:t>
        </m:r>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J</m:t>
            </m:r>
          </m:sup>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j</m:t>
                </m:r>
              </m:sub>
            </m:sSub>
          </m:e>
        </m:nary>
        <m:sSubSup>
          <m:sSubSupPr>
            <m:ctrlPr>
              <w:rPr>
                <w:rFonts w:ascii="Cambria Math" w:hAnsi="Cambria Math"/>
                <w:i/>
                <w:sz w:val="22"/>
                <w:szCs w:val="22"/>
              </w:rPr>
            </m:ctrlPr>
          </m:sSubSupPr>
          <m:e>
            <m:r>
              <m:rPr>
                <m:sty m:val="p"/>
              </m:rPr>
              <w:rPr>
                <w:rFonts w:ascii="Cambria Math" w:hAnsi="Cambria Math"/>
                <w:sz w:val="22"/>
                <w:szCs w:val="22"/>
              </w:rPr>
              <m:t>ln⁡</m:t>
            </m:r>
            <m:r>
              <w:rPr>
                <w:rFonts w:ascii="Cambria Math" w:hAnsi="Cambria Math"/>
                <w:sz w:val="22"/>
                <w:szCs w:val="22"/>
              </w:rPr>
              <m:t>(x</m:t>
            </m:r>
          </m:e>
          <m:sub>
            <m:r>
              <w:rPr>
                <w:rFonts w:ascii="Cambria Math" w:hAnsi="Cambria Math"/>
                <w:sz w:val="22"/>
                <w:szCs w:val="22"/>
              </w:rPr>
              <m:t>i,t</m:t>
            </m:r>
          </m:sub>
          <m:sup>
            <m:r>
              <w:rPr>
                <w:rFonts w:ascii="Cambria Math" w:hAnsi="Cambria Math"/>
                <w:sz w:val="22"/>
                <w:szCs w:val="22"/>
              </w:rPr>
              <m:t>j</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i,t</m:t>
            </m:r>
          </m:sub>
        </m:sSub>
      </m:oMath>
      <w:r w:rsidR="009C0BB7" w:rsidRPr="00317677">
        <w:rPr>
          <w:sz w:val="22"/>
          <w:szCs w:val="22"/>
        </w:rPr>
        <w:tab/>
      </w:r>
      <w:r w:rsidR="009C0BB7" w:rsidRPr="00317677">
        <w:rPr>
          <w:sz w:val="22"/>
          <w:szCs w:val="22"/>
        </w:rPr>
        <w:tab/>
      </w:r>
      <w:r w:rsidR="006D498D">
        <w:rPr>
          <w:sz w:val="22"/>
          <w:szCs w:val="22"/>
        </w:rPr>
        <w:tab/>
      </w:r>
      <w:r w:rsidR="009C0BB7" w:rsidRPr="00317677">
        <w:rPr>
          <w:sz w:val="22"/>
          <w:szCs w:val="22"/>
        </w:rPr>
        <w:tab/>
        <w:t>(3)</w:t>
      </w:r>
    </w:p>
    <w:p w14:paraId="643290A8" w14:textId="77777777" w:rsidR="00147AEE" w:rsidRPr="00317677" w:rsidRDefault="00147AEE" w:rsidP="00BA7F21">
      <w:pPr>
        <w:spacing w:after="200" w:line="360" w:lineRule="auto"/>
        <w:jc w:val="both"/>
        <w:rPr>
          <w:sz w:val="22"/>
          <w:szCs w:val="22"/>
        </w:rPr>
      </w:pPr>
    </w:p>
    <w:p w14:paraId="0DADBD89" w14:textId="21D7979E" w:rsidR="00BA7F21" w:rsidRPr="00317677" w:rsidRDefault="00BE7991" w:rsidP="00D974D9">
      <w:pPr>
        <w:spacing w:after="200" w:line="360" w:lineRule="auto"/>
        <w:jc w:val="both"/>
        <w:rPr>
          <w:sz w:val="22"/>
          <w:szCs w:val="22"/>
        </w:rPr>
      </w:pPr>
      <w:r w:rsidRPr="00317677">
        <w:rPr>
          <w:sz w:val="22"/>
          <w:szCs w:val="22"/>
        </w:rPr>
        <w:t>In the equation</w:t>
      </w:r>
      <w:r w:rsidR="00850917" w:rsidRPr="00317677">
        <w:rPr>
          <w:sz w:val="22"/>
          <w:szCs w:val="22"/>
        </w:rPr>
        <w:t>,</w:t>
      </w:r>
      <w:r w:rsidR="00D6340E" w:rsidRPr="00317677">
        <w:rPr>
          <w:sz w:val="22"/>
          <w:szCs w:val="22"/>
        </w:rPr>
        <w:t xml:space="preserve"> </w:t>
      </w:r>
      <m:oMath>
        <m:sSub>
          <m:sSubPr>
            <m:ctrlPr>
              <w:rPr>
                <w:rFonts w:ascii="Cambria Math" w:hAnsi="Cambria Math"/>
                <w:i/>
                <w:sz w:val="22"/>
                <w:szCs w:val="22"/>
              </w:rPr>
            </m:ctrlPr>
          </m:sSubPr>
          <m:e>
            <m:r>
              <m:rPr>
                <m:sty m:val="p"/>
              </m:rPr>
              <w:rPr>
                <w:rFonts w:ascii="Cambria Math" w:hAnsi="Cambria Math"/>
                <w:sz w:val="22"/>
                <w:szCs w:val="22"/>
              </w:rPr>
              <m:t>ln⁡</m:t>
            </m:r>
            <m:r>
              <w:rPr>
                <w:rFonts w:ascii="Cambria Math" w:hAnsi="Cambria Math"/>
                <w:sz w:val="22"/>
                <w:szCs w:val="22"/>
              </w:rPr>
              <m:t>(Y</m:t>
            </m:r>
          </m:e>
          <m:sub>
            <m:r>
              <w:rPr>
                <w:rFonts w:ascii="Cambria Math" w:hAnsi="Cambria Math"/>
                <w:sz w:val="22"/>
                <w:szCs w:val="22"/>
              </w:rPr>
              <m:t>i,t</m:t>
            </m:r>
          </m:sub>
        </m:sSub>
        <m:r>
          <w:rPr>
            <w:rFonts w:ascii="Cambria Math" w:hAnsi="Cambria Math"/>
            <w:sz w:val="22"/>
            <w:szCs w:val="22"/>
          </w:rPr>
          <m:t>)</m:t>
        </m:r>
      </m:oMath>
      <w:r w:rsidR="00152AA4" w:rsidRPr="00317677">
        <w:rPr>
          <w:sz w:val="22"/>
          <w:szCs w:val="22"/>
        </w:rPr>
        <w:t xml:space="preserve"> </w:t>
      </w:r>
      <w:r w:rsidR="00850917" w:rsidRPr="00317677">
        <w:rPr>
          <w:sz w:val="22"/>
          <w:szCs w:val="22"/>
        </w:rPr>
        <w:t>represents the natural logarithm of the output, which is a composite measure derived from real estate loans, other loans, and securities using Principal Component Analysis</w:t>
      </w:r>
      <w:r w:rsidR="00D6340E" w:rsidRPr="00317677">
        <w:rPr>
          <w:sz w:val="22"/>
          <w:szCs w:val="22"/>
        </w:rPr>
        <w:t xml:space="preserve">. </w:t>
      </w:r>
      <m:oMath>
        <m:sSubSup>
          <m:sSubSupPr>
            <m:ctrlPr>
              <w:rPr>
                <w:rFonts w:ascii="Cambria Math" w:hAnsi="Cambria Math"/>
                <w:i/>
                <w:sz w:val="22"/>
                <w:szCs w:val="22"/>
              </w:rPr>
            </m:ctrlPr>
          </m:sSubSupPr>
          <m:e>
            <m:r>
              <m:rPr>
                <m:sty m:val="p"/>
              </m:rPr>
              <w:rPr>
                <w:rFonts w:ascii="Cambria Math" w:hAnsi="Cambria Math"/>
                <w:sz w:val="22"/>
                <w:szCs w:val="22"/>
              </w:rPr>
              <m:t>ln⁡</m:t>
            </m:r>
            <m:r>
              <w:rPr>
                <w:rFonts w:ascii="Cambria Math" w:hAnsi="Cambria Math"/>
                <w:sz w:val="22"/>
                <w:szCs w:val="22"/>
              </w:rPr>
              <m:t>(x</m:t>
            </m:r>
          </m:e>
          <m:sub>
            <m:r>
              <w:rPr>
                <w:rFonts w:ascii="Cambria Math" w:hAnsi="Cambria Math"/>
                <w:sz w:val="22"/>
                <w:szCs w:val="22"/>
              </w:rPr>
              <m:t>i,t</m:t>
            </m:r>
          </m:sub>
          <m:sup>
            <m:r>
              <w:rPr>
                <w:rFonts w:ascii="Cambria Math" w:hAnsi="Cambria Math"/>
                <w:sz w:val="22"/>
                <w:szCs w:val="22"/>
              </w:rPr>
              <m:t>j</m:t>
            </m:r>
          </m:sup>
        </m:sSubSup>
        <m:r>
          <w:rPr>
            <w:rFonts w:ascii="Cambria Math" w:hAnsi="Cambria Math"/>
            <w:sz w:val="22"/>
            <w:szCs w:val="22"/>
          </w:rPr>
          <m:t>)</m:t>
        </m:r>
      </m:oMath>
      <w:r w:rsidR="00317677">
        <w:rPr>
          <w:sz w:val="22"/>
          <w:szCs w:val="22"/>
        </w:rPr>
        <w:t xml:space="preserve"> d</w:t>
      </w:r>
      <w:r w:rsidR="00850917" w:rsidRPr="00317677">
        <w:rPr>
          <w:sz w:val="22"/>
          <w:szCs w:val="22"/>
        </w:rPr>
        <w:t xml:space="preserve">enotes input </w:t>
      </w:r>
      <w:r w:rsidR="00850917" w:rsidRPr="00317677">
        <w:rPr>
          <w:i/>
          <w:iCs/>
          <w:sz w:val="22"/>
          <w:szCs w:val="22"/>
        </w:rPr>
        <w:t>j</w:t>
      </w:r>
      <w:r w:rsidR="00850917" w:rsidRPr="00317677">
        <w:rPr>
          <w:sz w:val="22"/>
          <w:szCs w:val="22"/>
        </w:rPr>
        <w:t>, which includes staff, customer deposits, and purchased funds. These inputs and the composite output are used to estimate efficiency scores using the DEA double bootstrap approach</w:t>
      </w:r>
      <w:r w:rsidR="00D6340E" w:rsidRPr="00317677">
        <w:rPr>
          <w:sz w:val="22"/>
          <w:szCs w:val="22"/>
        </w:rPr>
        <w:t>.</w:t>
      </w:r>
      <w:r w:rsidR="00147AEE" w:rsidRPr="00317677">
        <w:rPr>
          <w:sz w:val="22"/>
          <w:szCs w:val="22"/>
        </w:rPr>
        <w:t xml:space="preserve"> The composite error term is</w:t>
      </w:r>
      <w:r w:rsidR="00850917" w:rsidRPr="00317677">
        <w:rPr>
          <w:sz w:val="22"/>
          <w:szCs w:val="22"/>
        </w:rPr>
        <w:t xml:space="preserve"> defined as</w:t>
      </w:r>
      <w:r w:rsidR="00147AEE" w:rsidRPr="00317677">
        <w:rPr>
          <w:sz w:val="22"/>
          <w:szCs w:val="22"/>
        </w:rPr>
        <w:t xml:space="preserve"> </w:t>
      </w:r>
      <m:oMath>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i,t</m:t>
            </m:r>
          </m:sub>
        </m:sSub>
      </m:oMath>
      <w:r w:rsidR="00850917" w:rsidRPr="00317677">
        <w:rPr>
          <w:sz w:val="22"/>
          <w:szCs w:val="22"/>
        </w:rPr>
        <w:t>, where</w:t>
      </w:r>
      <w:r w:rsidR="00147AEE" w:rsidRPr="00317677">
        <w:rPr>
          <w:sz w:val="22"/>
          <w:szCs w:val="22"/>
        </w:rPr>
        <w:t xml:space="preserve"> </w:t>
      </w: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i,t</m:t>
            </m:r>
          </m:sub>
        </m:sSub>
        <m:r>
          <w:rPr>
            <w:rFonts w:ascii="Cambria Math" w:hAnsi="Cambria Math"/>
            <w:sz w:val="22"/>
            <w:szCs w:val="22"/>
          </w:rPr>
          <m:t>~N(0,</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ϑ</m:t>
            </m:r>
          </m:sub>
          <m:sup>
            <m:r>
              <w:rPr>
                <w:rFonts w:ascii="Cambria Math" w:hAnsi="Cambria Math"/>
                <w:sz w:val="22"/>
                <w:szCs w:val="22"/>
              </w:rPr>
              <m:t>2</m:t>
            </m:r>
          </m:sup>
        </m:sSubSup>
        <m:r>
          <w:rPr>
            <w:rFonts w:ascii="Cambria Math" w:hAnsi="Cambria Math"/>
            <w:sz w:val="22"/>
            <w:szCs w:val="22"/>
          </w:rPr>
          <m:t>)</m:t>
        </m:r>
      </m:oMath>
      <w:r w:rsidR="00147AEE" w:rsidRPr="00317677">
        <w:rPr>
          <w:sz w:val="22"/>
          <w:szCs w:val="22"/>
        </w:rPr>
        <w:t xml:space="preserve"> </w:t>
      </w:r>
      <w:r w:rsidR="00850917" w:rsidRPr="00317677">
        <w:rPr>
          <w:sz w:val="22"/>
          <w:szCs w:val="22"/>
        </w:rPr>
        <w:t xml:space="preserve">represents random statistical noise, </w:t>
      </w:r>
      <w:r w:rsidR="00147AEE" w:rsidRPr="00317677">
        <w:rPr>
          <w:sz w:val="22"/>
          <w:szCs w:val="22"/>
        </w:rPr>
        <w:t xml:space="preserve">and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i,t</m:t>
            </m:r>
          </m:sub>
        </m:sSub>
        <m:r>
          <w:rPr>
            <w:rFonts w:ascii="Cambria Math" w:hAnsi="Cambria Math"/>
            <w:sz w:val="22"/>
            <w:szCs w:val="22"/>
          </w:rPr>
          <m:t>≥0</m:t>
        </m:r>
      </m:oMath>
      <w:r w:rsidR="00BA7F21" w:rsidRPr="00317677">
        <w:rPr>
          <w:sz w:val="22"/>
          <w:szCs w:val="22"/>
        </w:rPr>
        <w:t xml:space="preserve"> </w:t>
      </w:r>
      <w:r w:rsidR="00850917" w:rsidRPr="00317677">
        <w:rPr>
          <w:sz w:val="22"/>
          <w:szCs w:val="22"/>
        </w:rPr>
        <w:t xml:space="preserve">captures one-sided technical inefficiency. The technical efficiency score (SFA) for state </w:t>
      </w:r>
      <w:r w:rsidR="00850917" w:rsidRPr="00317677">
        <w:rPr>
          <w:i/>
          <w:iCs/>
          <w:sz w:val="22"/>
          <w:szCs w:val="22"/>
        </w:rPr>
        <w:t>i</w:t>
      </w:r>
      <w:r w:rsidR="00850917" w:rsidRPr="00317677">
        <w:rPr>
          <w:sz w:val="22"/>
          <w:szCs w:val="22"/>
        </w:rPr>
        <w:t xml:space="preserve"> in year </w:t>
      </w:r>
      <w:r w:rsidR="00850917" w:rsidRPr="00317677">
        <w:rPr>
          <w:i/>
          <w:iCs/>
          <w:sz w:val="22"/>
          <w:szCs w:val="22"/>
        </w:rPr>
        <w:t>t</w:t>
      </w:r>
      <w:r w:rsidR="00850917" w:rsidRPr="00317677">
        <w:rPr>
          <w:sz w:val="22"/>
          <w:szCs w:val="22"/>
        </w:rPr>
        <w:t xml:space="preserve"> is given by</w:t>
      </w:r>
      <w:r w:rsidR="00BA7F21" w:rsidRPr="00317677">
        <w:rPr>
          <w:sz w:val="22"/>
          <w:szCs w:val="22"/>
        </w:rPr>
        <w:t>:</w:t>
      </w:r>
    </w:p>
    <w:p w14:paraId="762CFF7F" w14:textId="412809B3" w:rsidR="00BA7F21" w:rsidRPr="00D3745F" w:rsidRDefault="00000000" w:rsidP="006D498D">
      <w:pPr>
        <w:spacing w:line="360" w:lineRule="auto"/>
        <w:ind w:left="2880" w:firstLine="720"/>
        <w:jc w:val="center"/>
        <w:rPr>
          <w:rFonts w:asciiTheme="majorBidi" w:hAnsiTheme="majorBidi" w:cstheme="majorBidi"/>
          <w:sz w:val="22"/>
          <w:szCs w:val="22"/>
        </w:rPr>
      </w:pPr>
      <m:oMath>
        <m:sSub>
          <m:sSubPr>
            <m:ctrlPr>
              <w:rPr>
                <w:rFonts w:ascii="Cambria Math" w:hAnsi="Cambria Math" w:cstheme="majorBidi"/>
                <w:i/>
                <w:sz w:val="22"/>
                <w:szCs w:val="22"/>
              </w:rPr>
            </m:ctrlPr>
          </m:sSubPr>
          <m:e>
            <m:r>
              <m:rPr>
                <m:sty m:val="p"/>
              </m:rPr>
              <w:rPr>
                <w:rFonts w:ascii="Cambria Math" w:hAnsi="Cambria Math" w:cstheme="majorBidi"/>
                <w:sz w:val="22"/>
                <w:szCs w:val="22"/>
              </w:rPr>
              <m:t>SFAscore</m:t>
            </m:r>
            <m:r>
              <w:rPr>
                <w:rFonts w:ascii="Cambria Math" w:hAnsi="Cambria Math" w:cstheme="majorBidi"/>
                <w:sz w:val="22"/>
                <w:szCs w:val="22"/>
              </w:rPr>
              <m:t>Y</m:t>
            </m:r>
          </m:e>
          <m:sub>
            <m:r>
              <w:rPr>
                <w:rFonts w:ascii="Cambria Math" w:hAnsi="Cambria Math" w:cstheme="majorBidi"/>
                <w:sz w:val="22"/>
                <w:szCs w:val="22"/>
              </w:rPr>
              <m:t>i,t</m:t>
            </m:r>
          </m:sub>
        </m:sSub>
        <m:r>
          <w:rPr>
            <w:rFonts w:ascii="Cambria Math" w:hAnsi="Cambria Math" w:cstheme="majorBidi"/>
            <w:sz w:val="22"/>
            <w:szCs w:val="22"/>
          </w:rPr>
          <m:t>=</m:t>
        </m:r>
        <m:r>
          <m:rPr>
            <m:sty m:val="p"/>
          </m:rPr>
          <w:rPr>
            <w:rFonts w:ascii="Cambria Math" w:hAnsi="Cambria Math" w:cstheme="majorBidi"/>
            <w:sz w:val="22"/>
            <w:szCs w:val="22"/>
          </w:rPr>
          <m:t>exp(-</m:t>
        </m:r>
        <m:sSub>
          <m:sSubPr>
            <m:ctrlPr>
              <w:rPr>
                <w:rFonts w:ascii="Cambria Math" w:hAnsi="Cambria Math" w:cstheme="majorBidi"/>
                <w:i/>
                <w:sz w:val="22"/>
                <w:szCs w:val="22"/>
              </w:rPr>
            </m:ctrlPr>
          </m:sSubPr>
          <m:e>
            <m:r>
              <w:rPr>
                <w:rFonts w:ascii="Cambria Math" w:hAnsi="Cambria Math" w:cstheme="majorBidi"/>
                <w:sz w:val="22"/>
                <w:szCs w:val="22"/>
              </w:rPr>
              <m:t>u</m:t>
            </m:r>
          </m:e>
          <m:sub>
            <m:r>
              <w:rPr>
                <w:rFonts w:ascii="Cambria Math" w:hAnsi="Cambria Math" w:cstheme="majorBidi"/>
                <w:sz w:val="22"/>
                <w:szCs w:val="22"/>
              </w:rPr>
              <m:t>i,t</m:t>
            </m:r>
          </m:sub>
        </m:sSub>
        <m:r>
          <w:rPr>
            <w:rFonts w:ascii="Cambria Math" w:hAnsi="Cambria Math" w:cstheme="majorBidi"/>
            <w:sz w:val="22"/>
            <w:szCs w:val="22"/>
          </w:rPr>
          <m:t>)</m:t>
        </m:r>
      </m:oMath>
      <w:r w:rsidR="00BA7F21" w:rsidRPr="00D3745F">
        <w:rPr>
          <w:rFonts w:asciiTheme="majorBidi" w:hAnsiTheme="majorBidi" w:cstheme="majorBidi"/>
          <w:sz w:val="22"/>
          <w:szCs w:val="22"/>
        </w:rPr>
        <w:tab/>
      </w:r>
      <w:r w:rsidR="00BA7F21" w:rsidRPr="00D3745F">
        <w:rPr>
          <w:rFonts w:asciiTheme="majorBidi" w:hAnsiTheme="majorBidi" w:cstheme="majorBidi"/>
          <w:sz w:val="22"/>
          <w:szCs w:val="22"/>
        </w:rPr>
        <w:tab/>
      </w:r>
      <w:r w:rsidR="00BA7F21" w:rsidRPr="00D3745F">
        <w:rPr>
          <w:rFonts w:asciiTheme="majorBidi" w:hAnsiTheme="majorBidi" w:cstheme="majorBidi"/>
          <w:sz w:val="22"/>
          <w:szCs w:val="22"/>
        </w:rPr>
        <w:tab/>
      </w:r>
      <w:r w:rsidR="00BA7F21" w:rsidRPr="00D3745F">
        <w:rPr>
          <w:rFonts w:asciiTheme="majorBidi" w:hAnsiTheme="majorBidi" w:cstheme="majorBidi"/>
          <w:sz w:val="22"/>
          <w:szCs w:val="22"/>
        </w:rPr>
        <w:tab/>
        <w:t>(4)</w:t>
      </w:r>
    </w:p>
    <w:p w14:paraId="250430C9" w14:textId="12BA73B3" w:rsidR="00143B2F" w:rsidRPr="006D498D" w:rsidRDefault="00850917" w:rsidP="006D498D">
      <w:pPr>
        <w:spacing w:after="200" w:line="360" w:lineRule="auto"/>
        <w:jc w:val="both"/>
        <w:rPr>
          <w:sz w:val="22"/>
          <w:szCs w:val="22"/>
        </w:rPr>
      </w:pPr>
      <w:r w:rsidRPr="00317677">
        <w:rPr>
          <w:sz w:val="22"/>
          <w:szCs w:val="22"/>
        </w:rPr>
        <w:t>The SFA score represents the technical efficiency of banks at the state level, ranging from 0 to 1. It indicates how closely banks operate relative to the maximum attainable output. A higher SFA score reflects greater technical efficiency, meaning less output is lost due to inefficiency (Meeusen and Van Den Broeck 1977). To examine how independent variables</w:t>
      </w:r>
      <w:r w:rsidR="0067691E">
        <w:rPr>
          <w:sz w:val="22"/>
          <w:szCs w:val="22"/>
        </w:rPr>
        <w:t xml:space="preserve">, </w:t>
      </w:r>
      <w:r w:rsidRPr="00317677">
        <w:rPr>
          <w:sz w:val="22"/>
          <w:szCs w:val="22"/>
        </w:rPr>
        <w:t xml:space="preserve">such as </w:t>
      </w:r>
      <w:r w:rsidRPr="00317677">
        <w:rPr>
          <w:i/>
          <w:iCs/>
          <w:sz w:val="22"/>
          <w:szCs w:val="22"/>
        </w:rPr>
        <w:t>SVOTE</w:t>
      </w:r>
      <w:r w:rsidRPr="00317677">
        <w:rPr>
          <w:sz w:val="22"/>
          <w:szCs w:val="22"/>
        </w:rPr>
        <w:t xml:space="preserve"> and </w:t>
      </w:r>
      <w:r w:rsidRPr="00317677">
        <w:rPr>
          <w:i/>
          <w:iCs/>
          <w:sz w:val="22"/>
          <w:szCs w:val="22"/>
        </w:rPr>
        <w:t>NVOTE</w:t>
      </w:r>
      <w:r w:rsidR="0067691E">
        <w:rPr>
          <w:sz w:val="22"/>
          <w:szCs w:val="22"/>
        </w:rPr>
        <w:t xml:space="preserve">, </w:t>
      </w:r>
      <w:r w:rsidRPr="00317677">
        <w:rPr>
          <w:sz w:val="22"/>
          <w:szCs w:val="22"/>
        </w:rPr>
        <w:t xml:space="preserve">influence technical efficiency, we employ a </w:t>
      </w:r>
      <w:r w:rsidR="00472A6C">
        <w:rPr>
          <w:sz w:val="22"/>
          <w:szCs w:val="22"/>
        </w:rPr>
        <w:t>S</w:t>
      </w:r>
      <w:r w:rsidRPr="00317677">
        <w:rPr>
          <w:sz w:val="22"/>
          <w:szCs w:val="22"/>
        </w:rPr>
        <w:t>patial Tobit model as outlined by Qu and Lee (2012).</w:t>
      </w:r>
    </w:p>
    <w:p w14:paraId="74880777" w14:textId="4870B895" w:rsidR="003A367C" w:rsidRPr="008F10DE" w:rsidRDefault="0002747E" w:rsidP="005A2333">
      <w:pPr>
        <w:pStyle w:val="Heading1"/>
        <w:numPr>
          <w:ilvl w:val="0"/>
          <w:numId w:val="0"/>
        </w:numPr>
        <w:rPr>
          <w:sz w:val="22"/>
          <w:szCs w:val="22"/>
        </w:rPr>
      </w:pPr>
      <w:r w:rsidRPr="008F10DE">
        <w:rPr>
          <w:sz w:val="22"/>
          <w:szCs w:val="22"/>
        </w:rPr>
        <w:t xml:space="preserve">4. </w:t>
      </w:r>
      <w:r w:rsidR="00FE3C8C" w:rsidRPr="008F10DE">
        <w:rPr>
          <w:sz w:val="22"/>
          <w:szCs w:val="22"/>
        </w:rPr>
        <w:t xml:space="preserve">Model and </w:t>
      </w:r>
      <w:r w:rsidR="00C364B4" w:rsidRPr="008F10DE">
        <w:rPr>
          <w:sz w:val="22"/>
          <w:szCs w:val="22"/>
        </w:rPr>
        <w:t>Estimati</w:t>
      </w:r>
      <w:r w:rsidR="00D80421" w:rsidRPr="008F10DE">
        <w:rPr>
          <w:sz w:val="22"/>
          <w:szCs w:val="22"/>
        </w:rPr>
        <w:t>on</w:t>
      </w:r>
    </w:p>
    <w:p w14:paraId="1C2D6C95" w14:textId="07FAD489" w:rsidR="00A95C95" w:rsidRPr="008F10DE" w:rsidRDefault="0002747E" w:rsidP="005A2333">
      <w:pPr>
        <w:pStyle w:val="Heading2"/>
        <w:rPr>
          <w:b w:val="0"/>
          <w:bCs w:val="0"/>
          <w:sz w:val="22"/>
          <w:szCs w:val="22"/>
        </w:rPr>
      </w:pPr>
      <w:bookmarkStart w:id="18" w:name="_Toc305616059"/>
      <w:bookmarkStart w:id="19" w:name="_Toc306634435"/>
      <w:bookmarkStart w:id="20" w:name="_Toc320795776"/>
      <w:bookmarkStart w:id="21" w:name="_Toc272941018"/>
      <w:bookmarkStart w:id="22" w:name="_Toc273357403"/>
      <w:r w:rsidRPr="008F10DE">
        <w:rPr>
          <w:sz w:val="22"/>
          <w:szCs w:val="22"/>
        </w:rPr>
        <w:t>4.1</w:t>
      </w:r>
      <w:r w:rsidR="00F2635D" w:rsidRPr="008F10DE">
        <w:rPr>
          <w:sz w:val="22"/>
          <w:szCs w:val="22"/>
        </w:rPr>
        <w:t>.</w:t>
      </w:r>
      <w:r w:rsidR="00A95C95" w:rsidRPr="008F10DE">
        <w:rPr>
          <w:sz w:val="22"/>
          <w:szCs w:val="22"/>
        </w:rPr>
        <w:t xml:space="preserve"> Model</w:t>
      </w:r>
    </w:p>
    <w:p w14:paraId="1F32642A" w14:textId="3E3CC4EC" w:rsidR="00D80421" w:rsidRPr="008F10DE" w:rsidRDefault="00D80421" w:rsidP="006D498D">
      <w:pPr>
        <w:spacing w:line="360" w:lineRule="auto"/>
        <w:jc w:val="both"/>
        <w:rPr>
          <w:sz w:val="22"/>
          <w:szCs w:val="22"/>
        </w:rPr>
      </w:pPr>
      <w:r w:rsidRPr="008F10DE">
        <w:rPr>
          <w:sz w:val="22"/>
          <w:szCs w:val="22"/>
        </w:rPr>
        <w:t xml:space="preserve">In </w:t>
      </w:r>
      <w:r w:rsidR="002C3808" w:rsidRPr="008F10DE">
        <w:rPr>
          <w:sz w:val="22"/>
          <w:szCs w:val="22"/>
        </w:rPr>
        <w:t>both economic and geographic space settings, agents interact dynamically, and this setting captures the dynamic flow of knowledge exchanged by actors. For instance, banks in the same region can share knowledge about proven mechanisms to achieve efficiency. The closer the banks are in geographic space, the greater the probability that they share niche knowledge.</w:t>
      </w:r>
      <w:r w:rsidR="002F58EC" w:rsidRPr="008F10DE">
        <w:rPr>
          <w:sz w:val="22"/>
          <w:szCs w:val="22"/>
        </w:rPr>
        <w:t xml:space="preserve"> The same happens in the relational space as well. Therefore, ‘space’ becomes an integral part of our attempt to characterise bank efficiency. In this section, we first present a theoretical framework to demonstrate how ‘spatial frictions’ (that is, the cost, time, and effort required to overcome the distance between two geographical points, </w:t>
      </w:r>
      <w:r w:rsidR="00BB2175" w:rsidRPr="008F10DE">
        <w:rPr>
          <w:sz w:val="22"/>
          <w:szCs w:val="22"/>
        </w:rPr>
        <w:t xml:space="preserve">which </w:t>
      </w:r>
      <w:r w:rsidR="002F58EC" w:rsidRPr="008F10DE">
        <w:rPr>
          <w:sz w:val="22"/>
          <w:szCs w:val="22"/>
        </w:rPr>
        <w:t>impede the movement of information)</w:t>
      </w:r>
      <w:r w:rsidR="00BB2175" w:rsidRPr="008F10DE">
        <w:rPr>
          <w:sz w:val="22"/>
          <w:szCs w:val="22"/>
        </w:rPr>
        <w:t xml:space="preserve"> dictate the extent </w:t>
      </w:r>
      <w:r w:rsidRPr="008F10DE">
        <w:rPr>
          <w:sz w:val="22"/>
          <w:szCs w:val="22"/>
        </w:rPr>
        <w:t>to which political vote share and macro-economic factors affect co-movements of bank efficiency across regions.</w:t>
      </w:r>
      <w:r w:rsidR="00BB2175" w:rsidRPr="008F10DE">
        <w:rPr>
          <w:sz w:val="22"/>
          <w:szCs w:val="22"/>
        </w:rPr>
        <w:t xml:space="preserve"> This theoretical framework will then form the foundation for our empirical equation showing the relationship between bank efficiency and </w:t>
      </w:r>
      <w:r w:rsidR="000D2330" w:rsidRPr="008F10DE">
        <w:rPr>
          <w:sz w:val="22"/>
          <w:szCs w:val="22"/>
        </w:rPr>
        <w:t>financial/firm-specific</w:t>
      </w:r>
      <w:r w:rsidR="00BB2175" w:rsidRPr="008F10DE">
        <w:rPr>
          <w:sz w:val="22"/>
          <w:szCs w:val="22"/>
        </w:rPr>
        <w:t xml:space="preserve"> and political factors. </w:t>
      </w:r>
      <w:r w:rsidRPr="008F10DE">
        <w:rPr>
          <w:sz w:val="22"/>
          <w:szCs w:val="22"/>
        </w:rPr>
        <w:t xml:space="preserve"> </w:t>
      </w:r>
    </w:p>
    <w:p w14:paraId="2DB57BA5" w14:textId="77777777" w:rsidR="00D80421" w:rsidRPr="008F10DE" w:rsidRDefault="00D80421" w:rsidP="00D80421">
      <w:pPr>
        <w:spacing w:line="360" w:lineRule="auto"/>
        <w:contextualSpacing/>
        <w:jc w:val="both"/>
        <w:rPr>
          <w:sz w:val="22"/>
          <w:szCs w:val="22"/>
        </w:rPr>
      </w:pPr>
    </w:p>
    <w:p w14:paraId="7E7F1673" w14:textId="15B2FDF8" w:rsidR="00F73ABF" w:rsidRPr="008F10DE" w:rsidRDefault="00BB2175" w:rsidP="006D498D">
      <w:pPr>
        <w:spacing w:line="360" w:lineRule="auto"/>
        <w:contextualSpacing/>
        <w:jc w:val="both"/>
        <w:rPr>
          <w:sz w:val="22"/>
          <w:szCs w:val="22"/>
        </w:rPr>
      </w:pPr>
      <w:r w:rsidRPr="008F10DE">
        <w:rPr>
          <w:sz w:val="22"/>
          <w:szCs w:val="22"/>
        </w:rPr>
        <w:t>Our theoretical setting broadly draws on</w:t>
      </w:r>
      <w:r w:rsidR="00002BDA" w:rsidRPr="008F10DE">
        <w:rPr>
          <w:sz w:val="22"/>
          <w:szCs w:val="22"/>
        </w:rPr>
        <w:t xml:space="preserve"> Duan et al. (</w:t>
      </w:r>
      <w:r w:rsidR="009743ED" w:rsidRPr="00484BCF">
        <w:rPr>
          <w:color w:val="004F88"/>
          <w:sz w:val="22"/>
          <w:szCs w:val="22"/>
        </w:rPr>
        <w:t xml:space="preserve">2018; </w:t>
      </w:r>
      <w:r w:rsidR="00002BDA" w:rsidRPr="00484BCF">
        <w:rPr>
          <w:color w:val="004F88"/>
          <w:sz w:val="22"/>
          <w:szCs w:val="22"/>
        </w:rPr>
        <w:t>2019</w:t>
      </w:r>
      <w:r w:rsidR="00002BDA" w:rsidRPr="008F10DE">
        <w:rPr>
          <w:sz w:val="22"/>
          <w:szCs w:val="22"/>
        </w:rPr>
        <w:t>)</w:t>
      </w:r>
      <w:r w:rsidR="007C02BB" w:rsidRPr="008F10DE">
        <w:rPr>
          <w:sz w:val="22"/>
          <w:szCs w:val="22"/>
        </w:rPr>
        <w:t>,</w:t>
      </w:r>
      <w:r w:rsidRPr="008F10DE">
        <w:rPr>
          <w:sz w:val="22"/>
          <w:szCs w:val="22"/>
        </w:rPr>
        <w:t xml:space="preserve"> contextualised for efficiency dynamics in commercial banks across US states. </w:t>
      </w:r>
      <w:r w:rsidR="007C02BB" w:rsidRPr="008F10DE">
        <w:rPr>
          <w:sz w:val="22"/>
          <w:szCs w:val="22"/>
        </w:rPr>
        <w:t xml:space="preserve">Like any spatial framework, we assume here that </w:t>
      </w:r>
      <w:r w:rsidR="00C364B4" w:rsidRPr="008F10DE">
        <w:rPr>
          <w:sz w:val="22"/>
          <w:szCs w:val="22"/>
        </w:rPr>
        <w:t>bank</w:t>
      </w:r>
      <w:r w:rsidR="007C02BB" w:rsidRPr="008F10DE">
        <w:rPr>
          <w:sz w:val="22"/>
          <w:szCs w:val="22"/>
        </w:rPr>
        <w:t xml:space="preserve"> efficiency is spatially correlated; in other words,</w:t>
      </w:r>
      <w:r w:rsidR="00C364B4" w:rsidRPr="008F10DE">
        <w:rPr>
          <w:sz w:val="22"/>
          <w:szCs w:val="22"/>
        </w:rPr>
        <w:t xml:space="preserve"> </w:t>
      </w:r>
      <w:r w:rsidR="007C02BB" w:rsidRPr="008F10DE">
        <w:rPr>
          <w:sz w:val="22"/>
          <w:szCs w:val="22"/>
        </w:rPr>
        <w:t xml:space="preserve">we say that </w:t>
      </w:r>
      <w:r w:rsidR="00C364B4" w:rsidRPr="008F10DE">
        <w:rPr>
          <w:sz w:val="22"/>
          <w:szCs w:val="22"/>
        </w:rPr>
        <w:t xml:space="preserve">the magnitude of efficiency of bank </w:t>
      </w:r>
      <w:r w:rsidR="00C364B4" w:rsidRPr="008F10DE">
        <w:rPr>
          <w:i/>
          <w:iCs/>
          <w:sz w:val="22"/>
          <w:szCs w:val="22"/>
        </w:rPr>
        <w:t>i</w:t>
      </w:r>
      <w:r w:rsidR="00C364B4" w:rsidRPr="008F10DE">
        <w:rPr>
          <w:sz w:val="22"/>
          <w:szCs w:val="22"/>
        </w:rPr>
        <w:t xml:space="preserve"> in region 1 at time </w:t>
      </w:r>
      <w:r w:rsidR="00C364B4" w:rsidRPr="008F10DE">
        <w:rPr>
          <w:i/>
          <w:iCs/>
          <w:sz w:val="22"/>
          <w:szCs w:val="22"/>
        </w:rPr>
        <w:t xml:space="preserve">t </w:t>
      </w:r>
      <w:r w:rsidR="00C364B4" w:rsidRPr="008F10DE">
        <w:rPr>
          <w:sz w:val="22"/>
          <w:szCs w:val="22"/>
        </w:rPr>
        <w:t xml:space="preserve">is correlated with bank </w:t>
      </w:r>
      <w:r w:rsidR="00C364B4" w:rsidRPr="008F10DE">
        <w:rPr>
          <w:i/>
          <w:iCs/>
          <w:sz w:val="22"/>
          <w:szCs w:val="22"/>
        </w:rPr>
        <w:t xml:space="preserve">j </w:t>
      </w:r>
      <w:r w:rsidR="00C364B4" w:rsidRPr="008F10DE">
        <w:rPr>
          <w:sz w:val="22"/>
          <w:szCs w:val="22"/>
        </w:rPr>
        <w:t>in region 2</w:t>
      </w:r>
      <w:r w:rsidR="00C364B4" w:rsidRPr="008F10DE">
        <w:rPr>
          <w:i/>
          <w:iCs/>
          <w:sz w:val="22"/>
          <w:szCs w:val="22"/>
        </w:rPr>
        <w:t xml:space="preserve">, </w:t>
      </w:r>
      <w:r w:rsidR="00A30486" w:rsidRPr="008F10DE">
        <w:rPr>
          <w:sz w:val="22"/>
          <w:szCs w:val="22"/>
        </w:rPr>
        <w:t xml:space="preserve">both </w:t>
      </w:r>
      <w:r w:rsidR="00C364B4" w:rsidRPr="008F10DE">
        <w:rPr>
          <w:sz w:val="22"/>
          <w:szCs w:val="22"/>
        </w:rPr>
        <w:t xml:space="preserve">at time </w:t>
      </w:r>
      <w:r w:rsidR="00C364B4" w:rsidRPr="008F10DE">
        <w:rPr>
          <w:i/>
          <w:iCs/>
          <w:sz w:val="22"/>
          <w:szCs w:val="22"/>
        </w:rPr>
        <w:t xml:space="preserve">t, </w:t>
      </w:r>
      <w:r w:rsidR="00C364B4" w:rsidRPr="008F10DE">
        <w:rPr>
          <w:sz w:val="22"/>
          <w:szCs w:val="22"/>
        </w:rPr>
        <w:t xml:space="preserve">and </w:t>
      </w:r>
      <w:r w:rsidR="00C364B4" w:rsidRPr="008F10DE">
        <w:rPr>
          <w:i/>
          <w:iCs/>
          <w:sz w:val="22"/>
          <w:szCs w:val="22"/>
        </w:rPr>
        <w:t xml:space="preserve">t-1. </w:t>
      </w:r>
      <w:r w:rsidR="00F73ABF" w:rsidRPr="008F10DE">
        <w:rPr>
          <w:sz w:val="22"/>
          <w:szCs w:val="22"/>
        </w:rPr>
        <w:t>As noted earlier, am</w:t>
      </w:r>
      <w:r w:rsidR="00C364B4" w:rsidRPr="008F10DE">
        <w:rPr>
          <w:sz w:val="22"/>
          <w:szCs w:val="22"/>
        </w:rPr>
        <w:t>ong important spatial interlinkage channel</w:t>
      </w:r>
      <w:r w:rsidR="00AB7557" w:rsidRPr="008F10DE">
        <w:rPr>
          <w:sz w:val="22"/>
          <w:szCs w:val="22"/>
        </w:rPr>
        <w:t>s</w:t>
      </w:r>
      <w:r w:rsidR="00C364B4" w:rsidRPr="008F10DE">
        <w:rPr>
          <w:sz w:val="22"/>
          <w:szCs w:val="22"/>
        </w:rPr>
        <w:t>, the spillover of knowledge is one such</w:t>
      </w:r>
      <w:r w:rsidR="0023683F" w:rsidRPr="008F10DE">
        <w:rPr>
          <w:sz w:val="22"/>
          <w:szCs w:val="22"/>
        </w:rPr>
        <w:t xml:space="preserve"> mechanism, as </w:t>
      </w:r>
      <w:r w:rsidR="003D1A25" w:rsidRPr="008F10DE">
        <w:rPr>
          <w:sz w:val="22"/>
          <w:szCs w:val="22"/>
        </w:rPr>
        <w:t>emphasised</w:t>
      </w:r>
      <w:r w:rsidR="0023683F" w:rsidRPr="008F10DE">
        <w:rPr>
          <w:sz w:val="22"/>
          <w:szCs w:val="22"/>
        </w:rPr>
        <w:t xml:space="preserve"> vigorously in economic geography literature. </w:t>
      </w:r>
      <w:r w:rsidR="00F73ABF" w:rsidRPr="008F10DE">
        <w:rPr>
          <w:sz w:val="22"/>
          <w:szCs w:val="22"/>
        </w:rPr>
        <w:t xml:space="preserve">With greater distance (geographic or relational or both), </w:t>
      </w:r>
      <w:r w:rsidR="0023683F" w:rsidRPr="008F10DE">
        <w:rPr>
          <w:sz w:val="22"/>
          <w:szCs w:val="22"/>
        </w:rPr>
        <w:t>the speed and the magnitude of spillover</w:t>
      </w:r>
      <w:r w:rsidR="00A30486" w:rsidRPr="008F10DE">
        <w:rPr>
          <w:sz w:val="22"/>
          <w:szCs w:val="22"/>
        </w:rPr>
        <w:t xml:space="preserve"> can get </w:t>
      </w:r>
      <w:r w:rsidR="0023683F" w:rsidRPr="008F10DE">
        <w:rPr>
          <w:sz w:val="22"/>
          <w:szCs w:val="22"/>
        </w:rPr>
        <w:t>smaller.</w:t>
      </w:r>
      <w:r w:rsidR="00C364B4" w:rsidRPr="008F10DE">
        <w:rPr>
          <w:sz w:val="22"/>
          <w:szCs w:val="22"/>
        </w:rPr>
        <w:t xml:space="preserve"> </w:t>
      </w:r>
      <w:r w:rsidR="0023683F" w:rsidRPr="008F10DE">
        <w:rPr>
          <w:sz w:val="22"/>
          <w:szCs w:val="22"/>
        </w:rPr>
        <w:t>Due to the financial nature of operations, banks would not wish to condition their operational and production efficiency on another bank. Rather, the locational externalities of a bank’s positioning can facilitate spillover of knowledge</w:t>
      </w:r>
      <w:r w:rsidR="00F73ABF" w:rsidRPr="008F10DE">
        <w:rPr>
          <w:sz w:val="22"/>
          <w:szCs w:val="22"/>
        </w:rPr>
        <w:t xml:space="preserve">, </w:t>
      </w:r>
      <w:r w:rsidR="00152AA4" w:rsidRPr="008F10DE">
        <w:rPr>
          <w:sz w:val="22"/>
          <w:szCs w:val="22"/>
        </w:rPr>
        <w:t>more so</w:t>
      </w:r>
      <w:r w:rsidR="0023683F" w:rsidRPr="008F10DE">
        <w:rPr>
          <w:sz w:val="22"/>
          <w:szCs w:val="22"/>
        </w:rPr>
        <w:t xml:space="preserve"> to the ones </w:t>
      </w:r>
      <w:r w:rsidR="00AB7557" w:rsidRPr="008F10DE">
        <w:rPr>
          <w:sz w:val="22"/>
          <w:szCs w:val="22"/>
        </w:rPr>
        <w:t xml:space="preserve">that </w:t>
      </w:r>
      <w:r w:rsidR="0023683F" w:rsidRPr="008F10DE">
        <w:rPr>
          <w:sz w:val="22"/>
          <w:szCs w:val="22"/>
        </w:rPr>
        <w:t xml:space="preserve">are ‘close’ geographically rather than to the ‘distant’ ones. </w:t>
      </w:r>
      <w:r w:rsidR="00F73ABF" w:rsidRPr="008F10DE">
        <w:rPr>
          <w:sz w:val="22"/>
          <w:szCs w:val="22"/>
        </w:rPr>
        <w:t>We put these contexts in our model design</w:t>
      </w:r>
      <w:r w:rsidR="00A30486" w:rsidRPr="008F10DE">
        <w:rPr>
          <w:sz w:val="22"/>
          <w:szCs w:val="22"/>
        </w:rPr>
        <w:t>,</w:t>
      </w:r>
      <w:r w:rsidR="00F73ABF" w:rsidRPr="008F10DE">
        <w:rPr>
          <w:sz w:val="22"/>
          <w:szCs w:val="22"/>
        </w:rPr>
        <w:t xml:space="preserve"> described below.</w:t>
      </w:r>
      <w:r w:rsidR="00A30486" w:rsidRPr="008F10DE">
        <w:rPr>
          <w:sz w:val="22"/>
          <w:szCs w:val="22"/>
        </w:rPr>
        <w:t xml:space="preserve"> In the model presented below, therefore, we wish to capture learning-by-doing and externalities determined by the closeness and distance of banks, considered from both locational and relational dimensions. The learning effects are moderated by</w:t>
      </w:r>
      <w:r w:rsidR="000D2330" w:rsidRPr="008F10DE">
        <w:rPr>
          <w:sz w:val="22"/>
          <w:szCs w:val="22"/>
        </w:rPr>
        <w:t xml:space="preserve"> financial and/or political</w:t>
      </w:r>
      <w:r w:rsidR="00A30486" w:rsidRPr="008F10DE">
        <w:rPr>
          <w:sz w:val="22"/>
          <w:szCs w:val="22"/>
        </w:rPr>
        <w:t xml:space="preserve"> controls.</w:t>
      </w:r>
    </w:p>
    <w:p w14:paraId="46DD26D0" w14:textId="77777777" w:rsidR="00F73ABF" w:rsidRPr="008F10DE" w:rsidRDefault="00F73ABF" w:rsidP="00D80421">
      <w:pPr>
        <w:spacing w:line="360" w:lineRule="auto"/>
        <w:contextualSpacing/>
        <w:jc w:val="both"/>
        <w:rPr>
          <w:sz w:val="22"/>
          <w:szCs w:val="22"/>
        </w:rPr>
      </w:pPr>
    </w:p>
    <w:p w14:paraId="0F5FE58D" w14:textId="6C92BAC4" w:rsidR="009209D8" w:rsidRPr="008F10DE" w:rsidRDefault="00A30486" w:rsidP="006D498D">
      <w:pPr>
        <w:spacing w:line="360" w:lineRule="auto"/>
        <w:contextualSpacing/>
        <w:jc w:val="both"/>
        <w:rPr>
          <w:sz w:val="22"/>
          <w:szCs w:val="22"/>
        </w:rPr>
      </w:pPr>
      <w:r w:rsidRPr="008F10DE">
        <w:rPr>
          <w:sz w:val="22"/>
          <w:szCs w:val="22"/>
        </w:rPr>
        <w:t>To describe our model, a</w:t>
      </w:r>
      <w:r w:rsidR="0023683F" w:rsidRPr="008F10DE">
        <w:rPr>
          <w:sz w:val="22"/>
          <w:szCs w:val="22"/>
        </w:rPr>
        <w:t xml:space="preserve">ssume </w:t>
      </w:r>
      <w:r w:rsidRPr="008F10DE">
        <w:rPr>
          <w:sz w:val="22"/>
          <w:szCs w:val="22"/>
        </w:rPr>
        <w:t xml:space="preserve">for generality </w:t>
      </w:r>
      <w:r w:rsidR="0023683F" w:rsidRPr="008F10DE">
        <w:rPr>
          <w:sz w:val="22"/>
          <w:szCs w:val="22"/>
        </w:rPr>
        <w:t xml:space="preserve">that there are </w:t>
      </w:r>
      <w:r w:rsidR="00946C09" w:rsidRPr="008F10DE">
        <w:rPr>
          <w:i/>
          <w:iCs/>
          <w:sz w:val="22"/>
          <w:szCs w:val="22"/>
        </w:rPr>
        <w:t xml:space="preserve">N </w:t>
      </w:r>
      <w:r w:rsidR="0023683F" w:rsidRPr="008F10DE">
        <w:rPr>
          <w:sz w:val="22"/>
          <w:szCs w:val="22"/>
        </w:rPr>
        <w:t>locations (</w:t>
      </w:r>
      <w:r w:rsidR="00F73ABF" w:rsidRPr="008F10DE">
        <w:rPr>
          <w:sz w:val="22"/>
          <w:szCs w:val="22"/>
        </w:rPr>
        <w:t xml:space="preserve">US </w:t>
      </w:r>
      <w:r w:rsidR="0023683F" w:rsidRPr="008F10DE">
        <w:rPr>
          <w:sz w:val="22"/>
          <w:szCs w:val="22"/>
        </w:rPr>
        <w:t>regions</w:t>
      </w:r>
      <w:r w:rsidR="00F73ABF" w:rsidRPr="008F10DE">
        <w:rPr>
          <w:sz w:val="22"/>
          <w:szCs w:val="22"/>
        </w:rPr>
        <w:t>, in our case</w:t>
      </w:r>
      <w:r w:rsidR="0023683F" w:rsidRPr="008F10DE">
        <w:rPr>
          <w:sz w:val="22"/>
          <w:szCs w:val="22"/>
        </w:rPr>
        <w:t xml:space="preserve">) </w:t>
      </w:r>
      <w:r w:rsidR="00946C09" w:rsidRPr="008F10DE">
        <w:rPr>
          <w:sz w:val="22"/>
          <w:szCs w:val="22"/>
        </w:rPr>
        <w:t xml:space="preserve">indexed by </w:t>
      </w:r>
      <w:r w:rsidR="00946C09" w:rsidRPr="008F10DE">
        <w:rPr>
          <w:i/>
          <w:iCs/>
          <w:sz w:val="22"/>
          <w:szCs w:val="22"/>
        </w:rPr>
        <w:t>i = 1, …, N</w:t>
      </w:r>
      <w:r w:rsidR="00946C09" w:rsidRPr="008F10DE">
        <w:rPr>
          <w:sz w:val="22"/>
          <w:szCs w:val="22"/>
        </w:rPr>
        <w:t xml:space="preserve">. The </w:t>
      </w:r>
      <w:r w:rsidR="0023683F" w:rsidRPr="008F10DE">
        <w:rPr>
          <w:sz w:val="22"/>
          <w:szCs w:val="22"/>
        </w:rPr>
        <w:t>efficiency of a bank</w:t>
      </w:r>
      <w:r w:rsidR="00946C09" w:rsidRPr="008F10DE">
        <w:rPr>
          <w:sz w:val="22"/>
          <w:szCs w:val="22"/>
        </w:rPr>
        <w:t xml:space="preserve"> </w:t>
      </w:r>
      <w:r w:rsidR="00FE3C8C" w:rsidRPr="008F10DE">
        <w:rPr>
          <w:sz w:val="22"/>
          <w:szCs w:val="22"/>
        </w:rPr>
        <w:t>(denote</w:t>
      </w:r>
      <w:r w:rsidR="00AB7557" w:rsidRPr="008F10DE">
        <w:rPr>
          <w:sz w:val="22"/>
          <w:szCs w:val="22"/>
        </w:rPr>
        <w:t>d</w:t>
      </w:r>
      <w:r w:rsidR="00FE3C8C" w:rsidRPr="008F10DE">
        <w:rPr>
          <w:sz w:val="22"/>
          <w:szCs w:val="22"/>
        </w:rPr>
        <w:t xml:space="preserve"> by, </w:t>
      </w:r>
      <m:oMath>
        <m:acc>
          <m:accPr>
            <m:ctrlPr>
              <w:rPr>
                <w:rFonts w:ascii="Cambria Math" w:hAnsi="Cambria Math"/>
                <w:bCs/>
                <w:i/>
                <w:sz w:val="22"/>
                <w:szCs w:val="22"/>
              </w:rPr>
            </m:ctrlPr>
          </m:accPr>
          <m:e>
            <m:r>
              <w:rPr>
                <w:rFonts w:ascii="Cambria Math" w:hAnsi="Cambria Math"/>
                <w:sz w:val="22"/>
                <w:szCs w:val="22"/>
              </w:rPr>
              <m:t xml:space="preserve">δ </m:t>
            </m:r>
          </m:e>
        </m:acc>
      </m:oMath>
      <w:r w:rsidR="00FE3C8C" w:rsidRPr="008F10DE">
        <w:rPr>
          <w:sz w:val="22"/>
          <w:szCs w:val="22"/>
        </w:rPr>
        <w:t xml:space="preserve">) </w:t>
      </w:r>
      <w:r w:rsidR="00946C09" w:rsidRPr="008F10DE">
        <w:rPr>
          <w:sz w:val="22"/>
          <w:szCs w:val="22"/>
        </w:rPr>
        <w:t xml:space="preserve">in </w:t>
      </w:r>
      <w:r w:rsidR="0023683F" w:rsidRPr="008F10DE">
        <w:rPr>
          <w:sz w:val="22"/>
          <w:szCs w:val="22"/>
        </w:rPr>
        <w:t>region</w:t>
      </w:r>
      <w:r w:rsidR="00946C09" w:rsidRPr="008F10DE">
        <w:rPr>
          <w:sz w:val="22"/>
          <w:szCs w:val="22"/>
        </w:rPr>
        <w:t xml:space="preserve"> </w:t>
      </w:r>
      <w:r w:rsidR="00946C09" w:rsidRPr="008F10DE">
        <w:rPr>
          <w:i/>
          <w:iCs/>
          <w:sz w:val="22"/>
          <w:szCs w:val="22"/>
        </w:rPr>
        <w:t xml:space="preserve">i </w:t>
      </w:r>
      <w:r w:rsidR="00946C09" w:rsidRPr="008F10DE">
        <w:rPr>
          <w:sz w:val="22"/>
          <w:szCs w:val="22"/>
        </w:rPr>
        <w:t xml:space="preserve">can be driven by </w:t>
      </w:r>
      <w:r w:rsidR="00EF579E" w:rsidRPr="008F10DE">
        <w:rPr>
          <w:sz w:val="22"/>
          <w:szCs w:val="22"/>
        </w:rPr>
        <w:t>several</w:t>
      </w:r>
      <w:r w:rsidR="0023683F" w:rsidRPr="008F10DE">
        <w:rPr>
          <w:sz w:val="22"/>
          <w:szCs w:val="22"/>
        </w:rPr>
        <w:t xml:space="preserve"> factors,</w:t>
      </w:r>
      <w:r w:rsidR="00F73ABF" w:rsidRPr="008F10DE">
        <w:rPr>
          <w:sz w:val="22"/>
          <w:szCs w:val="22"/>
        </w:rPr>
        <w:t xml:space="preserve"> such as </w:t>
      </w:r>
      <w:r w:rsidR="00FE3C8C" w:rsidRPr="008F10DE">
        <w:rPr>
          <w:sz w:val="22"/>
          <w:szCs w:val="22"/>
        </w:rPr>
        <w:t>the vote share (state or national) (denote</w:t>
      </w:r>
      <w:r w:rsidR="00AB7557" w:rsidRPr="008F10DE">
        <w:rPr>
          <w:sz w:val="22"/>
          <w:szCs w:val="22"/>
        </w:rPr>
        <w:t>d</w:t>
      </w:r>
      <w:r w:rsidR="00FE3C8C" w:rsidRPr="008F10DE">
        <w:rPr>
          <w:sz w:val="22"/>
          <w:szCs w:val="22"/>
        </w:rPr>
        <w:t xml:space="preserve"> by, </w:t>
      </w:r>
      <m:oMath>
        <m:sSub>
          <m:sSubPr>
            <m:ctrlPr>
              <w:rPr>
                <w:rFonts w:ascii="Cambria Math" w:hAnsi="Cambria Math"/>
                <w:i/>
                <w:sz w:val="22"/>
                <w:szCs w:val="22"/>
              </w:rPr>
            </m:ctrlPr>
          </m:sSubPr>
          <m:e>
            <m:r>
              <m:rPr>
                <m:nor/>
              </m:rPr>
              <w:rPr>
                <w:i/>
                <w:sz w:val="22"/>
                <w:szCs w:val="22"/>
              </w:rPr>
              <m:t>Z</m:t>
            </m:r>
          </m:e>
          <m:sub>
            <m:r>
              <m:rPr>
                <m:nor/>
              </m:rPr>
              <w:rPr>
                <w:rFonts w:ascii="Cambria Math"/>
                <w:i/>
                <w:sz w:val="22"/>
                <w:szCs w:val="22"/>
              </w:rPr>
              <m:t>1</m:t>
            </m:r>
          </m:sub>
        </m:sSub>
      </m:oMath>
      <w:r w:rsidR="00F73ABF" w:rsidRPr="008F10DE">
        <w:rPr>
          <w:sz w:val="22"/>
          <w:szCs w:val="22"/>
        </w:rPr>
        <w:t xml:space="preserve">) and </w:t>
      </w:r>
      <w:r w:rsidR="00064009" w:rsidRPr="008F10DE">
        <w:rPr>
          <w:sz w:val="22"/>
          <w:szCs w:val="22"/>
        </w:rPr>
        <w:t xml:space="preserve">financial/firm-specific or political </w:t>
      </w:r>
      <w:r w:rsidR="00FE3C8C" w:rsidRPr="008F10DE">
        <w:rPr>
          <w:sz w:val="22"/>
          <w:szCs w:val="22"/>
        </w:rPr>
        <w:t xml:space="preserve"> controls (denote</w:t>
      </w:r>
      <w:r w:rsidR="00AB7557" w:rsidRPr="008F10DE">
        <w:rPr>
          <w:sz w:val="22"/>
          <w:szCs w:val="22"/>
        </w:rPr>
        <w:t>d</w:t>
      </w:r>
      <w:r w:rsidR="00FE3C8C" w:rsidRPr="008F10DE">
        <w:rPr>
          <w:sz w:val="22"/>
          <w:szCs w:val="22"/>
        </w:rPr>
        <w:t xml:space="preserve"> by, </w:t>
      </w:r>
      <m:oMath>
        <m:sSub>
          <m:sSubPr>
            <m:ctrlPr>
              <w:rPr>
                <w:rFonts w:ascii="Cambria Math" w:hAnsi="Cambria Math"/>
                <w:i/>
                <w:sz w:val="22"/>
                <w:szCs w:val="22"/>
              </w:rPr>
            </m:ctrlPr>
          </m:sSubPr>
          <m:e>
            <m:r>
              <m:rPr>
                <m:nor/>
              </m:rPr>
              <w:rPr>
                <w:i/>
                <w:sz w:val="22"/>
                <w:szCs w:val="22"/>
              </w:rPr>
              <m:t>Z</m:t>
            </m:r>
          </m:e>
          <m:sub>
            <m:r>
              <m:rPr>
                <m:nor/>
              </m:rPr>
              <w:rPr>
                <w:rFonts w:ascii="Cambria Math"/>
                <w:i/>
                <w:sz w:val="22"/>
                <w:szCs w:val="22"/>
              </w:rPr>
              <m:t>2</m:t>
            </m:r>
          </m:sub>
        </m:sSub>
      </m:oMath>
      <w:r w:rsidR="00FE3C8C" w:rsidRPr="008F10DE">
        <w:rPr>
          <w:i/>
          <w:iCs/>
          <w:sz w:val="22"/>
          <w:szCs w:val="22"/>
        </w:rPr>
        <w:t>)</w:t>
      </w:r>
      <w:r w:rsidR="00F73ABF" w:rsidRPr="008F10DE">
        <w:rPr>
          <w:sz w:val="22"/>
          <w:szCs w:val="22"/>
        </w:rPr>
        <w:t xml:space="preserve">. </w:t>
      </w:r>
      <w:r w:rsidR="00946C09" w:rsidRPr="008F10DE">
        <w:rPr>
          <w:sz w:val="22"/>
          <w:szCs w:val="22"/>
        </w:rPr>
        <w:t xml:space="preserve">We </w:t>
      </w:r>
      <w:r w:rsidR="00FE3C8C" w:rsidRPr="008F10DE">
        <w:rPr>
          <w:sz w:val="22"/>
          <w:szCs w:val="22"/>
        </w:rPr>
        <w:t xml:space="preserve">can then </w:t>
      </w:r>
      <w:r w:rsidR="00F73ABF" w:rsidRPr="008F10DE">
        <w:rPr>
          <w:sz w:val="22"/>
          <w:szCs w:val="22"/>
        </w:rPr>
        <w:t xml:space="preserve">represent </w:t>
      </w:r>
      <w:r w:rsidR="00AB7557" w:rsidRPr="008F10DE">
        <w:rPr>
          <w:sz w:val="22"/>
          <w:szCs w:val="22"/>
        </w:rPr>
        <w:t xml:space="preserve">the </w:t>
      </w:r>
      <w:r w:rsidR="00D82FF0" w:rsidRPr="008F10DE">
        <w:rPr>
          <w:sz w:val="22"/>
          <w:szCs w:val="22"/>
        </w:rPr>
        <w:t>e</w:t>
      </w:r>
      <w:r w:rsidR="00FE3C8C" w:rsidRPr="008F10DE">
        <w:rPr>
          <w:sz w:val="22"/>
          <w:szCs w:val="22"/>
        </w:rPr>
        <w:t>fficiency of a bank</w:t>
      </w:r>
      <w:r w:rsidR="00946C09" w:rsidRPr="008F10DE">
        <w:rPr>
          <w:sz w:val="22"/>
          <w:szCs w:val="22"/>
        </w:rPr>
        <w:t xml:space="preserve"> in a </w:t>
      </w:r>
      <w:r w:rsidR="00FE3C8C" w:rsidRPr="008F10DE">
        <w:rPr>
          <w:sz w:val="22"/>
          <w:szCs w:val="22"/>
        </w:rPr>
        <w:t>region</w:t>
      </w:r>
      <w:r w:rsidR="00946C09" w:rsidRPr="008F10DE">
        <w:rPr>
          <w:sz w:val="22"/>
          <w:szCs w:val="22"/>
        </w:rPr>
        <w:t xml:space="preserve">, </w:t>
      </w:r>
      <w:r w:rsidR="00946C09" w:rsidRPr="008F10DE">
        <w:rPr>
          <w:i/>
          <w:iCs/>
          <w:sz w:val="22"/>
          <w:szCs w:val="22"/>
        </w:rPr>
        <w:t>i,</w:t>
      </w:r>
      <w:r w:rsidR="00946C09" w:rsidRPr="008F10DE">
        <w:rPr>
          <w:sz w:val="22"/>
          <w:szCs w:val="22"/>
        </w:rPr>
        <w:t xml:space="preserve"> as a Cobb-Douglas function with weights </w:t>
      </w:r>
      <w:r w:rsidR="00946C09" w:rsidRPr="008F10DE">
        <w:rPr>
          <w:i/>
          <w:iCs/>
          <w:sz w:val="22"/>
          <w:szCs w:val="22"/>
        </w:rPr>
        <w:t>α</w:t>
      </w:r>
      <w:r w:rsidR="00946C09" w:rsidRPr="008F10DE">
        <w:rPr>
          <w:sz w:val="22"/>
          <w:szCs w:val="22"/>
        </w:rPr>
        <w:t xml:space="preserve"> and (1− </w:t>
      </w:r>
      <w:r w:rsidR="00946C09" w:rsidRPr="008F10DE">
        <w:rPr>
          <w:i/>
          <w:iCs/>
          <w:sz w:val="22"/>
          <w:szCs w:val="22"/>
        </w:rPr>
        <w:t>α</w:t>
      </w:r>
      <w:r w:rsidR="00946C09" w:rsidRPr="008F10DE">
        <w:rPr>
          <w:sz w:val="22"/>
          <w:szCs w:val="22"/>
        </w:rPr>
        <w:t xml:space="preserve">) for </w:t>
      </w:r>
      <m:oMath>
        <m:sSub>
          <m:sSubPr>
            <m:ctrlPr>
              <w:rPr>
                <w:rFonts w:ascii="Cambria Math" w:hAnsi="Cambria Math"/>
                <w:i/>
                <w:sz w:val="22"/>
                <w:szCs w:val="22"/>
              </w:rPr>
            </m:ctrlPr>
          </m:sSubPr>
          <m:e>
            <m:r>
              <m:rPr>
                <m:nor/>
              </m:rPr>
              <w:rPr>
                <w:i/>
                <w:sz w:val="22"/>
                <w:szCs w:val="22"/>
              </w:rPr>
              <m:t>Z</m:t>
            </m:r>
          </m:e>
          <m:sub>
            <m:r>
              <m:rPr>
                <m:nor/>
              </m:rPr>
              <w:rPr>
                <w:rFonts w:ascii="Cambria Math"/>
                <w:i/>
                <w:sz w:val="22"/>
                <w:szCs w:val="22"/>
              </w:rPr>
              <m:t>1</m:t>
            </m:r>
          </m:sub>
        </m:sSub>
      </m:oMath>
      <w:r w:rsidR="00946C09" w:rsidRPr="008F10DE">
        <w:rPr>
          <w:sz w:val="22"/>
          <w:szCs w:val="22"/>
        </w:rPr>
        <w:t xml:space="preserve"> and </w:t>
      </w:r>
      <m:oMath>
        <m:sSub>
          <m:sSubPr>
            <m:ctrlPr>
              <w:rPr>
                <w:rFonts w:ascii="Cambria Math" w:hAnsi="Cambria Math"/>
                <w:i/>
                <w:sz w:val="22"/>
                <w:szCs w:val="22"/>
              </w:rPr>
            </m:ctrlPr>
          </m:sSubPr>
          <m:e>
            <m:r>
              <m:rPr>
                <m:nor/>
              </m:rPr>
              <w:rPr>
                <w:i/>
                <w:sz w:val="22"/>
                <w:szCs w:val="22"/>
              </w:rPr>
              <m:t>Z</m:t>
            </m:r>
          </m:e>
          <m:sub>
            <m:r>
              <m:rPr>
                <m:nor/>
              </m:rPr>
              <w:rPr>
                <w:rFonts w:ascii="Cambria Math"/>
                <w:i/>
                <w:sz w:val="22"/>
                <w:szCs w:val="22"/>
              </w:rPr>
              <m:t>2</m:t>
            </m:r>
          </m:sub>
        </m:sSub>
      </m:oMath>
      <w:r w:rsidR="00946C09" w:rsidRPr="008F10DE">
        <w:rPr>
          <w:i/>
          <w:iCs/>
          <w:sz w:val="22"/>
          <w:szCs w:val="22"/>
        </w:rPr>
        <w:t xml:space="preserve"> </w:t>
      </w:r>
      <w:r w:rsidR="00946C09" w:rsidRPr="008F10DE">
        <w:rPr>
          <w:iCs/>
          <w:sz w:val="22"/>
          <w:szCs w:val="22"/>
        </w:rPr>
        <w:t>respectively</w:t>
      </w:r>
      <w:r w:rsidR="00946C09" w:rsidRPr="008F10DE">
        <w:rPr>
          <w:sz w:val="22"/>
          <w:szCs w:val="22"/>
        </w:rPr>
        <w:t>:</w:t>
      </w:r>
    </w:p>
    <w:p w14:paraId="06A1DD6D" w14:textId="77777777" w:rsidR="00152AA4" w:rsidRPr="008F10DE" w:rsidRDefault="00152AA4" w:rsidP="00AF452C">
      <w:pPr>
        <w:spacing w:line="360" w:lineRule="auto"/>
        <w:ind w:firstLine="720"/>
        <w:contextualSpacing/>
        <w:jc w:val="both"/>
        <w:rPr>
          <w:sz w:val="22"/>
          <w:szCs w:val="22"/>
        </w:rPr>
      </w:pPr>
    </w:p>
    <w:p w14:paraId="34F038DC" w14:textId="3BFAE46F" w:rsidR="00946C09" w:rsidRPr="008F10DE" w:rsidRDefault="00000000" w:rsidP="00A95C95">
      <w:pPr>
        <w:spacing w:line="360" w:lineRule="auto"/>
        <w:ind w:left="2160" w:firstLine="720"/>
        <w:contextualSpacing/>
        <w:jc w:val="both"/>
        <w:rPr>
          <w:rFonts w:eastAsia="MS Mincho"/>
          <w:sz w:val="22"/>
          <w:szCs w:val="22"/>
          <w:lang w:val="pl-PL"/>
        </w:rPr>
      </w:pPr>
      <m:oMath>
        <m:sSub>
          <m:sSubPr>
            <m:ctrlPr>
              <w:rPr>
                <w:rFonts w:ascii="Cambria Math" w:hAnsi="Cambria Math"/>
                <w:i/>
                <w:sz w:val="22"/>
                <w:szCs w:val="22"/>
              </w:rPr>
            </m:ctrlPr>
          </m:sSubPr>
          <m:e>
            <m:acc>
              <m:accPr>
                <m:ctrlPr>
                  <w:rPr>
                    <w:rFonts w:ascii="Cambria Math" w:hAnsi="Cambria Math"/>
                    <w:i/>
                    <w:sz w:val="22"/>
                    <w:szCs w:val="22"/>
                  </w:rPr>
                </m:ctrlPr>
              </m:accPr>
              <m:e>
                <m:acc>
                  <m:accPr>
                    <m:ctrlPr>
                      <w:rPr>
                        <w:rFonts w:ascii="Cambria Math" w:hAnsi="Cambria Math"/>
                        <w:bCs/>
                        <w:i/>
                        <w:sz w:val="22"/>
                        <w:szCs w:val="22"/>
                      </w:rPr>
                    </m:ctrlPr>
                  </m:accPr>
                  <m:e>
                    <m:r>
                      <w:rPr>
                        <w:rFonts w:ascii="Cambria Math" w:hAnsi="Cambria Math"/>
                        <w:sz w:val="22"/>
                        <w:szCs w:val="22"/>
                      </w:rPr>
                      <m:t>δ</m:t>
                    </m:r>
                    <m:r>
                      <w:rPr>
                        <w:rFonts w:ascii="Cambria Math" w:hAnsi="Cambria Math"/>
                        <w:sz w:val="22"/>
                        <w:szCs w:val="22"/>
                        <w:lang w:val="pl-PL"/>
                      </w:rPr>
                      <m:t xml:space="preserve"> </m:t>
                    </m:r>
                  </m:e>
                </m:acc>
              </m:e>
            </m:acc>
          </m:e>
          <m:sub>
            <m:r>
              <w:rPr>
                <w:rFonts w:ascii="Cambria Math" w:hAnsi="Cambria Math"/>
                <w:sz w:val="22"/>
                <w:szCs w:val="22"/>
              </w:rPr>
              <m:t>t</m:t>
            </m:r>
          </m:sub>
        </m:sSub>
        <m:r>
          <m:rPr>
            <m:nor/>
          </m:rPr>
          <w:rPr>
            <w:i/>
            <w:sz w:val="22"/>
            <w:szCs w:val="22"/>
            <w:lang w:val="pl-PL"/>
          </w:rPr>
          <m:t>=</m:t>
        </m:r>
        <m:sSub>
          <m:sSubPr>
            <m:ctrlPr>
              <w:rPr>
                <w:rFonts w:ascii="Cambria Math" w:hAnsi="Cambria Math"/>
                <w:i/>
                <w:sz w:val="22"/>
                <w:szCs w:val="22"/>
              </w:rPr>
            </m:ctrlPr>
          </m:sSubPr>
          <m:e>
            <m:r>
              <m:rPr>
                <m:nor/>
              </m:rPr>
              <w:rPr>
                <w:i/>
                <w:sz w:val="22"/>
                <w:szCs w:val="22"/>
                <w:lang w:val="pl-PL"/>
              </w:rPr>
              <m:t>A</m:t>
            </m:r>
          </m:e>
          <m:sub>
            <m:r>
              <m:rPr>
                <m:nor/>
              </m:rPr>
              <w:rPr>
                <w:i/>
                <w:sz w:val="22"/>
                <w:szCs w:val="22"/>
                <w:lang w:val="pl-PL"/>
              </w:rPr>
              <m:t>i</m:t>
            </m:r>
          </m:sub>
        </m:sSub>
        <m:d>
          <m:dPr>
            <m:ctrlPr>
              <w:rPr>
                <w:rFonts w:ascii="Cambria Math" w:hAnsi="Cambria Math"/>
                <w:i/>
                <w:sz w:val="22"/>
                <w:szCs w:val="22"/>
              </w:rPr>
            </m:ctrlPr>
          </m:dPr>
          <m:e>
            <m:r>
              <m:rPr>
                <m:nor/>
              </m:rPr>
              <w:rPr>
                <w:i/>
                <w:sz w:val="22"/>
                <w:szCs w:val="22"/>
                <w:lang w:val="pl-PL"/>
              </w:rPr>
              <m:t>t</m:t>
            </m:r>
          </m:e>
        </m:d>
        <m:sSub>
          <m:sSubPr>
            <m:ctrlPr>
              <w:rPr>
                <w:rFonts w:ascii="Cambria Math" w:hAnsi="Cambria Math"/>
                <w:i/>
                <w:sz w:val="22"/>
                <w:szCs w:val="22"/>
              </w:rPr>
            </m:ctrlPr>
          </m:sSubPr>
          <m:e>
            <m:r>
              <m:rPr>
                <m:nor/>
              </m:rPr>
              <w:rPr>
                <w:i/>
                <w:sz w:val="22"/>
                <w:szCs w:val="22"/>
                <w:lang w:val="pl-PL"/>
              </w:rPr>
              <m:t>Z</m:t>
            </m:r>
          </m:e>
          <m:sub>
            <m:r>
              <m:rPr>
                <m:nor/>
              </m:rPr>
              <w:rPr>
                <w:rFonts w:ascii="Cambria Math"/>
                <w:i/>
                <w:sz w:val="22"/>
                <w:szCs w:val="22"/>
                <w:lang w:val="pl-PL"/>
              </w:rPr>
              <m:t>1</m:t>
            </m:r>
            <m:r>
              <m:rPr>
                <m:nor/>
              </m:rPr>
              <w:rPr>
                <w:i/>
                <w:sz w:val="22"/>
                <w:szCs w:val="22"/>
                <w:lang w:val="pl-PL"/>
              </w:rPr>
              <m:t>i</m:t>
            </m:r>
          </m:sub>
        </m:sSub>
        <m:sSup>
          <m:sSupPr>
            <m:ctrlPr>
              <w:rPr>
                <w:rFonts w:ascii="Cambria Math" w:hAnsi="Cambria Math"/>
                <w:i/>
                <w:sz w:val="22"/>
                <w:szCs w:val="22"/>
              </w:rPr>
            </m:ctrlPr>
          </m:sSupPr>
          <m:e>
            <m:d>
              <m:dPr>
                <m:ctrlPr>
                  <w:rPr>
                    <w:rFonts w:ascii="Cambria Math" w:hAnsi="Cambria Math"/>
                    <w:i/>
                    <w:sz w:val="22"/>
                    <w:szCs w:val="22"/>
                  </w:rPr>
                </m:ctrlPr>
              </m:dPr>
              <m:e>
                <m:r>
                  <m:rPr>
                    <m:nor/>
                  </m:rPr>
                  <w:rPr>
                    <w:i/>
                    <w:sz w:val="22"/>
                    <w:szCs w:val="22"/>
                    <w:lang w:val="pl-PL"/>
                  </w:rPr>
                  <m:t>t</m:t>
                </m:r>
              </m:e>
            </m:d>
          </m:e>
          <m:sup>
            <m:r>
              <m:rPr>
                <m:nor/>
              </m:rPr>
              <w:rPr>
                <w:i/>
                <w:sz w:val="22"/>
                <w:szCs w:val="22"/>
              </w:rPr>
              <m:t>α</m:t>
            </m:r>
          </m:sup>
        </m:sSup>
        <m:sSub>
          <m:sSubPr>
            <m:ctrlPr>
              <w:rPr>
                <w:rFonts w:ascii="Cambria Math" w:hAnsi="Cambria Math"/>
                <w:i/>
                <w:sz w:val="22"/>
                <w:szCs w:val="22"/>
              </w:rPr>
            </m:ctrlPr>
          </m:sSubPr>
          <m:e>
            <m:r>
              <m:rPr>
                <m:nor/>
              </m:rPr>
              <w:rPr>
                <w:i/>
                <w:sz w:val="22"/>
                <w:szCs w:val="22"/>
                <w:lang w:val="pl-PL"/>
              </w:rPr>
              <m:t>Z</m:t>
            </m:r>
          </m:e>
          <m:sub>
            <m:r>
              <m:rPr>
                <m:nor/>
              </m:rPr>
              <w:rPr>
                <w:rFonts w:ascii="Cambria Math"/>
                <w:i/>
                <w:sz w:val="22"/>
                <w:szCs w:val="22"/>
                <w:lang w:val="pl-PL"/>
              </w:rPr>
              <m:t>2i</m:t>
            </m:r>
          </m:sub>
        </m:sSub>
        <m:sSup>
          <m:sSupPr>
            <m:ctrlPr>
              <w:rPr>
                <w:rFonts w:ascii="Cambria Math" w:hAnsi="Cambria Math"/>
                <w:i/>
                <w:sz w:val="22"/>
                <w:szCs w:val="22"/>
              </w:rPr>
            </m:ctrlPr>
          </m:sSupPr>
          <m:e>
            <m:d>
              <m:dPr>
                <m:ctrlPr>
                  <w:rPr>
                    <w:rFonts w:ascii="Cambria Math" w:hAnsi="Cambria Math"/>
                    <w:i/>
                    <w:sz w:val="22"/>
                    <w:szCs w:val="22"/>
                  </w:rPr>
                </m:ctrlPr>
              </m:dPr>
              <m:e>
                <m:r>
                  <m:rPr>
                    <m:nor/>
                  </m:rPr>
                  <w:rPr>
                    <w:i/>
                    <w:sz w:val="22"/>
                    <w:szCs w:val="22"/>
                    <w:lang w:val="pl-PL"/>
                  </w:rPr>
                  <m:t>t</m:t>
                </m:r>
              </m:e>
            </m:d>
          </m:e>
          <m:sup>
            <m:r>
              <m:rPr>
                <m:nor/>
              </m:rPr>
              <w:rPr>
                <w:i/>
                <w:sz w:val="22"/>
                <w:szCs w:val="22"/>
                <w:lang w:val="pl-PL"/>
              </w:rPr>
              <m:t>1-</m:t>
            </m:r>
            <m:r>
              <m:rPr>
                <m:nor/>
              </m:rPr>
              <w:rPr>
                <w:i/>
                <w:sz w:val="22"/>
                <w:szCs w:val="22"/>
              </w:rPr>
              <m:t>α</m:t>
            </m:r>
          </m:sup>
        </m:sSup>
      </m:oMath>
      <w:r w:rsidR="00946C09" w:rsidRPr="008F10DE">
        <w:rPr>
          <w:rFonts w:eastAsia="MS Mincho"/>
          <w:sz w:val="22"/>
          <w:szCs w:val="22"/>
          <w:lang w:val="pl-PL"/>
        </w:rPr>
        <w:tab/>
      </w:r>
      <w:r w:rsidR="00946C09" w:rsidRPr="008F10DE">
        <w:rPr>
          <w:rFonts w:eastAsia="MS Mincho"/>
          <w:sz w:val="22"/>
          <w:szCs w:val="22"/>
          <w:lang w:val="pl-PL"/>
        </w:rPr>
        <w:tab/>
        <w:t xml:space="preserve">             </w:t>
      </w:r>
      <w:r w:rsidR="008B6875" w:rsidRPr="008F10DE">
        <w:rPr>
          <w:rFonts w:eastAsia="MS Mincho"/>
          <w:sz w:val="22"/>
          <w:szCs w:val="22"/>
          <w:lang w:val="pl-PL"/>
        </w:rPr>
        <w:tab/>
        <w:t xml:space="preserve">      </w:t>
      </w:r>
      <w:r w:rsidR="00946C09" w:rsidRPr="008F10DE">
        <w:rPr>
          <w:rFonts w:eastAsia="MS Mincho"/>
          <w:sz w:val="22"/>
          <w:szCs w:val="22"/>
          <w:lang w:val="pl-PL"/>
        </w:rPr>
        <w:t xml:space="preserve">       </w:t>
      </w:r>
      <w:r w:rsidR="001D1C7B" w:rsidRPr="008F10DE">
        <w:rPr>
          <w:rFonts w:eastAsia="MS Mincho"/>
          <w:sz w:val="22"/>
          <w:szCs w:val="22"/>
          <w:lang w:val="pl-PL"/>
        </w:rPr>
        <w:tab/>
      </w:r>
      <w:r w:rsidR="001D1C7B" w:rsidRPr="008F10DE">
        <w:rPr>
          <w:rFonts w:eastAsia="MS Mincho"/>
          <w:sz w:val="22"/>
          <w:szCs w:val="22"/>
          <w:lang w:val="pl-PL"/>
        </w:rPr>
        <w:tab/>
      </w:r>
      <w:r w:rsidR="00946C09" w:rsidRPr="008F10DE">
        <w:rPr>
          <w:rFonts w:eastAsia="MS Mincho"/>
          <w:sz w:val="22"/>
          <w:szCs w:val="22"/>
          <w:lang w:val="pl-PL"/>
        </w:rPr>
        <w:t xml:space="preserve"> (</w:t>
      </w:r>
      <w:r w:rsidR="00850917" w:rsidRPr="008F10DE">
        <w:rPr>
          <w:rFonts w:eastAsia="MS Mincho"/>
          <w:sz w:val="22"/>
          <w:szCs w:val="22"/>
          <w:lang w:val="pl-PL"/>
        </w:rPr>
        <w:t>5</w:t>
      </w:r>
      <w:r w:rsidR="00946C09" w:rsidRPr="008F10DE">
        <w:rPr>
          <w:rFonts w:eastAsia="MS Mincho"/>
          <w:sz w:val="22"/>
          <w:szCs w:val="22"/>
          <w:lang w:val="pl-PL"/>
        </w:rPr>
        <w:t>)</w:t>
      </w:r>
    </w:p>
    <w:p w14:paraId="6B3F3206" w14:textId="77777777" w:rsidR="00263D44" w:rsidRPr="008F10DE" w:rsidRDefault="00263D44" w:rsidP="00A95C95">
      <w:pPr>
        <w:spacing w:line="360" w:lineRule="auto"/>
        <w:contextualSpacing/>
        <w:jc w:val="both"/>
        <w:rPr>
          <w:rFonts w:eastAsia="MS Mincho"/>
          <w:sz w:val="22"/>
          <w:szCs w:val="22"/>
          <w:lang w:val="pl-PL"/>
        </w:rPr>
      </w:pPr>
    </w:p>
    <w:p w14:paraId="7705CF53" w14:textId="5284B535" w:rsidR="00946C09" w:rsidRPr="008F10DE" w:rsidRDefault="00946C09" w:rsidP="00A95C95">
      <w:pPr>
        <w:spacing w:line="360" w:lineRule="auto"/>
        <w:contextualSpacing/>
        <w:jc w:val="both"/>
        <w:rPr>
          <w:sz w:val="22"/>
          <w:szCs w:val="22"/>
        </w:rPr>
      </w:pPr>
      <w:r w:rsidRPr="008F10DE">
        <w:rPr>
          <w:rFonts w:eastAsia="MS Mincho"/>
          <w:sz w:val="22"/>
          <w:szCs w:val="22"/>
        </w:rPr>
        <w:t xml:space="preserve">where </w:t>
      </w:r>
      <w:r w:rsidRPr="008F10DE">
        <w:rPr>
          <w:rFonts w:eastAsia="MS Mincho"/>
          <w:i/>
          <w:iCs/>
          <w:sz w:val="22"/>
          <w:szCs w:val="22"/>
        </w:rPr>
        <w:t>A</w:t>
      </w:r>
      <w:r w:rsidRPr="008F10DE">
        <w:rPr>
          <w:rFonts w:eastAsia="MS Mincho"/>
          <w:i/>
          <w:iCs/>
          <w:sz w:val="22"/>
          <w:szCs w:val="22"/>
          <w:vertAlign w:val="subscript"/>
        </w:rPr>
        <w:t>i</w:t>
      </w:r>
      <w:r w:rsidRPr="008F10DE">
        <w:rPr>
          <w:rFonts w:eastAsia="MS Mincho"/>
          <w:sz w:val="22"/>
          <w:szCs w:val="22"/>
        </w:rPr>
        <w:t>(</w:t>
      </w:r>
      <w:r w:rsidRPr="008F10DE">
        <w:rPr>
          <w:rFonts w:eastAsia="MS Mincho"/>
          <w:i/>
          <w:iCs/>
          <w:sz w:val="22"/>
          <w:szCs w:val="22"/>
        </w:rPr>
        <w:t>t</w:t>
      </w:r>
      <w:r w:rsidRPr="008F10DE">
        <w:rPr>
          <w:rFonts w:eastAsia="MS Mincho"/>
          <w:sz w:val="22"/>
          <w:szCs w:val="22"/>
        </w:rPr>
        <w:t xml:space="preserve">) is a mechanism that transforms </w:t>
      </w:r>
      <m:oMath>
        <m:sSub>
          <m:sSubPr>
            <m:ctrlPr>
              <w:rPr>
                <w:rFonts w:ascii="Cambria Math" w:hAnsi="Cambria Math"/>
                <w:i/>
                <w:sz w:val="22"/>
                <w:szCs w:val="22"/>
              </w:rPr>
            </m:ctrlPr>
          </m:sSubPr>
          <m:e>
            <m:r>
              <m:rPr>
                <m:nor/>
              </m:rPr>
              <w:rPr>
                <w:i/>
                <w:sz w:val="22"/>
                <w:szCs w:val="22"/>
              </w:rPr>
              <m:t>Z</m:t>
            </m:r>
          </m:e>
          <m:sub>
            <m:r>
              <m:rPr>
                <m:nor/>
              </m:rPr>
              <w:rPr>
                <w:rFonts w:ascii="Cambria Math"/>
                <w:i/>
                <w:sz w:val="22"/>
                <w:szCs w:val="22"/>
              </w:rPr>
              <m:t>1</m:t>
            </m:r>
          </m:sub>
        </m:sSub>
      </m:oMath>
      <w:r w:rsidRPr="008F10DE">
        <w:rPr>
          <w:rFonts w:eastAsia="MS Mincho"/>
          <w:sz w:val="22"/>
          <w:szCs w:val="22"/>
        </w:rPr>
        <w:t xml:space="preserve"> and </w:t>
      </w:r>
      <m:oMath>
        <m:sSub>
          <m:sSubPr>
            <m:ctrlPr>
              <w:rPr>
                <w:rFonts w:ascii="Cambria Math" w:hAnsi="Cambria Math"/>
                <w:i/>
                <w:sz w:val="22"/>
                <w:szCs w:val="22"/>
              </w:rPr>
            </m:ctrlPr>
          </m:sSubPr>
          <m:e>
            <m:r>
              <m:rPr>
                <m:nor/>
              </m:rPr>
              <w:rPr>
                <w:i/>
                <w:sz w:val="22"/>
                <w:szCs w:val="22"/>
              </w:rPr>
              <m:t>Z</m:t>
            </m:r>
          </m:e>
          <m:sub>
            <m:r>
              <m:rPr>
                <m:nor/>
              </m:rPr>
              <w:rPr>
                <w:rFonts w:ascii="Cambria Math"/>
                <w:i/>
                <w:sz w:val="22"/>
                <w:szCs w:val="22"/>
              </w:rPr>
              <m:t>2</m:t>
            </m:r>
          </m:sub>
        </m:sSub>
        <m:r>
          <w:rPr>
            <w:rFonts w:ascii="Cambria Math" w:hAnsi="Cambria Math"/>
            <w:sz w:val="22"/>
            <w:szCs w:val="22"/>
          </w:rPr>
          <m:t xml:space="preserve"> </m:t>
        </m:r>
      </m:oMath>
      <w:r w:rsidRPr="008F10DE">
        <w:rPr>
          <w:rFonts w:eastAsia="MS Mincho"/>
          <w:sz w:val="22"/>
          <w:szCs w:val="22"/>
        </w:rPr>
        <w:t xml:space="preserve">into </w:t>
      </w:r>
      <w:r w:rsidR="00FE3C8C" w:rsidRPr="008F10DE">
        <w:rPr>
          <w:rFonts w:eastAsia="MS Mincho"/>
          <w:iCs/>
          <w:sz w:val="22"/>
          <w:szCs w:val="22"/>
        </w:rPr>
        <w:t xml:space="preserve">efficiency gain. </w:t>
      </w:r>
      <w:r w:rsidR="00263D44" w:rsidRPr="008F10DE">
        <w:rPr>
          <w:rFonts w:eastAsia="MS Mincho"/>
          <w:iCs/>
          <w:sz w:val="22"/>
          <w:szCs w:val="22"/>
        </w:rPr>
        <w:t>Assuming that e</w:t>
      </w:r>
      <w:r w:rsidRPr="008F10DE">
        <w:rPr>
          <w:rFonts w:eastAsia="MS Mincho"/>
          <w:sz w:val="22"/>
          <w:szCs w:val="22"/>
        </w:rPr>
        <w:t>xogenous shocks</w:t>
      </w:r>
      <w:r w:rsidR="00263D44" w:rsidRPr="008F10DE">
        <w:rPr>
          <w:rFonts w:eastAsia="MS Mincho"/>
          <w:sz w:val="22"/>
          <w:szCs w:val="22"/>
        </w:rPr>
        <w:t xml:space="preserve"> (such as climate disasters) can </w:t>
      </w:r>
      <w:r w:rsidRPr="008F10DE">
        <w:rPr>
          <w:rFonts w:eastAsia="MS Mincho"/>
          <w:sz w:val="22"/>
          <w:szCs w:val="22"/>
        </w:rPr>
        <w:t xml:space="preserve">affect </w:t>
      </w:r>
      <w:r w:rsidR="00263D44" w:rsidRPr="008F10DE">
        <w:rPr>
          <w:rFonts w:eastAsia="MS Mincho"/>
          <w:sz w:val="22"/>
          <w:szCs w:val="22"/>
        </w:rPr>
        <w:t>(</w:t>
      </w:r>
      <w:r w:rsidR="00C823E8" w:rsidRPr="008F10DE">
        <w:rPr>
          <w:rFonts w:eastAsia="MS Mincho"/>
          <w:sz w:val="22"/>
          <w:szCs w:val="22"/>
        </w:rPr>
        <w:t>US</w:t>
      </w:r>
      <w:r w:rsidR="00263D44" w:rsidRPr="008F10DE">
        <w:rPr>
          <w:rFonts w:eastAsia="MS Mincho"/>
          <w:sz w:val="22"/>
          <w:szCs w:val="22"/>
        </w:rPr>
        <w:t>)</w:t>
      </w:r>
      <w:r w:rsidR="00C823E8" w:rsidRPr="008F10DE">
        <w:rPr>
          <w:rFonts w:eastAsia="MS Mincho"/>
          <w:sz w:val="22"/>
          <w:szCs w:val="22"/>
        </w:rPr>
        <w:t xml:space="preserve"> </w:t>
      </w:r>
      <w:r w:rsidR="00FE3C8C" w:rsidRPr="008F10DE">
        <w:rPr>
          <w:rFonts w:eastAsia="MS Mincho"/>
          <w:sz w:val="22"/>
          <w:szCs w:val="22"/>
        </w:rPr>
        <w:t>regions</w:t>
      </w:r>
      <w:r w:rsidRPr="008F10DE">
        <w:rPr>
          <w:rFonts w:eastAsia="MS Mincho"/>
          <w:sz w:val="22"/>
          <w:szCs w:val="22"/>
        </w:rPr>
        <w:t xml:space="preserve"> symmetrically</w:t>
      </w:r>
      <w:r w:rsidR="00263D44" w:rsidRPr="008F10DE">
        <w:rPr>
          <w:rFonts w:eastAsia="MS Mincho"/>
          <w:sz w:val="22"/>
          <w:szCs w:val="22"/>
        </w:rPr>
        <w:t xml:space="preserve">, we can write </w:t>
      </w:r>
      <w:r w:rsidRPr="008F10DE">
        <w:rPr>
          <w:rFonts w:eastAsia="MS Mincho"/>
          <w:sz w:val="22"/>
          <w:szCs w:val="22"/>
        </w:rPr>
        <w:t xml:space="preserve"> </w:t>
      </w:r>
      <m:oMath>
        <m:sSub>
          <m:sSubPr>
            <m:ctrlPr>
              <w:rPr>
                <w:rFonts w:ascii="Cambria Math" w:hAnsi="Cambria Math"/>
                <w:i/>
                <w:sz w:val="22"/>
                <w:szCs w:val="22"/>
              </w:rPr>
            </m:ctrlPr>
          </m:sSubPr>
          <m:e>
            <m:r>
              <m:rPr>
                <m:nor/>
              </m:rPr>
              <w:rPr>
                <w:i/>
                <w:sz w:val="22"/>
                <w:szCs w:val="22"/>
              </w:rPr>
              <m:t>Z</m:t>
            </m:r>
          </m:e>
          <m:sub>
            <m:r>
              <m:rPr>
                <m:nor/>
              </m:rPr>
              <w:rPr>
                <w:rFonts w:ascii="Cambria Math"/>
                <w:i/>
                <w:sz w:val="22"/>
                <w:szCs w:val="22"/>
              </w:rPr>
              <m:t>1</m:t>
            </m:r>
          </m:sub>
        </m:sSub>
      </m:oMath>
      <w:r w:rsidRPr="008F10DE">
        <w:rPr>
          <w:rFonts w:eastAsia="MS Mincho"/>
          <w:sz w:val="22"/>
          <w:szCs w:val="22"/>
          <w:vertAlign w:val="subscript"/>
        </w:rPr>
        <w:t xml:space="preserve"> </w:t>
      </w:r>
      <w:r w:rsidRPr="008F10DE">
        <w:rPr>
          <w:rFonts w:eastAsia="MS Mincho"/>
          <w:sz w:val="22"/>
          <w:szCs w:val="22"/>
        </w:rPr>
        <w:t xml:space="preserve">/ </w:t>
      </w:r>
      <m:oMath>
        <m:sSub>
          <m:sSubPr>
            <m:ctrlPr>
              <w:rPr>
                <w:rFonts w:ascii="Cambria Math" w:hAnsi="Cambria Math"/>
                <w:i/>
                <w:sz w:val="22"/>
                <w:szCs w:val="22"/>
              </w:rPr>
            </m:ctrlPr>
          </m:sSubPr>
          <m:e>
            <m:r>
              <m:rPr>
                <m:nor/>
              </m:rPr>
              <w:rPr>
                <w:i/>
                <w:sz w:val="22"/>
                <w:szCs w:val="22"/>
              </w:rPr>
              <m:t>Z</m:t>
            </m:r>
          </m:e>
          <m:sub>
            <m:r>
              <m:rPr>
                <m:nor/>
              </m:rPr>
              <w:rPr>
                <w:rFonts w:ascii="Cambria Math"/>
                <w:i/>
                <w:sz w:val="22"/>
                <w:szCs w:val="22"/>
              </w:rPr>
              <m:t>2</m:t>
            </m:r>
          </m:sub>
        </m:sSub>
      </m:oMath>
      <w:r w:rsidRPr="008F10DE">
        <w:rPr>
          <w:rFonts w:eastAsia="MS Mincho"/>
          <w:sz w:val="22"/>
          <w:szCs w:val="22"/>
        </w:rPr>
        <w:t xml:space="preserve"> </w:t>
      </w:r>
      <w:r w:rsidRPr="008F10DE">
        <w:rPr>
          <w:sz w:val="22"/>
          <w:szCs w:val="22"/>
        </w:rPr>
        <w:t>(d</w:t>
      </w:r>
      <w:r w:rsidR="00C823E8" w:rsidRPr="008F10DE">
        <w:rPr>
          <w:sz w:val="22"/>
          <w:szCs w:val="22"/>
        </w:rPr>
        <w:t>e</w:t>
      </w:r>
      <w:r w:rsidRPr="008F10DE">
        <w:rPr>
          <w:sz w:val="22"/>
          <w:szCs w:val="22"/>
        </w:rPr>
        <w:t xml:space="preserve">noted as </w:t>
      </w:r>
      <m:oMath>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m:t>
                </m:r>
              </m:sub>
            </m:sSub>
            <m:r>
              <m:rPr>
                <m:nor/>
              </m:rPr>
              <w:rPr>
                <w:rFonts w:ascii="Cambria Math"/>
                <w:i/>
                <w:sz w:val="22"/>
                <w:szCs w:val="22"/>
              </w:rPr>
              <m:t>z</m:t>
            </m:r>
          </m:e>
          <m:sub>
            <m:r>
              <m:rPr>
                <m:nor/>
              </m:rPr>
              <w:rPr>
                <w:rFonts w:ascii="Cambria Math"/>
                <w:i/>
                <w:sz w:val="22"/>
                <w:szCs w:val="22"/>
              </w:rPr>
              <m:t>2</m:t>
            </m:r>
          </m:sub>
        </m:sSub>
      </m:oMath>
      <w:r w:rsidRPr="008F10DE">
        <w:rPr>
          <w:sz w:val="22"/>
          <w:szCs w:val="22"/>
        </w:rPr>
        <w:t>)</w:t>
      </w:r>
      <w:r w:rsidR="00FE3C8C" w:rsidRPr="008F10DE">
        <w:rPr>
          <w:sz w:val="22"/>
          <w:szCs w:val="22"/>
        </w:rPr>
        <w:t xml:space="preserve"> </w:t>
      </w:r>
      <w:r w:rsidR="00263D44" w:rsidRPr="008F10DE">
        <w:rPr>
          <w:sz w:val="22"/>
          <w:szCs w:val="22"/>
        </w:rPr>
        <w:t>as</w:t>
      </w:r>
      <w:r w:rsidRPr="008F10DE">
        <w:rPr>
          <w:sz w:val="22"/>
          <w:szCs w:val="22"/>
        </w:rPr>
        <w:t xml:space="preserve"> the ratio of </w:t>
      </w:r>
      <w:r w:rsidR="00FE3C8C" w:rsidRPr="008F10DE">
        <w:rPr>
          <w:sz w:val="22"/>
          <w:szCs w:val="22"/>
        </w:rPr>
        <w:t>the variations of vote shares</w:t>
      </w:r>
      <w:r w:rsidRPr="008F10DE">
        <w:rPr>
          <w:sz w:val="22"/>
          <w:szCs w:val="22"/>
        </w:rPr>
        <w:t xml:space="preserve"> to changes in macroeconomic conditions</w:t>
      </w:r>
      <w:r w:rsidR="00FE3C8C" w:rsidRPr="008F10DE">
        <w:rPr>
          <w:sz w:val="22"/>
          <w:szCs w:val="22"/>
        </w:rPr>
        <w:t xml:space="preserve">. </w:t>
      </w:r>
      <w:r w:rsidR="00263D44" w:rsidRPr="008F10DE">
        <w:rPr>
          <w:sz w:val="22"/>
          <w:szCs w:val="22"/>
        </w:rPr>
        <w:t>Specifically, we</w:t>
      </w:r>
      <w:r w:rsidR="00FE3C8C" w:rsidRPr="008F10DE">
        <w:rPr>
          <w:sz w:val="22"/>
          <w:szCs w:val="22"/>
        </w:rPr>
        <w:t xml:space="preserve"> define</w:t>
      </w:r>
      <w:r w:rsidRPr="008F10DE">
        <w:rPr>
          <w:sz w:val="22"/>
          <w:szCs w:val="22"/>
        </w:rPr>
        <w:t xml:space="preserve"> </w:t>
      </w:r>
      <w:r w:rsidRPr="008F10DE">
        <w:rPr>
          <w:rFonts w:eastAsia="MS Mincho"/>
          <w:i/>
          <w:iCs/>
          <w:sz w:val="22"/>
          <w:szCs w:val="22"/>
        </w:rPr>
        <w:t>A</w:t>
      </w:r>
      <w:r w:rsidRPr="008F10DE">
        <w:rPr>
          <w:rFonts w:eastAsia="MS Mincho"/>
          <w:i/>
          <w:iCs/>
          <w:sz w:val="22"/>
          <w:szCs w:val="22"/>
          <w:vertAlign w:val="subscript"/>
        </w:rPr>
        <w:t>i</w:t>
      </w:r>
      <w:r w:rsidRPr="008F10DE">
        <w:rPr>
          <w:rFonts w:eastAsia="MS Mincho"/>
          <w:sz w:val="22"/>
          <w:szCs w:val="22"/>
        </w:rPr>
        <w:t>(</w:t>
      </w:r>
      <w:r w:rsidRPr="008F10DE">
        <w:rPr>
          <w:rFonts w:eastAsia="MS Mincho"/>
          <w:i/>
          <w:iCs/>
          <w:sz w:val="22"/>
          <w:szCs w:val="22"/>
        </w:rPr>
        <w:t>t</w:t>
      </w:r>
      <w:r w:rsidRPr="008F10DE">
        <w:rPr>
          <w:rFonts w:eastAsia="MS Mincho"/>
          <w:sz w:val="22"/>
          <w:szCs w:val="22"/>
        </w:rPr>
        <w:t>)</w:t>
      </w:r>
      <w:r w:rsidRPr="008F10DE">
        <w:rPr>
          <w:sz w:val="22"/>
          <w:szCs w:val="22"/>
        </w:rPr>
        <w:t xml:space="preserve"> as:</w:t>
      </w:r>
    </w:p>
    <w:p w14:paraId="459CB8A4" w14:textId="77777777" w:rsidR="00263D44" w:rsidRPr="008F10DE" w:rsidRDefault="00263D44" w:rsidP="00A95C95">
      <w:pPr>
        <w:spacing w:line="360" w:lineRule="auto"/>
        <w:contextualSpacing/>
        <w:jc w:val="both"/>
        <w:rPr>
          <w:sz w:val="22"/>
          <w:szCs w:val="22"/>
        </w:rPr>
      </w:pPr>
    </w:p>
    <w:p w14:paraId="64FC529A" w14:textId="40015548" w:rsidR="00946C09" w:rsidRPr="006D498D" w:rsidRDefault="00946C09" w:rsidP="00A95C95">
      <w:pPr>
        <w:spacing w:line="360" w:lineRule="auto"/>
        <w:ind w:left="2160"/>
        <w:jc w:val="both"/>
        <w:rPr>
          <w:rFonts w:eastAsia="MS Mincho"/>
          <w:sz w:val="22"/>
          <w:szCs w:val="22"/>
          <w:lang w:val="pl-PL"/>
        </w:rPr>
      </w:pPr>
      <w:r w:rsidRPr="006D498D">
        <w:rPr>
          <w:sz w:val="22"/>
          <w:szCs w:val="22"/>
          <w:lang w:val="pl-PL"/>
        </w:rPr>
        <w:t xml:space="preserve"> </w:t>
      </w:r>
      <m:oMath>
        <m:sSub>
          <m:sSubPr>
            <m:ctrlPr>
              <w:rPr>
                <w:rFonts w:ascii="Cambria Math" w:hAnsi="Cambria Math"/>
                <w:i/>
                <w:sz w:val="22"/>
                <w:szCs w:val="22"/>
              </w:rPr>
            </m:ctrlPr>
          </m:sSubPr>
          <m:e>
            <m:r>
              <m:rPr>
                <m:nor/>
              </m:rPr>
              <w:rPr>
                <w:i/>
                <w:sz w:val="22"/>
                <w:szCs w:val="22"/>
                <w:lang w:val="pl-PL"/>
              </w:rPr>
              <m:t>A</m:t>
            </m:r>
          </m:e>
          <m:sub>
            <m:r>
              <m:rPr>
                <m:nor/>
              </m:rPr>
              <w:rPr>
                <w:i/>
                <w:sz w:val="22"/>
                <w:szCs w:val="22"/>
                <w:lang w:val="pl-PL"/>
              </w:rPr>
              <m:t>i</m:t>
            </m:r>
          </m:sub>
        </m:sSub>
        <m:d>
          <m:dPr>
            <m:ctrlPr>
              <w:rPr>
                <w:rFonts w:ascii="Cambria Math" w:hAnsi="Cambria Math"/>
                <w:i/>
                <w:sz w:val="22"/>
                <w:szCs w:val="22"/>
              </w:rPr>
            </m:ctrlPr>
          </m:dPr>
          <m:e>
            <m:r>
              <m:rPr>
                <m:nor/>
              </m:rPr>
              <w:rPr>
                <w:i/>
                <w:sz w:val="22"/>
                <w:szCs w:val="22"/>
                <w:lang w:val="pl-PL"/>
              </w:rPr>
              <m:t>t</m:t>
            </m:r>
          </m:e>
        </m:d>
        <m:r>
          <m:rPr>
            <m:nor/>
          </m:rPr>
          <w:rPr>
            <w:i/>
            <w:sz w:val="22"/>
            <w:szCs w:val="22"/>
            <w:lang w:val="pl-PL"/>
          </w:rPr>
          <m:t>=</m:t>
        </m:r>
        <m:r>
          <m:rPr>
            <m:nor/>
          </m:rPr>
          <w:rPr>
            <w:i/>
            <w:sz w:val="22"/>
            <w:szCs w:val="22"/>
          </w:rPr>
          <m:t>Γ</m:t>
        </m:r>
        <m:d>
          <m:dPr>
            <m:ctrlPr>
              <w:rPr>
                <w:rFonts w:ascii="Cambria Math" w:hAnsi="Cambria Math"/>
                <w:i/>
                <w:sz w:val="22"/>
                <w:szCs w:val="22"/>
              </w:rPr>
            </m:ctrlPr>
          </m:dPr>
          <m:e>
            <m:r>
              <m:rPr>
                <m:nor/>
              </m:rPr>
              <w:rPr>
                <w:i/>
                <w:sz w:val="22"/>
                <w:szCs w:val="22"/>
                <w:lang w:val="pl-PL"/>
              </w:rPr>
              <m:t>t</m:t>
            </m:r>
          </m:e>
        </m:d>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lang w:val="pl-PL"/>
              </w:rPr>
              <m:t>1</m:t>
            </m:r>
          </m:sub>
        </m:sSub>
        <m:sSub>
          <m:sSubPr>
            <m:ctrlPr>
              <w:rPr>
                <w:rFonts w:ascii="Cambria Math" w:hAnsi="Cambria Math"/>
                <w:i/>
                <w:sz w:val="22"/>
                <w:szCs w:val="22"/>
              </w:rPr>
            </m:ctrlPr>
          </m:sSubPr>
          <m:e>
            <m:r>
              <m:rPr>
                <m:nor/>
              </m:rPr>
              <w:rPr>
                <w:rFonts w:ascii="Cambria Math"/>
                <w:i/>
                <w:sz w:val="22"/>
                <w:szCs w:val="22"/>
                <w:lang w:val="pl-PL"/>
              </w:rPr>
              <m:t>z</m:t>
            </m:r>
          </m:e>
          <m:sub>
            <m:r>
              <m:rPr>
                <m:nor/>
              </m:rPr>
              <w:rPr>
                <w:rFonts w:ascii="Cambria Math"/>
                <w:i/>
                <w:sz w:val="22"/>
                <w:szCs w:val="22"/>
                <w:lang w:val="pl-PL"/>
              </w:rPr>
              <m:t>2</m:t>
            </m:r>
            <m:r>
              <m:rPr>
                <m:nor/>
              </m:rPr>
              <w:rPr>
                <w:i/>
                <w:sz w:val="22"/>
                <w:szCs w:val="22"/>
                <w:lang w:val="pl-PL"/>
              </w:rPr>
              <m:t>i</m:t>
            </m:r>
          </m:sub>
        </m:sSub>
        <m:sSup>
          <m:sSupPr>
            <m:ctrlPr>
              <w:rPr>
                <w:rFonts w:ascii="Cambria Math" w:hAnsi="Cambria Math"/>
                <w:i/>
                <w:sz w:val="22"/>
                <w:szCs w:val="22"/>
              </w:rPr>
            </m:ctrlPr>
          </m:sSupPr>
          <m:e>
            <m:d>
              <m:dPr>
                <m:ctrlPr>
                  <w:rPr>
                    <w:rFonts w:ascii="Cambria Math" w:hAnsi="Cambria Math"/>
                    <w:i/>
                    <w:sz w:val="22"/>
                    <w:szCs w:val="22"/>
                  </w:rPr>
                </m:ctrlPr>
              </m:dPr>
              <m:e>
                <m:r>
                  <m:rPr>
                    <m:nor/>
                  </m:rPr>
                  <w:rPr>
                    <w:i/>
                    <w:sz w:val="22"/>
                    <w:szCs w:val="22"/>
                    <w:lang w:val="pl-PL"/>
                  </w:rPr>
                  <m:t>t</m:t>
                </m:r>
              </m:e>
            </m:d>
          </m:e>
          <m:sup>
            <m:r>
              <m:rPr>
                <m:nor/>
              </m:rPr>
              <w:rPr>
                <w:i/>
                <w:sz w:val="22"/>
                <w:szCs w:val="22"/>
              </w:rPr>
              <m:t>δ</m:t>
            </m:r>
          </m:sup>
        </m:sSup>
        <m:nary>
          <m:naryPr>
            <m:chr m:val="∏"/>
            <m:limLoc m:val="undOvr"/>
            <m:ctrlPr>
              <w:rPr>
                <w:rFonts w:ascii="Cambria Math" w:hAnsi="Cambria Math"/>
                <w:i/>
                <w:sz w:val="22"/>
                <w:szCs w:val="22"/>
              </w:rPr>
            </m:ctrlPr>
          </m:naryPr>
          <m:sub>
            <m:r>
              <m:rPr>
                <m:nor/>
              </m:rPr>
              <w:rPr>
                <w:i/>
                <w:sz w:val="22"/>
                <w:szCs w:val="22"/>
                <w:lang w:val="pl-PL"/>
              </w:rPr>
              <m:t>j≠i</m:t>
            </m:r>
          </m:sub>
          <m:sup>
            <m:r>
              <m:rPr>
                <m:nor/>
              </m:rPr>
              <w:rPr>
                <w:i/>
                <w:sz w:val="22"/>
                <w:szCs w:val="22"/>
                <w:lang w:val="pl-PL"/>
              </w:rPr>
              <m:t>N</m:t>
            </m:r>
          </m:sup>
          <m:e>
            <m:sSub>
              <m:sSubPr>
                <m:ctrlPr>
                  <w:rPr>
                    <w:rFonts w:ascii="Cambria Math" w:hAnsi="Cambria Math"/>
                    <w:i/>
                    <w:sz w:val="22"/>
                    <w:szCs w:val="22"/>
                  </w:rPr>
                </m:ctrlPr>
              </m:sSubPr>
              <m:e>
                <m:r>
                  <m:rPr>
                    <m:nor/>
                  </m:rPr>
                  <w:rPr>
                    <w:i/>
                    <w:sz w:val="22"/>
                    <w:szCs w:val="22"/>
                    <w:lang w:val="pl-PL"/>
                  </w:rPr>
                  <m:t>A</m:t>
                </m:r>
              </m:e>
              <m:sub>
                <m:r>
                  <m:rPr>
                    <m:nor/>
                  </m:rPr>
                  <w:rPr>
                    <w:i/>
                    <w:sz w:val="22"/>
                    <w:szCs w:val="22"/>
                    <w:lang w:val="pl-PL"/>
                  </w:rPr>
                  <m:t>j</m:t>
                </m:r>
              </m:sub>
            </m:sSub>
            <m:sSup>
              <m:sSupPr>
                <m:ctrlPr>
                  <w:rPr>
                    <w:rFonts w:ascii="Cambria Math" w:hAnsi="Cambria Math"/>
                    <w:i/>
                    <w:sz w:val="22"/>
                    <w:szCs w:val="22"/>
                  </w:rPr>
                </m:ctrlPr>
              </m:sSupPr>
              <m:e>
                <m:d>
                  <m:dPr>
                    <m:ctrlPr>
                      <w:rPr>
                        <w:rFonts w:ascii="Cambria Math" w:hAnsi="Cambria Math"/>
                        <w:i/>
                        <w:sz w:val="22"/>
                        <w:szCs w:val="22"/>
                      </w:rPr>
                    </m:ctrlPr>
                  </m:dPr>
                  <m:e>
                    <m:r>
                      <m:rPr>
                        <m:nor/>
                      </m:rPr>
                      <w:rPr>
                        <w:i/>
                        <w:sz w:val="22"/>
                        <w:szCs w:val="22"/>
                        <w:lang w:val="pl-PL"/>
                      </w:rPr>
                      <m:t>t</m:t>
                    </m:r>
                  </m:e>
                </m:d>
              </m:e>
              <m:sup>
                <m:r>
                  <m:rPr>
                    <m:nor/>
                  </m:rPr>
                  <w:rPr>
                    <w:i/>
                    <w:sz w:val="22"/>
                    <w:szCs w:val="22"/>
                  </w:rPr>
                  <m:t>β</m:t>
                </m:r>
                <m:r>
                  <m:rPr>
                    <m:nor/>
                  </m:rPr>
                  <w:rPr>
                    <w:i/>
                    <w:sz w:val="22"/>
                    <w:szCs w:val="22"/>
                    <w:lang w:val="pl-PL"/>
                  </w:rPr>
                  <m:t xml:space="preserve"> </m:t>
                </m:r>
                <m:sSub>
                  <m:sSubPr>
                    <m:ctrlPr>
                      <w:rPr>
                        <w:rFonts w:ascii="Cambria Math" w:hAnsi="Cambria Math"/>
                        <w:i/>
                        <w:sz w:val="22"/>
                        <w:szCs w:val="22"/>
                      </w:rPr>
                    </m:ctrlPr>
                  </m:sSubPr>
                  <m:e>
                    <m:r>
                      <m:rPr>
                        <m:nor/>
                      </m:rPr>
                      <w:rPr>
                        <w:i/>
                        <w:sz w:val="22"/>
                        <w:szCs w:val="22"/>
                        <w:lang w:val="pl-PL"/>
                      </w:rPr>
                      <m:t>D</m:t>
                    </m:r>
                  </m:e>
                  <m:sub>
                    <m:r>
                      <m:rPr>
                        <m:nor/>
                      </m:rPr>
                      <w:rPr>
                        <w:i/>
                        <w:iCs/>
                        <w:sz w:val="22"/>
                        <w:szCs w:val="22"/>
                        <w:lang w:val="pl-PL"/>
                      </w:rPr>
                      <m:t>i,</m:t>
                    </m:r>
                    <m:r>
                      <m:rPr>
                        <m:nor/>
                      </m:rPr>
                      <w:rPr>
                        <w:i/>
                        <w:sz w:val="22"/>
                        <w:szCs w:val="22"/>
                        <w:lang w:val="pl-PL"/>
                      </w:rPr>
                      <m:t>j</m:t>
                    </m:r>
                  </m:sub>
                </m:sSub>
              </m:sup>
            </m:sSup>
          </m:e>
        </m:nary>
      </m:oMath>
      <w:r w:rsidRPr="006D498D">
        <w:rPr>
          <w:rFonts w:eastAsia="MS Mincho"/>
          <w:sz w:val="22"/>
          <w:szCs w:val="22"/>
          <w:lang w:val="pl-PL"/>
        </w:rPr>
        <w:tab/>
      </w:r>
      <w:r w:rsidRPr="006D498D">
        <w:rPr>
          <w:rFonts w:eastAsia="MS Mincho"/>
          <w:sz w:val="22"/>
          <w:szCs w:val="22"/>
          <w:lang w:val="pl-PL"/>
        </w:rPr>
        <w:tab/>
      </w:r>
      <w:r w:rsidRPr="006D498D">
        <w:rPr>
          <w:rFonts w:eastAsia="MS Mincho"/>
          <w:sz w:val="22"/>
          <w:szCs w:val="22"/>
          <w:lang w:val="pl-PL"/>
        </w:rPr>
        <w:tab/>
        <w:t xml:space="preserve">                    </w:t>
      </w:r>
      <w:r w:rsidR="008B6875" w:rsidRPr="006D498D">
        <w:rPr>
          <w:rFonts w:eastAsia="MS Mincho"/>
          <w:sz w:val="22"/>
          <w:szCs w:val="22"/>
          <w:lang w:val="pl-PL"/>
        </w:rPr>
        <w:tab/>
      </w:r>
      <w:r w:rsidRPr="006D498D">
        <w:rPr>
          <w:rFonts w:eastAsia="MS Mincho"/>
          <w:sz w:val="22"/>
          <w:szCs w:val="22"/>
          <w:lang w:val="pl-PL"/>
        </w:rPr>
        <w:t xml:space="preserve"> (</w:t>
      </w:r>
      <w:r w:rsidR="00850917" w:rsidRPr="006D498D">
        <w:rPr>
          <w:rFonts w:eastAsia="MS Mincho"/>
          <w:sz w:val="22"/>
          <w:szCs w:val="22"/>
          <w:lang w:val="pl-PL"/>
        </w:rPr>
        <w:t>6</w:t>
      </w:r>
      <w:r w:rsidRPr="006D498D">
        <w:rPr>
          <w:rFonts w:eastAsia="MS Mincho"/>
          <w:sz w:val="22"/>
          <w:szCs w:val="22"/>
          <w:lang w:val="pl-PL"/>
        </w:rPr>
        <w:t>)</w:t>
      </w:r>
    </w:p>
    <w:p w14:paraId="3EB28082" w14:textId="77777777" w:rsidR="00263D44" w:rsidRPr="006D498D" w:rsidRDefault="00263D44" w:rsidP="006F00FF">
      <w:pPr>
        <w:spacing w:line="360" w:lineRule="auto"/>
        <w:jc w:val="both"/>
        <w:rPr>
          <w:sz w:val="22"/>
          <w:szCs w:val="22"/>
          <w:lang w:val="pl-PL"/>
        </w:rPr>
      </w:pPr>
    </w:p>
    <w:p w14:paraId="0F53F171" w14:textId="598DF2F7" w:rsidR="00946C09" w:rsidRPr="008F10DE" w:rsidRDefault="00946C09" w:rsidP="006D498D">
      <w:pPr>
        <w:spacing w:line="360" w:lineRule="auto"/>
        <w:jc w:val="both"/>
        <w:rPr>
          <w:sz w:val="22"/>
          <w:szCs w:val="22"/>
        </w:rPr>
      </w:pPr>
      <w:r w:rsidRPr="008F10DE">
        <w:rPr>
          <w:sz w:val="22"/>
          <w:szCs w:val="22"/>
        </w:rPr>
        <w:t>Externalities from financial frictions, transmission</w:t>
      </w:r>
      <w:r w:rsidR="00AB7557" w:rsidRPr="008F10DE">
        <w:rPr>
          <w:sz w:val="22"/>
          <w:szCs w:val="22"/>
        </w:rPr>
        <w:t>,</w:t>
      </w:r>
      <w:r w:rsidRPr="008F10DE">
        <w:rPr>
          <w:sz w:val="22"/>
          <w:szCs w:val="22"/>
        </w:rPr>
        <w:t xml:space="preserve"> and learning-by-doing for each </w:t>
      </w:r>
      <w:r w:rsidR="00FE3C8C" w:rsidRPr="008F10DE">
        <w:rPr>
          <w:sz w:val="22"/>
          <w:szCs w:val="22"/>
        </w:rPr>
        <w:t>bank</w:t>
      </w:r>
      <w:r w:rsidRPr="008F10DE">
        <w:rPr>
          <w:sz w:val="22"/>
          <w:szCs w:val="22"/>
        </w:rPr>
        <w:t xml:space="preserve"> in each </w:t>
      </w:r>
      <w:r w:rsidR="00FE3C8C" w:rsidRPr="008F10DE">
        <w:rPr>
          <w:sz w:val="22"/>
          <w:szCs w:val="22"/>
        </w:rPr>
        <w:t>region</w:t>
      </w:r>
      <w:r w:rsidRPr="008F10DE">
        <w:rPr>
          <w:sz w:val="22"/>
          <w:szCs w:val="22"/>
        </w:rPr>
        <w:t xml:space="preserve"> are captured by 0 &lt;</w:t>
      </w:r>
      <w:r w:rsidRPr="008F10DE">
        <w:rPr>
          <w:i/>
          <w:iCs/>
          <w:sz w:val="22"/>
          <w:szCs w:val="22"/>
        </w:rPr>
        <w:t xml:space="preserve"> δ</w:t>
      </w:r>
      <w:r w:rsidRPr="008F10DE">
        <w:rPr>
          <w:sz w:val="22"/>
          <w:szCs w:val="22"/>
        </w:rPr>
        <w:t xml:space="preserve"> &lt; 1 in </w:t>
      </w:r>
      <w:r w:rsidR="005D71C2" w:rsidRPr="008F10DE">
        <w:rPr>
          <w:sz w:val="22"/>
          <w:szCs w:val="22"/>
        </w:rPr>
        <w:t>E</w:t>
      </w:r>
      <w:r w:rsidRPr="008F10DE">
        <w:rPr>
          <w:sz w:val="22"/>
          <w:szCs w:val="22"/>
        </w:rPr>
        <w:t>quation (</w:t>
      </w:r>
      <w:r w:rsidR="00850917" w:rsidRPr="00B50F0E">
        <w:rPr>
          <w:color w:val="004F88"/>
          <w:sz w:val="22"/>
          <w:szCs w:val="22"/>
        </w:rPr>
        <w:t>6</w:t>
      </w:r>
      <w:r w:rsidRPr="008F10DE">
        <w:rPr>
          <w:sz w:val="22"/>
          <w:szCs w:val="22"/>
        </w:rPr>
        <w:t xml:space="preserve">). </w:t>
      </w:r>
      <w:r w:rsidR="00263D44" w:rsidRPr="008F10DE">
        <w:rPr>
          <w:sz w:val="22"/>
          <w:szCs w:val="22"/>
        </w:rPr>
        <w:t xml:space="preserve">The cross-region </w:t>
      </w:r>
      <w:r w:rsidR="00FE3C8C" w:rsidRPr="008F10DE">
        <w:rPr>
          <w:sz w:val="22"/>
          <w:szCs w:val="22"/>
        </w:rPr>
        <w:t>efficiency</w:t>
      </w:r>
      <w:r w:rsidR="00263D44" w:rsidRPr="008F10DE">
        <w:rPr>
          <w:sz w:val="22"/>
          <w:szCs w:val="22"/>
        </w:rPr>
        <w:t xml:space="preserve"> </w:t>
      </w:r>
      <w:r w:rsidR="00AB7557" w:rsidRPr="008F10DE">
        <w:rPr>
          <w:sz w:val="22"/>
          <w:szCs w:val="22"/>
        </w:rPr>
        <w:t>is</w:t>
      </w:r>
      <w:r w:rsidR="00263D44" w:rsidRPr="008F10DE">
        <w:rPr>
          <w:sz w:val="22"/>
          <w:szCs w:val="22"/>
        </w:rPr>
        <w:t xml:space="preserve"> captured by</w:t>
      </w:r>
      <w:r w:rsidRPr="008F10DE">
        <w:rPr>
          <w:sz w:val="22"/>
          <w:szCs w:val="22"/>
        </w:rPr>
        <w:t xml:space="preserve"> the parameter 0 &lt;</w:t>
      </w:r>
      <w:r w:rsidRPr="008F10DE">
        <w:rPr>
          <w:i/>
          <w:iCs/>
          <w:sz w:val="22"/>
          <w:szCs w:val="22"/>
        </w:rPr>
        <w:t xml:space="preserve"> β</w:t>
      </w:r>
      <w:r w:rsidRPr="008F10DE">
        <w:rPr>
          <w:sz w:val="22"/>
          <w:szCs w:val="22"/>
        </w:rPr>
        <w:t xml:space="preserve"> &lt; 1.</w:t>
      </w:r>
      <w:r w:rsidR="00263D44" w:rsidRPr="008F10DE">
        <w:rPr>
          <w:sz w:val="22"/>
          <w:szCs w:val="22"/>
        </w:rPr>
        <w:t xml:space="preserve"> The interdependence among banks and regions is not </w:t>
      </w:r>
      <w:r w:rsidRPr="008F10DE">
        <w:rPr>
          <w:sz w:val="22"/>
          <w:szCs w:val="22"/>
        </w:rPr>
        <w:t xml:space="preserve">perfect </w:t>
      </w:r>
      <w:r w:rsidR="00263D44" w:rsidRPr="008F10DE">
        <w:rPr>
          <w:sz w:val="22"/>
          <w:szCs w:val="22"/>
        </w:rPr>
        <w:t xml:space="preserve">due to </w:t>
      </w:r>
      <w:r w:rsidRPr="008F10DE">
        <w:rPr>
          <w:sz w:val="22"/>
          <w:szCs w:val="22"/>
        </w:rPr>
        <w:t xml:space="preserve">the presence of possible frictions between </w:t>
      </w:r>
      <w:r w:rsidR="00FE3C8C" w:rsidRPr="008F10DE">
        <w:rPr>
          <w:sz w:val="22"/>
          <w:szCs w:val="22"/>
        </w:rPr>
        <w:t>region</w:t>
      </w:r>
      <w:r w:rsidRPr="008F10DE">
        <w:rPr>
          <w:sz w:val="22"/>
          <w:szCs w:val="22"/>
        </w:rPr>
        <w:t xml:space="preserve"> </w:t>
      </w:r>
      <w:r w:rsidRPr="008F10DE">
        <w:rPr>
          <w:i/>
          <w:iCs/>
          <w:sz w:val="22"/>
          <w:szCs w:val="22"/>
        </w:rPr>
        <w:t>i</w:t>
      </w:r>
      <w:r w:rsidRPr="008F10DE">
        <w:rPr>
          <w:sz w:val="22"/>
          <w:szCs w:val="22"/>
        </w:rPr>
        <w:t xml:space="preserve"> and other </w:t>
      </w:r>
      <w:r w:rsidR="00FE3C8C" w:rsidRPr="008F10DE">
        <w:rPr>
          <w:sz w:val="22"/>
          <w:szCs w:val="22"/>
        </w:rPr>
        <w:t>regions</w:t>
      </w:r>
      <w:r w:rsidRPr="008F10DE">
        <w:rPr>
          <w:sz w:val="22"/>
          <w:szCs w:val="22"/>
        </w:rPr>
        <w:t xml:space="preserve"> </w:t>
      </w:r>
      <w:r w:rsidRPr="008F10DE">
        <w:rPr>
          <w:i/>
          <w:iCs/>
          <w:sz w:val="22"/>
          <w:szCs w:val="22"/>
        </w:rPr>
        <w:t>j</w:t>
      </w:r>
      <w:r w:rsidRPr="008F10DE">
        <w:rPr>
          <w:sz w:val="22"/>
          <w:szCs w:val="22"/>
        </w:rPr>
        <w:t xml:space="preserve"> ≠ </w:t>
      </w:r>
      <w:r w:rsidRPr="008F10DE">
        <w:rPr>
          <w:i/>
          <w:iCs/>
          <w:sz w:val="22"/>
          <w:szCs w:val="22"/>
        </w:rPr>
        <w:t>i</w:t>
      </w:r>
      <w:r w:rsidRPr="008F10DE">
        <w:rPr>
          <w:sz w:val="22"/>
          <w:szCs w:val="22"/>
        </w:rPr>
        <w:t xml:space="preserve">, </w:t>
      </w:r>
      <w:r w:rsidRPr="008F10DE">
        <w:rPr>
          <w:rFonts w:eastAsia="MS Mincho"/>
          <w:sz w:val="22"/>
          <w:szCs w:val="22"/>
        </w:rPr>
        <w:t xml:space="preserve">captured by </w:t>
      </w:r>
      <w:r w:rsidRPr="008F10DE">
        <w:rPr>
          <w:rFonts w:eastAsia="MS Mincho"/>
          <w:i/>
          <w:iCs/>
          <w:sz w:val="22"/>
          <w:szCs w:val="22"/>
        </w:rPr>
        <w:t>D</w:t>
      </w:r>
      <w:r w:rsidRPr="008F10DE">
        <w:rPr>
          <w:rFonts w:eastAsia="MS Mincho"/>
          <w:i/>
          <w:iCs/>
          <w:sz w:val="22"/>
          <w:szCs w:val="22"/>
          <w:vertAlign w:val="subscript"/>
        </w:rPr>
        <w:t>i,j</w:t>
      </w:r>
      <w:r w:rsidRPr="008F10DE">
        <w:rPr>
          <w:rFonts w:eastAsia="MS Mincho"/>
          <w:sz w:val="22"/>
          <w:szCs w:val="22"/>
        </w:rPr>
        <w:t>.</w:t>
      </w:r>
      <w:r w:rsidRPr="008F10DE">
        <w:rPr>
          <w:sz w:val="22"/>
          <w:szCs w:val="22"/>
        </w:rPr>
        <w:t xml:space="preserve"> The values of </w:t>
      </w:r>
      <w:r w:rsidRPr="008F10DE">
        <w:rPr>
          <w:rFonts w:eastAsia="MS Mincho"/>
          <w:i/>
          <w:iCs/>
          <w:sz w:val="22"/>
          <w:szCs w:val="22"/>
        </w:rPr>
        <w:t>D</w:t>
      </w:r>
      <w:r w:rsidRPr="008F10DE">
        <w:rPr>
          <w:rFonts w:eastAsia="MS Mincho"/>
          <w:i/>
          <w:iCs/>
          <w:sz w:val="22"/>
          <w:szCs w:val="22"/>
          <w:vertAlign w:val="subscript"/>
        </w:rPr>
        <w:t>i,j</w:t>
      </w:r>
      <w:r w:rsidRPr="008F10DE">
        <w:rPr>
          <w:rFonts w:eastAsia="MS Mincho"/>
          <w:sz w:val="22"/>
          <w:szCs w:val="22"/>
        </w:rPr>
        <w:t xml:space="preserve"> (ranging between 0 and 1) </w:t>
      </w:r>
      <w:r w:rsidRPr="008F10DE">
        <w:rPr>
          <w:sz w:val="22"/>
          <w:szCs w:val="22"/>
        </w:rPr>
        <w:t xml:space="preserve">measure the strength of the relationship or distance among </w:t>
      </w:r>
      <w:r w:rsidR="00FE3C8C" w:rsidRPr="008F10DE">
        <w:rPr>
          <w:sz w:val="22"/>
          <w:szCs w:val="22"/>
        </w:rPr>
        <w:t>regions</w:t>
      </w:r>
      <w:r w:rsidRPr="008F10DE">
        <w:rPr>
          <w:sz w:val="22"/>
          <w:szCs w:val="22"/>
        </w:rPr>
        <w:t xml:space="preserve"> - the greater the strength, the bigger </w:t>
      </w:r>
      <w:r w:rsidR="00152AA4" w:rsidRPr="008F10DE">
        <w:rPr>
          <w:sz w:val="22"/>
          <w:szCs w:val="22"/>
        </w:rPr>
        <w:t>the</w:t>
      </w:r>
      <w:r w:rsidR="00FE3C8C" w:rsidRPr="008F10DE">
        <w:rPr>
          <w:sz w:val="22"/>
          <w:szCs w:val="22"/>
        </w:rPr>
        <w:t xml:space="preserve"> magnitude of </w:t>
      </w:r>
      <w:r w:rsidRPr="008F10DE">
        <w:rPr>
          <w:sz w:val="22"/>
          <w:szCs w:val="22"/>
        </w:rPr>
        <w:t>spillover.</w:t>
      </w:r>
      <w:r w:rsidR="00263D44" w:rsidRPr="008F10DE">
        <w:rPr>
          <w:sz w:val="22"/>
          <w:szCs w:val="22"/>
        </w:rPr>
        <w:t xml:space="preserve"> Finally, we note as well that </w:t>
      </w:r>
      <m:oMath>
        <m:nary>
          <m:naryPr>
            <m:chr m:val="∑"/>
            <m:limLoc m:val="subSup"/>
            <m:ctrlPr>
              <w:rPr>
                <w:rFonts w:ascii="Cambria Math" w:hAnsi="Cambria Math"/>
                <w:i/>
                <w:sz w:val="22"/>
                <w:szCs w:val="22"/>
              </w:rPr>
            </m:ctrlPr>
          </m:naryPr>
          <m:sub>
            <m:r>
              <m:rPr>
                <m:nor/>
              </m:rPr>
              <w:rPr>
                <w:i/>
                <w:sz w:val="22"/>
                <w:szCs w:val="22"/>
              </w:rPr>
              <m:t>j≠i</m:t>
            </m:r>
          </m:sub>
          <m:sup>
            <m:r>
              <m:rPr>
                <m:nor/>
              </m:rPr>
              <w:rPr>
                <w:i/>
                <w:sz w:val="22"/>
                <w:szCs w:val="22"/>
              </w:rPr>
              <m:t>N</m:t>
            </m:r>
          </m:sup>
          <m:e>
            <m:sSub>
              <m:sSubPr>
                <m:ctrlPr>
                  <w:rPr>
                    <w:rFonts w:ascii="Cambria Math" w:hAnsi="Cambria Math"/>
                    <w:i/>
                    <w:sz w:val="22"/>
                    <w:szCs w:val="22"/>
                  </w:rPr>
                </m:ctrlPr>
              </m:sSubPr>
              <m:e>
                <m:r>
                  <m:rPr>
                    <m:nor/>
                  </m:rPr>
                  <w:rPr>
                    <w:i/>
                    <w:sz w:val="22"/>
                    <w:szCs w:val="22"/>
                  </w:rPr>
                  <m:t>D</m:t>
                </m:r>
              </m:e>
              <m:sub>
                <m:r>
                  <m:rPr>
                    <m:nor/>
                  </m:rPr>
                  <w:rPr>
                    <w:i/>
                    <w:sz w:val="22"/>
                    <w:szCs w:val="22"/>
                  </w:rPr>
                  <m:t>i,j</m:t>
                </m:r>
              </m:sub>
            </m:sSub>
            <m:r>
              <m:rPr>
                <m:nor/>
              </m:rPr>
              <w:rPr>
                <w:i/>
                <w:sz w:val="22"/>
                <w:szCs w:val="22"/>
              </w:rPr>
              <m:t>=1</m:t>
            </m:r>
          </m:e>
        </m:nary>
      </m:oMath>
      <w:r w:rsidR="00263D44" w:rsidRPr="008F10DE">
        <w:rPr>
          <w:sz w:val="22"/>
          <w:szCs w:val="22"/>
        </w:rPr>
        <w:t xml:space="preserve">. </w:t>
      </w:r>
    </w:p>
    <w:p w14:paraId="1CEA6BB0" w14:textId="77777777" w:rsidR="006D498D" w:rsidRDefault="006D498D" w:rsidP="006D498D">
      <w:pPr>
        <w:spacing w:line="360" w:lineRule="auto"/>
        <w:jc w:val="both"/>
        <w:rPr>
          <w:sz w:val="22"/>
          <w:szCs w:val="22"/>
        </w:rPr>
      </w:pPr>
    </w:p>
    <w:p w14:paraId="2262367F" w14:textId="47C99F20" w:rsidR="00946C09" w:rsidRPr="008F10DE" w:rsidRDefault="00946C09" w:rsidP="006D498D">
      <w:pPr>
        <w:spacing w:line="360" w:lineRule="auto"/>
        <w:jc w:val="both"/>
        <w:rPr>
          <w:sz w:val="22"/>
          <w:szCs w:val="22"/>
        </w:rPr>
      </w:pPr>
      <w:r w:rsidRPr="008F10DE">
        <w:rPr>
          <w:sz w:val="22"/>
          <w:szCs w:val="22"/>
        </w:rPr>
        <w:t xml:space="preserve">Taking natural logarithms on both sides of </w:t>
      </w:r>
      <w:r w:rsidR="005D71C2" w:rsidRPr="008F10DE">
        <w:rPr>
          <w:color w:val="004E9A"/>
          <w:sz w:val="22"/>
          <w:szCs w:val="22"/>
        </w:rPr>
        <w:t>E</w:t>
      </w:r>
      <w:r w:rsidRPr="008F10DE">
        <w:rPr>
          <w:color w:val="004E9A"/>
          <w:sz w:val="22"/>
          <w:szCs w:val="22"/>
        </w:rPr>
        <w:t>quation (</w:t>
      </w:r>
      <w:r w:rsidR="008F10DE" w:rsidRPr="008F10DE">
        <w:rPr>
          <w:color w:val="004E9A"/>
          <w:sz w:val="22"/>
          <w:szCs w:val="22"/>
        </w:rPr>
        <w:t>6</w:t>
      </w:r>
      <w:r w:rsidRPr="008F10DE">
        <w:rPr>
          <w:color w:val="004E9A"/>
          <w:sz w:val="22"/>
          <w:szCs w:val="22"/>
        </w:rPr>
        <w:t>)</w:t>
      </w:r>
      <w:r w:rsidRPr="008F10DE">
        <w:rPr>
          <w:sz w:val="22"/>
          <w:szCs w:val="22"/>
        </w:rPr>
        <w:t>, s</w:t>
      </w:r>
      <w:r w:rsidRPr="008F10DE">
        <w:rPr>
          <w:noProof/>
          <w:sz w:val="22"/>
          <w:szCs w:val="22"/>
        </w:rPr>
        <w:t xml:space="preserve">uppressing </w:t>
      </w:r>
      <w:r w:rsidRPr="008F10DE">
        <w:rPr>
          <w:i/>
          <w:iCs/>
          <w:noProof/>
          <w:sz w:val="22"/>
          <w:szCs w:val="22"/>
        </w:rPr>
        <w:t>i</w:t>
      </w:r>
      <w:r w:rsidRPr="008F10DE">
        <w:rPr>
          <w:noProof/>
          <w:sz w:val="22"/>
          <w:szCs w:val="22"/>
        </w:rPr>
        <w:t xml:space="preserve">, </w:t>
      </w:r>
      <w:r w:rsidRPr="008F10DE">
        <w:rPr>
          <w:i/>
          <w:iCs/>
          <w:noProof/>
          <w:sz w:val="22"/>
          <w:szCs w:val="22"/>
        </w:rPr>
        <w:t>j</w:t>
      </w:r>
      <w:r w:rsidR="00AB7557" w:rsidRPr="008F10DE">
        <w:rPr>
          <w:i/>
          <w:iCs/>
          <w:noProof/>
          <w:sz w:val="22"/>
          <w:szCs w:val="22"/>
        </w:rPr>
        <w:t>,</w:t>
      </w:r>
      <w:r w:rsidRPr="008F10DE">
        <w:rPr>
          <w:noProof/>
          <w:sz w:val="22"/>
          <w:szCs w:val="22"/>
        </w:rPr>
        <w:t xml:space="preserve"> and </w:t>
      </w:r>
      <w:r w:rsidRPr="008F10DE">
        <w:rPr>
          <w:i/>
          <w:iCs/>
          <w:noProof/>
          <w:sz w:val="22"/>
          <w:szCs w:val="22"/>
        </w:rPr>
        <w:t>t</w:t>
      </w:r>
      <w:r w:rsidRPr="008F10DE">
        <w:rPr>
          <w:noProof/>
          <w:sz w:val="22"/>
          <w:szCs w:val="22"/>
        </w:rPr>
        <w:t xml:space="preserve"> and denoting ln(</w:t>
      </w:r>
      <w:r w:rsidRPr="008F10DE">
        <w:rPr>
          <w:i/>
          <w:iCs/>
          <w:noProof/>
          <w:sz w:val="22"/>
          <w:szCs w:val="22"/>
        </w:rPr>
        <w:t>A</w:t>
      </w:r>
      <w:r w:rsidRPr="008F10DE">
        <w:rPr>
          <w:i/>
          <w:iCs/>
          <w:noProof/>
          <w:sz w:val="22"/>
          <w:szCs w:val="22"/>
          <w:vertAlign w:val="subscript"/>
        </w:rPr>
        <w:t xml:space="preserve">i </w:t>
      </w:r>
      <w:r w:rsidRPr="008F10DE">
        <w:rPr>
          <w:noProof/>
          <w:sz w:val="22"/>
          <w:szCs w:val="22"/>
        </w:rPr>
        <w:t>(</w:t>
      </w:r>
      <w:r w:rsidRPr="008F10DE">
        <w:rPr>
          <w:i/>
          <w:iCs/>
          <w:noProof/>
          <w:sz w:val="22"/>
          <w:szCs w:val="22"/>
        </w:rPr>
        <w:t>t</w:t>
      </w:r>
      <w:r w:rsidRPr="008F10DE">
        <w:rPr>
          <w:noProof/>
          <w:sz w:val="22"/>
          <w:szCs w:val="22"/>
        </w:rPr>
        <w:t xml:space="preserve">)) as </w:t>
      </w:r>
      <w:r w:rsidRPr="008F10DE">
        <w:rPr>
          <w:i/>
          <w:iCs/>
          <w:noProof/>
          <w:sz w:val="22"/>
          <w:szCs w:val="22"/>
        </w:rPr>
        <w:t>A</w:t>
      </w:r>
      <w:r w:rsidRPr="008F10DE">
        <w:rPr>
          <w:noProof/>
          <w:sz w:val="22"/>
          <w:szCs w:val="22"/>
        </w:rPr>
        <w:t xml:space="preserve">, </w:t>
      </w:r>
      <w:r w:rsidRPr="008F10DE">
        <w:rPr>
          <w:i/>
          <w:iCs/>
          <w:noProof/>
          <w:sz w:val="22"/>
          <w:szCs w:val="22"/>
        </w:rPr>
        <w:t>ln</w:t>
      </w:r>
      <w:r w:rsidRPr="008F10DE">
        <w:rPr>
          <w:noProof/>
          <w:sz w:val="22"/>
          <w:szCs w:val="22"/>
        </w:rPr>
        <w:t>(</w:t>
      </w:r>
      <m:oMath>
        <m:r>
          <w:rPr>
            <w:rFonts w:ascii="Cambria Math" w:hAnsi="Cambria Math"/>
            <w:sz w:val="22"/>
            <w:szCs w:val="22"/>
          </w:rPr>
          <m:t>Γ</m:t>
        </m:r>
      </m:oMath>
      <w:r w:rsidRPr="008F10DE">
        <w:rPr>
          <w:noProof/>
          <w:sz w:val="22"/>
          <w:szCs w:val="22"/>
        </w:rPr>
        <w:t>(</w:t>
      </w:r>
      <w:r w:rsidRPr="008F10DE">
        <w:rPr>
          <w:i/>
          <w:iCs/>
          <w:noProof/>
          <w:sz w:val="22"/>
          <w:szCs w:val="22"/>
        </w:rPr>
        <w:t>t</w:t>
      </w:r>
      <w:r w:rsidRPr="008F10DE">
        <w:rPr>
          <w:noProof/>
          <w:sz w:val="22"/>
          <w:szCs w:val="22"/>
        </w:rPr>
        <w:t xml:space="preserve">)) as </w:t>
      </w:r>
      <w:r w:rsidR="00227B5B" w:rsidRPr="008F10DE">
        <w:rPr>
          <w:noProof/>
          <w:position w:val="-4"/>
          <w:sz w:val="22"/>
          <w:szCs w:val="22"/>
        </w:rPr>
        <w:object w:dxaOrig="220" w:dyaOrig="240" w14:anchorId="25A47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7.2pt" o:ole="">
            <v:imagedata r:id="rId8" o:title=""/>
          </v:shape>
          <o:OLEObject Type="Embed" ProgID="Equation.3" ShapeID="_x0000_i1025" DrawAspect="Content" ObjectID="_1835763591" r:id="rId9"/>
        </w:object>
      </w:r>
      <w:r w:rsidRPr="008F10DE">
        <w:rPr>
          <w:noProof/>
          <w:sz w:val="22"/>
          <w:szCs w:val="22"/>
        </w:rPr>
        <w:t xml:space="preserve">, </w:t>
      </w:r>
      <w:r w:rsidRPr="008F10DE">
        <w:rPr>
          <w:i/>
          <w:iCs/>
          <w:noProof/>
          <w:sz w:val="22"/>
          <w:szCs w:val="22"/>
        </w:rPr>
        <w:t>ln</w:t>
      </w:r>
      <w:r w:rsidRPr="008F10DE">
        <w:rPr>
          <w:noProof/>
          <w:sz w:val="22"/>
          <w:szCs w:val="22"/>
        </w:rPr>
        <w:t>(</w:t>
      </w:r>
      <m:oMath>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m:t>
                </m:r>
              </m:sub>
            </m:sSub>
            <m:r>
              <w:rPr>
                <w:rFonts w:ascii="Cambria Math" w:hAnsi="Cambria Math"/>
                <w:sz w:val="22"/>
                <w:szCs w:val="22"/>
              </w:rPr>
              <m:t>z</m:t>
            </m:r>
          </m:e>
          <m:sub>
            <m:r>
              <w:rPr>
                <w:rFonts w:ascii="Cambria Math" w:hAnsi="Cambria Math"/>
                <w:sz w:val="22"/>
                <w:szCs w:val="22"/>
              </w:rPr>
              <m:t>2</m:t>
            </m:r>
          </m:sub>
        </m:sSub>
      </m:oMath>
      <w:r w:rsidRPr="008F10DE">
        <w:rPr>
          <w:i/>
          <w:iCs/>
          <w:noProof/>
          <w:sz w:val="22"/>
          <w:szCs w:val="22"/>
          <w:vertAlign w:val="subscript"/>
        </w:rPr>
        <w:t>i</w:t>
      </w:r>
      <w:r w:rsidRPr="008F10DE">
        <w:rPr>
          <w:noProof/>
          <w:sz w:val="22"/>
          <w:szCs w:val="22"/>
        </w:rPr>
        <w:t>(</w:t>
      </w:r>
      <w:r w:rsidRPr="008F10DE">
        <w:rPr>
          <w:i/>
          <w:iCs/>
          <w:noProof/>
          <w:sz w:val="22"/>
          <w:szCs w:val="22"/>
        </w:rPr>
        <w:t>t</w:t>
      </w:r>
      <w:r w:rsidRPr="008F10DE">
        <w:rPr>
          <w:noProof/>
          <w:sz w:val="22"/>
          <w:szCs w:val="22"/>
        </w:rPr>
        <w:t xml:space="preserve">)) as </w:t>
      </w:r>
      <m:oMath>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m:t>
                </m:r>
              </m:sub>
            </m:sSub>
            <m:r>
              <m:rPr>
                <m:nor/>
              </m:rPr>
              <w:rPr>
                <w:rFonts w:ascii="Cambria Math"/>
                <w:i/>
                <w:sz w:val="22"/>
                <w:szCs w:val="22"/>
              </w:rPr>
              <m:t>z</m:t>
            </m:r>
          </m:e>
          <m:sub>
            <m:r>
              <m:rPr>
                <m:nor/>
              </m:rPr>
              <w:rPr>
                <w:rFonts w:ascii="Cambria Math"/>
                <w:i/>
                <w:sz w:val="22"/>
                <w:szCs w:val="22"/>
              </w:rPr>
              <m:t>2</m:t>
            </m:r>
          </m:sub>
        </m:sSub>
      </m:oMath>
      <w:r w:rsidRPr="008F10DE">
        <w:rPr>
          <w:noProof/>
          <w:sz w:val="22"/>
          <w:szCs w:val="22"/>
        </w:rPr>
        <w:t xml:space="preserve">, </w:t>
      </w:r>
      <w:r w:rsidRPr="008F10DE">
        <w:rPr>
          <w:i/>
          <w:iCs/>
          <w:noProof/>
          <w:sz w:val="22"/>
          <w:szCs w:val="22"/>
        </w:rPr>
        <w:t>β</w:t>
      </w:r>
      <w:r w:rsidRPr="008F10DE">
        <w:rPr>
          <w:rFonts w:eastAsia="MS Mincho"/>
          <w:i/>
          <w:iCs/>
          <w:sz w:val="22"/>
          <w:szCs w:val="22"/>
        </w:rPr>
        <w:t>D</w:t>
      </w:r>
      <w:r w:rsidRPr="008F10DE">
        <w:rPr>
          <w:rFonts w:eastAsia="MS Mincho"/>
          <w:i/>
          <w:iCs/>
          <w:sz w:val="22"/>
          <w:szCs w:val="22"/>
          <w:vertAlign w:val="subscript"/>
        </w:rPr>
        <w:t>i,j</w:t>
      </w:r>
      <w:r w:rsidRPr="008F10DE">
        <w:rPr>
          <w:noProof/>
          <w:sz w:val="22"/>
          <w:szCs w:val="22"/>
        </w:rPr>
        <w:t xml:space="preserve"> as </w:t>
      </w:r>
      <w:r w:rsidRPr="008F10DE">
        <w:rPr>
          <w:i/>
          <w:iCs/>
          <w:noProof/>
          <w:sz w:val="22"/>
          <w:szCs w:val="22"/>
        </w:rPr>
        <w:t>β</w:t>
      </w:r>
      <w:r w:rsidRPr="008F10DE">
        <w:rPr>
          <w:rFonts w:eastAsia="MS Mincho"/>
          <w:i/>
          <w:iCs/>
          <w:sz w:val="22"/>
          <w:szCs w:val="22"/>
        </w:rPr>
        <w:t>D</w:t>
      </w:r>
      <w:r w:rsidRPr="008F10DE">
        <w:rPr>
          <w:noProof/>
          <w:sz w:val="22"/>
          <w:szCs w:val="22"/>
        </w:rPr>
        <w:t xml:space="preserve"> and </w:t>
      </w:r>
      <w:r w:rsidRPr="008F10DE">
        <w:rPr>
          <w:i/>
          <w:iCs/>
          <w:noProof/>
          <w:sz w:val="22"/>
          <w:szCs w:val="22"/>
        </w:rPr>
        <w:t>ln</w:t>
      </w:r>
      <w:r w:rsidRPr="008F10DE">
        <w:rPr>
          <w:noProof/>
          <w:sz w:val="22"/>
          <w:szCs w:val="22"/>
        </w:rPr>
        <w:t>(</w:t>
      </w:r>
      <m:oMath>
        <m:sSubSup>
          <m:sSubSupPr>
            <m:ctrlPr>
              <w:rPr>
                <w:rFonts w:ascii="Cambria Math" w:hAnsi="Cambria Math"/>
                <w:i/>
                <w:noProof/>
                <w:sz w:val="22"/>
                <w:szCs w:val="22"/>
              </w:rPr>
            </m:ctrlPr>
          </m:sSubSupPr>
          <m:e>
            <m:r>
              <m:rPr>
                <m:nor/>
              </m:rPr>
              <w:rPr>
                <w:i/>
                <w:noProof/>
                <w:sz w:val="22"/>
                <w:szCs w:val="22"/>
              </w:rPr>
              <m:t>∏</m:t>
            </m:r>
          </m:e>
          <m:sub>
            <m:r>
              <m:rPr>
                <m:nor/>
              </m:rPr>
              <w:rPr>
                <w:i/>
                <w:noProof/>
                <w:sz w:val="22"/>
                <w:szCs w:val="22"/>
              </w:rPr>
              <m:t>j≠i</m:t>
            </m:r>
          </m:sub>
          <m:sup>
            <m:r>
              <m:rPr>
                <m:nor/>
              </m:rPr>
              <w:rPr>
                <w:i/>
                <w:noProof/>
                <w:sz w:val="22"/>
                <w:szCs w:val="22"/>
              </w:rPr>
              <m:t>N</m:t>
            </m:r>
          </m:sup>
        </m:sSubSup>
        <m:sSub>
          <m:sSubPr>
            <m:ctrlPr>
              <w:rPr>
                <w:rFonts w:ascii="Cambria Math" w:hAnsi="Cambria Math"/>
                <w:i/>
                <w:noProof/>
                <w:sz w:val="22"/>
                <w:szCs w:val="22"/>
              </w:rPr>
            </m:ctrlPr>
          </m:sSubPr>
          <m:e>
            <m:r>
              <m:rPr>
                <m:nor/>
              </m:rPr>
              <w:rPr>
                <w:i/>
                <w:noProof/>
                <w:sz w:val="22"/>
                <w:szCs w:val="22"/>
              </w:rPr>
              <m:t>A</m:t>
            </m:r>
          </m:e>
          <m:sub>
            <m:r>
              <m:rPr>
                <m:nor/>
              </m:rPr>
              <w:rPr>
                <w:i/>
                <w:noProof/>
                <w:sz w:val="22"/>
                <w:szCs w:val="22"/>
              </w:rPr>
              <m:t>j</m:t>
            </m:r>
          </m:sub>
        </m:sSub>
        <m:r>
          <m:rPr>
            <m:nor/>
          </m:rPr>
          <w:rPr>
            <w:iCs/>
            <w:noProof/>
            <w:sz w:val="22"/>
            <w:szCs w:val="22"/>
          </w:rPr>
          <m:t>(</m:t>
        </m:r>
        <m:r>
          <m:rPr>
            <m:nor/>
          </m:rPr>
          <w:rPr>
            <w:i/>
            <w:noProof/>
            <w:sz w:val="22"/>
            <w:szCs w:val="22"/>
          </w:rPr>
          <m:t>t</m:t>
        </m:r>
        <m:r>
          <m:rPr>
            <m:nor/>
          </m:rPr>
          <w:rPr>
            <w:iCs/>
            <w:noProof/>
            <w:sz w:val="22"/>
            <w:szCs w:val="22"/>
          </w:rPr>
          <m:t>)</m:t>
        </m:r>
        <m:r>
          <m:rPr>
            <m:sty m:val="p"/>
          </m:rPr>
          <w:rPr>
            <w:rFonts w:ascii="Cambria Math" w:hAnsi="Cambria Math"/>
            <w:noProof/>
            <w:sz w:val="22"/>
            <w:szCs w:val="22"/>
          </w:rPr>
          <m:t>)</m:t>
        </m:r>
      </m:oMath>
      <w:r w:rsidRPr="008F10DE">
        <w:rPr>
          <w:noProof/>
          <w:sz w:val="22"/>
          <w:szCs w:val="22"/>
        </w:rPr>
        <w:t xml:space="preserve"> as </w:t>
      </w:r>
      <w:r w:rsidRPr="008F10DE">
        <w:rPr>
          <w:i/>
          <w:iCs/>
          <w:noProof/>
          <w:sz w:val="22"/>
          <w:szCs w:val="22"/>
        </w:rPr>
        <w:t>A</w:t>
      </w:r>
      <w:r w:rsidRPr="008F10DE">
        <w:rPr>
          <w:noProof/>
          <w:sz w:val="22"/>
          <w:szCs w:val="22"/>
        </w:rPr>
        <w:t xml:space="preserve">, we can re-express </w:t>
      </w:r>
      <w:r w:rsidR="005D71C2" w:rsidRPr="008F10DE">
        <w:rPr>
          <w:noProof/>
          <w:sz w:val="22"/>
          <w:szCs w:val="22"/>
        </w:rPr>
        <w:t>E</w:t>
      </w:r>
      <w:r w:rsidRPr="008F10DE">
        <w:rPr>
          <w:noProof/>
          <w:sz w:val="22"/>
          <w:szCs w:val="22"/>
        </w:rPr>
        <w:t>quation (</w:t>
      </w:r>
      <w:r w:rsidR="00850917" w:rsidRPr="00B50F0E">
        <w:rPr>
          <w:noProof/>
          <w:color w:val="004F88"/>
          <w:sz w:val="22"/>
          <w:szCs w:val="22"/>
        </w:rPr>
        <w:t>6</w:t>
      </w:r>
      <w:r w:rsidRPr="008F10DE">
        <w:rPr>
          <w:noProof/>
          <w:sz w:val="22"/>
          <w:szCs w:val="22"/>
        </w:rPr>
        <w:t>) in compact form as follows:</w:t>
      </w:r>
    </w:p>
    <w:p w14:paraId="7A5000B3" w14:textId="19EDDD29" w:rsidR="00946C09" w:rsidRPr="008F10DE" w:rsidRDefault="00946C09" w:rsidP="009209D8">
      <w:pPr>
        <w:spacing w:line="360" w:lineRule="auto"/>
        <w:ind w:left="2880"/>
        <w:jc w:val="both"/>
        <w:rPr>
          <w:rFonts w:eastAsia="MS Mincho"/>
          <w:sz w:val="22"/>
          <w:szCs w:val="22"/>
        </w:rPr>
      </w:pPr>
      <w:r w:rsidRPr="008F10DE">
        <w:rPr>
          <w:iCs/>
          <w:sz w:val="22"/>
          <w:szCs w:val="22"/>
        </w:rPr>
        <w:t xml:space="preserve"> </w:t>
      </w:r>
      <m:oMath>
        <m:r>
          <m:rPr>
            <m:nor/>
          </m:rPr>
          <w:rPr>
            <w:i/>
            <w:iCs/>
            <w:sz w:val="22"/>
            <w:szCs w:val="22"/>
          </w:rPr>
          <m:t>A=Γ+δ</m:t>
        </m:r>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m:t>
                </m:r>
              </m:sub>
            </m:sSub>
            <m:r>
              <m:rPr>
                <m:nor/>
              </m:rPr>
              <w:rPr>
                <w:rFonts w:ascii="Cambria Math"/>
                <w:i/>
                <w:sz w:val="22"/>
                <w:szCs w:val="22"/>
              </w:rPr>
              <m:t>z</m:t>
            </m:r>
          </m:e>
          <m:sub>
            <m:r>
              <m:rPr>
                <m:nor/>
              </m:rPr>
              <w:rPr>
                <w:rFonts w:ascii="Cambria Math"/>
                <w:i/>
                <w:sz w:val="22"/>
                <w:szCs w:val="22"/>
              </w:rPr>
              <m:t>2</m:t>
            </m:r>
          </m:sub>
        </m:sSub>
        <m:r>
          <m:rPr>
            <m:nor/>
          </m:rPr>
          <w:rPr>
            <w:i/>
            <w:iCs/>
            <w:sz w:val="22"/>
            <w:szCs w:val="22"/>
          </w:rPr>
          <m:t>+βDA</m:t>
        </m:r>
      </m:oMath>
      <w:r w:rsidRPr="008F10DE">
        <w:rPr>
          <w:rFonts w:eastAsia="MS Mincho"/>
          <w:sz w:val="22"/>
          <w:szCs w:val="22"/>
        </w:rPr>
        <w:tab/>
      </w:r>
      <w:r w:rsidRPr="008F10DE">
        <w:rPr>
          <w:rFonts w:eastAsia="MS Mincho"/>
          <w:sz w:val="22"/>
          <w:szCs w:val="22"/>
        </w:rPr>
        <w:tab/>
        <w:t xml:space="preserve">                        </w:t>
      </w:r>
      <w:r w:rsidR="009209D8" w:rsidRPr="008F10DE">
        <w:rPr>
          <w:rFonts w:eastAsia="MS Mincho"/>
          <w:sz w:val="22"/>
          <w:szCs w:val="22"/>
        </w:rPr>
        <w:tab/>
      </w:r>
      <w:r w:rsidRPr="008F10DE">
        <w:rPr>
          <w:rFonts w:eastAsia="MS Mincho"/>
          <w:sz w:val="22"/>
          <w:szCs w:val="22"/>
        </w:rPr>
        <w:t xml:space="preserve">             </w:t>
      </w:r>
      <w:r w:rsidR="009209D8" w:rsidRPr="008F10DE">
        <w:rPr>
          <w:rFonts w:eastAsia="MS Mincho"/>
          <w:sz w:val="22"/>
          <w:szCs w:val="22"/>
        </w:rPr>
        <w:tab/>
      </w:r>
      <w:r w:rsidRPr="008F10DE">
        <w:rPr>
          <w:rFonts w:eastAsia="MS Mincho"/>
          <w:sz w:val="22"/>
          <w:szCs w:val="22"/>
        </w:rPr>
        <w:t xml:space="preserve">    </w:t>
      </w:r>
      <w:r w:rsidR="008B6875" w:rsidRPr="008F10DE">
        <w:rPr>
          <w:rFonts w:eastAsia="MS Mincho"/>
          <w:sz w:val="22"/>
          <w:szCs w:val="22"/>
        </w:rPr>
        <w:t xml:space="preserve">    </w:t>
      </w:r>
      <w:r w:rsidRPr="008F10DE">
        <w:rPr>
          <w:rFonts w:eastAsia="MS Mincho"/>
          <w:sz w:val="22"/>
          <w:szCs w:val="22"/>
        </w:rPr>
        <w:t xml:space="preserve">      (</w:t>
      </w:r>
      <w:r w:rsidR="00850917" w:rsidRPr="008F10DE">
        <w:rPr>
          <w:rFonts w:eastAsia="MS Mincho"/>
          <w:sz w:val="22"/>
          <w:szCs w:val="22"/>
        </w:rPr>
        <w:t>7</w:t>
      </w:r>
      <w:r w:rsidRPr="008F10DE">
        <w:rPr>
          <w:rFonts w:eastAsia="MS Mincho"/>
          <w:sz w:val="22"/>
          <w:szCs w:val="22"/>
        </w:rPr>
        <w:t>)</w:t>
      </w:r>
    </w:p>
    <w:p w14:paraId="629D369B" w14:textId="77777777" w:rsidR="006D498D" w:rsidRDefault="006D498D" w:rsidP="006D498D">
      <w:pPr>
        <w:spacing w:line="360" w:lineRule="auto"/>
        <w:jc w:val="both"/>
        <w:rPr>
          <w:sz w:val="22"/>
          <w:szCs w:val="22"/>
        </w:rPr>
      </w:pPr>
    </w:p>
    <w:p w14:paraId="786AAA4D" w14:textId="68320957" w:rsidR="00946C09" w:rsidRPr="008F10DE" w:rsidRDefault="00946C09" w:rsidP="006D498D">
      <w:pPr>
        <w:spacing w:line="360" w:lineRule="auto"/>
        <w:jc w:val="both"/>
        <w:rPr>
          <w:sz w:val="22"/>
          <w:szCs w:val="22"/>
        </w:rPr>
      </w:pPr>
      <w:r w:rsidRPr="008F10DE">
        <w:rPr>
          <w:sz w:val="22"/>
          <w:szCs w:val="22"/>
        </w:rPr>
        <w:t xml:space="preserve">Re-arranging common terms (i.e., </w:t>
      </w:r>
      <w:r w:rsidRPr="008F10DE">
        <w:rPr>
          <w:i/>
          <w:iCs/>
          <w:sz w:val="22"/>
          <w:szCs w:val="22"/>
        </w:rPr>
        <w:t>A</w:t>
      </w:r>
      <w:r w:rsidRPr="008F10DE">
        <w:rPr>
          <w:sz w:val="22"/>
          <w:szCs w:val="22"/>
        </w:rPr>
        <w:t xml:space="preserve"> and the </w:t>
      </w:r>
      <w:r w:rsidRPr="008F10DE">
        <w:rPr>
          <w:i/>
          <w:iCs/>
          <w:noProof/>
          <w:sz w:val="22"/>
          <w:szCs w:val="22"/>
        </w:rPr>
        <w:t>β</w:t>
      </w:r>
      <w:r w:rsidRPr="008F10DE">
        <w:rPr>
          <w:rFonts w:eastAsia="MS Mincho"/>
          <w:i/>
          <w:iCs/>
          <w:sz w:val="22"/>
          <w:szCs w:val="22"/>
        </w:rPr>
        <w:t>D</w:t>
      </w:r>
      <w:r w:rsidRPr="008F10DE">
        <w:rPr>
          <w:i/>
          <w:iCs/>
          <w:sz w:val="22"/>
          <w:szCs w:val="22"/>
        </w:rPr>
        <w:t>A</w:t>
      </w:r>
      <w:r w:rsidRPr="008F10DE">
        <w:rPr>
          <w:sz w:val="22"/>
          <w:szCs w:val="22"/>
        </w:rPr>
        <w:t xml:space="preserve"> on the left side of </w:t>
      </w:r>
      <w:r w:rsidR="005D71C2" w:rsidRPr="008F10DE">
        <w:rPr>
          <w:sz w:val="22"/>
          <w:szCs w:val="22"/>
        </w:rPr>
        <w:t>E</w:t>
      </w:r>
      <w:r w:rsidRPr="008F10DE">
        <w:rPr>
          <w:sz w:val="22"/>
          <w:szCs w:val="22"/>
        </w:rPr>
        <w:t>quation (</w:t>
      </w:r>
      <w:r w:rsidR="00850917" w:rsidRPr="00B50F0E">
        <w:rPr>
          <w:color w:val="004F88"/>
          <w:sz w:val="22"/>
          <w:szCs w:val="22"/>
        </w:rPr>
        <w:t>7</w:t>
      </w:r>
      <w:r w:rsidRPr="008F10DE">
        <w:rPr>
          <w:sz w:val="22"/>
          <w:szCs w:val="22"/>
        </w:rPr>
        <w:t xml:space="preserve">)), we obtain </w:t>
      </w:r>
      <m:oMath>
        <m:r>
          <m:rPr>
            <m:nor/>
          </m:rPr>
          <w:rPr>
            <w:i/>
            <w:iCs/>
            <w:sz w:val="22"/>
            <w:szCs w:val="22"/>
          </w:rPr>
          <m:t>A=</m:t>
        </m:r>
        <m:r>
          <m:rPr>
            <m:nor/>
          </m:rPr>
          <w:rPr>
            <w:sz w:val="22"/>
            <w:szCs w:val="22"/>
          </w:rPr>
          <m:t>(</m:t>
        </m:r>
        <m:r>
          <m:rPr>
            <m:nor/>
          </m:rPr>
          <w:rPr>
            <w:i/>
            <w:iCs/>
            <w:sz w:val="22"/>
            <w:szCs w:val="22"/>
          </w:rPr>
          <m:t>Γ+δ</m:t>
        </m:r>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m:t>
                </m:r>
              </m:sub>
            </m:sSub>
            <m:r>
              <m:rPr>
                <m:nor/>
              </m:rPr>
              <w:rPr>
                <w:rFonts w:ascii="Cambria Math"/>
                <w:i/>
                <w:sz w:val="22"/>
                <w:szCs w:val="22"/>
              </w:rPr>
              <m:t>z</m:t>
            </m:r>
          </m:e>
          <m:sub>
            <m:r>
              <m:rPr>
                <m:nor/>
              </m:rPr>
              <w:rPr>
                <w:rFonts w:ascii="Cambria Math"/>
                <w:i/>
                <w:sz w:val="22"/>
                <w:szCs w:val="22"/>
              </w:rPr>
              <m:t>2</m:t>
            </m:r>
          </m:sub>
        </m:sSub>
        <m:r>
          <m:rPr>
            <m:nor/>
          </m:rPr>
          <w:rPr>
            <w:sz w:val="22"/>
            <w:szCs w:val="22"/>
          </w:rPr>
          <m:t>)</m:t>
        </m:r>
        <m:sSup>
          <m:sSupPr>
            <m:ctrlPr>
              <w:rPr>
                <w:rFonts w:ascii="Cambria Math" w:hAnsi="Cambria Math"/>
                <w:i/>
                <w:sz w:val="22"/>
                <w:szCs w:val="22"/>
              </w:rPr>
            </m:ctrlPr>
          </m:sSupPr>
          <m:e>
            <m:r>
              <w:rPr>
                <w:rFonts w:ascii="Cambria Math" w:hAnsi="Cambria Math"/>
                <w:sz w:val="22"/>
                <w:szCs w:val="22"/>
              </w:rPr>
              <m:t>(</m:t>
            </m:r>
            <m:r>
              <m:rPr>
                <m:nor/>
              </m:rPr>
              <w:rPr>
                <w:i/>
                <w:iCs/>
                <w:sz w:val="22"/>
                <w:szCs w:val="22"/>
              </w:rPr>
              <m:t>I-βD</m:t>
            </m:r>
            <m:r>
              <m:rPr>
                <m:nor/>
              </m:rPr>
              <w:rPr>
                <w:sz w:val="22"/>
                <w:szCs w:val="22"/>
              </w:rPr>
              <m:t>)</m:t>
            </m:r>
          </m:e>
          <m:sup>
            <m:r>
              <m:rPr>
                <m:nor/>
              </m:rPr>
              <w:rPr>
                <w:i/>
                <w:iCs/>
                <w:sz w:val="22"/>
                <w:szCs w:val="22"/>
              </w:rPr>
              <m:t>-</m:t>
            </m:r>
            <m:r>
              <m:rPr>
                <m:nor/>
              </m:rPr>
              <w:rPr>
                <w:sz w:val="22"/>
                <w:szCs w:val="22"/>
              </w:rPr>
              <m:t>1</m:t>
            </m:r>
          </m:sup>
        </m:sSup>
      </m:oMath>
      <w:r w:rsidRPr="008F10DE">
        <w:rPr>
          <w:sz w:val="22"/>
          <w:szCs w:val="22"/>
        </w:rPr>
        <w:t xml:space="preserve"> (assuming that |</w:t>
      </w:r>
      <w:r w:rsidRPr="008F10DE">
        <w:rPr>
          <w:i/>
          <w:iCs/>
          <w:sz w:val="22"/>
          <w:szCs w:val="22"/>
        </w:rPr>
        <w:t>I</w:t>
      </w:r>
      <m:oMath>
        <m:r>
          <m:rPr>
            <m:nor/>
          </m:rPr>
          <w:rPr>
            <w:i/>
            <w:iCs/>
            <w:sz w:val="22"/>
            <w:szCs w:val="22"/>
          </w:rPr>
          <m:t>-</m:t>
        </m:r>
      </m:oMath>
      <w:r w:rsidRPr="008F10DE">
        <w:rPr>
          <w:i/>
          <w:iCs/>
          <w:sz w:val="22"/>
          <w:szCs w:val="22"/>
        </w:rPr>
        <w:t>βD</w:t>
      </w:r>
      <w:r w:rsidRPr="008F10DE">
        <w:rPr>
          <w:sz w:val="22"/>
          <w:szCs w:val="22"/>
        </w:rPr>
        <w:t>| ≠ 0 and |</w:t>
      </w:r>
      <w:r w:rsidRPr="008F10DE">
        <w:rPr>
          <w:i/>
          <w:iCs/>
          <w:sz w:val="22"/>
          <w:szCs w:val="22"/>
        </w:rPr>
        <w:t>β</w:t>
      </w:r>
      <w:r w:rsidRPr="008F10DE">
        <w:rPr>
          <w:sz w:val="22"/>
          <w:szCs w:val="22"/>
        </w:rPr>
        <w:t xml:space="preserve">| &lt; 1). Replacing </w:t>
      </w:r>
      <m:oMath>
        <m:r>
          <m:rPr>
            <m:nor/>
          </m:rPr>
          <w:rPr>
            <w:i/>
            <w:iCs/>
            <w:sz w:val="22"/>
            <w:szCs w:val="22"/>
          </w:rPr>
          <m:t>A=</m:t>
        </m:r>
        <m:r>
          <m:rPr>
            <m:nor/>
          </m:rPr>
          <w:rPr>
            <w:sz w:val="22"/>
            <w:szCs w:val="22"/>
          </w:rPr>
          <m:t>(</m:t>
        </m:r>
        <m:r>
          <m:rPr>
            <m:nor/>
          </m:rPr>
          <w:rPr>
            <w:i/>
            <w:iCs/>
            <w:sz w:val="22"/>
            <w:szCs w:val="22"/>
          </w:rPr>
          <m:t>Γ+δ</m:t>
        </m:r>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m:t>
                </m:r>
              </m:sub>
            </m:sSub>
            <m:r>
              <m:rPr>
                <m:nor/>
              </m:rPr>
              <w:rPr>
                <w:rFonts w:ascii="Cambria Math"/>
                <w:i/>
                <w:sz w:val="22"/>
                <w:szCs w:val="22"/>
              </w:rPr>
              <m:t>z</m:t>
            </m:r>
          </m:e>
          <m:sub>
            <m:r>
              <m:rPr>
                <m:nor/>
              </m:rPr>
              <w:rPr>
                <w:rFonts w:ascii="Cambria Math"/>
                <w:i/>
                <w:sz w:val="22"/>
                <w:szCs w:val="22"/>
              </w:rPr>
              <m:t>2</m:t>
            </m:r>
          </m:sub>
        </m:sSub>
        <m:r>
          <m:rPr>
            <m:nor/>
          </m:rPr>
          <w:rPr>
            <w:sz w:val="22"/>
            <w:szCs w:val="22"/>
          </w:rPr>
          <m:t>)</m:t>
        </m:r>
        <m:sSup>
          <m:sSupPr>
            <m:ctrlPr>
              <w:rPr>
                <w:rFonts w:ascii="Cambria Math" w:hAnsi="Cambria Math"/>
                <w:i/>
                <w:sz w:val="22"/>
                <w:szCs w:val="22"/>
              </w:rPr>
            </m:ctrlPr>
          </m:sSupPr>
          <m:e>
            <m:r>
              <w:rPr>
                <w:rFonts w:ascii="Cambria Math" w:hAnsi="Cambria Math"/>
                <w:sz w:val="22"/>
                <w:szCs w:val="22"/>
              </w:rPr>
              <m:t>(</m:t>
            </m:r>
            <m:r>
              <m:rPr>
                <m:nor/>
              </m:rPr>
              <w:rPr>
                <w:i/>
                <w:iCs/>
                <w:sz w:val="22"/>
                <w:szCs w:val="22"/>
              </w:rPr>
              <m:t>I-βD</m:t>
            </m:r>
            <m:r>
              <m:rPr>
                <m:nor/>
              </m:rPr>
              <w:rPr>
                <w:sz w:val="22"/>
                <w:szCs w:val="22"/>
              </w:rPr>
              <m:t>)</m:t>
            </m:r>
          </m:e>
          <m:sup>
            <m:r>
              <m:rPr>
                <m:nor/>
              </m:rPr>
              <w:rPr>
                <w:i/>
                <w:iCs/>
                <w:sz w:val="22"/>
                <w:szCs w:val="22"/>
              </w:rPr>
              <m:t>-</m:t>
            </m:r>
            <m:r>
              <m:rPr>
                <m:nor/>
              </m:rPr>
              <w:rPr>
                <w:sz w:val="22"/>
                <w:szCs w:val="22"/>
              </w:rPr>
              <m:t>1</m:t>
            </m:r>
          </m:sup>
        </m:sSup>
      </m:oMath>
      <w:r w:rsidRPr="008F10DE">
        <w:rPr>
          <w:sz w:val="22"/>
          <w:szCs w:val="22"/>
        </w:rPr>
        <w:t xml:space="preserve"> in </w:t>
      </w:r>
      <w:r w:rsidR="005D71C2" w:rsidRPr="008F10DE">
        <w:rPr>
          <w:sz w:val="22"/>
          <w:szCs w:val="22"/>
        </w:rPr>
        <w:t>E</w:t>
      </w:r>
      <w:r w:rsidRPr="008F10DE">
        <w:rPr>
          <w:sz w:val="22"/>
          <w:szCs w:val="22"/>
        </w:rPr>
        <w:t>quation (</w:t>
      </w:r>
      <w:r w:rsidR="00850917" w:rsidRPr="00B50F0E">
        <w:rPr>
          <w:color w:val="004F88"/>
          <w:sz w:val="22"/>
          <w:szCs w:val="22"/>
        </w:rPr>
        <w:t>5</w:t>
      </w:r>
      <w:r w:rsidRPr="008F10DE">
        <w:rPr>
          <w:sz w:val="22"/>
          <w:szCs w:val="22"/>
        </w:rPr>
        <w:t xml:space="preserve">) and re-grouping terms lead to the following </w:t>
      </w:r>
      <w:r w:rsidR="005D71C2" w:rsidRPr="008F10DE">
        <w:rPr>
          <w:sz w:val="22"/>
          <w:szCs w:val="22"/>
        </w:rPr>
        <w:t>E</w:t>
      </w:r>
      <w:r w:rsidRPr="008F10DE">
        <w:rPr>
          <w:sz w:val="22"/>
          <w:szCs w:val="22"/>
        </w:rPr>
        <w:t>quation (</w:t>
      </w:r>
      <w:r w:rsidR="009C0BB7" w:rsidRPr="00B50F0E">
        <w:rPr>
          <w:color w:val="004F88"/>
          <w:sz w:val="22"/>
          <w:szCs w:val="22"/>
        </w:rPr>
        <w:t>7</w:t>
      </w:r>
      <w:r w:rsidRPr="008F10DE">
        <w:rPr>
          <w:sz w:val="22"/>
          <w:szCs w:val="22"/>
        </w:rPr>
        <w:t xml:space="preserve">) for </w:t>
      </w:r>
      <w:r w:rsidR="005D71C2" w:rsidRPr="008F10DE">
        <w:rPr>
          <w:sz w:val="22"/>
          <w:szCs w:val="22"/>
        </w:rPr>
        <w:t>state</w:t>
      </w:r>
      <w:r w:rsidRPr="008F10DE">
        <w:rPr>
          <w:sz w:val="22"/>
          <w:szCs w:val="22"/>
        </w:rPr>
        <w:t xml:space="preserve"> </w:t>
      </w:r>
      <w:r w:rsidRPr="008F10DE">
        <w:rPr>
          <w:i/>
          <w:iCs/>
          <w:sz w:val="22"/>
          <w:szCs w:val="22"/>
        </w:rPr>
        <w:t>i</w:t>
      </w:r>
      <w:r w:rsidRPr="008F10DE">
        <w:rPr>
          <w:sz w:val="22"/>
          <w:szCs w:val="22"/>
        </w:rPr>
        <w:t>.</w:t>
      </w:r>
    </w:p>
    <w:p w14:paraId="0F16B473" w14:textId="77777777" w:rsidR="009209D8" w:rsidRPr="008F10DE" w:rsidRDefault="009209D8" w:rsidP="00A95C95">
      <w:pPr>
        <w:spacing w:line="360" w:lineRule="auto"/>
        <w:jc w:val="both"/>
        <w:rPr>
          <w:sz w:val="22"/>
          <w:szCs w:val="22"/>
        </w:rPr>
      </w:pPr>
    </w:p>
    <w:p w14:paraId="37FA94AF" w14:textId="19817915" w:rsidR="00946C09" w:rsidRPr="008F10DE" w:rsidRDefault="00946C09" w:rsidP="00A95C95">
      <w:pPr>
        <w:spacing w:line="360" w:lineRule="auto"/>
        <w:ind w:left="2160"/>
        <w:jc w:val="both"/>
        <w:rPr>
          <w:rFonts w:eastAsia="MS Mincho"/>
          <w:sz w:val="22"/>
          <w:szCs w:val="22"/>
        </w:rPr>
      </w:pPr>
      <w:r w:rsidRPr="008F10DE">
        <w:rPr>
          <w:iCs/>
          <w:sz w:val="22"/>
          <w:szCs w:val="22"/>
        </w:rPr>
        <w:t xml:space="preserve">  </w:t>
      </w:r>
      <m:oMath>
        <m:r>
          <m:rPr>
            <m:nor/>
          </m:rPr>
          <w:rPr>
            <w:i/>
            <w:iCs/>
            <w:sz w:val="22"/>
            <w:szCs w:val="22"/>
          </w:rPr>
          <m:t>R</m:t>
        </m:r>
        <m:sSub>
          <m:sSubPr>
            <m:ctrlPr>
              <w:rPr>
                <w:rFonts w:ascii="Cambria Math" w:hAnsi="Cambria Math"/>
                <w:i/>
                <w:iCs/>
                <w:sz w:val="22"/>
                <w:szCs w:val="22"/>
              </w:rPr>
            </m:ctrlPr>
          </m:sSubPr>
          <m:e>
            <m:r>
              <m:rPr>
                <m:nor/>
              </m:rPr>
              <w:rPr>
                <w:i/>
                <w:iCs/>
                <w:sz w:val="22"/>
                <w:szCs w:val="22"/>
              </w:rPr>
              <m:t>T</m:t>
            </m:r>
          </m:e>
          <m:sub>
            <m:r>
              <m:rPr>
                <m:nor/>
              </m:rPr>
              <w:rPr>
                <w:i/>
                <w:iCs/>
                <w:sz w:val="22"/>
                <w:szCs w:val="22"/>
              </w:rPr>
              <m:t>i</m:t>
            </m:r>
          </m:sub>
        </m:sSub>
        <m:r>
          <m:rPr>
            <m:nor/>
          </m:rPr>
          <w:rPr>
            <w:sz w:val="22"/>
            <w:szCs w:val="22"/>
          </w:rPr>
          <m:t>(</m:t>
        </m:r>
        <m:r>
          <m:rPr>
            <m:nor/>
          </m:rPr>
          <w:rPr>
            <w:i/>
            <w:iCs/>
            <w:sz w:val="22"/>
            <w:szCs w:val="22"/>
          </w:rPr>
          <m:t>t</m:t>
        </m:r>
        <m:r>
          <m:rPr>
            <m:nor/>
          </m:rPr>
          <w:rPr>
            <w:sz w:val="22"/>
            <w:szCs w:val="22"/>
          </w:rPr>
          <m:t>)</m:t>
        </m:r>
        <m:r>
          <m:rPr>
            <m:nor/>
          </m:rPr>
          <w:rPr>
            <w:i/>
            <w:iCs/>
            <w:sz w:val="22"/>
            <w:szCs w:val="22"/>
          </w:rPr>
          <m:t>=</m:t>
        </m:r>
        <m:sSup>
          <m:sSupPr>
            <m:ctrlPr>
              <w:rPr>
                <w:rFonts w:ascii="Cambria Math" w:hAnsi="Cambria Math"/>
                <w:i/>
                <w:iCs/>
                <w:sz w:val="22"/>
                <w:szCs w:val="22"/>
              </w:rPr>
            </m:ctrlPr>
          </m:sSupPr>
          <m:e>
            <m:r>
              <m:rPr>
                <m:nor/>
              </m:rPr>
              <w:rPr>
                <w:i/>
                <w:iCs/>
                <w:sz w:val="22"/>
                <w:szCs w:val="22"/>
              </w:rPr>
              <m:t>Γ</m:t>
            </m:r>
          </m:e>
          <m:sup>
            <m:f>
              <m:fPr>
                <m:ctrlPr>
                  <w:rPr>
                    <w:rFonts w:ascii="Cambria Math" w:hAnsi="Cambria Math"/>
                    <w:i/>
                    <w:iCs/>
                    <w:sz w:val="22"/>
                    <w:szCs w:val="22"/>
                  </w:rPr>
                </m:ctrlPr>
              </m:fPr>
              <m:num>
                <m:r>
                  <m:rPr>
                    <m:nor/>
                  </m:rPr>
                  <w:rPr>
                    <w:i/>
                    <w:iCs/>
                    <w:sz w:val="22"/>
                    <w:szCs w:val="22"/>
                  </w:rPr>
                  <m:t>1</m:t>
                </m:r>
              </m:num>
              <m:den>
                <m:r>
                  <m:rPr>
                    <m:nor/>
                  </m:rPr>
                  <w:rPr>
                    <w:i/>
                    <w:iCs/>
                    <w:sz w:val="22"/>
                    <w:szCs w:val="22"/>
                  </w:rPr>
                  <m:t>1-β</m:t>
                </m:r>
              </m:den>
            </m:f>
          </m:sup>
        </m:sSup>
        <m:r>
          <m:rPr>
            <m:nor/>
          </m:rPr>
          <w:rPr>
            <w:sz w:val="22"/>
            <w:szCs w:val="22"/>
          </w:rPr>
          <m:t>(</m:t>
        </m:r>
        <m:r>
          <m:rPr>
            <m:nor/>
          </m:rPr>
          <w:rPr>
            <w:i/>
            <w:iCs/>
            <w:sz w:val="22"/>
            <w:szCs w:val="22"/>
          </w:rPr>
          <m:t>t</m:t>
        </m:r>
        <m:r>
          <m:rPr>
            <m:nor/>
          </m:rPr>
          <w:rPr>
            <w:sz w:val="22"/>
            <w:szCs w:val="22"/>
          </w:rPr>
          <m:t>)</m:t>
        </m:r>
        <m:sSub>
          <m:sSubPr>
            <m:ctrlPr>
              <w:rPr>
                <w:rFonts w:ascii="Cambria Math" w:hAnsi="Cambria Math"/>
                <w:i/>
                <w:sz w:val="22"/>
                <w:szCs w:val="22"/>
                <w:lang w:val="pl-PL"/>
              </w:rPr>
            </m:ctrlPr>
          </m:sSubPr>
          <m:e>
            <m:r>
              <w:rPr>
                <w:rFonts w:ascii="Cambria Math"/>
                <w:sz w:val="22"/>
                <w:szCs w:val="22"/>
                <w:lang w:val="pl-PL"/>
              </w:rPr>
              <m:t>z</m:t>
            </m:r>
          </m:e>
          <m:sub>
            <m:r>
              <w:rPr>
                <w:rFonts w:ascii="Cambria Math"/>
                <w:sz w:val="22"/>
                <w:szCs w:val="22"/>
              </w:rPr>
              <m:t>1</m:t>
            </m:r>
          </m:sub>
        </m:sSub>
        <m:sSubSup>
          <m:sSubSupPr>
            <m:ctrlPr>
              <w:rPr>
                <w:rFonts w:ascii="Cambria Math" w:hAnsi="Cambria Math"/>
                <w:i/>
                <w:sz w:val="22"/>
                <w:szCs w:val="22"/>
                <w:lang w:val="pl-PL"/>
              </w:rPr>
            </m:ctrlPr>
          </m:sSubSupPr>
          <m:e>
            <m:r>
              <w:rPr>
                <w:rFonts w:ascii="Cambria Math"/>
                <w:sz w:val="22"/>
                <w:szCs w:val="22"/>
                <w:lang w:val="pl-PL"/>
              </w:rPr>
              <m:t>z</m:t>
            </m:r>
          </m:e>
          <m:sub>
            <m:r>
              <w:rPr>
                <w:rFonts w:ascii="Cambria Math"/>
                <w:sz w:val="22"/>
                <w:szCs w:val="22"/>
              </w:rPr>
              <m:t>2</m:t>
            </m:r>
            <m:r>
              <w:rPr>
                <w:rFonts w:ascii="Cambria Math"/>
                <w:sz w:val="22"/>
                <w:szCs w:val="22"/>
                <w:lang w:val="pl-PL"/>
              </w:rPr>
              <m:t>i</m:t>
            </m:r>
          </m:sub>
          <m:sup>
            <m:sSub>
              <m:sSubPr>
                <m:ctrlPr>
                  <w:rPr>
                    <w:rFonts w:ascii="Cambria Math" w:hAnsi="Cambria Math"/>
                    <w:i/>
                    <w:sz w:val="22"/>
                    <w:szCs w:val="22"/>
                    <w:lang w:val="pl-PL"/>
                  </w:rPr>
                </m:ctrlPr>
              </m:sSubPr>
              <m:e>
                <m:r>
                  <w:rPr>
                    <w:rFonts w:ascii="Cambria Math"/>
                    <w:sz w:val="22"/>
                    <w:szCs w:val="22"/>
                    <w:lang w:val="pl-PL"/>
                  </w:rPr>
                  <m:t>u</m:t>
                </m:r>
              </m:e>
              <m:sub>
                <m:r>
                  <w:rPr>
                    <w:rFonts w:ascii="Cambria Math"/>
                    <w:sz w:val="22"/>
                    <w:szCs w:val="22"/>
                    <w:lang w:val="pl-PL"/>
                  </w:rPr>
                  <m:t>i</m:t>
                </m:r>
                <m:r>
                  <w:rPr>
                    <w:rFonts w:ascii="Cambria Math"/>
                    <w:sz w:val="22"/>
                    <w:szCs w:val="22"/>
                  </w:rPr>
                  <m:t>,</m:t>
                </m:r>
                <m:r>
                  <w:rPr>
                    <w:rFonts w:ascii="Cambria Math"/>
                    <w:sz w:val="22"/>
                    <w:szCs w:val="22"/>
                    <w:lang w:val="pl-PL"/>
                  </w:rPr>
                  <m:t>j</m:t>
                </m:r>
              </m:sub>
            </m:sSub>
          </m:sup>
        </m:sSubSup>
        <m:r>
          <m:rPr>
            <m:nor/>
          </m:rPr>
          <w:rPr>
            <w:sz w:val="22"/>
            <w:szCs w:val="22"/>
          </w:rPr>
          <m:t>(</m:t>
        </m:r>
        <m:r>
          <m:rPr>
            <m:nor/>
          </m:rPr>
          <w:rPr>
            <w:i/>
            <w:iCs/>
            <w:sz w:val="22"/>
            <w:szCs w:val="22"/>
          </w:rPr>
          <m:t>t</m:t>
        </m:r>
        <m:r>
          <m:rPr>
            <m:nor/>
          </m:rPr>
          <w:rPr>
            <w:sz w:val="22"/>
            <w:szCs w:val="22"/>
          </w:rPr>
          <m:t>)</m:t>
        </m:r>
        <m:r>
          <m:rPr>
            <m:nor/>
          </m:rPr>
          <w:rPr>
            <w:i/>
            <w:iCs/>
            <w:sz w:val="22"/>
            <w:szCs w:val="22"/>
          </w:rPr>
          <m:t>+</m:t>
        </m:r>
      </m:oMath>
      <w:r w:rsidRPr="008F10DE">
        <w:rPr>
          <w:rFonts w:eastAsia="MS Mincho"/>
          <w:sz w:val="22"/>
          <w:szCs w:val="22"/>
        </w:rPr>
        <w:t xml:space="preserve"> </w:t>
      </w:r>
      <m:oMath>
        <m:nary>
          <m:naryPr>
            <m:chr m:val="∏"/>
            <m:limLoc m:val="undOvr"/>
            <m:ctrlPr>
              <w:rPr>
                <w:rFonts w:ascii="Cambria Math" w:eastAsia="MS Mincho" w:hAnsi="Cambria Math"/>
                <w:i/>
                <w:sz w:val="22"/>
                <w:szCs w:val="22"/>
              </w:rPr>
            </m:ctrlPr>
          </m:naryPr>
          <m:sub>
            <m:r>
              <m:rPr>
                <m:nor/>
              </m:rPr>
              <w:rPr>
                <w:i/>
                <w:iCs/>
                <w:sz w:val="22"/>
                <w:szCs w:val="22"/>
              </w:rPr>
              <m:t>j≠i</m:t>
            </m:r>
          </m:sub>
          <m:sup>
            <m:r>
              <m:rPr>
                <m:nor/>
              </m:rPr>
              <w:rPr>
                <w:i/>
                <w:iCs/>
                <w:sz w:val="22"/>
                <w:szCs w:val="22"/>
              </w:rPr>
              <m:t>N</m:t>
            </m:r>
          </m:sup>
          <m:e>
            <m:sSub>
              <m:sSubPr>
                <m:ctrlPr>
                  <w:rPr>
                    <w:rFonts w:ascii="Cambria Math" w:hAnsi="Cambria Math"/>
                    <w:i/>
                    <w:sz w:val="22"/>
                    <w:szCs w:val="22"/>
                    <w:lang w:val="pl-PL"/>
                  </w:rPr>
                </m:ctrlPr>
              </m:sSubPr>
              <m:e>
                <m:r>
                  <w:rPr>
                    <w:rFonts w:ascii="Cambria Math"/>
                    <w:sz w:val="22"/>
                    <w:szCs w:val="22"/>
                    <w:lang w:val="pl-PL"/>
                  </w:rPr>
                  <m:t>z</m:t>
                </m:r>
              </m:e>
              <m:sub>
                <m:r>
                  <w:rPr>
                    <w:rFonts w:ascii="Cambria Math"/>
                    <w:sz w:val="22"/>
                    <w:szCs w:val="22"/>
                  </w:rPr>
                  <m:t>1</m:t>
                </m:r>
              </m:sub>
            </m:sSub>
            <m:sSubSup>
              <m:sSubSupPr>
                <m:ctrlPr>
                  <w:rPr>
                    <w:rFonts w:ascii="Cambria Math" w:hAnsi="Cambria Math"/>
                    <w:i/>
                    <w:sz w:val="22"/>
                    <w:szCs w:val="22"/>
                    <w:lang w:val="pl-PL"/>
                  </w:rPr>
                </m:ctrlPr>
              </m:sSubSupPr>
              <m:e>
                <m:r>
                  <w:rPr>
                    <w:rFonts w:ascii="Cambria Math"/>
                    <w:sz w:val="22"/>
                    <w:szCs w:val="22"/>
                    <w:lang w:val="pl-PL"/>
                  </w:rPr>
                  <m:t>z</m:t>
                </m:r>
              </m:e>
              <m:sub>
                <m:r>
                  <w:rPr>
                    <w:rFonts w:ascii="Cambria Math"/>
                    <w:sz w:val="22"/>
                    <w:szCs w:val="22"/>
                  </w:rPr>
                  <m:t>2</m:t>
                </m:r>
                <m:r>
                  <w:rPr>
                    <w:rFonts w:ascii="Cambria Math"/>
                    <w:sz w:val="22"/>
                    <w:szCs w:val="22"/>
                    <w:lang w:val="pl-PL"/>
                  </w:rPr>
                  <m:t>j</m:t>
                </m:r>
              </m:sub>
              <m:sup>
                <m:sSub>
                  <m:sSubPr>
                    <m:ctrlPr>
                      <w:rPr>
                        <w:rFonts w:ascii="Cambria Math" w:hAnsi="Cambria Math"/>
                        <w:i/>
                        <w:sz w:val="22"/>
                        <w:szCs w:val="22"/>
                        <w:lang w:val="pl-PL"/>
                      </w:rPr>
                    </m:ctrlPr>
                  </m:sSubPr>
                  <m:e>
                    <m:r>
                      <w:rPr>
                        <w:rFonts w:ascii="Cambria Math"/>
                        <w:sz w:val="22"/>
                        <w:szCs w:val="22"/>
                        <w:lang w:val="pl-PL"/>
                      </w:rPr>
                      <m:t>u</m:t>
                    </m:r>
                  </m:e>
                  <m:sub>
                    <m:r>
                      <w:rPr>
                        <w:rFonts w:ascii="Cambria Math"/>
                        <w:sz w:val="22"/>
                        <w:szCs w:val="22"/>
                        <w:lang w:val="pl-PL"/>
                      </w:rPr>
                      <m:t>i</m:t>
                    </m:r>
                    <m:r>
                      <w:rPr>
                        <w:rFonts w:ascii="Cambria Math"/>
                        <w:sz w:val="22"/>
                        <w:szCs w:val="22"/>
                      </w:rPr>
                      <m:t>,</m:t>
                    </m:r>
                    <m:r>
                      <w:rPr>
                        <w:rFonts w:ascii="Cambria Math"/>
                        <w:sz w:val="22"/>
                        <w:szCs w:val="22"/>
                        <w:lang w:val="pl-PL"/>
                      </w:rPr>
                      <m:t>j</m:t>
                    </m:r>
                  </m:sub>
                </m:sSub>
              </m:sup>
            </m:sSubSup>
            <m:r>
              <m:rPr>
                <m:nor/>
              </m:rPr>
              <w:rPr>
                <w:sz w:val="22"/>
                <w:szCs w:val="22"/>
              </w:rPr>
              <m:t>(</m:t>
            </m:r>
            <m:r>
              <m:rPr>
                <m:nor/>
              </m:rPr>
              <w:rPr>
                <w:i/>
                <w:iCs/>
                <w:sz w:val="22"/>
                <w:szCs w:val="22"/>
              </w:rPr>
              <m:t>t</m:t>
            </m:r>
            <m:r>
              <m:rPr>
                <m:nor/>
              </m:rPr>
              <w:rPr>
                <w:sz w:val="22"/>
                <w:szCs w:val="22"/>
              </w:rPr>
              <m:t>)</m:t>
            </m:r>
          </m:e>
        </m:nary>
      </m:oMath>
      <w:r w:rsidRPr="008F10DE">
        <w:rPr>
          <w:rFonts w:eastAsia="MS Mincho"/>
          <w:sz w:val="22"/>
          <w:szCs w:val="22"/>
        </w:rPr>
        <w:t xml:space="preserve">                                                            (</w:t>
      </w:r>
      <w:r w:rsidR="00850917" w:rsidRPr="008F10DE">
        <w:rPr>
          <w:rFonts w:eastAsia="MS Mincho"/>
          <w:sz w:val="22"/>
          <w:szCs w:val="22"/>
        </w:rPr>
        <w:t>8</w:t>
      </w:r>
      <w:r w:rsidRPr="008F10DE">
        <w:rPr>
          <w:rFonts w:eastAsia="MS Mincho"/>
          <w:sz w:val="22"/>
          <w:szCs w:val="22"/>
        </w:rPr>
        <w:t>)</w:t>
      </w:r>
    </w:p>
    <w:p w14:paraId="2533E2E5" w14:textId="0D3BF68B" w:rsidR="00946C09" w:rsidRPr="008F10DE" w:rsidRDefault="005D71C2" w:rsidP="00A95C95">
      <w:pPr>
        <w:spacing w:line="360" w:lineRule="auto"/>
        <w:jc w:val="both"/>
        <w:rPr>
          <w:rFonts w:eastAsia="MS Mincho"/>
          <w:sz w:val="22"/>
          <w:szCs w:val="22"/>
          <w:lang w:val="pt-PT"/>
        </w:rPr>
      </w:pPr>
      <w:r w:rsidRPr="008F10DE">
        <w:rPr>
          <w:rFonts w:eastAsia="MS Mincho"/>
          <w:sz w:val="22"/>
          <w:szCs w:val="22"/>
          <w:lang w:val="pt-PT"/>
        </w:rPr>
        <w:t>W</w:t>
      </w:r>
      <w:r w:rsidR="00946C09" w:rsidRPr="008F10DE">
        <w:rPr>
          <w:rFonts w:eastAsia="MS Mincho"/>
          <w:sz w:val="22"/>
          <w:szCs w:val="22"/>
          <w:lang w:val="pt-PT"/>
        </w:rPr>
        <w:t>here</w:t>
      </w:r>
      <w:r w:rsidRPr="008F10DE">
        <w:rPr>
          <w:rFonts w:eastAsia="MS Mincho"/>
          <w:sz w:val="22"/>
          <w:szCs w:val="22"/>
          <w:lang w:val="pt-PT"/>
        </w:rPr>
        <w:t>:</w:t>
      </w:r>
    </w:p>
    <w:p w14:paraId="52943CB6" w14:textId="2DBAF6D8" w:rsidR="00946C09" w:rsidRPr="008F10DE" w:rsidRDefault="00946C09" w:rsidP="00A95C95">
      <w:pPr>
        <w:spacing w:line="360" w:lineRule="auto"/>
        <w:jc w:val="both"/>
        <w:rPr>
          <w:rFonts w:eastAsia="MS Mincho"/>
          <w:sz w:val="22"/>
          <w:szCs w:val="22"/>
          <w:lang w:val="pt-PT"/>
        </w:rPr>
      </w:pPr>
      <w:r w:rsidRPr="008F10DE">
        <w:rPr>
          <w:rFonts w:eastAsia="MS Mincho"/>
          <w:sz w:val="22"/>
          <w:szCs w:val="22"/>
          <w:lang w:val="pt-PT"/>
        </w:rPr>
        <w:t xml:space="preserve">                                               </w:t>
      </w:r>
      <w:r w:rsidR="006F00FF" w:rsidRPr="008F10DE">
        <w:rPr>
          <w:rFonts w:eastAsia="MS Mincho"/>
          <w:sz w:val="22"/>
          <w:szCs w:val="22"/>
          <w:lang w:val="pt-PT"/>
        </w:rPr>
        <w:t xml:space="preserve">    </w:t>
      </w:r>
      <w:r w:rsidRPr="008F10DE">
        <w:rPr>
          <w:rFonts w:eastAsia="MS Mincho"/>
          <w:sz w:val="22"/>
          <w:szCs w:val="22"/>
          <w:lang w:val="pt-PT"/>
        </w:rPr>
        <w:t xml:space="preserve"> </w:t>
      </w:r>
      <m:oMath>
        <m:sSub>
          <m:sSubPr>
            <m:ctrlPr>
              <w:rPr>
                <w:rFonts w:ascii="Cambria Math" w:hAnsi="Cambria Math"/>
                <w:i/>
                <w:sz w:val="22"/>
                <w:szCs w:val="22"/>
              </w:rPr>
            </m:ctrlPr>
          </m:sSubPr>
          <m:e>
            <m:r>
              <m:rPr>
                <m:nor/>
              </m:rPr>
              <w:rPr>
                <w:i/>
                <w:sz w:val="22"/>
                <w:szCs w:val="22"/>
                <w:lang w:val="pt-PT"/>
              </w:rPr>
              <m:t>u</m:t>
            </m:r>
          </m:e>
          <m:sub>
            <m:r>
              <m:rPr>
                <m:nor/>
              </m:rPr>
              <w:rPr>
                <w:i/>
                <w:sz w:val="22"/>
                <w:szCs w:val="22"/>
                <w:lang w:val="pt-PT"/>
              </w:rPr>
              <m:t>i</m:t>
            </m:r>
            <m:r>
              <m:rPr>
                <m:nor/>
              </m:rPr>
              <w:rPr>
                <w:i/>
                <w:iCs/>
                <w:sz w:val="22"/>
                <w:szCs w:val="22"/>
                <w:lang w:val="pt-PT"/>
              </w:rPr>
              <m:t>,</m:t>
            </m:r>
            <m:r>
              <m:rPr>
                <m:nor/>
              </m:rPr>
              <w:rPr>
                <w:i/>
                <w:sz w:val="22"/>
                <w:szCs w:val="22"/>
                <w:lang w:val="pt-PT"/>
              </w:rPr>
              <m:t>i</m:t>
            </m:r>
          </m:sub>
        </m:sSub>
        <m:r>
          <m:rPr>
            <m:nor/>
          </m:rPr>
          <w:rPr>
            <w:i/>
            <w:sz w:val="22"/>
            <w:szCs w:val="22"/>
            <w:lang w:val="pt-PT"/>
          </w:rPr>
          <m:t>=</m:t>
        </m:r>
        <m:r>
          <m:rPr>
            <m:nor/>
          </m:rPr>
          <w:rPr>
            <w:i/>
            <w:sz w:val="22"/>
            <w:szCs w:val="22"/>
          </w:rPr>
          <m:t>α</m:t>
        </m:r>
        <m:r>
          <m:rPr>
            <m:nor/>
          </m:rPr>
          <w:rPr>
            <w:i/>
            <w:sz w:val="22"/>
            <w:szCs w:val="22"/>
            <w:lang w:val="pt-PT"/>
          </w:rPr>
          <m:t>+</m:t>
        </m:r>
        <m:r>
          <m:rPr>
            <m:nor/>
          </m:rPr>
          <w:rPr>
            <w:i/>
            <w:sz w:val="22"/>
            <w:szCs w:val="22"/>
          </w:rPr>
          <m:t>δ</m:t>
        </m:r>
        <m:r>
          <m:rPr>
            <m:nor/>
          </m:rPr>
          <w:rPr>
            <w:iCs/>
            <w:sz w:val="22"/>
            <w:szCs w:val="22"/>
            <w:lang w:val="pt-PT"/>
          </w:rPr>
          <m:t>(</m:t>
        </m:r>
        <m:r>
          <m:rPr>
            <m:nor/>
          </m:rPr>
          <w:rPr>
            <w:i/>
            <w:sz w:val="22"/>
            <w:szCs w:val="22"/>
            <w:lang w:val="pt-PT"/>
          </w:rPr>
          <m:t>1+</m:t>
        </m:r>
        <m:nary>
          <m:naryPr>
            <m:chr m:val="∑"/>
            <m:limLoc m:val="subSup"/>
            <m:ctrlPr>
              <w:rPr>
                <w:rFonts w:ascii="Cambria Math" w:hAnsi="Cambria Math"/>
                <w:i/>
                <w:sz w:val="22"/>
                <w:szCs w:val="22"/>
              </w:rPr>
            </m:ctrlPr>
          </m:naryPr>
          <m:sub>
            <m:r>
              <m:rPr>
                <m:nor/>
              </m:rPr>
              <w:rPr>
                <w:i/>
                <w:sz w:val="22"/>
                <w:szCs w:val="22"/>
                <w:lang w:val="pt-PT"/>
              </w:rPr>
              <m:t>r=1</m:t>
            </m:r>
          </m:sub>
          <m:sup>
            <m:r>
              <m:rPr>
                <m:nor/>
              </m:rPr>
              <w:rPr>
                <w:i/>
                <w:sz w:val="22"/>
                <w:szCs w:val="22"/>
                <w:lang w:val="pt-PT"/>
              </w:rPr>
              <m:t>∞</m:t>
            </m:r>
          </m:sup>
          <m:e>
            <m:sSup>
              <m:sSupPr>
                <m:ctrlPr>
                  <w:rPr>
                    <w:rFonts w:ascii="Cambria Math" w:hAnsi="Cambria Math"/>
                    <w:i/>
                    <w:sz w:val="22"/>
                    <w:szCs w:val="22"/>
                  </w:rPr>
                </m:ctrlPr>
              </m:sSupPr>
              <m:e>
                <m:r>
                  <m:rPr>
                    <m:nor/>
                  </m:rPr>
                  <w:rPr>
                    <w:i/>
                    <w:sz w:val="22"/>
                    <w:szCs w:val="22"/>
                  </w:rPr>
                  <m:t>β</m:t>
                </m:r>
              </m:e>
              <m:sup>
                <m:r>
                  <m:rPr>
                    <m:nor/>
                  </m:rPr>
                  <w:rPr>
                    <w:i/>
                    <w:sz w:val="22"/>
                    <w:szCs w:val="22"/>
                    <w:lang w:val="pt-PT"/>
                  </w:rPr>
                  <m:t>r</m:t>
                </m:r>
              </m:sup>
            </m:sSup>
            <m:sSubSup>
              <m:sSubSupPr>
                <m:ctrlPr>
                  <w:rPr>
                    <w:rFonts w:ascii="Cambria Math" w:hAnsi="Cambria Math"/>
                    <w:i/>
                    <w:sz w:val="22"/>
                    <w:szCs w:val="22"/>
                  </w:rPr>
                </m:ctrlPr>
              </m:sSubSupPr>
              <m:e>
                <m:r>
                  <m:rPr>
                    <m:nor/>
                  </m:rPr>
                  <w:rPr>
                    <w:i/>
                    <w:sz w:val="22"/>
                    <w:szCs w:val="22"/>
                    <w:lang w:val="pt-PT"/>
                  </w:rPr>
                  <m:t>D</m:t>
                </m:r>
              </m:e>
              <m:sub>
                <m:r>
                  <m:rPr>
                    <m:nor/>
                  </m:rPr>
                  <w:rPr>
                    <w:i/>
                    <w:sz w:val="22"/>
                    <w:szCs w:val="22"/>
                    <w:lang w:val="pt-PT"/>
                  </w:rPr>
                  <m:t>i</m:t>
                </m:r>
                <m:r>
                  <m:rPr>
                    <m:nor/>
                  </m:rPr>
                  <w:rPr>
                    <w:i/>
                    <w:iCs/>
                    <w:sz w:val="22"/>
                    <w:szCs w:val="22"/>
                    <w:lang w:val="pt-PT"/>
                  </w:rPr>
                  <m:t>,</m:t>
                </m:r>
                <m:r>
                  <m:rPr>
                    <m:nor/>
                  </m:rPr>
                  <w:rPr>
                    <w:i/>
                    <w:sz w:val="22"/>
                    <w:szCs w:val="22"/>
                    <w:lang w:val="pt-PT"/>
                  </w:rPr>
                  <m:t>j</m:t>
                </m:r>
              </m:sub>
              <m:sup>
                <m:r>
                  <m:rPr>
                    <m:nor/>
                  </m:rPr>
                  <w:rPr>
                    <w:i/>
                    <w:sz w:val="22"/>
                    <w:szCs w:val="22"/>
                    <w:lang w:val="pt-PT"/>
                  </w:rPr>
                  <m:t>r</m:t>
                </m:r>
              </m:sup>
            </m:sSubSup>
          </m:e>
        </m:nary>
        <m:r>
          <m:rPr>
            <m:nor/>
          </m:rPr>
          <w:rPr>
            <w:iCs/>
            <w:sz w:val="22"/>
            <w:szCs w:val="22"/>
            <w:lang w:val="pt-PT"/>
          </w:rPr>
          <m:t>)</m:t>
        </m:r>
      </m:oMath>
      <w:r w:rsidRPr="008F10DE">
        <w:rPr>
          <w:rFonts w:eastAsia="MS Mincho"/>
          <w:sz w:val="22"/>
          <w:szCs w:val="22"/>
          <w:lang w:val="pt-PT"/>
        </w:rPr>
        <w:tab/>
      </w:r>
      <w:r w:rsidRPr="008F10DE">
        <w:rPr>
          <w:rFonts w:eastAsia="MS Mincho"/>
          <w:sz w:val="22"/>
          <w:szCs w:val="22"/>
          <w:lang w:val="pt-PT"/>
        </w:rPr>
        <w:tab/>
      </w:r>
      <w:r w:rsidRPr="008F10DE">
        <w:rPr>
          <w:rFonts w:eastAsia="MS Mincho"/>
          <w:sz w:val="22"/>
          <w:szCs w:val="22"/>
          <w:lang w:val="pt-PT"/>
        </w:rPr>
        <w:tab/>
        <w:t xml:space="preserve">                           </w:t>
      </w:r>
      <w:r w:rsidR="008B6875" w:rsidRPr="008F10DE">
        <w:rPr>
          <w:rFonts w:eastAsia="MS Mincho"/>
          <w:sz w:val="22"/>
          <w:szCs w:val="22"/>
          <w:lang w:val="pt-PT"/>
        </w:rPr>
        <w:t xml:space="preserve">      </w:t>
      </w:r>
      <w:r w:rsidRPr="008F10DE">
        <w:rPr>
          <w:rFonts w:eastAsia="MS Mincho"/>
          <w:sz w:val="22"/>
          <w:szCs w:val="22"/>
          <w:lang w:val="pt-PT"/>
        </w:rPr>
        <w:t xml:space="preserve">       (</w:t>
      </w:r>
      <w:r w:rsidR="00850917" w:rsidRPr="008F10DE">
        <w:rPr>
          <w:rFonts w:eastAsia="MS Mincho"/>
          <w:sz w:val="22"/>
          <w:szCs w:val="22"/>
          <w:lang w:val="pt-PT"/>
        </w:rPr>
        <w:t>9</w:t>
      </w:r>
      <w:r w:rsidRPr="008F10DE">
        <w:rPr>
          <w:rFonts w:eastAsia="MS Mincho"/>
          <w:sz w:val="22"/>
          <w:szCs w:val="22"/>
          <w:lang w:val="pt-PT"/>
        </w:rPr>
        <w:t>)</w:t>
      </w:r>
    </w:p>
    <w:p w14:paraId="1BEA03F0" w14:textId="2C698C2D" w:rsidR="00946C09" w:rsidRPr="008F10DE" w:rsidRDefault="00946C09" w:rsidP="00A95C95">
      <w:pPr>
        <w:spacing w:line="360" w:lineRule="auto"/>
        <w:jc w:val="both"/>
        <w:rPr>
          <w:rFonts w:eastAsia="MS Mincho"/>
          <w:sz w:val="22"/>
          <w:szCs w:val="22"/>
          <w:lang w:val="pt-PT"/>
        </w:rPr>
      </w:pPr>
      <w:r w:rsidRPr="008F10DE">
        <w:rPr>
          <w:rFonts w:eastAsia="MS Mincho"/>
          <w:sz w:val="22"/>
          <w:szCs w:val="22"/>
          <w:lang w:val="pt-PT"/>
        </w:rPr>
        <w:t xml:space="preserve">                                                    </w:t>
      </w:r>
      <m:oMath>
        <m:sSub>
          <m:sSubPr>
            <m:ctrlPr>
              <w:rPr>
                <w:rFonts w:ascii="Cambria Math" w:hAnsi="Cambria Math"/>
                <w:i/>
                <w:sz w:val="22"/>
                <w:szCs w:val="22"/>
              </w:rPr>
            </m:ctrlPr>
          </m:sSubPr>
          <m:e>
            <m:r>
              <m:rPr>
                <m:nor/>
              </m:rPr>
              <w:rPr>
                <w:i/>
                <w:sz w:val="22"/>
                <w:szCs w:val="22"/>
                <w:lang w:val="pt-PT"/>
              </w:rPr>
              <m:t>u</m:t>
            </m:r>
          </m:e>
          <m:sub>
            <m:r>
              <m:rPr>
                <m:nor/>
              </m:rPr>
              <w:rPr>
                <w:i/>
                <w:sz w:val="22"/>
                <w:szCs w:val="22"/>
                <w:lang w:val="pt-PT"/>
              </w:rPr>
              <m:t>i</m:t>
            </m:r>
            <m:r>
              <m:rPr>
                <m:nor/>
              </m:rPr>
              <w:rPr>
                <w:i/>
                <w:iCs/>
                <w:sz w:val="22"/>
                <w:szCs w:val="22"/>
                <w:lang w:val="pt-PT"/>
              </w:rPr>
              <m:t>,</m:t>
            </m:r>
            <m:r>
              <m:rPr>
                <m:nor/>
              </m:rPr>
              <w:rPr>
                <w:i/>
                <w:sz w:val="22"/>
                <w:szCs w:val="22"/>
                <w:lang w:val="pt-PT"/>
              </w:rPr>
              <m:t>j</m:t>
            </m:r>
          </m:sub>
        </m:sSub>
        <m:r>
          <m:rPr>
            <m:nor/>
          </m:rPr>
          <w:rPr>
            <w:i/>
            <w:sz w:val="22"/>
            <w:szCs w:val="22"/>
            <w:lang w:val="pt-PT"/>
          </w:rPr>
          <m:t>=</m:t>
        </m:r>
        <m:r>
          <m:rPr>
            <m:nor/>
          </m:rPr>
          <w:rPr>
            <w:i/>
            <w:sz w:val="22"/>
            <w:szCs w:val="22"/>
          </w:rPr>
          <m:t>δ</m:t>
        </m:r>
        <m:nary>
          <m:naryPr>
            <m:chr m:val="∑"/>
            <m:limLoc m:val="subSup"/>
            <m:ctrlPr>
              <w:rPr>
                <w:rFonts w:ascii="Cambria Math" w:hAnsi="Cambria Math"/>
                <w:i/>
                <w:sz w:val="22"/>
                <w:szCs w:val="22"/>
              </w:rPr>
            </m:ctrlPr>
          </m:naryPr>
          <m:sub>
            <m:r>
              <m:rPr>
                <m:nor/>
              </m:rPr>
              <w:rPr>
                <w:i/>
                <w:sz w:val="22"/>
                <w:szCs w:val="22"/>
                <w:lang w:val="pt-PT"/>
              </w:rPr>
              <m:t>r=1</m:t>
            </m:r>
          </m:sub>
          <m:sup>
            <m:r>
              <m:rPr>
                <m:nor/>
              </m:rPr>
              <w:rPr>
                <w:i/>
                <w:sz w:val="22"/>
                <w:szCs w:val="22"/>
                <w:lang w:val="pt-PT"/>
              </w:rPr>
              <m:t>∞</m:t>
            </m:r>
          </m:sup>
          <m:e>
            <m:sSup>
              <m:sSupPr>
                <m:ctrlPr>
                  <w:rPr>
                    <w:rFonts w:ascii="Cambria Math" w:hAnsi="Cambria Math"/>
                    <w:i/>
                    <w:sz w:val="22"/>
                    <w:szCs w:val="22"/>
                  </w:rPr>
                </m:ctrlPr>
              </m:sSupPr>
              <m:e>
                <m:r>
                  <m:rPr>
                    <m:nor/>
                  </m:rPr>
                  <w:rPr>
                    <w:i/>
                    <w:sz w:val="22"/>
                    <w:szCs w:val="22"/>
                  </w:rPr>
                  <m:t>β</m:t>
                </m:r>
              </m:e>
              <m:sup>
                <m:r>
                  <m:rPr>
                    <m:nor/>
                  </m:rPr>
                  <w:rPr>
                    <w:i/>
                    <w:sz w:val="22"/>
                    <w:szCs w:val="22"/>
                    <w:lang w:val="pt-PT"/>
                  </w:rPr>
                  <m:t>r</m:t>
                </m:r>
              </m:sup>
            </m:sSup>
            <m:sSubSup>
              <m:sSubSupPr>
                <m:ctrlPr>
                  <w:rPr>
                    <w:rFonts w:ascii="Cambria Math" w:hAnsi="Cambria Math"/>
                    <w:i/>
                    <w:sz w:val="22"/>
                    <w:szCs w:val="22"/>
                  </w:rPr>
                </m:ctrlPr>
              </m:sSubSupPr>
              <m:e>
                <m:r>
                  <m:rPr>
                    <m:nor/>
                  </m:rPr>
                  <w:rPr>
                    <w:i/>
                    <w:sz w:val="22"/>
                    <w:szCs w:val="22"/>
                    <w:lang w:val="pt-PT"/>
                  </w:rPr>
                  <m:t>D</m:t>
                </m:r>
              </m:e>
              <m:sub>
                <m:r>
                  <m:rPr>
                    <m:nor/>
                  </m:rPr>
                  <w:rPr>
                    <w:i/>
                    <w:sz w:val="22"/>
                    <w:szCs w:val="22"/>
                    <w:lang w:val="pt-PT"/>
                  </w:rPr>
                  <m:t>i</m:t>
                </m:r>
                <m:r>
                  <m:rPr>
                    <m:nor/>
                  </m:rPr>
                  <w:rPr>
                    <w:i/>
                    <w:iCs/>
                    <w:sz w:val="22"/>
                    <w:szCs w:val="22"/>
                    <w:lang w:val="pt-PT"/>
                  </w:rPr>
                  <m:t>,</m:t>
                </m:r>
                <m:r>
                  <m:rPr>
                    <m:nor/>
                  </m:rPr>
                  <w:rPr>
                    <w:i/>
                    <w:sz w:val="22"/>
                    <w:szCs w:val="22"/>
                    <w:lang w:val="pt-PT"/>
                  </w:rPr>
                  <m:t>j</m:t>
                </m:r>
              </m:sub>
              <m:sup>
                <m:r>
                  <m:rPr>
                    <m:nor/>
                  </m:rPr>
                  <w:rPr>
                    <w:i/>
                    <w:sz w:val="22"/>
                    <w:szCs w:val="22"/>
                    <w:lang w:val="pt-PT"/>
                  </w:rPr>
                  <m:t>r</m:t>
                </m:r>
              </m:sup>
            </m:sSubSup>
          </m:e>
        </m:nary>
      </m:oMath>
      <w:r w:rsidRPr="008F10DE">
        <w:rPr>
          <w:rFonts w:eastAsia="MS Mincho"/>
          <w:sz w:val="22"/>
          <w:szCs w:val="22"/>
          <w:lang w:val="pt-PT"/>
        </w:rPr>
        <w:tab/>
      </w:r>
      <w:r w:rsidRPr="008F10DE">
        <w:rPr>
          <w:rFonts w:eastAsia="MS Mincho"/>
          <w:sz w:val="22"/>
          <w:szCs w:val="22"/>
          <w:lang w:val="pt-PT"/>
        </w:rPr>
        <w:tab/>
      </w:r>
      <w:r w:rsidRPr="008F10DE">
        <w:rPr>
          <w:rFonts w:eastAsia="MS Mincho"/>
          <w:sz w:val="22"/>
          <w:szCs w:val="22"/>
          <w:lang w:val="pt-PT"/>
        </w:rPr>
        <w:tab/>
        <w:t xml:space="preserve">                                          </w:t>
      </w:r>
      <w:r w:rsidR="008B6875" w:rsidRPr="008F10DE">
        <w:rPr>
          <w:rFonts w:eastAsia="MS Mincho"/>
          <w:sz w:val="22"/>
          <w:szCs w:val="22"/>
          <w:lang w:val="pt-PT"/>
        </w:rPr>
        <w:t xml:space="preserve">      </w:t>
      </w:r>
      <w:r w:rsidRPr="008F10DE">
        <w:rPr>
          <w:rFonts w:eastAsia="MS Mincho"/>
          <w:sz w:val="22"/>
          <w:szCs w:val="22"/>
          <w:lang w:val="pt-PT"/>
        </w:rPr>
        <w:t xml:space="preserve">    (</w:t>
      </w:r>
      <w:r w:rsidR="00850917" w:rsidRPr="008F10DE">
        <w:rPr>
          <w:rFonts w:eastAsia="MS Mincho"/>
          <w:sz w:val="22"/>
          <w:szCs w:val="22"/>
          <w:lang w:val="pt-PT"/>
        </w:rPr>
        <w:t>10</w:t>
      </w:r>
      <w:r w:rsidRPr="008F10DE">
        <w:rPr>
          <w:rFonts w:eastAsia="MS Mincho"/>
          <w:sz w:val="22"/>
          <w:szCs w:val="22"/>
          <w:lang w:val="pt-PT"/>
        </w:rPr>
        <w:t>)</w:t>
      </w:r>
    </w:p>
    <w:p w14:paraId="75AE6E28" w14:textId="77777777" w:rsidR="006D498D" w:rsidRDefault="006D498D" w:rsidP="00263D44">
      <w:pPr>
        <w:spacing w:line="360" w:lineRule="auto"/>
        <w:jc w:val="both"/>
        <w:rPr>
          <w:sz w:val="22"/>
          <w:szCs w:val="22"/>
          <w:lang w:val="pt-PT"/>
        </w:rPr>
      </w:pPr>
    </w:p>
    <w:p w14:paraId="71505AB2" w14:textId="6F178DF9" w:rsidR="00405CC0" w:rsidRPr="008F10DE" w:rsidRDefault="00263D44" w:rsidP="00263D44">
      <w:pPr>
        <w:spacing w:line="360" w:lineRule="auto"/>
        <w:jc w:val="both"/>
        <w:rPr>
          <w:sz w:val="22"/>
          <w:szCs w:val="22"/>
        </w:rPr>
      </w:pPr>
      <w:r w:rsidRPr="008F10DE">
        <w:rPr>
          <w:sz w:val="22"/>
          <w:szCs w:val="22"/>
        </w:rPr>
        <w:t>Equation (</w:t>
      </w:r>
      <w:r w:rsidRPr="00B50F0E">
        <w:rPr>
          <w:color w:val="004F88"/>
          <w:sz w:val="22"/>
          <w:szCs w:val="22"/>
        </w:rPr>
        <w:t>8</w:t>
      </w:r>
      <w:r w:rsidRPr="008F10DE">
        <w:rPr>
          <w:sz w:val="22"/>
          <w:szCs w:val="22"/>
        </w:rPr>
        <w:t xml:space="preserve">) is a representation of spatial heterogeneity in the parameters of the Cobb-Douglas function. </w:t>
      </w:r>
      <m:oMath>
        <m:sSubSup>
          <m:sSubSupPr>
            <m:ctrlPr>
              <w:rPr>
                <w:rFonts w:ascii="Cambria Math" w:hAnsi="Cambria Math"/>
                <w:i/>
                <w:sz w:val="22"/>
                <w:szCs w:val="22"/>
              </w:rPr>
            </m:ctrlPr>
          </m:sSubSupPr>
          <m:e>
            <m:r>
              <m:rPr>
                <m:nor/>
              </m:rPr>
              <w:rPr>
                <w:i/>
                <w:sz w:val="22"/>
                <w:szCs w:val="22"/>
              </w:rPr>
              <m:t>D</m:t>
            </m:r>
          </m:e>
          <m:sub>
            <m:r>
              <m:rPr>
                <m:nor/>
              </m:rPr>
              <w:rPr>
                <w:i/>
                <w:sz w:val="22"/>
                <w:szCs w:val="22"/>
              </w:rPr>
              <m:t>i,j</m:t>
            </m:r>
          </m:sub>
          <m:sup>
            <m:r>
              <m:rPr>
                <m:nor/>
              </m:rPr>
              <w:rPr>
                <w:i/>
                <w:sz w:val="22"/>
                <w:szCs w:val="22"/>
              </w:rPr>
              <m:t>r</m:t>
            </m:r>
          </m:sup>
        </m:sSubSup>
      </m:oMath>
      <w:r w:rsidR="00946C09" w:rsidRPr="008F10DE">
        <w:rPr>
          <w:sz w:val="22"/>
          <w:szCs w:val="22"/>
        </w:rPr>
        <w:t xml:space="preserve"> </w:t>
      </w:r>
      <w:r w:rsidRPr="008F10DE">
        <w:rPr>
          <w:sz w:val="22"/>
          <w:szCs w:val="22"/>
        </w:rPr>
        <w:t>(in equations (</w:t>
      </w:r>
      <w:r w:rsidRPr="00B50F0E">
        <w:rPr>
          <w:color w:val="004F88"/>
          <w:sz w:val="22"/>
          <w:szCs w:val="22"/>
        </w:rPr>
        <w:t>9</w:t>
      </w:r>
      <w:r w:rsidRPr="008F10DE">
        <w:rPr>
          <w:sz w:val="22"/>
          <w:szCs w:val="22"/>
        </w:rPr>
        <w:t>) and (</w:t>
      </w:r>
      <w:r w:rsidRPr="00B50F0E">
        <w:rPr>
          <w:color w:val="004F88"/>
          <w:sz w:val="22"/>
          <w:szCs w:val="22"/>
        </w:rPr>
        <w:t>10</w:t>
      </w:r>
      <w:r w:rsidRPr="008F10DE">
        <w:rPr>
          <w:sz w:val="22"/>
          <w:szCs w:val="22"/>
        </w:rPr>
        <w:t xml:space="preserve">)) </w:t>
      </w:r>
      <w:r w:rsidR="00946C09" w:rsidRPr="008F10DE">
        <w:rPr>
          <w:sz w:val="22"/>
          <w:szCs w:val="22"/>
        </w:rPr>
        <w:t xml:space="preserve">represents elements of row </w:t>
      </w:r>
      <w:r w:rsidR="00946C09" w:rsidRPr="008F10DE">
        <w:rPr>
          <w:i/>
          <w:iCs/>
          <w:sz w:val="22"/>
          <w:szCs w:val="22"/>
        </w:rPr>
        <w:t xml:space="preserve">i </w:t>
      </w:r>
      <w:r w:rsidR="00946C09" w:rsidRPr="008F10DE">
        <w:rPr>
          <w:sz w:val="22"/>
          <w:szCs w:val="22"/>
        </w:rPr>
        <w:t xml:space="preserve">and column </w:t>
      </w:r>
      <w:r w:rsidR="00946C09" w:rsidRPr="008F10DE">
        <w:rPr>
          <w:i/>
          <w:iCs/>
          <w:sz w:val="22"/>
          <w:szCs w:val="22"/>
        </w:rPr>
        <w:t xml:space="preserve">j </w:t>
      </w:r>
      <w:r w:rsidR="00946C09" w:rsidRPr="008F10DE">
        <w:rPr>
          <w:sz w:val="22"/>
          <w:szCs w:val="22"/>
        </w:rPr>
        <w:t xml:space="preserve">of the distance matrix </w:t>
      </w:r>
      <w:r w:rsidR="00946C09" w:rsidRPr="008F10DE">
        <w:rPr>
          <w:i/>
          <w:iCs/>
          <w:sz w:val="22"/>
          <w:szCs w:val="22"/>
        </w:rPr>
        <w:t xml:space="preserve">D, </w:t>
      </w:r>
      <w:r w:rsidR="00946C09" w:rsidRPr="008F10DE">
        <w:rPr>
          <w:sz w:val="22"/>
          <w:szCs w:val="22"/>
        </w:rPr>
        <w:t xml:space="preserve">raised to the power </w:t>
      </w:r>
      <w:r w:rsidR="00946C09" w:rsidRPr="008F10DE">
        <w:rPr>
          <w:i/>
          <w:iCs/>
          <w:sz w:val="22"/>
          <w:szCs w:val="22"/>
        </w:rPr>
        <w:t xml:space="preserve">r. </w:t>
      </w:r>
      <w:r w:rsidR="00946C09" w:rsidRPr="008F10DE">
        <w:rPr>
          <w:sz w:val="22"/>
          <w:szCs w:val="22"/>
        </w:rPr>
        <w:t xml:space="preserve"> For spatial externalities to be significant, we must have δ &gt; 0. Equation (</w:t>
      </w:r>
      <w:r w:rsidR="00850917" w:rsidRPr="00B50F0E">
        <w:rPr>
          <w:color w:val="004F88"/>
          <w:sz w:val="22"/>
          <w:szCs w:val="22"/>
        </w:rPr>
        <w:t>8</w:t>
      </w:r>
      <w:r w:rsidR="00946C09" w:rsidRPr="008F10DE">
        <w:rPr>
          <w:sz w:val="22"/>
          <w:szCs w:val="22"/>
        </w:rPr>
        <w:t xml:space="preserve">) has an important implication: when </w:t>
      </w:r>
      <w:r w:rsidR="00FE3C8C" w:rsidRPr="008F10DE">
        <w:rPr>
          <w:sz w:val="22"/>
          <w:szCs w:val="22"/>
        </w:rPr>
        <w:t>region</w:t>
      </w:r>
      <w:r w:rsidR="00946C09" w:rsidRPr="008F10DE">
        <w:rPr>
          <w:sz w:val="22"/>
          <w:szCs w:val="22"/>
        </w:rPr>
        <w:t xml:space="preserve"> </w:t>
      </w:r>
      <w:r w:rsidR="00946C09" w:rsidRPr="008F10DE">
        <w:rPr>
          <w:i/>
          <w:iCs/>
          <w:sz w:val="22"/>
          <w:szCs w:val="22"/>
        </w:rPr>
        <w:t xml:space="preserve">i </w:t>
      </w:r>
      <w:r w:rsidR="00946C09" w:rsidRPr="008F10DE">
        <w:rPr>
          <w:sz w:val="22"/>
          <w:szCs w:val="22"/>
        </w:rPr>
        <w:t xml:space="preserve">enhances its strength of macro fundamental and financial assets, the aggregate return </w:t>
      </w:r>
      <w:r w:rsidRPr="008F10DE">
        <w:rPr>
          <w:sz w:val="22"/>
          <w:szCs w:val="22"/>
        </w:rPr>
        <w:t xml:space="preserve">in terms of efficiency gains </w:t>
      </w:r>
      <w:r w:rsidR="00946C09" w:rsidRPr="008F10DE">
        <w:rPr>
          <w:sz w:val="22"/>
          <w:szCs w:val="22"/>
        </w:rPr>
        <w:t xml:space="preserve">across all </w:t>
      </w:r>
      <w:r w:rsidR="00FE3C8C" w:rsidRPr="008F10DE">
        <w:rPr>
          <w:sz w:val="22"/>
          <w:szCs w:val="22"/>
        </w:rPr>
        <w:t>regions</w:t>
      </w:r>
      <w:r w:rsidR="00946C09" w:rsidRPr="008F10DE">
        <w:rPr>
          <w:sz w:val="22"/>
          <w:szCs w:val="22"/>
        </w:rPr>
        <w:t xml:space="preserve"> is </w:t>
      </w:r>
      <w:r w:rsidR="00946C09" w:rsidRPr="008F10DE">
        <w:rPr>
          <w:i/>
          <w:iCs/>
          <w:sz w:val="22"/>
          <w:szCs w:val="22"/>
        </w:rPr>
        <w:t>u</w:t>
      </w:r>
      <w:r w:rsidR="00946C09" w:rsidRPr="008F10DE">
        <w:rPr>
          <w:i/>
          <w:iCs/>
          <w:sz w:val="22"/>
          <w:szCs w:val="22"/>
          <w:vertAlign w:val="subscript"/>
        </w:rPr>
        <w:t>i,i</w:t>
      </w:r>
      <w:r w:rsidR="00946C09" w:rsidRPr="008F10DE">
        <w:rPr>
          <w:sz w:val="22"/>
          <w:szCs w:val="22"/>
        </w:rPr>
        <w:t xml:space="preserve">. However, when all </w:t>
      </w:r>
      <w:r w:rsidR="00FE3C8C" w:rsidRPr="008F10DE">
        <w:rPr>
          <w:sz w:val="22"/>
          <w:szCs w:val="22"/>
        </w:rPr>
        <w:t>regions</w:t>
      </w:r>
      <w:r w:rsidR="00946C09" w:rsidRPr="008F10DE">
        <w:rPr>
          <w:sz w:val="22"/>
          <w:szCs w:val="22"/>
        </w:rPr>
        <w:t xml:space="preserve"> simultaneously </w:t>
      </w:r>
      <w:r w:rsidRPr="008F10DE">
        <w:rPr>
          <w:sz w:val="22"/>
          <w:szCs w:val="22"/>
        </w:rPr>
        <w:t xml:space="preserve">become resilient to changes in </w:t>
      </w:r>
      <w:r w:rsidR="00946C09" w:rsidRPr="008F10DE">
        <w:rPr>
          <w:sz w:val="22"/>
          <w:szCs w:val="22"/>
        </w:rPr>
        <w:t>macroeconomic fundamentals</w:t>
      </w:r>
      <w:r w:rsidR="00B725E0" w:rsidRPr="008F10DE">
        <w:rPr>
          <w:sz w:val="22"/>
          <w:szCs w:val="22"/>
        </w:rPr>
        <w:t xml:space="preserve"> or changes in political conditions</w:t>
      </w:r>
      <w:r w:rsidR="00946C09" w:rsidRPr="008F10DE">
        <w:rPr>
          <w:sz w:val="22"/>
          <w:szCs w:val="22"/>
        </w:rPr>
        <w:t>, the</w:t>
      </w:r>
      <w:r w:rsidRPr="008F10DE">
        <w:rPr>
          <w:sz w:val="22"/>
          <w:szCs w:val="22"/>
        </w:rPr>
        <w:t xml:space="preserve"> efficiency </w:t>
      </w:r>
      <w:r w:rsidR="00946C09" w:rsidRPr="008F10DE">
        <w:rPr>
          <w:sz w:val="22"/>
          <w:szCs w:val="22"/>
        </w:rPr>
        <w:t xml:space="preserve"> </w:t>
      </w:r>
      <w:r w:rsidR="00B725E0" w:rsidRPr="008F10DE">
        <w:rPr>
          <w:sz w:val="22"/>
          <w:szCs w:val="22"/>
        </w:rPr>
        <w:t xml:space="preserve">returns </w:t>
      </w:r>
      <w:r w:rsidR="00AB7557" w:rsidRPr="008F10DE">
        <w:rPr>
          <w:sz w:val="22"/>
          <w:szCs w:val="22"/>
        </w:rPr>
        <w:t xml:space="preserve">are </w:t>
      </w:r>
      <w:r w:rsidR="00946C09" w:rsidRPr="008F10DE">
        <w:rPr>
          <w:sz w:val="22"/>
          <w:szCs w:val="22"/>
        </w:rPr>
        <w:t xml:space="preserve">elevated to </w:t>
      </w:r>
      <w:r w:rsidR="00946C09" w:rsidRPr="008F10DE">
        <w:rPr>
          <w:i/>
          <w:iCs/>
          <w:sz w:val="22"/>
          <w:szCs w:val="22"/>
        </w:rPr>
        <w:t>u</w:t>
      </w:r>
      <w:r w:rsidR="00946C09" w:rsidRPr="008F10DE">
        <w:rPr>
          <w:i/>
          <w:iCs/>
          <w:sz w:val="22"/>
          <w:szCs w:val="22"/>
          <w:vertAlign w:val="subscript"/>
        </w:rPr>
        <w:t xml:space="preserve">i,i  </w:t>
      </w:r>
      <w:r w:rsidR="00946C09" w:rsidRPr="008F10DE">
        <w:rPr>
          <w:sz w:val="22"/>
          <w:szCs w:val="22"/>
        </w:rPr>
        <w:t xml:space="preserve">+ </w:t>
      </w:r>
      <m:oMath>
        <m:nary>
          <m:naryPr>
            <m:chr m:val="∑"/>
            <m:limLoc m:val="subSup"/>
            <m:ctrlPr>
              <w:rPr>
                <w:rFonts w:ascii="Cambria Math" w:hAnsi="Cambria Math"/>
                <w:i/>
                <w:sz w:val="22"/>
                <w:szCs w:val="22"/>
              </w:rPr>
            </m:ctrlPr>
          </m:naryPr>
          <m:sub>
            <m:r>
              <m:rPr>
                <m:nor/>
              </m:rPr>
              <w:rPr>
                <w:i/>
                <w:sz w:val="22"/>
                <w:szCs w:val="22"/>
              </w:rPr>
              <m:t>j≠i</m:t>
            </m:r>
          </m:sub>
          <m:sup>
            <m:r>
              <m:rPr>
                <m:nor/>
              </m:rPr>
              <w:rPr>
                <w:i/>
                <w:sz w:val="22"/>
                <w:szCs w:val="22"/>
              </w:rPr>
              <m:t>N</m:t>
            </m:r>
          </m:sup>
          <m:e>
            <m:sSub>
              <m:sSubPr>
                <m:ctrlPr>
                  <w:rPr>
                    <w:rFonts w:ascii="Cambria Math" w:hAnsi="Cambria Math"/>
                    <w:i/>
                    <w:sz w:val="22"/>
                    <w:szCs w:val="22"/>
                  </w:rPr>
                </m:ctrlPr>
              </m:sSubPr>
              <m:e>
                <m:r>
                  <m:rPr>
                    <m:nor/>
                  </m:rPr>
                  <w:rPr>
                    <w:i/>
                    <w:sz w:val="22"/>
                    <w:szCs w:val="22"/>
                  </w:rPr>
                  <m:t>u</m:t>
                </m:r>
              </m:e>
              <m:sub>
                <m:r>
                  <m:rPr>
                    <m:nor/>
                  </m:rPr>
                  <w:rPr>
                    <w:i/>
                    <w:sz w:val="22"/>
                    <w:szCs w:val="22"/>
                  </w:rPr>
                  <m:t>i,j</m:t>
                </m:r>
              </m:sub>
            </m:sSub>
          </m:e>
        </m:nary>
      </m:oMath>
      <w:r w:rsidR="00946C09" w:rsidRPr="008F10DE">
        <w:rPr>
          <w:sz w:val="22"/>
          <w:szCs w:val="22"/>
        </w:rPr>
        <w:t xml:space="preserve">.  </w:t>
      </w:r>
      <w:r w:rsidR="00B725E0" w:rsidRPr="008F10DE">
        <w:rPr>
          <w:sz w:val="22"/>
          <w:szCs w:val="22"/>
        </w:rPr>
        <w:t>Equation (</w:t>
      </w:r>
      <w:r w:rsidR="00B725E0" w:rsidRPr="00B50F0E">
        <w:rPr>
          <w:color w:val="004F88"/>
          <w:sz w:val="22"/>
          <w:szCs w:val="22"/>
        </w:rPr>
        <w:t>8</w:t>
      </w:r>
      <w:r w:rsidR="00B725E0" w:rsidRPr="008F10DE">
        <w:rPr>
          <w:sz w:val="22"/>
          <w:szCs w:val="22"/>
        </w:rPr>
        <w:t>) can be estimated empirically. We discuss the formulation below.</w:t>
      </w:r>
    </w:p>
    <w:p w14:paraId="5F6E9356" w14:textId="77777777" w:rsidR="00D80421" w:rsidRPr="008F10DE" w:rsidRDefault="00D80421" w:rsidP="00405CC0">
      <w:pPr>
        <w:spacing w:line="360" w:lineRule="auto"/>
        <w:ind w:firstLine="720"/>
        <w:jc w:val="both"/>
        <w:rPr>
          <w:sz w:val="22"/>
          <w:szCs w:val="22"/>
        </w:rPr>
      </w:pPr>
    </w:p>
    <w:p w14:paraId="24E7A4CD" w14:textId="5A66C168" w:rsidR="00946C09" w:rsidRPr="008F10DE" w:rsidRDefault="0002747E" w:rsidP="00FA7ADA">
      <w:pPr>
        <w:pStyle w:val="Heading2"/>
        <w:rPr>
          <w:b w:val="0"/>
          <w:bCs w:val="0"/>
          <w:iCs/>
          <w:sz w:val="22"/>
          <w:szCs w:val="22"/>
        </w:rPr>
      </w:pPr>
      <w:r w:rsidRPr="008F10DE">
        <w:rPr>
          <w:rFonts w:eastAsia="MS Mincho"/>
          <w:iCs/>
          <w:sz w:val="22"/>
          <w:szCs w:val="22"/>
        </w:rPr>
        <w:t>4.2</w:t>
      </w:r>
      <w:r w:rsidR="00F2635D" w:rsidRPr="008F10DE">
        <w:rPr>
          <w:rFonts w:eastAsia="MS Mincho"/>
          <w:iCs/>
          <w:sz w:val="22"/>
          <w:szCs w:val="22"/>
        </w:rPr>
        <w:t>.</w:t>
      </w:r>
      <w:r w:rsidR="00946C09" w:rsidRPr="008F10DE">
        <w:rPr>
          <w:iCs/>
          <w:sz w:val="22"/>
          <w:szCs w:val="22"/>
        </w:rPr>
        <w:t xml:space="preserve"> E</w:t>
      </w:r>
      <w:r w:rsidR="00CD3D4D" w:rsidRPr="008F10DE">
        <w:rPr>
          <w:iCs/>
          <w:sz w:val="22"/>
          <w:szCs w:val="22"/>
        </w:rPr>
        <w:t xml:space="preserve">conometric </w:t>
      </w:r>
      <w:r w:rsidR="00FB41ED">
        <w:rPr>
          <w:iCs/>
          <w:sz w:val="22"/>
          <w:szCs w:val="22"/>
        </w:rPr>
        <w:t>S</w:t>
      </w:r>
      <w:r w:rsidR="00CD3D4D" w:rsidRPr="008F10DE">
        <w:rPr>
          <w:iCs/>
          <w:sz w:val="22"/>
          <w:szCs w:val="22"/>
        </w:rPr>
        <w:t xml:space="preserve">pecification and </w:t>
      </w:r>
      <w:r w:rsidR="00FB41ED">
        <w:rPr>
          <w:iCs/>
          <w:sz w:val="22"/>
          <w:szCs w:val="22"/>
        </w:rPr>
        <w:t>E</w:t>
      </w:r>
      <w:r w:rsidR="00CD3D4D" w:rsidRPr="008F10DE">
        <w:rPr>
          <w:iCs/>
          <w:sz w:val="22"/>
          <w:szCs w:val="22"/>
        </w:rPr>
        <w:t xml:space="preserve">stimation </w:t>
      </w:r>
      <w:r w:rsidR="00FB41ED">
        <w:rPr>
          <w:iCs/>
          <w:sz w:val="22"/>
          <w:szCs w:val="22"/>
        </w:rPr>
        <w:t>I</w:t>
      </w:r>
      <w:r w:rsidR="00CD3D4D" w:rsidRPr="008F10DE">
        <w:rPr>
          <w:iCs/>
          <w:sz w:val="22"/>
          <w:szCs w:val="22"/>
        </w:rPr>
        <w:t>ssues</w:t>
      </w:r>
    </w:p>
    <w:p w14:paraId="65AA2244" w14:textId="23146EEF" w:rsidR="00946C09" w:rsidRPr="008F10DE" w:rsidRDefault="00B725E0" w:rsidP="006D498D">
      <w:pPr>
        <w:spacing w:line="360" w:lineRule="auto"/>
        <w:ind w:left="14" w:right="346"/>
        <w:jc w:val="both"/>
        <w:rPr>
          <w:sz w:val="22"/>
          <w:szCs w:val="22"/>
        </w:rPr>
      </w:pPr>
      <w:r w:rsidRPr="008F10DE">
        <w:rPr>
          <w:sz w:val="22"/>
          <w:szCs w:val="22"/>
        </w:rPr>
        <w:t xml:space="preserve">Following our earlier notation, let’s denote </w:t>
      </w:r>
      <w:r w:rsidR="00946C09" w:rsidRPr="008F10DE">
        <w:rPr>
          <w:sz w:val="22"/>
          <w:szCs w:val="22"/>
        </w:rPr>
        <w:t>by</w:t>
      </w:r>
      <w:r w:rsidRPr="008F10DE">
        <w:rPr>
          <w:sz w:val="22"/>
          <w:szCs w:val="22"/>
        </w:rPr>
        <w:t xml:space="preserve"> {</w:t>
      </w:r>
      <m:oMath>
        <m:acc>
          <m:accPr>
            <m:ctrlPr>
              <w:rPr>
                <w:rFonts w:ascii="Cambria Math" w:hAnsi="Cambria Math"/>
                <w:i/>
                <w:sz w:val="22"/>
                <w:szCs w:val="22"/>
              </w:rPr>
            </m:ctrlPr>
          </m:accPr>
          <m:e>
            <m:acc>
              <m:accPr>
                <m:ctrlPr>
                  <w:rPr>
                    <w:rFonts w:ascii="Cambria Math" w:hAnsi="Cambria Math"/>
                    <w:bCs/>
                    <w:i/>
                    <w:sz w:val="22"/>
                    <w:szCs w:val="22"/>
                  </w:rPr>
                </m:ctrlPr>
              </m:accPr>
              <m:e>
                <m:r>
                  <w:rPr>
                    <w:rFonts w:ascii="Cambria Math" w:hAnsi="Cambria Math"/>
                    <w:sz w:val="22"/>
                    <w:szCs w:val="22"/>
                  </w:rPr>
                  <m:t xml:space="preserve">δ </m:t>
                </m:r>
              </m:e>
            </m:acc>
          </m:e>
        </m:acc>
      </m:oMath>
      <w:r w:rsidRPr="008F10DE">
        <w:rPr>
          <w:i/>
          <w:iCs/>
          <w:sz w:val="22"/>
          <w:szCs w:val="22"/>
          <w:vertAlign w:val="subscript"/>
        </w:rPr>
        <w:t>t</w:t>
      </w:r>
      <w:r w:rsidRPr="008F10DE">
        <w:rPr>
          <w:sz w:val="22"/>
          <w:szCs w:val="22"/>
        </w:rPr>
        <w:t>} = {(</w:t>
      </w:r>
      <m:oMath>
        <m:acc>
          <m:accPr>
            <m:ctrlPr>
              <w:rPr>
                <w:rFonts w:ascii="Cambria Math" w:hAnsi="Cambria Math"/>
                <w:i/>
                <w:sz w:val="22"/>
                <w:szCs w:val="22"/>
              </w:rPr>
            </m:ctrlPr>
          </m:accPr>
          <m:e>
            <m:acc>
              <m:accPr>
                <m:ctrlPr>
                  <w:rPr>
                    <w:rFonts w:ascii="Cambria Math" w:hAnsi="Cambria Math"/>
                    <w:bCs/>
                    <w:i/>
                    <w:sz w:val="22"/>
                    <w:szCs w:val="22"/>
                  </w:rPr>
                </m:ctrlPr>
              </m:accPr>
              <m:e>
                <m:r>
                  <w:rPr>
                    <w:rFonts w:ascii="Cambria Math" w:hAnsi="Cambria Math"/>
                    <w:sz w:val="22"/>
                    <w:szCs w:val="22"/>
                  </w:rPr>
                  <m:t xml:space="preserve">δ </m:t>
                </m:r>
              </m:e>
            </m:acc>
          </m:e>
        </m:acc>
      </m:oMath>
      <w:r w:rsidRPr="008F10DE">
        <w:rPr>
          <w:i/>
          <w:iCs/>
          <w:sz w:val="22"/>
          <w:szCs w:val="22"/>
          <w:vertAlign w:val="subscript"/>
        </w:rPr>
        <w:t>1,t</w:t>
      </w:r>
      <w:r w:rsidRPr="008F10DE">
        <w:rPr>
          <w:i/>
          <w:iCs/>
          <w:sz w:val="22"/>
          <w:szCs w:val="22"/>
        </w:rPr>
        <w:t xml:space="preserve">, …, </w:t>
      </w:r>
      <m:oMath>
        <m:acc>
          <m:accPr>
            <m:ctrlPr>
              <w:rPr>
                <w:rFonts w:ascii="Cambria Math" w:hAnsi="Cambria Math"/>
                <w:i/>
                <w:sz w:val="22"/>
                <w:szCs w:val="22"/>
              </w:rPr>
            </m:ctrlPr>
          </m:accPr>
          <m:e>
            <m:acc>
              <m:accPr>
                <m:ctrlPr>
                  <w:rPr>
                    <w:rFonts w:ascii="Cambria Math" w:hAnsi="Cambria Math"/>
                    <w:bCs/>
                    <w:i/>
                    <w:sz w:val="22"/>
                    <w:szCs w:val="22"/>
                  </w:rPr>
                </m:ctrlPr>
              </m:accPr>
              <m:e>
                <m:r>
                  <w:rPr>
                    <w:rFonts w:ascii="Cambria Math" w:hAnsi="Cambria Math"/>
                    <w:sz w:val="22"/>
                    <w:szCs w:val="22"/>
                  </w:rPr>
                  <m:t xml:space="preserve">δ </m:t>
                </m:r>
              </m:e>
            </m:acc>
          </m:e>
        </m:acc>
      </m:oMath>
      <w:r w:rsidRPr="008F10DE">
        <w:rPr>
          <w:i/>
          <w:iCs/>
          <w:sz w:val="22"/>
          <w:szCs w:val="22"/>
          <w:vertAlign w:val="subscript"/>
        </w:rPr>
        <w:t>N,t</w:t>
      </w:r>
      <w:r w:rsidRPr="008F10DE">
        <w:rPr>
          <w:sz w:val="22"/>
          <w:szCs w:val="22"/>
        </w:rPr>
        <w:t>)</w:t>
      </w:r>
      <w:r w:rsidRPr="008F10DE">
        <w:rPr>
          <w:sz w:val="22"/>
          <w:szCs w:val="22"/>
          <w:vertAlign w:val="superscript"/>
        </w:rPr>
        <w:t>’</w:t>
      </w:r>
      <w:r w:rsidRPr="008F10DE">
        <w:rPr>
          <w:sz w:val="22"/>
          <w:szCs w:val="22"/>
        </w:rPr>
        <w:t xml:space="preserve">} </w:t>
      </w:r>
      <w:r w:rsidR="00946C09" w:rsidRPr="008F10DE">
        <w:rPr>
          <w:rFonts w:eastAsia="Cambria"/>
          <w:i/>
          <w:sz w:val="22"/>
          <w:szCs w:val="22"/>
          <w:vertAlign w:val="subscript"/>
        </w:rPr>
        <w:t xml:space="preserve"> </w:t>
      </w:r>
      <w:r w:rsidR="00946C09" w:rsidRPr="008F10DE">
        <w:rPr>
          <w:sz w:val="22"/>
          <w:szCs w:val="22"/>
        </w:rPr>
        <w:t xml:space="preserve">the </w:t>
      </w:r>
      <w:r w:rsidR="00A95C95" w:rsidRPr="008F10DE">
        <w:rPr>
          <w:sz w:val="22"/>
          <w:szCs w:val="22"/>
        </w:rPr>
        <w:t xml:space="preserve">bank efficiency </w:t>
      </w:r>
      <w:r w:rsidR="00946C09" w:rsidRPr="008F10DE">
        <w:rPr>
          <w:sz w:val="22"/>
          <w:szCs w:val="22"/>
        </w:rPr>
        <w:t xml:space="preserve">of </w:t>
      </w:r>
      <w:r w:rsidR="00A95C95" w:rsidRPr="008F10DE">
        <w:rPr>
          <w:sz w:val="22"/>
          <w:szCs w:val="22"/>
        </w:rPr>
        <w:t>region</w:t>
      </w:r>
      <w:r w:rsidR="00946C09" w:rsidRPr="008F10DE">
        <w:rPr>
          <w:sz w:val="22"/>
          <w:szCs w:val="22"/>
        </w:rPr>
        <w:t xml:space="preserve"> </w:t>
      </w:r>
      <w:r w:rsidR="00946C09" w:rsidRPr="008F10DE">
        <w:rPr>
          <w:rFonts w:eastAsia="Cambria"/>
          <w:i/>
          <w:sz w:val="22"/>
          <w:szCs w:val="22"/>
        </w:rPr>
        <w:t>i</w:t>
      </w:r>
      <w:r w:rsidR="00946C09" w:rsidRPr="008F10DE">
        <w:rPr>
          <w:sz w:val="22"/>
          <w:szCs w:val="22"/>
        </w:rPr>
        <w:t xml:space="preserve">, </w:t>
      </w:r>
      <w:r w:rsidR="00946C09" w:rsidRPr="008F10DE">
        <w:rPr>
          <w:rFonts w:eastAsia="Cambria"/>
          <w:i/>
          <w:sz w:val="22"/>
          <w:szCs w:val="22"/>
        </w:rPr>
        <w:t xml:space="preserve">i </w:t>
      </w:r>
      <w:r w:rsidR="00946C09" w:rsidRPr="008F10DE">
        <w:rPr>
          <w:sz w:val="22"/>
          <w:szCs w:val="22"/>
        </w:rPr>
        <w:t>= 1</w:t>
      </w:r>
      <w:r w:rsidR="00946C09" w:rsidRPr="008F10DE">
        <w:rPr>
          <w:rFonts w:eastAsia="Cambria"/>
          <w:i/>
          <w:sz w:val="22"/>
          <w:szCs w:val="22"/>
        </w:rPr>
        <w:t>,...,N</w:t>
      </w:r>
      <w:r w:rsidR="00946C09" w:rsidRPr="008F10DE">
        <w:rPr>
          <w:sz w:val="22"/>
          <w:szCs w:val="22"/>
        </w:rPr>
        <w:t xml:space="preserve">, in period </w:t>
      </w:r>
      <w:r w:rsidR="00946C09" w:rsidRPr="008F10DE">
        <w:rPr>
          <w:rFonts w:eastAsia="Cambria"/>
          <w:i/>
          <w:sz w:val="22"/>
          <w:szCs w:val="22"/>
        </w:rPr>
        <w:t>t</w:t>
      </w:r>
      <w:r w:rsidR="00946C09" w:rsidRPr="008F10DE">
        <w:rPr>
          <w:sz w:val="22"/>
          <w:szCs w:val="22"/>
        </w:rPr>
        <w:t xml:space="preserve">, </w:t>
      </w:r>
      <w:r w:rsidR="00946C09" w:rsidRPr="008F10DE">
        <w:rPr>
          <w:rFonts w:eastAsia="Cambria"/>
          <w:i/>
          <w:sz w:val="22"/>
          <w:szCs w:val="22"/>
        </w:rPr>
        <w:t xml:space="preserve">t </w:t>
      </w:r>
      <w:r w:rsidR="00946C09" w:rsidRPr="008F10DE">
        <w:rPr>
          <w:sz w:val="22"/>
          <w:szCs w:val="22"/>
        </w:rPr>
        <w:t>= 1</w:t>
      </w:r>
      <w:r w:rsidR="00946C09" w:rsidRPr="008F10DE">
        <w:rPr>
          <w:rFonts w:eastAsia="Cambria"/>
          <w:i/>
          <w:sz w:val="22"/>
          <w:szCs w:val="22"/>
        </w:rPr>
        <w:t>,...,T</w:t>
      </w:r>
      <w:r w:rsidR="00946C09" w:rsidRPr="008F10DE">
        <w:rPr>
          <w:sz w:val="22"/>
          <w:szCs w:val="22"/>
        </w:rPr>
        <w:t xml:space="preserve">. Each </w:t>
      </w:r>
      <w:r w:rsidR="00A95C95" w:rsidRPr="008F10DE">
        <w:rPr>
          <w:sz w:val="22"/>
          <w:szCs w:val="22"/>
        </w:rPr>
        <w:t>region</w:t>
      </w:r>
      <w:r w:rsidR="00946C09" w:rsidRPr="008F10DE">
        <w:rPr>
          <w:sz w:val="22"/>
          <w:szCs w:val="22"/>
        </w:rPr>
        <w:t xml:space="preserve"> </w:t>
      </w:r>
      <w:r w:rsidR="00946C09" w:rsidRPr="008F10DE">
        <w:rPr>
          <w:rFonts w:eastAsia="Cambria"/>
          <w:i/>
          <w:sz w:val="22"/>
          <w:szCs w:val="22"/>
        </w:rPr>
        <w:t xml:space="preserve">i </w:t>
      </w:r>
      <w:r w:rsidR="00946C09" w:rsidRPr="008F10DE">
        <w:rPr>
          <w:sz w:val="22"/>
          <w:szCs w:val="22"/>
        </w:rPr>
        <w:t xml:space="preserve">is associated in each period </w:t>
      </w:r>
      <w:r w:rsidR="00946C09" w:rsidRPr="008F10DE">
        <w:rPr>
          <w:rFonts w:eastAsia="Cambria"/>
          <w:i/>
          <w:sz w:val="22"/>
          <w:szCs w:val="22"/>
        </w:rPr>
        <w:t xml:space="preserve">t </w:t>
      </w:r>
      <w:r w:rsidR="00946C09" w:rsidRPr="008F10DE">
        <w:rPr>
          <w:sz w:val="22"/>
          <w:szCs w:val="22"/>
        </w:rPr>
        <w:t xml:space="preserve">with a location represented by a point </w:t>
      </w:r>
      <w:r w:rsidR="00946C09" w:rsidRPr="008F10DE">
        <w:rPr>
          <w:rFonts w:eastAsia="Cambria"/>
          <w:i/>
          <w:sz w:val="22"/>
          <w:szCs w:val="22"/>
        </w:rPr>
        <w:t>s</w:t>
      </w:r>
      <w:r w:rsidR="00946C09" w:rsidRPr="008F10DE">
        <w:rPr>
          <w:rFonts w:eastAsia="Cambria"/>
          <w:i/>
          <w:sz w:val="22"/>
          <w:szCs w:val="22"/>
          <w:vertAlign w:val="subscript"/>
        </w:rPr>
        <w:t xml:space="preserve">i,t </w:t>
      </w:r>
      <w:r w:rsidR="00946C09" w:rsidRPr="008F10DE">
        <w:rPr>
          <w:sz w:val="22"/>
          <w:szCs w:val="22"/>
        </w:rPr>
        <w:t xml:space="preserve">in the </w:t>
      </w:r>
      <w:r w:rsidR="00946C09" w:rsidRPr="008F10DE">
        <w:rPr>
          <w:i/>
          <w:iCs/>
          <w:sz w:val="22"/>
          <w:szCs w:val="22"/>
        </w:rPr>
        <w:t>k</w:t>
      </w:r>
      <w:r w:rsidR="00946C09" w:rsidRPr="008F10DE">
        <w:rPr>
          <w:sz w:val="22"/>
          <w:szCs w:val="22"/>
        </w:rPr>
        <w:t>-dimensional space</w:t>
      </w:r>
      <w:r w:rsidRPr="008F10DE">
        <w:rPr>
          <w:sz w:val="22"/>
          <w:szCs w:val="22"/>
        </w:rPr>
        <w:t>.</w:t>
      </w:r>
      <w:r w:rsidR="00946C09" w:rsidRPr="008F10DE">
        <w:rPr>
          <w:sz w:val="22"/>
          <w:szCs w:val="22"/>
        </w:rPr>
        <w:t xml:space="preserve"> The distance between two </w:t>
      </w:r>
      <w:r w:rsidR="00A95C95" w:rsidRPr="008F10DE">
        <w:rPr>
          <w:sz w:val="22"/>
          <w:szCs w:val="22"/>
        </w:rPr>
        <w:t>regions</w:t>
      </w:r>
      <w:r w:rsidR="00946C09" w:rsidRPr="008F10DE">
        <w:rPr>
          <w:sz w:val="22"/>
          <w:szCs w:val="22"/>
        </w:rPr>
        <w:t xml:space="preserve"> </w:t>
      </w:r>
      <w:r w:rsidR="00946C09" w:rsidRPr="008F10DE">
        <w:rPr>
          <w:rFonts w:eastAsia="Cambria"/>
          <w:i/>
          <w:sz w:val="22"/>
          <w:szCs w:val="22"/>
        </w:rPr>
        <w:t xml:space="preserve">i </w:t>
      </w:r>
      <w:r w:rsidR="00946C09" w:rsidRPr="008F10DE">
        <w:rPr>
          <w:sz w:val="22"/>
          <w:szCs w:val="22"/>
        </w:rPr>
        <w:t xml:space="preserve">and </w:t>
      </w:r>
      <w:r w:rsidR="00946C09" w:rsidRPr="008F10DE">
        <w:rPr>
          <w:rFonts w:eastAsia="Cambria"/>
          <w:i/>
          <w:sz w:val="22"/>
          <w:szCs w:val="22"/>
        </w:rPr>
        <w:t xml:space="preserve">j </w:t>
      </w:r>
      <w:r w:rsidR="00946C09" w:rsidRPr="008F10DE">
        <w:rPr>
          <w:sz w:val="22"/>
          <w:szCs w:val="22"/>
        </w:rPr>
        <w:t xml:space="preserve">in period </w:t>
      </w:r>
      <w:r w:rsidR="00946C09" w:rsidRPr="008F10DE">
        <w:rPr>
          <w:rFonts w:eastAsia="Cambria"/>
          <w:i/>
          <w:sz w:val="22"/>
          <w:szCs w:val="22"/>
        </w:rPr>
        <w:t>t</w:t>
      </w:r>
      <w:r w:rsidR="00946C09" w:rsidRPr="008F10DE">
        <w:rPr>
          <w:sz w:val="22"/>
          <w:szCs w:val="22"/>
        </w:rPr>
        <w:t>,</w:t>
      </w:r>
      <w:r w:rsidRPr="008F10DE">
        <w:rPr>
          <w:sz w:val="22"/>
          <w:szCs w:val="22"/>
        </w:rPr>
        <w:t xml:space="preserve"> the </w:t>
      </w:r>
      <w:r w:rsidR="00946C09" w:rsidRPr="008F10DE">
        <w:rPr>
          <w:rFonts w:eastAsia="Cambria"/>
          <w:i/>
          <w:sz w:val="22"/>
          <w:szCs w:val="22"/>
        </w:rPr>
        <w:t>D</w:t>
      </w:r>
      <w:r w:rsidR="00946C09" w:rsidRPr="008F10DE">
        <w:rPr>
          <w:rFonts w:eastAsia="Cambria"/>
          <w:i/>
          <w:sz w:val="22"/>
          <w:szCs w:val="22"/>
          <w:vertAlign w:val="subscript"/>
        </w:rPr>
        <w:t xml:space="preserve">t </w:t>
      </w:r>
      <w:r w:rsidR="00946C09" w:rsidRPr="008F10DE">
        <w:rPr>
          <w:sz w:val="22"/>
          <w:szCs w:val="22"/>
        </w:rPr>
        <w:t>(</w:t>
      </w:r>
      <w:r w:rsidR="00946C09" w:rsidRPr="008F10DE">
        <w:rPr>
          <w:rFonts w:eastAsia="Cambria"/>
          <w:i/>
          <w:sz w:val="22"/>
          <w:szCs w:val="22"/>
        </w:rPr>
        <w:t>i,j</w:t>
      </w:r>
      <w:r w:rsidR="00946C09" w:rsidRPr="008F10DE">
        <w:rPr>
          <w:sz w:val="22"/>
          <w:szCs w:val="22"/>
        </w:rPr>
        <w:t xml:space="preserve">), is then defined as </w:t>
      </w:r>
      <w:r w:rsidR="00946C09" w:rsidRPr="008F10DE">
        <w:rPr>
          <w:rFonts w:eastAsia="Cambria"/>
          <w:i/>
          <w:sz w:val="22"/>
          <w:szCs w:val="22"/>
        </w:rPr>
        <w:t>D</w:t>
      </w:r>
      <w:r w:rsidR="00946C09" w:rsidRPr="008F10DE">
        <w:rPr>
          <w:rFonts w:eastAsia="Cambria"/>
          <w:i/>
          <w:sz w:val="22"/>
          <w:szCs w:val="22"/>
          <w:vertAlign w:val="subscript"/>
        </w:rPr>
        <w:t>t</w:t>
      </w:r>
      <w:r w:rsidR="00946C09" w:rsidRPr="008F10DE">
        <w:rPr>
          <w:sz w:val="22"/>
          <w:szCs w:val="22"/>
        </w:rPr>
        <w:t xml:space="preserve"> (</w:t>
      </w:r>
      <w:r w:rsidR="00946C09" w:rsidRPr="008F10DE">
        <w:rPr>
          <w:rFonts w:eastAsia="Cambria"/>
          <w:i/>
          <w:sz w:val="22"/>
          <w:szCs w:val="22"/>
        </w:rPr>
        <w:t>i,j</w:t>
      </w:r>
      <w:r w:rsidR="00946C09" w:rsidRPr="008F10DE">
        <w:rPr>
          <w:sz w:val="22"/>
          <w:szCs w:val="22"/>
        </w:rPr>
        <w:t xml:space="preserve">) = </w:t>
      </w:r>
      <w:r w:rsidR="00946C09" w:rsidRPr="008F10DE">
        <w:rPr>
          <w:rFonts w:eastAsia="Cambria"/>
          <w:sz w:val="22"/>
          <w:szCs w:val="22"/>
        </w:rPr>
        <w:t>||</w:t>
      </w:r>
      <w:r w:rsidR="00946C09" w:rsidRPr="008F10DE">
        <w:rPr>
          <w:rFonts w:eastAsia="Cambria"/>
          <w:i/>
          <w:sz w:val="22"/>
          <w:szCs w:val="22"/>
        </w:rPr>
        <w:t>s</w:t>
      </w:r>
      <w:r w:rsidR="00946C09" w:rsidRPr="008F10DE">
        <w:rPr>
          <w:rFonts w:eastAsia="Cambria"/>
          <w:i/>
          <w:sz w:val="22"/>
          <w:szCs w:val="22"/>
          <w:vertAlign w:val="subscript"/>
        </w:rPr>
        <w:t xml:space="preserve">i,t </w:t>
      </w:r>
      <w:r w:rsidR="00946C09" w:rsidRPr="008F10DE">
        <w:rPr>
          <w:rFonts w:eastAsia="Cambria"/>
          <w:sz w:val="22"/>
          <w:szCs w:val="22"/>
        </w:rPr>
        <w:t xml:space="preserve">− </w:t>
      </w:r>
      <w:r w:rsidR="00946C09" w:rsidRPr="008F10DE">
        <w:rPr>
          <w:rFonts w:eastAsia="Cambria"/>
          <w:i/>
          <w:sz w:val="22"/>
          <w:szCs w:val="22"/>
        </w:rPr>
        <w:t>s</w:t>
      </w:r>
      <w:r w:rsidR="00946C09" w:rsidRPr="008F10DE">
        <w:rPr>
          <w:rFonts w:eastAsia="Cambria"/>
          <w:i/>
          <w:sz w:val="22"/>
          <w:szCs w:val="22"/>
          <w:vertAlign w:val="subscript"/>
        </w:rPr>
        <w:t>j,t</w:t>
      </w:r>
      <w:r w:rsidR="00946C09" w:rsidRPr="008F10DE">
        <w:rPr>
          <w:rFonts w:eastAsia="Cambria"/>
          <w:sz w:val="22"/>
          <w:szCs w:val="22"/>
        </w:rPr>
        <w:t>||</w:t>
      </w:r>
      <w:r w:rsidRPr="008F10DE">
        <w:rPr>
          <w:rFonts w:eastAsia="Cambria"/>
          <w:sz w:val="22"/>
          <w:szCs w:val="22"/>
        </w:rPr>
        <w:t>,</w:t>
      </w:r>
      <w:r w:rsidR="00946C09" w:rsidRPr="008F10DE">
        <w:rPr>
          <w:rFonts w:eastAsia="Cambria"/>
          <w:sz w:val="22"/>
          <w:szCs w:val="22"/>
        </w:rPr>
        <w:t xml:space="preserve"> </w:t>
      </w:r>
      <w:r w:rsidR="00946C09" w:rsidRPr="008F10DE">
        <w:rPr>
          <w:sz w:val="22"/>
          <w:szCs w:val="22"/>
        </w:rPr>
        <w:t xml:space="preserve">where </w:t>
      </w:r>
      <w:r w:rsidR="00946C09" w:rsidRPr="008F10DE">
        <w:rPr>
          <w:rFonts w:eastAsia="Cambria"/>
          <w:sz w:val="22"/>
          <w:szCs w:val="22"/>
        </w:rPr>
        <w:t xml:space="preserve">|| || </w:t>
      </w:r>
      <w:r w:rsidR="00946C09" w:rsidRPr="008F10DE">
        <w:rPr>
          <w:sz w:val="22"/>
          <w:szCs w:val="22"/>
        </w:rPr>
        <w:t xml:space="preserve">represents the Euclidean distance. The distances are such that </w:t>
      </w:r>
      <w:r w:rsidR="00946C09" w:rsidRPr="008F10DE">
        <w:rPr>
          <w:rFonts w:eastAsia="Cambria"/>
          <w:i/>
          <w:sz w:val="22"/>
          <w:szCs w:val="22"/>
        </w:rPr>
        <w:t>D</w:t>
      </w:r>
      <w:r w:rsidR="00946C09" w:rsidRPr="008F10DE">
        <w:rPr>
          <w:rFonts w:eastAsia="Cambria"/>
          <w:i/>
          <w:sz w:val="22"/>
          <w:szCs w:val="22"/>
          <w:vertAlign w:val="subscript"/>
        </w:rPr>
        <w:t xml:space="preserve">t </w:t>
      </w:r>
      <w:r w:rsidR="00946C09" w:rsidRPr="008F10DE">
        <w:rPr>
          <w:sz w:val="22"/>
          <w:szCs w:val="22"/>
        </w:rPr>
        <w:t>(</w:t>
      </w:r>
      <w:r w:rsidR="00946C09" w:rsidRPr="008F10DE">
        <w:rPr>
          <w:rFonts w:eastAsia="Cambria"/>
          <w:i/>
          <w:sz w:val="22"/>
          <w:szCs w:val="22"/>
        </w:rPr>
        <w:t>i,j</w:t>
      </w:r>
      <w:r w:rsidR="00946C09" w:rsidRPr="008F10DE">
        <w:rPr>
          <w:sz w:val="22"/>
          <w:szCs w:val="22"/>
        </w:rPr>
        <w:t xml:space="preserve">) = 0 if and only if </w:t>
      </w:r>
      <w:r w:rsidR="00946C09" w:rsidRPr="008F10DE">
        <w:rPr>
          <w:rFonts w:eastAsia="Cambria"/>
          <w:i/>
          <w:sz w:val="22"/>
          <w:szCs w:val="22"/>
        </w:rPr>
        <w:t xml:space="preserve">i </w:t>
      </w:r>
      <w:r w:rsidR="00946C09" w:rsidRPr="008F10DE">
        <w:rPr>
          <w:sz w:val="22"/>
          <w:szCs w:val="22"/>
        </w:rPr>
        <w:t xml:space="preserve">= </w:t>
      </w:r>
      <w:r w:rsidR="00946C09" w:rsidRPr="008F10DE">
        <w:rPr>
          <w:rFonts w:eastAsia="Cambria"/>
          <w:i/>
          <w:sz w:val="22"/>
          <w:szCs w:val="22"/>
        </w:rPr>
        <w:t>j</w:t>
      </w:r>
      <w:r w:rsidR="00946C09" w:rsidRPr="008F10DE">
        <w:rPr>
          <w:sz w:val="22"/>
          <w:szCs w:val="22"/>
        </w:rPr>
        <w:t xml:space="preserve">. </w:t>
      </w:r>
      <w:r w:rsidR="00064009" w:rsidRPr="008F10DE">
        <w:rPr>
          <w:sz w:val="22"/>
          <w:szCs w:val="22"/>
        </w:rPr>
        <w:t>We now describe two empirical specifications below:</w:t>
      </w:r>
    </w:p>
    <w:p w14:paraId="657EC061" w14:textId="77777777" w:rsidR="00064009" w:rsidRPr="008F10DE" w:rsidRDefault="00064009" w:rsidP="00B725E0">
      <w:pPr>
        <w:spacing w:line="360" w:lineRule="auto"/>
        <w:ind w:left="14" w:right="346"/>
        <w:jc w:val="both"/>
        <w:rPr>
          <w:sz w:val="22"/>
          <w:szCs w:val="22"/>
        </w:rPr>
      </w:pPr>
    </w:p>
    <w:p w14:paraId="2CFDD3E4" w14:textId="31644851" w:rsidR="00946C09" w:rsidRDefault="00946C09" w:rsidP="00A95C95">
      <w:pPr>
        <w:spacing w:line="360" w:lineRule="auto"/>
        <w:ind w:right="346"/>
        <w:jc w:val="both"/>
        <w:rPr>
          <w:sz w:val="22"/>
          <w:szCs w:val="22"/>
        </w:rPr>
      </w:pPr>
      <w:r w:rsidRPr="008F10DE">
        <w:rPr>
          <w:sz w:val="22"/>
          <w:szCs w:val="22"/>
        </w:rPr>
        <w:t>Spatial panel fixed effects error model:</w:t>
      </w:r>
    </w:p>
    <w:p w14:paraId="58713FC5" w14:textId="77777777" w:rsidR="008F10DE" w:rsidRPr="008F10DE" w:rsidRDefault="008F10DE" w:rsidP="00A95C95">
      <w:pPr>
        <w:spacing w:line="360" w:lineRule="auto"/>
        <w:ind w:right="346"/>
        <w:jc w:val="both"/>
        <w:rPr>
          <w:sz w:val="22"/>
          <w:szCs w:val="22"/>
        </w:rPr>
      </w:pPr>
    </w:p>
    <w:p w14:paraId="43A0DA7B" w14:textId="3925D58B" w:rsidR="008F10DE" w:rsidRPr="008F10DE" w:rsidRDefault="00000000" w:rsidP="008F10DE">
      <w:pPr>
        <w:spacing w:line="360" w:lineRule="auto"/>
        <w:ind w:left="1440" w:right="346" w:firstLine="720"/>
        <w:jc w:val="center"/>
        <w:rPr>
          <w:sz w:val="22"/>
          <w:szCs w:val="22"/>
          <w:lang w:val="pl-PL"/>
        </w:rPr>
      </w:pPr>
      <m:oMath>
        <m:sSub>
          <m:sSubPr>
            <m:ctrlPr>
              <w:rPr>
                <w:rFonts w:ascii="Cambria Math" w:hAnsi="Cambria Math"/>
                <w:i/>
                <w:sz w:val="22"/>
                <w:szCs w:val="22"/>
              </w:rPr>
            </m:ctrlPr>
          </m:sSubPr>
          <m:e>
            <m:acc>
              <m:accPr>
                <m:ctrlPr>
                  <w:rPr>
                    <w:rFonts w:ascii="Cambria Math" w:hAnsi="Cambria Math"/>
                    <w:i/>
                    <w:sz w:val="22"/>
                    <w:szCs w:val="22"/>
                  </w:rPr>
                </m:ctrlPr>
              </m:accPr>
              <m:e>
                <m:acc>
                  <m:accPr>
                    <m:ctrlPr>
                      <w:rPr>
                        <w:rFonts w:ascii="Cambria Math" w:hAnsi="Cambria Math"/>
                        <w:bCs/>
                        <w:i/>
                        <w:sz w:val="22"/>
                        <w:szCs w:val="22"/>
                      </w:rPr>
                    </m:ctrlPr>
                  </m:accPr>
                  <m:e>
                    <m:r>
                      <w:rPr>
                        <w:rFonts w:ascii="Cambria Math" w:hAnsi="Cambria Math"/>
                        <w:sz w:val="22"/>
                        <w:szCs w:val="22"/>
                      </w:rPr>
                      <m:t>δ</m:t>
                    </m:r>
                    <m:r>
                      <w:rPr>
                        <w:rFonts w:ascii="Cambria Math" w:hAnsi="Cambria Math"/>
                        <w:sz w:val="22"/>
                        <w:szCs w:val="22"/>
                        <w:lang w:val="pl-PL"/>
                      </w:rPr>
                      <m:t xml:space="preserve"> </m:t>
                    </m:r>
                  </m:e>
                </m:acc>
              </m:e>
            </m:acc>
          </m:e>
          <m:sub>
            <m:r>
              <w:rPr>
                <w:rFonts w:ascii="Cambria Math" w:hAnsi="Cambria Math"/>
                <w:sz w:val="22"/>
                <w:szCs w:val="22"/>
              </w:rPr>
              <m:t>i</m:t>
            </m:r>
            <m:r>
              <w:rPr>
                <w:rFonts w:ascii="Cambria Math" w:hAnsi="Cambria Math"/>
                <w:sz w:val="22"/>
                <w:szCs w:val="22"/>
                <w:lang w:val="pl-PL"/>
              </w:rPr>
              <m:t>,</m:t>
            </m:r>
            <m:r>
              <w:rPr>
                <w:rFonts w:ascii="Cambria Math" w:hAnsi="Cambria Math"/>
                <w:sz w:val="22"/>
                <w:szCs w:val="22"/>
              </w:rPr>
              <m:t>t</m:t>
            </m:r>
          </m:sub>
        </m:sSub>
        <m:r>
          <m:rPr>
            <m:nor/>
          </m:rPr>
          <w:rPr>
            <w:i/>
            <w:sz w:val="22"/>
            <w:szCs w:val="22"/>
            <w:lang w:val="pl-PL"/>
          </w:rPr>
          <m:t>=</m:t>
        </m:r>
        <m:r>
          <m:rPr>
            <m:nor/>
          </m:rPr>
          <w:rPr>
            <w:i/>
            <w:sz w:val="22"/>
            <w:szCs w:val="22"/>
          </w:rPr>
          <m:t>α</m:t>
        </m:r>
        <m:r>
          <m:rPr>
            <m:nor/>
          </m:rPr>
          <w:rPr>
            <w:i/>
            <w:sz w:val="22"/>
            <w:szCs w:val="22"/>
            <w:lang w:val="pl-PL"/>
          </w:rPr>
          <m:t>+</m:t>
        </m:r>
        <m:r>
          <m:rPr>
            <m:nor/>
          </m:rPr>
          <w:rPr>
            <w:i/>
            <w:sz w:val="22"/>
            <w:szCs w:val="22"/>
          </w:rPr>
          <m:t>ρ</m:t>
        </m:r>
        <m:nary>
          <m:naryPr>
            <m:chr m:val="∑"/>
            <m:limLoc m:val="undOvr"/>
            <m:ctrlPr>
              <w:rPr>
                <w:rFonts w:ascii="Cambria Math" w:hAnsi="Cambria Math"/>
                <w:i/>
                <w:sz w:val="22"/>
                <w:szCs w:val="22"/>
              </w:rPr>
            </m:ctrlPr>
          </m:naryPr>
          <m:sub>
            <m:r>
              <m:rPr>
                <m:nor/>
              </m:rPr>
              <w:rPr>
                <w:i/>
                <w:sz w:val="22"/>
                <w:szCs w:val="22"/>
                <w:lang w:val="pl-PL"/>
              </w:rPr>
              <m:t>j=1</m:t>
            </m:r>
          </m:sub>
          <m:sup>
            <m:r>
              <m:rPr>
                <m:nor/>
              </m:rPr>
              <w:rPr>
                <w:i/>
                <w:sz w:val="22"/>
                <w:szCs w:val="22"/>
                <w:lang w:val="pl-PL"/>
              </w:rPr>
              <m:t>N</m:t>
            </m:r>
          </m:sup>
          <m:e>
            <m:sSub>
              <m:sSubPr>
                <m:ctrlPr>
                  <w:rPr>
                    <w:rFonts w:ascii="Cambria Math" w:hAnsi="Cambria Math"/>
                    <w:i/>
                    <w:sz w:val="22"/>
                    <w:szCs w:val="22"/>
                  </w:rPr>
                </m:ctrlPr>
              </m:sSubPr>
              <m:e>
                <m:r>
                  <m:rPr>
                    <m:nor/>
                  </m:rPr>
                  <w:rPr>
                    <w:i/>
                    <w:sz w:val="22"/>
                    <w:szCs w:val="22"/>
                    <w:lang w:val="pl-PL"/>
                  </w:rPr>
                  <m:t>W</m:t>
                </m:r>
              </m:e>
              <m:sub>
                <m:r>
                  <m:rPr>
                    <m:nor/>
                  </m:rPr>
                  <w:rPr>
                    <w:i/>
                    <w:sz w:val="22"/>
                    <w:szCs w:val="22"/>
                    <w:lang w:val="pl-PL"/>
                  </w:rPr>
                  <m:t>i,j</m:t>
                </m:r>
              </m:sub>
            </m:sSub>
          </m:e>
        </m:nary>
        <m:sSub>
          <m:sSubPr>
            <m:ctrlPr>
              <w:rPr>
                <w:rFonts w:ascii="Cambria Math" w:hAnsi="Cambria Math"/>
                <w:i/>
                <w:sz w:val="22"/>
                <w:szCs w:val="22"/>
              </w:rPr>
            </m:ctrlPr>
          </m:sSubPr>
          <m:e>
            <m:r>
              <m:rPr>
                <m:nor/>
              </m:rPr>
              <w:rPr>
                <w:i/>
                <w:sz w:val="22"/>
                <w:szCs w:val="22"/>
                <w:lang w:val="pl-PL"/>
              </w:rPr>
              <m:t>Y</m:t>
            </m:r>
          </m:e>
          <m:sub>
            <m:r>
              <m:rPr>
                <m:nor/>
              </m:rPr>
              <w:rPr>
                <w:i/>
                <w:sz w:val="22"/>
                <w:szCs w:val="22"/>
                <w:lang w:val="pl-PL"/>
              </w:rPr>
              <m:t>i,t</m:t>
            </m:r>
          </m:sub>
        </m:sSub>
        <m:r>
          <m:rPr>
            <m:nor/>
          </m:rPr>
          <w:rPr>
            <w:i/>
            <w:sz w:val="22"/>
            <w:szCs w:val="22"/>
            <w:lang w:val="pl-PL"/>
          </w:rPr>
          <m:t>+</m:t>
        </m:r>
        <m:nary>
          <m:naryPr>
            <m:chr m:val="∑"/>
            <m:limLoc m:val="undOvr"/>
            <m:ctrlPr>
              <w:rPr>
                <w:rFonts w:ascii="Cambria Math" w:hAnsi="Cambria Math"/>
                <w:i/>
                <w:sz w:val="22"/>
                <w:szCs w:val="22"/>
              </w:rPr>
            </m:ctrlPr>
          </m:naryPr>
          <m:sub>
            <m:r>
              <m:rPr>
                <m:nor/>
              </m:rPr>
              <w:rPr>
                <w:i/>
                <w:sz w:val="22"/>
                <w:szCs w:val="22"/>
                <w:lang w:val="pl-PL"/>
              </w:rPr>
              <m:t>k=1</m:t>
            </m:r>
          </m:sub>
          <m:sup>
            <m:r>
              <m:rPr>
                <m:nor/>
              </m:rPr>
              <w:rPr>
                <w:i/>
                <w:sz w:val="22"/>
                <w:szCs w:val="22"/>
                <w:lang w:val="pl-PL"/>
              </w:rPr>
              <m:t>K</m:t>
            </m:r>
          </m:sup>
          <m:e>
            <m:sSub>
              <m:sSubPr>
                <m:ctrlPr>
                  <w:rPr>
                    <w:rFonts w:ascii="Cambria Math" w:hAnsi="Cambria Math"/>
                    <w:i/>
                    <w:sz w:val="22"/>
                    <w:szCs w:val="22"/>
                  </w:rPr>
                </m:ctrlPr>
              </m:sSubPr>
              <m:e>
                <m:r>
                  <m:rPr>
                    <m:nor/>
                  </m:rPr>
                  <w:rPr>
                    <w:i/>
                    <w:sz w:val="22"/>
                    <w:szCs w:val="22"/>
                    <w:lang w:val="pl-PL"/>
                  </w:rPr>
                  <m:t>C</m:t>
                </m:r>
              </m:e>
              <m:sub>
                <m:r>
                  <m:rPr>
                    <m:nor/>
                  </m:rPr>
                  <w:rPr>
                    <w:i/>
                    <w:sz w:val="22"/>
                    <w:szCs w:val="22"/>
                    <w:lang w:val="pl-PL"/>
                  </w:rPr>
                  <m:t>i,t</m:t>
                </m:r>
              </m:sub>
            </m:sSub>
            <m:sSub>
              <m:sSubPr>
                <m:ctrlPr>
                  <w:rPr>
                    <w:rFonts w:ascii="Cambria Math" w:hAnsi="Cambria Math"/>
                    <w:i/>
                    <w:sz w:val="22"/>
                    <w:szCs w:val="22"/>
                  </w:rPr>
                </m:ctrlPr>
              </m:sSubPr>
              <m:e>
                <m:r>
                  <m:rPr>
                    <m:nor/>
                  </m:rPr>
                  <w:rPr>
                    <w:i/>
                    <w:sz w:val="22"/>
                    <w:szCs w:val="22"/>
                  </w:rPr>
                  <m:t>β</m:t>
                </m:r>
              </m:e>
              <m:sub>
                <m:r>
                  <m:rPr>
                    <m:nor/>
                  </m:rPr>
                  <w:rPr>
                    <w:i/>
                    <w:sz w:val="22"/>
                    <w:szCs w:val="22"/>
                    <w:lang w:val="pl-PL"/>
                  </w:rPr>
                  <m:t>k</m:t>
                </m:r>
              </m:sub>
            </m:sSub>
          </m:e>
        </m:nary>
        <m:r>
          <m:rPr>
            <m:nor/>
          </m:rPr>
          <w:rPr>
            <w:i/>
            <w:sz w:val="22"/>
            <w:szCs w:val="22"/>
            <w:lang w:val="pl-PL"/>
          </w:rPr>
          <m:t>+</m:t>
        </m:r>
        <m:sSub>
          <m:sSubPr>
            <m:ctrlPr>
              <w:rPr>
                <w:rFonts w:ascii="Cambria Math" w:hAnsi="Cambria Math"/>
                <w:i/>
                <w:sz w:val="22"/>
                <w:szCs w:val="22"/>
              </w:rPr>
            </m:ctrlPr>
          </m:sSubPr>
          <m:e>
            <m:r>
              <m:rPr>
                <m:nor/>
              </m:rPr>
              <w:rPr>
                <w:i/>
                <w:sz w:val="22"/>
                <w:szCs w:val="22"/>
              </w:rPr>
              <m:t>θ</m:t>
            </m:r>
          </m:e>
          <m:sub>
            <m:r>
              <m:rPr>
                <m:nor/>
              </m:rPr>
              <w:rPr>
                <w:i/>
                <w:sz w:val="22"/>
                <w:szCs w:val="22"/>
                <w:lang w:val="pl-PL"/>
              </w:rPr>
              <m:t>i</m:t>
            </m:r>
          </m:sub>
        </m:sSub>
        <m:r>
          <m:rPr>
            <m:nor/>
          </m:rPr>
          <w:rPr>
            <w:i/>
            <w:sz w:val="22"/>
            <w:szCs w:val="22"/>
            <w:lang w:val="pl-PL"/>
          </w:rPr>
          <m:t>+</m:t>
        </m:r>
        <m:sSub>
          <m:sSubPr>
            <m:ctrlPr>
              <w:rPr>
                <w:rFonts w:ascii="Cambria Math" w:hAnsi="Cambria Math"/>
                <w:i/>
                <w:sz w:val="22"/>
                <w:szCs w:val="22"/>
              </w:rPr>
            </m:ctrlPr>
          </m:sSubPr>
          <m:e>
            <m:r>
              <m:rPr>
                <m:nor/>
              </m:rPr>
              <w:rPr>
                <w:i/>
                <w:sz w:val="22"/>
                <w:szCs w:val="22"/>
                <w:lang w:val="pl-PL"/>
              </w:rPr>
              <m:t>v</m:t>
            </m:r>
          </m:e>
          <m:sub>
            <m:r>
              <m:rPr>
                <m:nor/>
              </m:rPr>
              <w:rPr>
                <w:i/>
                <w:sz w:val="22"/>
                <w:szCs w:val="22"/>
                <w:lang w:val="pl-PL"/>
              </w:rPr>
              <m:t>t</m:t>
            </m:r>
          </m:sub>
        </m:sSub>
        <m:r>
          <m:rPr>
            <m:nor/>
          </m:rPr>
          <w:rPr>
            <w:i/>
            <w:sz w:val="22"/>
            <w:szCs w:val="22"/>
            <w:lang w:val="pl-PL"/>
          </w:rPr>
          <m:t>+</m:t>
        </m:r>
        <m:sSub>
          <m:sSubPr>
            <m:ctrlPr>
              <w:rPr>
                <w:rFonts w:ascii="Cambria Math" w:hAnsi="Cambria Math"/>
                <w:i/>
                <w:sz w:val="22"/>
                <w:szCs w:val="22"/>
              </w:rPr>
            </m:ctrlPr>
          </m:sSubPr>
          <m:e>
            <m:r>
              <m:rPr>
                <m:nor/>
              </m:rPr>
              <w:rPr>
                <w:i/>
                <w:sz w:val="22"/>
                <w:szCs w:val="22"/>
              </w:rPr>
              <m:t>ε</m:t>
            </m:r>
          </m:e>
          <m:sub>
            <m:r>
              <m:rPr>
                <m:nor/>
              </m:rPr>
              <w:rPr>
                <w:i/>
                <w:sz w:val="22"/>
                <w:szCs w:val="22"/>
                <w:lang w:val="pl-PL"/>
              </w:rPr>
              <m:t>i,t</m:t>
            </m:r>
          </m:sub>
        </m:sSub>
      </m:oMath>
      <w:r w:rsidR="008F10DE" w:rsidRPr="008F10DE">
        <w:rPr>
          <w:sz w:val="22"/>
          <w:szCs w:val="22"/>
          <w:lang w:val="pl-PL"/>
        </w:rPr>
        <w:tab/>
      </w:r>
      <w:r w:rsidR="008F10DE" w:rsidRPr="008F10DE">
        <w:rPr>
          <w:sz w:val="22"/>
          <w:szCs w:val="22"/>
          <w:lang w:val="pl-PL"/>
        </w:rPr>
        <w:tab/>
      </w:r>
      <w:r w:rsidR="008F10DE">
        <w:rPr>
          <w:sz w:val="22"/>
          <w:szCs w:val="22"/>
          <w:lang w:val="pl-PL"/>
        </w:rPr>
        <w:t xml:space="preserve">                    </w:t>
      </w:r>
      <w:r w:rsidR="008F10DE" w:rsidRPr="008F10DE">
        <w:rPr>
          <w:sz w:val="22"/>
          <w:szCs w:val="22"/>
          <w:lang w:val="pl-PL"/>
        </w:rPr>
        <w:t>(</w:t>
      </w:r>
      <w:r w:rsidR="008F10DE">
        <w:rPr>
          <w:sz w:val="22"/>
          <w:szCs w:val="22"/>
          <w:lang w:val="pl-PL"/>
        </w:rPr>
        <w:t>11)</w:t>
      </w:r>
    </w:p>
    <w:p w14:paraId="163E8656" w14:textId="76BE1D91" w:rsidR="00946C09" w:rsidRPr="008F10DE" w:rsidRDefault="00946C09" w:rsidP="00A95C95">
      <w:pPr>
        <w:spacing w:line="360" w:lineRule="auto"/>
        <w:rPr>
          <w:sz w:val="22"/>
          <w:szCs w:val="22"/>
          <w:lang w:val="pt-PT"/>
        </w:rPr>
      </w:pPr>
      <w:r w:rsidRPr="008F10DE">
        <w:rPr>
          <w:i/>
          <w:sz w:val="22"/>
          <w:szCs w:val="22"/>
          <w:lang w:val="pl-PL"/>
        </w:rPr>
        <w:t xml:space="preserve">                                       </w:t>
      </w:r>
      <w:r w:rsidRPr="008F10DE">
        <w:rPr>
          <w:i/>
          <w:iCs/>
          <w:sz w:val="22"/>
          <w:szCs w:val="22"/>
          <w:lang w:val="pl-PL"/>
        </w:rPr>
        <w:t xml:space="preserve"> </w:t>
      </w:r>
      <w:r w:rsidRPr="008F10DE">
        <w:rPr>
          <w:i/>
          <w:iCs/>
          <w:sz w:val="22"/>
          <w:szCs w:val="22"/>
          <w:lang w:val="pt-PT"/>
        </w:rPr>
        <w:t>i = 1, …, N; t = 1, …, T; k = 1, …, K; i ≠ j</w:t>
      </w:r>
      <w:r w:rsidRPr="008F10DE">
        <w:rPr>
          <w:sz w:val="22"/>
          <w:szCs w:val="22"/>
          <w:lang w:val="pt-PT"/>
        </w:rPr>
        <w:t xml:space="preserve">.    </w:t>
      </w:r>
      <m:oMath>
        <m:sSub>
          <m:sSubPr>
            <m:ctrlPr>
              <w:rPr>
                <w:rFonts w:ascii="Cambria Math" w:hAnsi="Cambria Math"/>
                <w:i/>
                <w:sz w:val="22"/>
                <w:szCs w:val="22"/>
              </w:rPr>
            </m:ctrlPr>
          </m:sSubPr>
          <m:e>
            <m:r>
              <m:rPr>
                <m:nor/>
              </m:rPr>
              <w:rPr>
                <w:i/>
                <w:sz w:val="22"/>
                <w:szCs w:val="22"/>
              </w:rPr>
              <m:t>ε</m:t>
            </m:r>
          </m:e>
          <m:sub>
            <m:r>
              <m:rPr>
                <m:nor/>
              </m:rPr>
              <w:rPr>
                <w:i/>
                <w:sz w:val="22"/>
                <w:szCs w:val="22"/>
                <w:lang w:val="pt-PT"/>
              </w:rPr>
              <m:t>i</m:t>
            </m:r>
          </m:sub>
        </m:sSub>
        <m:r>
          <m:rPr>
            <m:nor/>
          </m:rPr>
          <w:rPr>
            <w:i/>
            <w:sz w:val="22"/>
            <w:szCs w:val="22"/>
            <w:lang w:val="pt-PT"/>
          </w:rPr>
          <m:t xml:space="preserve"> ~ N</m:t>
        </m:r>
        <m:r>
          <m:rPr>
            <m:nor/>
          </m:rPr>
          <w:rPr>
            <w:iCs/>
            <w:sz w:val="22"/>
            <w:szCs w:val="22"/>
            <w:lang w:val="pt-PT"/>
          </w:rPr>
          <m:t>(</m:t>
        </m:r>
        <m:r>
          <m:rPr>
            <m:nor/>
          </m:rPr>
          <w:rPr>
            <w:i/>
            <w:sz w:val="22"/>
            <w:szCs w:val="22"/>
            <w:lang w:val="pt-PT"/>
          </w:rPr>
          <m:t xml:space="preserve">0, </m:t>
        </m:r>
        <m:sSup>
          <m:sSupPr>
            <m:ctrlPr>
              <w:rPr>
                <w:rFonts w:ascii="Cambria Math" w:hAnsi="Cambria Math"/>
                <w:i/>
                <w:sz w:val="22"/>
                <w:szCs w:val="22"/>
              </w:rPr>
            </m:ctrlPr>
          </m:sSupPr>
          <m:e>
            <m:r>
              <m:rPr>
                <m:nor/>
              </m:rPr>
              <w:rPr>
                <w:i/>
                <w:sz w:val="22"/>
                <w:szCs w:val="22"/>
              </w:rPr>
              <m:t>σ</m:t>
            </m:r>
          </m:e>
          <m:sup>
            <m:r>
              <m:rPr>
                <m:nor/>
              </m:rPr>
              <w:rPr>
                <w:i/>
                <w:sz w:val="22"/>
                <w:szCs w:val="22"/>
                <w:lang w:val="pt-PT"/>
              </w:rPr>
              <m:t>2</m:t>
            </m:r>
          </m:sup>
        </m:sSup>
        <m:sSub>
          <m:sSubPr>
            <m:ctrlPr>
              <w:rPr>
                <w:rFonts w:ascii="Cambria Math" w:hAnsi="Cambria Math"/>
                <w:i/>
                <w:sz w:val="22"/>
                <w:szCs w:val="22"/>
              </w:rPr>
            </m:ctrlPr>
          </m:sSubPr>
          <m:e>
            <m:r>
              <m:rPr>
                <m:nor/>
              </m:rPr>
              <w:rPr>
                <w:i/>
                <w:sz w:val="22"/>
                <w:szCs w:val="22"/>
                <w:lang w:val="pt-PT"/>
              </w:rPr>
              <m:t>I</m:t>
            </m:r>
          </m:e>
          <m:sub>
            <m:r>
              <m:rPr>
                <m:nor/>
              </m:rPr>
              <w:rPr>
                <w:i/>
                <w:sz w:val="22"/>
                <w:szCs w:val="22"/>
                <w:lang w:val="pt-PT"/>
              </w:rPr>
              <m:t>N</m:t>
            </m:r>
          </m:sub>
        </m:sSub>
        <m:r>
          <m:rPr>
            <m:nor/>
          </m:rPr>
          <w:rPr>
            <w:iCs/>
            <w:sz w:val="22"/>
            <w:szCs w:val="22"/>
            <w:lang w:val="pt-PT"/>
          </w:rPr>
          <m:t>)</m:t>
        </m:r>
      </m:oMath>
    </w:p>
    <w:p w14:paraId="5C6379FE" w14:textId="2F364F0D" w:rsidR="00946C09" w:rsidRPr="008F10DE" w:rsidRDefault="00946C09" w:rsidP="00A95C95">
      <w:pPr>
        <w:autoSpaceDE w:val="0"/>
        <w:autoSpaceDN w:val="0"/>
        <w:adjustRightInd w:val="0"/>
        <w:spacing w:line="360" w:lineRule="auto"/>
        <w:jc w:val="both"/>
        <w:rPr>
          <w:sz w:val="22"/>
          <w:szCs w:val="22"/>
        </w:rPr>
      </w:pPr>
      <w:r w:rsidRPr="008F10DE">
        <w:rPr>
          <w:sz w:val="22"/>
          <w:szCs w:val="22"/>
        </w:rPr>
        <w:t>Spatial Durbin model (SDM) with individual fixed effects:</w:t>
      </w:r>
    </w:p>
    <w:p w14:paraId="6F4BF7B0" w14:textId="199BC150" w:rsidR="00946C09" w:rsidRPr="008F10DE" w:rsidRDefault="00946C09" w:rsidP="00A95C95">
      <w:pPr>
        <w:spacing w:line="360" w:lineRule="auto"/>
        <w:rPr>
          <w:iCs/>
          <w:sz w:val="22"/>
          <w:szCs w:val="22"/>
          <w:lang w:val="pl-PL"/>
        </w:rPr>
      </w:pPr>
      <m:oMathPara>
        <m:oMath>
          <m:r>
            <w:rPr>
              <w:rFonts w:ascii="Cambria Math" w:hAnsi="Cambria Math"/>
              <w:sz w:val="22"/>
              <w:szCs w:val="22"/>
              <w:lang w:val="pl-PL"/>
            </w:rPr>
            <m:t xml:space="preserve">                                 </m:t>
          </m:r>
          <m:r>
            <m:rPr>
              <m:nor/>
            </m:rPr>
            <w:rPr>
              <w:i/>
              <w:sz w:val="22"/>
              <w:szCs w:val="22"/>
              <w:lang w:val="pl-PL"/>
            </w:rPr>
            <m:t>=</m:t>
          </m:r>
          <m:r>
            <m:rPr>
              <m:nor/>
            </m:rPr>
            <w:rPr>
              <w:i/>
              <w:sz w:val="22"/>
              <w:szCs w:val="22"/>
            </w:rPr>
            <m:t>α</m:t>
          </m:r>
          <m:r>
            <m:rPr>
              <m:nor/>
            </m:rPr>
            <w:rPr>
              <w:i/>
              <w:sz w:val="22"/>
              <w:szCs w:val="22"/>
              <w:lang w:val="pl-PL"/>
            </w:rPr>
            <m:t>+</m:t>
          </m:r>
          <m:r>
            <m:rPr>
              <m:nor/>
            </m:rPr>
            <w:rPr>
              <w:i/>
              <w:sz w:val="22"/>
              <w:szCs w:val="22"/>
            </w:rPr>
            <m:t>ρ</m:t>
          </m:r>
          <m:nary>
            <m:naryPr>
              <m:chr m:val="∑"/>
              <m:limLoc m:val="undOvr"/>
              <m:ctrlPr>
                <w:rPr>
                  <w:rFonts w:ascii="Cambria Math" w:hAnsi="Cambria Math"/>
                  <w:i/>
                  <w:sz w:val="22"/>
                  <w:szCs w:val="22"/>
                </w:rPr>
              </m:ctrlPr>
            </m:naryPr>
            <m:sub>
              <m:r>
                <m:rPr>
                  <m:nor/>
                </m:rPr>
                <w:rPr>
                  <w:i/>
                  <w:sz w:val="22"/>
                  <w:szCs w:val="22"/>
                  <w:lang w:val="pl-PL"/>
                </w:rPr>
                <m:t>j=1</m:t>
              </m:r>
            </m:sub>
            <m:sup>
              <m:r>
                <m:rPr>
                  <m:nor/>
                </m:rPr>
                <w:rPr>
                  <w:i/>
                  <w:sz w:val="22"/>
                  <w:szCs w:val="22"/>
                  <w:lang w:val="pl-PL"/>
                </w:rPr>
                <m:t>N</m:t>
              </m:r>
            </m:sup>
            <m:e>
              <m:sSub>
                <m:sSubPr>
                  <m:ctrlPr>
                    <w:rPr>
                      <w:rFonts w:ascii="Cambria Math" w:hAnsi="Cambria Math"/>
                      <w:i/>
                      <w:sz w:val="22"/>
                      <w:szCs w:val="22"/>
                    </w:rPr>
                  </m:ctrlPr>
                </m:sSubPr>
                <m:e>
                  <m:r>
                    <m:rPr>
                      <m:nor/>
                    </m:rPr>
                    <w:rPr>
                      <w:i/>
                      <w:sz w:val="22"/>
                      <w:szCs w:val="22"/>
                      <w:lang w:val="pl-PL"/>
                    </w:rPr>
                    <m:t>W</m:t>
                  </m:r>
                </m:e>
                <m:sub>
                  <m:r>
                    <m:rPr>
                      <m:nor/>
                    </m:rPr>
                    <w:rPr>
                      <w:i/>
                      <w:sz w:val="22"/>
                      <w:szCs w:val="22"/>
                      <w:lang w:val="pl-PL"/>
                    </w:rPr>
                    <m:t>i,j</m:t>
                  </m:r>
                </m:sub>
              </m:sSub>
            </m:e>
          </m:nary>
          <m:sSub>
            <m:sSubPr>
              <m:ctrlPr>
                <w:rPr>
                  <w:rFonts w:ascii="Cambria Math" w:hAnsi="Cambria Math"/>
                  <w:i/>
                  <w:sz w:val="22"/>
                  <w:szCs w:val="22"/>
                </w:rPr>
              </m:ctrlPr>
            </m:sSubPr>
            <m:e>
              <m:r>
                <m:rPr>
                  <m:nor/>
                </m:rPr>
                <w:rPr>
                  <w:i/>
                  <w:sz w:val="22"/>
                  <w:szCs w:val="22"/>
                  <w:lang w:val="pl-PL"/>
                </w:rPr>
                <m:t>Y</m:t>
              </m:r>
            </m:e>
            <m:sub>
              <m:r>
                <m:rPr>
                  <m:nor/>
                </m:rPr>
                <w:rPr>
                  <w:i/>
                  <w:sz w:val="22"/>
                  <w:szCs w:val="22"/>
                  <w:lang w:val="pl-PL"/>
                </w:rPr>
                <m:t>i,t</m:t>
              </m:r>
            </m:sub>
          </m:sSub>
          <m:r>
            <m:rPr>
              <m:nor/>
            </m:rPr>
            <w:rPr>
              <w:i/>
              <w:sz w:val="22"/>
              <w:szCs w:val="22"/>
              <w:lang w:val="pl-PL"/>
            </w:rPr>
            <m:t>+</m:t>
          </m:r>
          <m:nary>
            <m:naryPr>
              <m:chr m:val="∑"/>
              <m:limLoc m:val="undOvr"/>
              <m:ctrlPr>
                <w:rPr>
                  <w:rFonts w:ascii="Cambria Math" w:hAnsi="Cambria Math"/>
                  <w:i/>
                  <w:sz w:val="22"/>
                  <w:szCs w:val="22"/>
                </w:rPr>
              </m:ctrlPr>
            </m:naryPr>
            <m:sub>
              <m:r>
                <m:rPr>
                  <m:nor/>
                </m:rPr>
                <w:rPr>
                  <w:i/>
                  <w:sz w:val="22"/>
                  <w:szCs w:val="22"/>
                  <w:lang w:val="pl-PL"/>
                </w:rPr>
                <m:t>k=1</m:t>
              </m:r>
            </m:sub>
            <m:sup>
              <m:r>
                <m:rPr>
                  <m:nor/>
                </m:rPr>
                <w:rPr>
                  <w:i/>
                  <w:sz w:val="22"/>
                  <w:szCs w:val="22"/>
                  <w:lang w:val="pl-PL"/>
                </w:rPr>
                <m:t>K</m:t>
              </m:r>
            </m:sup>
            <m:e>
              <m:sSub>
                <m:sSubPr>
                  <m:ctrlPr>
                    <w:rPr>
                      <w:rFonts w:ascii="Cambria Math" w:hAnsi="Cambria Math"/>
                      <w:i/>
                      <w:sz w:val="22"/>
                      <w:szCs w:val="22"/>
                    </w:rPr>
                  </m:ctrlPr>
                </m:sSubPr>
                <m:e>
                  <m:r>
                    <m:rPr>
                      <m:nor/>
                    </m:rPr>
                    <w:rPr>
                      <w:i/>
                      <w:sz w:val="22"/>
                      <w:szCs w:val="22"/>
                      <w:lang w:val="pl-PL"/>
                    </w:rPr>
                    <m:t>C</m:t>
                  </m:r>
                </m:e>
                <m:sub>
                  <m:r>
                    <m:rPr>
                      <m:nor/>
                    </m:rPr>
                    <w:rPr>
                      <w:i/>
                      <w:sz w:val="22"/>
                      <w:szCs w:val="22"/>
                      <w:lang w:val="pl-PL"/>
                    </w:rPr>
                    <m:t>i,t</m:t>
                  </m:r>
                </m:sub>
              </m:sSub>
              <m:sSub>
                <m:sSubPr>
                  <m:ctrlPr>
                    <w:rPr>
                      <w:rFonts w:ascii="Cambria Math" w:hAnsi="Cambria Math"/>
                      <w:i/>
                      <w:sz w:val="22"/>
                      <w:szCs w:val="22"/>
                    </w:rPr>
                  </m:ctrlPr>
                </m:sSubPr>
                <m:e>
                  <m:r>
                    <m:rPr>
                      <m:nor/>
                    </m:rPr>
                    <w:rPr>
                      <w:i/>
                      <w:sz w:val="22"/>
                      <w:szCs w:val="22"/>
                    </w:rPr>
                    <m:t>β</m:t>
                  </m:r>
                </m:e>
                <m:sub>
                  <m:r>
                    <m:rPr>
                      <m:nor/>
                    </m:rPr>
                    <w:rPr>
                      <w:i/>
                      <w:sz w:val="22"/>
                      <w:szCs w:val="22"/>
                      <w:lang w:val="pl-PL"/>
                    </w:rPr>
                    <m:t>k</m:t>
                  </m:r>
                </m:sub>
              </m:sSub>
            </m:e>
          </m:nary>
          <m:r>
            <m:rPr>
              <m:nor/>
            </m:rPr>
            <w:rPr>
              <w:i/>
              <w:sz w:val="22"/>
              <w:szCs w:val="22"/>
              <w:lang w:val="pl-PL"/>
            </w:rPr>
            <m:t>+</m:t>
          </m:r>
          <m:nary>
            <m:naryPr>
              <m:chr m:val="∑"/>
              <m:limLoc m:val="undOvr"/>
              <m:ctrlPr>
                <w:rPr>
                  <w:rFonts w:ascii="Cambria Math" w:hAnsi="Cambria Math"/>
                  <w:i/>
                  <w:sz w:val="22"/>
                  <w:szCs w:val="22"/>
                </w:rPr>
              </m:ctrlPr>
            </m:naryPr>
            <m:sub>
              <m:r>
                <m:rPr>
                  <m:nor/>
                </m:rPr>
                <w:rPr>
                  <w:i/>
                  <w:sz w:val="22"/>
                  <w:szCs w:val="22"/>
                  <w:lang w:val="pl-PL"/>
                </w:rPr>
                <m:t>k=1</m:t>
              </m:r>
            </m:sub>
            <m:sup>
              <m:r>
                <m:rPr>
                  <m:nor/>
                </m:rPr>
                <w:rPr>
                  <w:i/>
                  <w:sz w:val="22"/>
                  <w:szCs w:val="22"/>
                  <w:lang w:val="pl-PL"/>
                </w:rPr>
                <m:t>K</m:t>
              </m:r>
            </m:sup>
            <m:e>
              <m:nary>
                <m:naryPr>
                  <m:chr m:val="∑"/>
                  <m:limLoc m:val="undOvr"/>
                  <m:ctrlPr>
                    <w:rPr>
                      <w:rFonts w:ascii="Cambria Math" w:hAnsi="Cambria Math"/>
                      <w:i/>
                      <w:sz w:val="22"/>
                      <w:szCs w:val="22"/>
                    </w:rPr>
                  </m:ctrlPr>
                </m:naryPr>
                <m:sub>
                  <m:r>
                    <m:rPr>
                      <m:nor/>
                    </m:rPr>
                    <w:rPr>
                      <w:i/>
                      <w:sz w:val="22"/>
                      <w:szCs w:val="22"/>
                      <w:lang w:val="pl-PL"/>
                    </w:rPr>
                    <m:t>j=1</m:t>
                  </m:r>
                </m:sub>
                <m:sup>
                  <m:r>
                    <m:rPr>
                      <m:nor/>
                    </m:rPr>
                    <w:rPr>
                      <w:i/>
                      <w:sz w:val="22"/>
                      <w:szCs w:val="22"/>
                      <w:lang w:val="pl-PL"/>
                    </w:rPr>
                    <m:t>N</m:t>
                  </m:r>
                </m:sup>
                <m:e>
                  <m:sSub>
                    <m:sSubPr>
                      <m:ctrlPr>
                        <w:rPr>
                          <w:rFonts w:ascii="Cambria Math" w:hAnsi="Cambria Math"/>
                          <w:i/>
                          <w:sz w:val="22"/>
                          <w:szCs w:val="22"/>
                        </w:rPr>
                      </m:ctrlPr>
                    </m:sSubPr>
                    <m:e>
                      <m:r>
                        <m:rPr>
                          <m:nor/>
                        </m:rPr>
                        <w:rPr>
                          <w:i/>
                          <w:sz w:val="22"/>
                          <w:szCs w:val="22"/>
                          <w:lang w:val="pl-PL"/>
                        </w:rPr>
                        <m:t>W</m:t>
                      </m:r>
                    </m:e>
                    <m:sub>
                      <m:r>
                        <m:rPr>
                          <m:nor/>
                        </m:rPr>
                        <w:rPr>
                          <w:i/>
                          <w:sz w:val="22"/>
                          <w:szCs w:val="22"/>
                          <w:lang w:val="pl-PL"/>
                        </w:rPr>
                        <m:t>i,j</m:t>
                      </m:r>
                    </m:sub>
                  </m:sSub>
                </m:e>
              </m:nary>
            </m:e>
          </m:nary>
          <m:sSub>
            <m:sSubPr>
              <m:ctrlPr>
                <w:rPr>
                  <w:rFonts w:ascii="Cambria Math" w:hAnsi="Cambria Math"/>
                  <w:i/>
                  <w:sz w:val="22"/>
                  <w:szCs w:val="22"/>
                </w:rPr>
              </m:ctrlPr>
            </m:sSubPr>
            <m:e>
              <m:r>
                <m:rPr>
                  <m:nor/>
                </m:rPr>
                <w:rPr>
                  <w:i/>
                  <w:sz w:val="22"/>
                  <w:szCs w:val="22"/>
                  <w:lang w:val="pl-PL"/>
                </w:rPr>
                <m:t>C</m:t>
              </m:r>
            </m:e>
            <m:sub>
              <m:r>
                <m:rPr>
                  <m:nor/>
                </m:rPr>
                <w:rPr>
                  <w:i/>
                  <w:sz w:val="22"/>
                  <w:szCs w:val="22"/>
                  <w:lang w:val="pl-PL"/>
                </w:rPr>
                <m:t>j,k,t</m:t>
              </m:r>
            </m:sub>
          </m:sSub>
          <m:sSubSup>
            <m:sSubSupPr>
              <m:ctrlPr>
                <w:rPr>
                  <w:rFonts w:ascii="Cambria Math" w:hAnsi="Cambria Math"/>
                  <w:i/>
                  <w:sz w:val="22"/>
                  <w:szCs w:val="22"/>
                </w:rPr>
              </m:ctrlPr>
            </m:sSubSupPr>
            <m:e>
              <m:r>
                <m:rPr>
                  <m:nor/>
                </m:rPr>
                <w:rPr>
                  <w:i/>
                  <w:sz w:val="22"/>
                  <w:szCs w:val="22"/>
                </w:rPr>
                <m:t>β</m:t>
              </m:r>
            </m:e>
            <m:sub>
              <m:r>
                <m:rPr>
                  <m:nor/>
                </m:rPr>
                <w:rPr>
                  <w:i/>
                  <w:sz w:val="22"/>
                  <w:szCs w:val="22"/>
                  <w:lang w:val="pl-PL"/>
                </w:rPr>
                <m:t>k</m:t>
              </m:r>
            </m:sub>
            <m:sup>
              <m:r>
                <m:rPr>
                  <m:nor/>
                </m:rPr>
                <w:rPr>
                  <w:i/>
                  <w:sz w:val="22"/>
                  <w:szCs w:val="22"/>
                  <w:lang w:val="pl-PL"/>
                </w:rPr>
                <m:t>'</m:t>
              </m:r>
            </m:sup>
          </m:sSubSup>
          <m:r>
            <m:rPr>
              <m:nor/>
            </m:rPr>
            <w:rPr>
              <w:i/>
              <w:sz w:val="22"/>
              <w:szCs w:val="22"/>
              <w:lang w:val="pl-PL"/>
            </w:rPr>
            <m:t>+</m:t>
          </m:r>
          <m:sSub>
            <m:sSubPr>
              <m:ctrlPr>
                <w:rPr>
                  <w:rFonts w:ascii="Cambria Math" w:hAnsi="Cambria Math"/>
                  <w:i/>
                  <w:sz w:val="22"/>
                  <w:szCs w:val="22"/>
                </w:rPr>
              </m:ctrlPr>
            </m:sSubPr>
            <m:e>
              <m:r>
                <m:rPr>
                  <m:nor/>
                </m:rPr>
                <w:rPr>
                  <w:i/>
                  <w:sz w:val="22"/>
                  <w:szCs w:val="22"/>
                </w:rPr>
                <m:t>θ</m:t>
              </m:r>
            </m:e>
            <m:sub>
              <m:r>
                <m:rPr>
                  <m:nor/>
                </m:rPr>
                <w:rPr>
                  <w:i/>
                  <w:sz w:val="22"/>
                  <w:szCs w:val="22"/>
                  <w:lang w:val="pl-PL"/>
                </w:rPr>
                <m:t>i</m:t>
              </m:r>
            </m:sub>
          </m:sSub>
          <m:r>
            <m:rPr>
              <m:nor/>
            </m:rPr>
            <w:rPr>
              <w:i/>
              <w:sz w:val="22"/>
              <w:szCs w:val="22"/>
              <w:lang w:val="pl-PL"/>
            </w:rPr>
            <m:t>+</m:t>
          </m:r>
          <m:sSub>
            <m:sSubPr>
              <m:ctrlPr>
                <w:rPr>
                  <w:rFonts w:ascii="Cambria Math" w:hAnsi="Cambria Math"/>
                  <w:i/>
                  <w:sz w:val="22"/>
                  <w:szCs w:val="22"/>
                </w:rPr>
              </m:ctrlPr>
            </m:sSubPr>
            <m:e>
              <m:r>
                <m:rPr>
                  <m:nor/>
                </m:rPr>
                <w:rPr>
                  <w:i/>
                  <w:sz w:val="22"/>
                  <w:szCs w:val="22"/>
                  <w:lang w:val="pl-PL"/>
                </w:rPr>
                <m:t>v</m:t>
              </m:r>
            </m:e>
            <m:sub>
              <m:r>
                <m:rPr>
                  <m:nor/>
                </m:rPr>
                <w:rPr>
                  <w:i/>
                  <w:sz w:val="22"/>
                  <w:szCs w:val="22"/>
                  <w:lang w:val="pl-PL"/>
                </w:rPr>
                <m:t>t</m:t>
              </m:r>
            </m:sub>
          </m:sSub>
          <m:r>
            <m:rPr>
              <m:nor/>
            </m:rPr>
            <w:rPr>
              <w:i/>
              <w:sz w:val="22"/>
              <w:szCs w:val="22"/>
              <w:lang w:val="pl-PL"/>
            </w:rPr>
            <m:t>+</m:t>
          </m:r>
          <m:sSub>
            <m:sSubPr>
              <m:ctrlPr>
                <w:rPr>
                  <w:rFonts w:ascii="Cambria Math" w:hAnsi="Cambria Math"/>
                  <w:i/>
                  <w:sz w:val="22"/>
                  <w:szCs w:val="22"/>
                </w:rPr>
              </m:ctrlPr>
            </m:sSubPr>
            <m:e>
              <m:r>
                <m:rPr>
                  <m:nor/>
                </m:rPr>
                <w:rPr>
                  <w:i/>
                  <w:sz w:val="22"/>
                  <w:szCs w:val="22"/>
                </w:rPr>
                <m:t>ε</m:t>
              </m:r>
            </m:e>
            <m:sub>
              <m:r>
                <m:rPr>
                  <m:nor/>
                </m:rPr>
                <w:rPr>
                  <w:i/>
                  <w:sz w:val="22"/>
                  <w:szCs w:val="22"/>
                  <w:lang w:val="pl-PL"/>
                </w:rPr>
                <m:t>i,t</m:t>
              </m:r>
            </m:sub>
          </m:sSub>
          <m:r>
            <w:rPr>
              <w:rFonts w:ascii="Cambria Math" w:hAnsi="Cambria Math"/>
              <w:sz w:val="22"/>
              <w:szCs w:val="22"/>
              <w:lang w:val="pl-PL"/>
            </w:rPr>
            <m:t xml:space="preserve">                                       </m:t>
          </m:r>
          <m:r>
            <m:rPr>
              <m:nor/>
            </m:rPr>
            <w:rPr>
              <w:sz w:val="22"/>
              <w:szCs w:val="22"/>
              <w:lang w:val="pl-PL"/>
            </w:rPr>
            <m:t>(12)</m:t>
          </m:r>
        </m:oMath>
      </m:oMathPara>
    </w:p>
    <w:p w14:paraId="506A02CA" w14:textId="6AD76DAA" w:rsidR="00946C09" w:rsidRPr="008F10DE" w:rsidRDefault="00946C09" w:rsidP="00A95C95">
      <w:pPr>
        <w:spacing w:line="360" w:lineRule="auto"/>
        <w:rPr>
          <w:iCs/>
          <w:sz w:val="22"/>
          <w:szCs w:val="22"/>
          <w:lang w:val="pt-PT"/>
        </w:rPr>
      </w:pPr>
      <w:r w:rsidRPr="008F10DE">
        <w:rPr>
          <w:b/>
          <w:bCs/>
          <w:i/>
          <w:sz w:val="22"/>
          <w:szCs w:val="22"/>
          <w:lang w:val="pl-PL"/>
        </w:rPr>
        <w:t xml:space="preserve">                             </w:t>
      </w:r>
      <w:r w:rsidRPr="008F10DE">
        <w:rPr>
          <w:sz w:val="22"/>
          <w:szCs w:val="22"/>
          <w:lang w:val="pl-PL"/>
        </w:rPr>
        <w:t xml:space="preserve"> </w:t>
      </w:r>
      <w:r w:rsidRPr="008F10DE">
        <w:rPr>
          <w:i/>
          <w:iCs/>
          <w:sz w:val="22"/>
          <w:szCs w:val="22"/>
          <w:lang w:val="pt-PT"/>
        </w:rPr>
        <w:t>i = 1, …, N; t = 1, …, T; k = 1, …, K; i ≠ j</w:t>
      </w:r>
      <w:r w:rsidRPr="008F10DE">
        <w:rPr>
          <w:sz w:val="22"/>
          <w:szCs w:val="22"/>
          <w:lang w:val="pt-PT"/>
        </w:rPr>
        <w:t xml:space="preserve">.    </w:t>
      </w:r>
      <m:oMath>
        <m:sSub>
          <m:sSubPr>
            <m:ctrlPr>
              <w:rPr>
                <w:rFonts w:ascii="Cambria Math" w:hAnsi="Cambria Math"/>
                <w:i/>
                <w:sz w:val="22"/>
                <w:szCs w:val="22"/>
              </w:rPr>
            </m:ctrlPr>
          </m:sSubPr>
          <m:e>
            <m:r>
              <m:rPr>
                <m:nor/>
              </m:rPr>
              <w:rPr>
                <w:i/>
                <w:sz w:val="22"/>
                <w:szCs w:val="22"/>
              </w:rPr>
              <m:t>ε</m:t>
            </m:r>
          </m:e>
          <m:sub>
            <m:r>
              <m:rPr>
                <m:nor/>
              </m:rPr>
              <w:rPr>
                <w:i/>
                <w:sz w:val="22"/>
                <w:szCs w:val="22"/>
                <w:lang w:val="pt-PT"/>
              </w:rPr>
              <m:t>i</m:t>
            </m:r>
          </m:sub>
        </m:sSub>
        <m:r>
          <m:rPr>
            <m:nor/>
          </m:rPr>
          <w:rPr>
            <w:i/>
            <w:sz w:val="22"/>
            <w:szCs w:val="22"/>
            <w:lang w:val="pt-PT"/>
          </w:rPr>
          <m:t xml:space="preserve"> ~ N</m:t>
        </m:r>
        <m:r>
          <m:rPr>
            <m:nor/>
          </m:rPr>
          <w:rPr>
            <w:iCs/>
            <w:sz w:val="22"/>
            <w:szCs w:val="22"/>
            <w:lang w:val="pt-PT"/>
          </w:rPr>
          <m:t>(</m:t>
        </m:r>
        <m:r>
          <m:rPr>
            <m:nor/>
          </m:rPr>
          <w:rPr>
            <w:i/>
            <w:sz w:val="22"/>
            <w:szCs w:val="22"/>
            <w:lang w:val="pt-PT"/>
          </w:rPr>
          <m:t xml:space="preserve">0, </m:t>
        </m:r>
        <m:sSup>
          <m:sSupPr>
            <m:ctrlPr>
              <w:rPr>
                <w:rFonts w:ascii="Cambria Math" w:hAnsi="Cambria Math"/>
                <w:i/>
                <w:sz w:val="22"/>
                <w:szCs w:val="22"/>
              </w:rPr>
            </m:ctrlPr>
          </m:sSupPr>
          <m:e>
            <m:r>
              <m:rPr>
                <m:nor/>
              </m:rPr>
              <w:rPr>
                <w:i/>
                <w:sz w:val="22"/>
                <w:szCs w:val="22"/>
              </w:rPr>
              <m:t>σ</m:t>
            </m:r>
          </m:e>
          <m:sup>
            <m:r>
              <m:rPr>
                <m:nor/>
              </m:rPr>
              <w:rPr>
                <w:i/>
                <w:sz w:val="22"/>
                <w:szCs w:val="22"/>
                <w:lang w:val="pt-PT"/>
              </w:rPr>
              <m:t>2</m:t>
            </m:r>
          </m:sup>
        </m:sSup>
        <m:sSub>
          <m:sSubPr>
            <m:ctrlPr>
              <w:rPr>
                <w:rFonts w:ascii="Cambria Math" w:hAnsi="Cambria Math"/>
                <w:i/>
                <w:sz w:val="22"/>
                <w:szCs w:val="22"/>
              </w:rPr>
            </m:ctrlPr>
          </m:sSubPr>
          <m:e>
            <m:r>
              <m:rPr>
                <m:nor/>
              </m:rPr>
              <w:rPr>
                <w:i/>
                <w:sz w:val="22"/>
                <w:szCs w:val="22"/>
                <w:lang w:val="pt-PT"/>
              </w:rPr>
              <m:t>I</m:t>
            </m:r>
          </m:e>
          <m:sub>
            <m:r>
              <m:rPr>
                <m:nor/>
              </m:rPr>
              <w:rPr>
                <w:i/>
                <w:sz w:val="22"/>
                <w:szCs w:val="22"/>
                <w:lang w:val="pt-PT"/>
              </w:rPr>
              <m:t>N</m:t>
            </m:r>
          </m:sub>
        </m:sSub>
        <m:r>
          <m:rPr>
            <m:nor/>
          </m:rPr>
          <w:rPr>
            <w:iCs/>
            <w:sz w:val="22"/>
            <w:szCs w:val="22"/>
            <w:lang w:val="pt-PT"/>
          </w:rPr>
          <m:t>)</m:t>
        </m:r>
      </m:oMath>
    </w:p>
    <w:p w14:paraId="02A599C5" w14:textId="77777777" w:rsidR="006D498D" w:rsidRDefault="006D498D" w:rsidP="006D498D">
      <w:pPr>
        <w:autoSpaceDE w:val="0"/>
        <w:autoSpaceDN w:val="0"/>
        <w:adjustRightInd w:val="0"/>
        <w:spacing w:line="360" w:lineRule="auto"/>
        <w:jc w:val="both"/>
        <w:rPr>
          <w:rFonts w:eastAsia="MshpqlHckqwxMTMI"/>
          <w:i/>
          <w:iCs/>
          <w:sz w:val="22"/>
          <w:szCs w:val="22"/>
        </w:rPr>
      </w:pPr>
    </w:p>
    <w:p w14:paraId="4077F146" w14:textId="3FC4F988" w:rsidR="00CD3D4D" w:rsidRPr="008F10DE" w:rsidRDefault="00946C09" w:rsidP="006D498D">
      <w:pPr>
        <w:autoSpaceDE w:val="0"/>
        <w:autoSpaceDN w:val="0"/>
        <w:adjustRightInd w:val="0"/>
        <w:spacing w:line="360" w:lineRule="auto"/>
        <w:jc w:val="both"/>
        <w:rPr>
          <w:rFonts w:eastAsia="MshpqlHckqwxMTMI"/>
          <w:sz w:val="22"/>
          <w:szCs w:val="22"/>
        </w:rPr>
      </w:pPr>
      <w:r w:rsidRPr="008F10DE">
        <w:rPr>
          <w:rFonts w:eastAsia="MshpqlHckqwxMTMI"/>
          <w:i/>
          <w:iCs/>
          <w:sz w:val="22"/>
          <w:szCs w:val="22"/>
        </w:rPr>
        <w:t>α</w:t>
      </w:r>
      <w:r w:rsidRPr="008F10DE">
        <w:rPr>
          <w:rFonts w:eastAsia="MshpqlHckqwxMTMI"/>
          <w:sz w:val="22"/>
          <w:szCs w:val="22"/>
        </w:rPr>
        <w:t xml:space="preserve"> is the constant parameter vector. </w:t>
      </w:r>
      <w:r w:rsidRPr="008F10DE">
        <w:rPr>
          <w:rFonts w:eastAsia="MshpqlHckqwxMTMI"/>
          <w:i/>
          <w:iCs/>
          <w:sz w:val="22"/>
          <w:szCs w:val="22"/>
        </w:rPr>
        <w:t>β</w:t>
      </w:r>
      <w:r w:rsidRPr="008F10DE">
        <w:rPr>
          <w:rFonts w:eastAsia="MshpqlHckqwxMTMI"/>
          <w:i/>
          <w:iCs/>
          <w:sz w:val="22"/>
          <w:szCs w:val="22"/>
          <w:vertAlign w:val="subscript"/>
        </w:rPr>
        <w:t>k</w:t>
      </w:r>
      <w:r w:rsidRPr="008F10DE">
        <w:rPr>
          <w:rFonts w:eastAsia="MshpqlHckqwxMTMI"/>
          <w:sz w:val="22"/>
          <w:szCs w:val="22"/>
        </w:rPr>
        <w:t xml:space="preserve"> and </w:t>
      </w:r>
      <m:oMath>
        <m:sSubSup>
          <m:sSubSupPr>
            <m:ctrlPr>
              <w:rPr>
                <w:rFonts w:ascii="Cambria Math" w:hAnsi="Cambria Math"/>
                <w:i/>
                <w:sz w:val="22"/>
                <w:szCs w:val="22"/>
              </w:rPr>
            </m:ctrlPr>
          </m:sSubSupPr>
          <m:e>
            <m:r>
              <m:rPr>
                <m:nor/>
              </m:rPr>
              <w:rPr>
                <w:i/>
                <w:sz w:val="22"/>
                <w:szCs w:val="22"/>
              </w:rPr>
              <m:t>β</m:t>
            </m:r>
          </m:e>
          <m:sub>
            <m:r>
              <m:rPr>
                <m:nor/>
              </m:rPr>
              <w:rPr>
                <w:i/>
                <w:sz w:val="22"/>
                <w:szCs w:val="22"/>
              </w:rPr>
              <m:t>k</m:t>
            </m:r>
          </m:sub>
          <m:sup>
            <m:r>
              <m:rPr>
                <m:nor/>
              </m:rPr>
              <w:rPr>
                <w:i/>
                <w:sz w:val="22"/>
                <w:szCs w:val="22"/>
              </w:rPr>
              <m:t>'</m:t>
            </m:r>
          </m:sup>
        </m:sSubSup>
      </m:oMath>
      <w:r w:rsidRPr="008F10DE">
        <w:rPr>
          <w:rFonts w:eastAsia="MshpqlHckqwxMTMI"/>
          <w:sz w:val="22"/>
          <w:szCs w:val="22"/>
        </w:rPr>
        <w:t xml:space="preserve"> are the coefficients for the vector of independent variables </w:t>
      </w:r>
      <w:r w:rsidRPr="008F10DE">
        <w:rPr>
          <w:rFonts w:eastAsia="MshpqlHckqwxMTMI"/>
          <w:i/>
          <w:iCs/>
          <w:sz w:val="22"/>
          <w:szCs w:val="22"/>
        </w:rPr>
        <w:t>C</w:t>
      </w:r>
      <w:r w:rsidRPr="008F10DE">
        <w:rPr>
          <w:rFonts w:eastAsia="MshpqlHckqwxMTMI"/>
          <w:i/>
          <w:iCs/>
          <w:sz w:val="22"/>
          <w:szCs w:val="22"/>
          <w:vertAlign w:val="subscript"/>
        </w:rPr>
        <w:t>k,t</w:t>
      </w:r>
      <w:r w:rsidRPr="008F10DE">
        <w:rPr>
          <w:rFonts w:eastAsia="MshpqlHckqwxMTMI"/>
          <w:sz w:val="22"/>
          <w:szCs w:val="22"/>
        </w:rPr>
        <w:t xml:space="preserve"> and their spatially weighted forms </w:t>
      </w:r>
      <w:r w:rsidRPr="008F10DE">
        <w:rPr>
          <w:rFonts w:eastAsia="MshpqlHckqwxMTMI"/>
          <w:i/>
          <w:iCs/>
          <w:sz w:val="22"/>
          <w:szCs w:val="22"/>
        </w:rPr>
        <w:t>W</w:t>
      </w:r>
      <w:r w:rsidRPr="008F10DE">
        <w:rPr>
          <w:rFonts w:eastAsia="MshpqlHckqwxMTMI"/>
          <w:i/>
          <w:iCs/>
          <w:sz w:val="22"/>
          <w:szCs w:val="22"/>
          <w:vertAlign w:val="subscript"/>
        </w:rPr>
        <w:t>i,j</w:t>
      </w:r>
      <w:r w:rsidRPr="008F10DE">
        <w:rPr>
          <w:rFonts w:eastAsia="MshpqlHckqwxMTMI"/>
          <w:i/>
          <w:iCs/>
          <w:sz w:val="22"/>
          <w:szCs w:val="22"/>
        </w:rPr>
        <w:t xml:space="preserve"> C</w:t>
      </w:r>
      <w:r w:rsidRPr="008F10DE">
        <w:rPr>
          <w:rFonts w:eastAsia="MshpqlHckqwxMTMI"/>
          <w:i/>
          <w:iCs/>
          <w:sz w:val="22"/>
          <w:szCs w:val="22"/>
          <w:vertAlign w:val="subscript"/>
        </w:rPr>
        <w:t>k,t</w:t>
      </w:r>
      <w:r w:rsidRPr="008F10DE">
        <w:rPr>
          <w:rFonts w:eastAsia="MshpqlHckqwxMTMI"/>
          <w:sz w:val="22"/>
          <w:szCs w:val="22"/>
        </w:rPr>
        <w:t xml:space="preserve">, respectively. </w:t>
      </w:r>
      <w:r w:rsidRPr="008F10DE">
        <w:rPr>
          <w:i/>
          <w:iCs/>
          <w:sz w:val="22"/>
          <w:szCs w:val="22"/>
        </w:rPr>
        <w:t>θ</w:t>
      </w:r>
      <w:r w:rsidRPr="008F10DE">
        <w:rPr>
          <w:i/>
          <w:iCs/>
          <w:sz w:val="22"/>
          <w:szCs w:val="22"/>
          <w:vertAlign w:val="subscript"/>
        </w:rPr>
        <w:t>i</w:t>
      </w:r>
      <w:r w:rsidRPr="008F10DE">
        <w:rPr>
          <w:sz w:val="22"/>
          <w:szCs w:val="22"/>
        </w:rPr>
        <w:t xml:space="preserve"> and</w:t>
      </w:r>
      <w:r w:rsidRPr="008F10DE">
        <w:rPr>
          <w:i/>
          <w:iCs/>
          <w:sz w:val="22"/>
          <w:szCs w:val="22"/>
        </w:rPr>
        <w:t xml:space="preserve"> ν</w:t>
      </w:r>
      <w:r w:rsidRPr="008F10DE">
        <w:rPr>
          <w:i/>
          <w:iCs/>
          <w:sz w:val="22"/>
          <w:szCs w:val="22"/>
          <w:vertAlign w:val="subscript"/>
        </w:rPr>
        <w:t xml:space="preserve">t </w:t>
      </w:r>
      <w:r w:rsidRPr="008F10DE">
        <w:rPr>
          <w:sz w:val="22"/>
          <w:szCs w:val="22"/>
        </w:rPr>
        <w:t xml:space="preserve">are space-specific and time-period-specific effects, respectively. </w:t>
      </w:r>
      <w:r w:rsidRPr="008F10DE">
        <w:rPr>
          <w:rFonts w:eastAsia="MshpqlHckqwxMTMI"/>
          <w:i/>
          <w:iCs/>
          <w:sz w:val="22"/>
          <w:szCs w:val="22"/>
        </w:rPr>
        <w:t>ε</w:t>
      </w:r>
      <w:r w:rsidRPr="008F10DE">
        <w:rPr>
          <w:rFonts w:eastAsia="MshpqlHckqwxMTMI"/>
          <w:i/>
          <w:iCs/>
          <w:sz w:val="22"/>
          <w:szCs w:val="22"/>
          <w:vertAlign w:val="subscript"/>
        </w:rPr>
        <w:t>i,t</w:t>
      </w:r>
      <w:r w:rsidRPr="008F10DE">
        <w:rPr>
          <w:rFonts w:eastAsia="MshpqlHckqwxMTMI"/>
          <w:sz w:val="22"/>
          <w:szCs w:val="22"/>
        </w:rPr>
        <w:t xml:space="preserve"> is the error term which is identically and independently distributed. </w:t>
      </w:r>
      <w:r w:rsidRPr="008F10DE">
        <w:rPr>
          <w:rFonts w:eastAsia="MshpqlHckqwxMTMI"/>
          <w:i/>
          <w:iCs/>
          <w:sz w:val="22"/>
          <w:szCs w:val="22"/>
        </w:rPr>
        <w:t>W</w:t>
      </w:r>
      <w:r w:rsidRPr="008F10DE">
        <w:rPr>
          <w:rFonts w:eastAsia="MshpqlHckqwxMTMI"/>
          <w:i/>
          <w:iCs/>
          <w:sz w:val="22"/>
          <w:szCs w:val="22"/>
          <w:vertAlign w:val="subscript"/>
        </w:rPr>
        <w:t>i,j</w:t>
      </w:r>
      <w:r w:rsidRPr="008F10DE">
        <w:rPr>
          <w:rFonts w:eastAsia="MshpqlHckqwxMTMI"/>
          <w:sz w:val="22"/>
          <w:szCs w:val="22"/>
        </w:rPr>
        <w:t xml:space="preserve"> denotes the spatial effects between </w:t>
      </w:r>
      <w:r w:rsidR="00A95C95" w:rsidRPr="008F10DE">
        <w:rPr>
          <w:rFonts w:eastAsia="MshpqlHckqwxMTMI"/>
          <w:sz w:val="22"/>
          <w:szCs w:val="22"/>
        </w:rPr>
        <w:t>regions</w:t>
      </w:r>
      <w:r w:rsidRPr="008F10DE">
        <w:rPr>
          <w:rFonts w:eastAsia="MshpqlHckqwxMTMI"/>
          <w:sz w:val="22"/>
          <w:szCs w:val="22"/>
        </w:rPr>
        <w:t xml:space="preserve"> </w:t>
      </w:r>
      <w:r w:rsidRPr="008F10DE">
        <w:rPr>
          <w:rFonts w:eastAsia="MshpqlHckqwxMTMI"/>
          <w:i/>
          <w:iCs/>
          <w:sz w:val="22"/>
          <w:szCs w:val="22"/>
        </w:rPr>
        <w:t>i</w:t>
      </w:r>
      <w:r w:rsidRPr="008F10DE">
        <w:rPr>
          <w:rFonts w:eastAsia="MshpqlHckqwxMTMI"/>
          <w:sz w:val="22"/>
          <w:szCs w:val="22"/>
        </w:rPr>
        <w:t xml:space="preserve"> and </w:t>
      </w:r>
      <w:r w:rsidRPr="008F10DE">
        <w:rPr>
          <w:rFonts w:eastAsia="MshpqlHckqwxMTMI"/>
          <w:i/>
          <w:iCs/>
          <w:sz w:val="22"/>
          <w:szCs w:val="22"/>
        </w:rPr>
        <w:t>j</w:t>
      </w:r>
      <w:r w:rsidRPr="008F10DE">
        <w:rPr>
          <w:rFonts w:eastAsia="MshpqlHckqwxMTMI"/>
          <w:sz w:val="22"/>
          <w:szCs w:val="22"/>
        </w:rPr>
        <w:t xml:space="preserve"> in a distance matrix form. In our analysis, we use the </w:t>
      </w:r>
      <w:r w:rsidR="00A95C95" w:rsidRPr="008F10DE">
        <w:rPr>
          <w:rFonts w:eastAsia="MshpqlHckqwxMTMI"/>
          <w:sz w:val="22"/>
          <w:szCs w:val="22"/>
        </w:rPr>
        <w:t xml:space="preserve">geographical </w:t>
      </w:r>
      <w:r w:rsidRPr="008F10DE">
        <w:rPr>
          <w:rFonts w:eastAsia="MshpqlHckqwxMTMI"/>
          <w:sz w:val="22"/>
          <w:szCs w:val="22"/>
        </w:rPr>
        <w:t xml:space="preserve">distance matrix between pairs of </w:t>
      </w:r>
      <w:r w:rsidR="00A95C95" w:rsidRPr="008F10DE">
        <w:rPr>
          <w:rFonts w:eastAsia="MshpqlHckqwxMTMI"/>
          <w:sz w:val="22"/>
          <w:szCs w:val="22"/>
        </w:rPr>
        <w:t>regions</w:t>
      </w:r>
      <w:r w:rsidRPr="008F10DE">
        <w:rPr>
          <w:rFonts w:eastAsia="MshpqlHckqwxMTMI"/>
          <w:sz w:val="22"/>
          <w:szCs w:val="22"/>
        </w:rPr>
        <w:t xml:space="preserve"> to formulate this spatial effect </w:t>
      </w:r>
      <w:r w:rsidRPr="008F10DE">
        <w:rPr>
          <w:rFonts w:eastAsia="MshpqlHckqwxMTMI"/>
          <w:i/>
          <w:iCs/>
          <w:sz w:val="22"/>
          <w:szCs w:val="22"/>
        </w:rPr>
        <w:t>W</w:t>
      </w:r>
      <w:r w:rsidRPr="008F10DE">
        <w:rPr>
          <w:rFonts w:eastAsia="MshpqlHckqwxMTMI"/>
          <w:i/>
          <w:iCs/>
          <w:sz w:val="22"/>
          <w:szCs w:val="22"/>
          <w:vertAlign w:val="subscript"/>
        </w:rPr>
        <w:t>i,j</w:t>
      </w:r>
      <w:r w:rsidRPr="008F10DE">
        <w:rPr>
          <w:rFonts w:eastAsia="MshpqlHckqwxMTMI"/>
          <w:sz w:val="22"/>
          <w:szCs w:val="22"/>
        </w:rPr>
        <w:t>. Thus, the spatial interactions include endogenous interactions (</w:t>
      </w:r>
      <m:oMath>
        <m:nary>
          <m:naryPr>
            <m:chr m:val="∑"/>
            <m:limLoc m:val="undOvr"/>
            <m:ctrlPr>
              <w:rPr>
                <w:rFonts w:ascii="Cambria Math" w:hAnsi="Cambria Math"/>
                <w:i/>
                <w:sz w:val="22"/>
                <w:szCs w:val="22"/>
              </w:rPr>
            </m:ctrlPr>
          </m:naryPr>
          <m:sub>
            <m:r>
              <m:rPr>
                <m:nor/>
              </m:rPr>
              <w:rPr>
                <w:i/>
                <w:sz w:val="22"/>
                <w:szCs w:val="22"/>
              </w:rPr>
              <m:t>j=1</m:t>
            </m:r>
          </m:sub>
          <m:sup>
            <m:r>
              <m:rPr>
                <m:nor/>
              </m:rPr>
              <w:rPr>
                <w:i/>
                <w:sz w:val="22"/>
                <w:szCs w:val="22"/>
              </w:rPr>
              <m:t>N</m:t>
            </m:r>
          </m:sup>
          <m:e>
            <m:sSub>
              <m:sSubPr>
                <m:ctrlPr>
                  <w:rPr>
                    <w:rFonts w:ascii="Cambria Math" w:hAnsi="Cambria Math"/>
                    <w:i/>
                    <w:sz w:val="22"/>
                    <w:szCs w:val="22"/>
                  </w:rPr>
                </m:ctrlPr>
              </m:sSubPr>
              <m:e>
                <m:r>
                  <m:rPr>
                    <m:nor/>
                  </m:rPr>
                  <w:rPr>
                    <w:i/>
                    <w:sz w:val="22"/>
                    <w:szCs w:val="22"/>
                  </w:rPr>
                  <m:t>W</m:t>
                </m:r>
              </m:e>
              <m:sub>
                <m:r>
                  <m:rPr>
                    <m:nor/>
                  </m:rPr>
                  <w:rPr>
                    <w:i/>
                    <w:sz w:val="22"/>
                    <w:szCs w:val="22"/>
                  </w:rPr>
                  <m:t>i,j</m:t>
                </m:r>
              </m:sub>
            </m:sSub>
          </m:e>
        </m:nary>
        <m:sSub>
          <m:sSubPr>
            <m:ctrlPr>
              <w:rPr>
                <w:rFonts w:ascii="Cambria Math" w:hAnsi="Cambria Math"/>
                <w:i/>
                <w:sz w:val="22"/>
                <w:szCs w:val="22"/>
              </w:rPr>
            </m:ctrlPr>
          </m:sSubPr>
          <m:e>
            <m:r>
              <m:rPr>
                <m:nor/>
              </m:rPr>
              <w:rPr>
                <w:i/>
                <w:sz w:val="22"/>
                <w:szCs w:val="22"/>
              </w:rPr>
              <m:t>Y</m:t>
            </m:r>
          </m:e>
          <m:sub>
            <m:r>
              <m:rPr>
                <m:nor/>
              </m:rPr>
              <w:rPr>
                <w:i/>
                <w:sz w:val="22"/>
                <w:szCs w:val="22"/>
              </w:rPr>
              <m:t>i,t</m:t>
            </m:r>
          </m:sub>
        </m:sSub>
      </m:oMath>
      <w:r w:rsidRPr="008F10DE">
        <w:rPr>
          <w:rFonts w:eastAsia="MshpqlHckqwxMTMI"/>
          <w:sz w:val="22"/>
          <w:szCs w:val="22"/>
        </w:rPr>
        <w:t>) or exogenous interactions (</w:t>
      </w:r>
      <m:oMath>
        <m:nary>
          <m:naryPr>
            <m:chr m:val="∑"/>
            <m:limLoc m:val="undOvr"/>
            <m:ctrlPr>
              <w:rPr>
                <w:rFonts w:ascii="Cambria Math" w:hAnsi="Cambria Math"/>
                <w:i/>
                <w:sz w:val="22"/>
                <w:szCs w:val="22"/>
              </w:rPr>
            </m:ctrlPr>
          </m:naryPr>
          <m:sub>
            <m:r>
              <m:rPr>
                <m:nor/>
              </m:rPr>
              <w:rPr>
                <w:i/>
                <w:sz w:val="22"/>
                <w:szCs w:val="22"/>
              </w:rPr>
              <m:t>k=1</m:t>
            </m:r>
          </m:sub>
          <m:sup>
            <m:r>
              <m:rPr>
                <m:nor/>
              </m:rPr>
              <w:rPr>
                <w:i/>
                <w:sz w:val="22"/>
                <w:szCs w:val="22"/>
              </w:rPr>
              <m:t>K</m:t>
            </m:r>
          </m:sup>
          <m:e>
            <m:nary>
              <m:naryPr>
                <m:chr m:val="∑"/>
                <m:limLoc m:val="undOvr"/>
                <m:ctrlPr>
                  <w:rPr>
                    <w:rFonts w:ascii="Cambria Math" w:hAnsi="Cambria Math"/>
                    <w:i/>
                    <w:sz w:val="22"/>
                    <w:szCs w:val="22"/>
                  </w:rPr>
                </m:ctrlPr>
              </m:naryPr>
              <m:sub>
                <m:r>
                  <m:rPr>
                    <m:nor/>
                  </m:rPr>
                  <w:rPr>
                    <w:i/>
                    <w:sz w:val="22"/>
                    <w:szCs w:val="22"/>
                  </w:rPr>
                  <m:t>j=1</m:t>
                </m:r>
              </m:sub>
              <m:sup>
                <m:r>
                  <m:rPr>
                    <m:nor/>
                  </m:rPr>
                  <w:rPr>
                    <w:i/>
                    <w:sz w:val="22"/>
                    <w:szCs w:val="22"/>
                  </w:rPr>
                  <m:t>N</m:t>
                </m:r>
              </m:sup>
              <m:e>
                <m:sSub>
                  <m:sSubPr>
                    <m:ctrlPr>
                      <w:rPr>
                        <w:rFonts w:ascii="Cambria Math" w:hAnsi="Cambria Math"/>
                        <w:i/>
                        <w:sz w:val="22"/>
                        <w:szCs w:val="22"/>
                      </w:rPr>
                    </m:ctrlPr>
                  </m:sSubPr>
                  <m:e>
                    <m:r>
                      <m:rPr>
                        <m:nor/>
                      </m:rPr>
                      <w:rPr>
                        <w:i/>
                        <w:sz w:val="22"/>
                        <w:szCs w:val="22"/>
                      </w:rPr>
                      <m:t>W</m:t>
                    </m:r>
                  </m:e>
                  <m:sub>
                    <m:r>
                      <m:rPr>
                        <m:nor/>
                      </m:rPr>
                      <w:rPr>
                        <w:i/>
                        <w:sz w:val="22"/>
                        <w:szCs w:val="22"/>
                      </w:rPr>
                      <m:t>i,j</m:t>
                    </m:r>
                  </m:sub>
                </m:sSub>
              </m:e>
            </m:nary>
          </m:e>
        </m:nary>
        <m:sSub>
          <m:sSubPr>
            <m:ctrlPr>
              <w:rPr>
                <w:rFonts w:ascii="Cambria Math" w:hAnsi="Cambria Math"/>
                <w:i/>
                <w:sz w:val="22"/>
                <w:szCs w:val="22"/>
              </w:rPr>
            </m:ctrlPr>
          </m:sSubPr>
          <m:e>
            <m:r>
              <m:rPr>
                <m:nor/>
              </m:rPr>
              <w:rPr>
                <w:i/>
                <w:sz w:val="22"/>
                <w:szCs w:val="22"/>
              </w:rPr>
              <m:t>C</m:t>
            </m:r>
          </m:e>
          <m:sub>
            <m:r>
              <m:rPr>
                <m:nor/>
              </m:rPr>
              <w:rPr>
                <w:i/>
                <w:sz w:val="22"/>
                <w:szCs w:val="22"/>
              </w:rPr>
              <m:t>j,k,t</m:t>
            </m:r>
          </m:sub>
        </m:sSub>
      </m:oMath>
      <w:r w:rsidRPr="008F10DE">
        <w:rPr>
          <w:rFonts w:eastAsia="MshpqlHckqwxMTMI"/>
          <w:sz w:val="22"/>
          <w:szCs w:val="22"/>
        </w:rPr>
        <w:t>).</w:t>
      </w:r>
      <w:r w:rsidR="00B725E0" w:rsidRPr="008F10DE">
        <w:rPr>
          <w:rFonts w:eastAsia="MshpqlHckqwxMTMI"/>
          <w:sz w:val="22"/>
          <w:szCs w:val="22"/>
        </w:rPr>
        <w:t xml:space="preserve"> Note as well that</w:t>
      </w:r>
      <w:r w:rsidRPr="008F10DE">
        <w:rPr>
          <w:rFonts w:eastAsia="MshpqlHckqwxMTMI"/>
          <w:sz w:val="22"/>
          <w:szCs w:val="22"/>
        </w:rPr>
        <w:t xml:space="preserve"> </w:t>
      </w:r>
      <w:r w:rsidRPr="008F10DE">
        <w:rPr>
          <w:rFonts w:eastAsia="MshpqlHckqwxMTMI"/>
          <w:i/>
          <w:iCs/>
          <w:sz w:val="22"/>
          <w:szCs w:val="22"/>
        </w:rPr>
        <w:t>ρ</w:t>
      </w:r>
      <w:r w:rsidRPr="008F10DE">
        <w:rPr>
          <w:rFonts w:eastAsia="MshpqlHckqwxMTMI"/>
          <w:sz w:val="22"/>
          <w:szCs w:val="22"/>
        </w:rPr>
        <w:t xml:space="preserve"> is the coefficient for endogenous spatial interactions. </w:t>
      </w:r>
    </w:p>
    <w:p w14:paraId="3C875A25" w14:textId="77777777" w:rsidR="006D498D" w:rsidRDefault="006D498D" w:rsidP="006D498D">
      <w:pPr>
        <w:autoSpaceDE w:val="0"/>
        <w:autoSpaceDN w:val="0"/>
        <w:adjustRightInd w:val="0"/>
        <w:spacing w:line="360" w:lineRule="auto"/>
        <w:jc w:val="both"/>
        <w:rPr>
          <w:rFonts w:eastAsia="MshpqlHckqwxMTMI"/>
          <w:sz w:val="22"/>
          <w:szCs w:val="22"/>
        </w:rPr>
      </w:pPr>
    </w:p>
    <w:p w14:paraId="3C8C6305" w14:textId="2608D95C" w:rsidR="00375107" w:rsidRPr="008F10DE" w:rsidRDefault="00064009" w:rsidP="006D498D">
      <w:pPr>
        <w:autoSpaceDE w:val="0"/>
        <w:autoSpaceDN w:val="0"/>
        <w:adjustRightInd w:val="0"/>
        <w:spacing w:line="360" w:lineRule="auto"/>
        <w:jc w:val="both"/>
        <w:rPr>
          <w:sz w:val="22"/>
          <w:szCs w:val="22"/>
        </w:rPr>
      </w:pPr>
      <w:r w:rsidRPr="008F10DE">
        <w:rPr>
          <w:rFonts w:eastAsia="MshpqlHckqwxMTMI"/>
          <w:sz w:val="22"/>
          <w:szCs w:val="22"/>
        </w:rPr>
        <w:t>The</w:t>
      </w:r>
      <w:r w:rsidR="00CD3D4D" w:rsidRPr="008F10DE">
        <w:rPr>
          <w:rFonts w:eastAsia="MshpqlHckqwxMTMI"/>
          <w:sz w:val="22"/>
          <w:szCs w:val="22"/>
        </w:rPr>
        <w:t xml:space="preserve"> above</w:t>
      </w:r>
      <w:r w:rsidRPr="008F10DE">
        <w:rPr>
          <w:rFonts w:eastAsia="MshpqlHckqwxMTMI"/>
          <w:sz w:val="22"/>
          <w:szCs w:val="22"/>
        </w:rPr>
        <w:t xml:space="preserve"> specifications </w:t>
      </w:r>
      <w:r w:rsidR="00375107" w:rsidRPr="008F10DE">
        <w:rPr>
          <w:sz w:val="22"/>
          <w:szCs w:val="22"/>
        </w:rPr>
        <w:t xml:space="preserve">might suffer from possible endogeneity bias; for instance, bank efficiency scores might be correlated with other unobserved economic variables. A strategy to overcome such a bias is necessary to guarantee consistent and unbiased estimates of the parameters (see Fingleton and Le Gallo </w:t>
      </w:r>
      <w:r w:rsidR="00375107" w:rsidRPr="00484BCF">
        <w:rPr>
          <w:color w:val="004F88"/>
          <w:sz w:val="22"/>
          <w:szCs w:val="22"/>
        </w:rPr>
        <w:t>2010</w:t>
      </w:r>
      <w:r w:rsidR="00375107" w:rsidRPr="008F10DE">
        <w:rPr>
          <w:sz w:val="22"/>
          <w:szCs w:val="22"/>
        </w:rPr>
        <w:t>). Particularly, in our context, this can be resolved by adding both contemporaneous spatial endogenous and exogenous lags to the estimated model. In terms of parameter identification, Lee and Yu (</w:t>
      </w:r>
      <w:r w:rsidR="00375107" w:rsidRPr="00484BCF">
        <w:rPr>
          <w:color w:val="004F88"/>
          <w:sz w:val="22"/>
          <w:szCs w:val="22"/>
        </w:rPr>
        <w:t>2016</w:t>
      </w:r>
      <w:r w:rsidR="00375107" w:rsidRPr="008F10DE">
        <w:rPr>
          <w:sz w:val="22"/>
          <w:szCs w:val="22"/>
        </w:rPr>
        <w:t>), however, doubt the validity of the identification strategy in the dynamic SDM arguing that the effect of spatial lag of the dependent variable (WY</w:t>
      </w:r>
      <w:r w:rsidR="00375107" w:rsidRPr="008F10DE">
        <w:rPr>
          <w:sz w:val="22"/>
          <w:szCs w:val="22"/>
          <w:vertAlign w:val="subscript"/>
        </w:rPr>
        <w:t>t</w:t>
      </w:r>
      <w:r w:rsidR="00375107" w:rsidRPr="008F10DE">
        <w:rPr>
          <w:sz w:val="22"/>
          <w:szCs w:val="22"/>
        </w:rPr>
        <w:t>) cannot be identified in the presence of both spatial independent (WX</w:t>
      </w:r>
      <w:r w:rsidR="00375107" w:rsidRPr="008F10DE">
        <w:rPr>
          <w:sz w:val="22"/>
          <w:szCs w:val="22"/>
          <w:vertAlign w:val="subscript"/>
        </w:rPr>
        <w:t>t</w:t>
      </w:r>
      <w:r w:rsidR="00375107" w:rsidRPr="008F10DE">
        <w:rPr>
          <w:sz w:val="22"/>
          <w:szCs w:val="22"/>
        </w:rPr>
        <w:t>) and spatially weighted temporal lag of the dependent variables (WY</w:t>
      </w:r>
      <w:r w:rsidR="00375107" w:rsidRPr="008F10DE">
        <w:rPr>
          <w:sz w:val="22"/>
          <w:szCs w:val="22"/>
          <w:vertAlign w:val="subscript"/>
        </w:rPr>
        <w:t>t</w:t>
      </w:r>
      <w:r w:rsidR="00375107" w:rsidRPr="008F10DE">
        <w:rPr>
          <w:rFonts w:eastAsia="Calibri"/>
          <w:sz w:val="22"/>
          <w:szCs w:val="22"/>
        </w:rPr>
        <w:t>−</w:t>
      </w:r>
      <w:r w:rsidR="00375107" w:rsidRPr="008F10DE">
        <w:rPr>
          <w:sz w:val="22"/>
          <w:szCs w:val="22"/>
        </w:rPr>
        <w:t xml:space="preserve">1) (Anselin </w:t>
      </w:r>
      <w:r w:rsidR="00375107" w:rsidRPr="00D3745F">
        <w:rPr>
          <w:sz w:val="22"/>
          <w:szCs w:val="22"/>
        </w:rPr>
        <w:t>et al.</w:t>
      </w:r>
      <w:r w:rsidR="00375107" w:rsidRPr="008F10DE">
        <w:rPr>
          <w:sz w:val="22"/>
          <w:szCs w:val="22"/>
        </w:rPr>
        <w:t xml:space="preserve"> 2008). Instead, they demonstrate that model parameters in the dynamic SDM are identifiable by either GMM or quasi-maximum likelihood (ML). </w:t>
      </w:r>
    </w:p>
    <w:p w14:paraId="2BA0F04F" w14:textId="77777777" w:rsidR="006D498D" w:rsidRDefault="00375107" w:rsidP="006D498D">
      <w:pPr>
        <w:spacing w:after="229" w:line="360" w:lineRule="auto"/>
        <w:ind w:left="-10" w:right="7"/>
        <w:jc w:val="both"/>
        <w:rPr>
          <w:sz w:val="22"/>
          <w:szCs w:val="22"/>
        </w:rPr>
      </w:pPr>
      <w:r w:rsidRPr="008F10DE">
        <w:rPr>
          <w:sz w:val="22"/>
          <w:szCs w:val="22"/>
        </w:rPr>
        <w:t>The</w:t>
      </w:r>
      <w:r w:rsidR="00AE164A" w:rsidRPr="008F10DE">
        <w:rPr>
          <w:sz w:val="22"/>
          <w:szCs w:val="22"/>
        </w:rPr>
        <w:t xml:space="preserve"> SDM offers unbiased and consistent estimation irrespective of the real data-generating process (either SAR or SEM) (Elhorst </w:t>
      </w:r>
      <w:r w:rsidR="00AE164A" w:rsidRPr="00484BCF">
        <w:rPr>
          <w:color w:val="004F88"/>
          <w:sz w:val="22"/>
          <w:szCs w:val="22"/>
        </w:rPr>
        <w:t>2010</w:t>
      </w:r>
      <w:r w:rsidR="00AE164A" w:rsidRPr="008F10DE">
        <w:rPr>
          <w:sz w:val="22"/>
          <w:szCs w:val="22"/>
        </w:rPr>
        <w:t xml:space="preserve">). </w:t>
      </w:r>
      <w:r w:rsidRPr="008F10DE">
        <w:rPr>
          <w:sz w:val="22"/>
          <w:szCs w:val="22"/>
        </w:rPr>
        <w:t xml:space="preserve">Moreover, </w:t>
      </w:r>
      <w:r w:rsidR="00AE164A" w:rsidRPr="008F10DE">
        <w:rPr>
          <w:sz w:val="22"/>
          <w:szCs w:val="22"/>
        </w:rPr>
        <w:t xml:space="preserve">it distinguishes the explanatory power of the exogenous variables not only </w:t>
      </w:r>
      <w:r w:rsidR="00AE164A" w:rsidRPr="008F10DE">
        <w:rPr>
          <w:i/>
          <w:sz w:val="22"/>
          <w:szCs w:val="22"/>
        </w:rPr>
        <w:t xml:space="preserve">within </w:t>
      </w:r>
      <w:r w:rsidR="00AE164A" w:rsidRPr="008F10DE">
        <w:rPr>
          <w:sz w:val="22"/>
          <w:szCs w:val="22"/>
        </w:rPr>
        <w:t>spatial boundaries (</w:t>
      </w:r>
      <w:r w:rsidR="00AE164A" w:rsidRPr="008F10DE">
        <w:rPr>
          <w:i/>
          <w:sz w:val="22"/>
          <w:szCs w:val="22"/>
        </w:rPr>
        <w:t>direct effect</w:t>
      </w:r>
      <w:r w:rsidR="00AE164A" w:rsidRPr="008F10DE">
        <w:rPr>
          <w:sz w:val="22"/>
          <w:szCs w:val="22"/>
        </w:rPr>
        <w:t xml:space="preserve">) but also </w:t>
      </w:r>
      <w:r w:rsidR="00AE164A" w:rsidRPr="008F10DE">
        <w:rPr>
          <w:i/>
          <w:sz w:val="22"/>
          <w:szCs w:val="22"/>
        </w:rPr>
        <w:t xml:space="preserve">across </w:t>
      </w:r>
      <w:r w:rsidR="003D1A25" w:rsidRPr="008F10DE">
        <w:rPr>
          <w:sz w:val="22"/>
          <w:szCs w:val="22"/>
        </w:rPr>
        <w:t>spatially</w:t>
      </w:r>
      <w:r w:rsidR="00AE164A" w:rsidRPr="008F10DE">
        <w:rPr>
          <w:sz w:val="22"/>
          <w:szCs w:val="22"/>
        </w:rPr>
        <w:t xml:space="preserve"> contiguous locations (</w:t>
      </w:r>
      <w:r w:rsidR="00AE164A" w:rsidRPr="008F10DE">
        <w:rPr>
          <w:i/>
          <w:sz w:val="22"/>
          <w:szCs w:val="22"/>
        </w:rPr>
        <w:t>indirect effect</w:t>
      </w:r>
      <w:r w:rsidR="00AE164A" w:rsidRPr="008F10DE">
        <w:rPr>
          <w:sz w:val="22"/>
          <w:szCs w:val="22"/>
        </w:rPr>
        <w:t>). Elhorst (</w:t>
      </w:r>
      <w:r w:rsidR="00AE164A" w:rsidRPr="00484BCF">
        <w:rPr>
          <w:color w:val="004F88"/>
          <w:sz w:val="22"/>
          <w:szCs w:val="22"/>
        </w:rPr>
        <w:t>2010</w:t>
      </w:r>
      <w:r w:rsidR="00AE164A" w:rsidRPr="008F10DE">
        <w:rPr>
          <w:sz w:val="22"/>
          <w:szCs w:val="22"/>
        </w:rPr>
        <w:t xml:space="preserve">) demonstrates that the non-spatial model seriously biases the coefficient </w:t>
      </w:r>
      <w:r w:rsidR="00A95C95" w:rsidRPr="008F10DE">
        <w:rPr>
          <w:sz w:val="22"/>
          <w:szCs w:val="22"/>
        </w:rPr>
        <w:t>estimations and</w:t>
      </w:r>
      <w:r w:rsidR="00AE164A" w:rsidRPr="008F10DE">
        <w:rPr>
          <w:sz w:val="22"/>
          <w:szCs w:val="22"/>
        </w:rPr>
        <w:t xml:space="preserve"> is unable to shed light on the indirect effects (spatial spillover effects) from spatially </w:t>
      </w:r>
      <w:r w:rsidR="003D1A25" w:rsidRPr="008F10DE">
        <w:rPr>
          <w:sz w:val="22"/>
          <w:szCs w:val="22"/>
        </w:rPr>
        <w:t>neighbouring</w:t>
      </w:r>
      <w:r w:rsidR="00AE164A" w:rsidRPr="008F10DE">
        <w:rPr>
          <w:sz w:val="22"/>
          <w:szCs w:val="22"/>
        </w:rPr>
        <w:t xml:space="preserve"> units. </w:t>
      </w:r>
      <w:r w:rsidRPr="008F10DE">
        <w:rPr>
          <w:sz w:val="22"/>
          <w:szCs w:val="22"/>
        </w:rPr>
        <w:t>As well</w:t>
      </w:r>
      <w:r w:rsidR="00AE164A" w:rsidRPr="008F10DE">
        <w:rPr>
          <w:sz w:val="22"/>
          <w:szCs w:val="22"/>
        </w:rPr>
        <w:t>, SDM enables us to account for not only spatial dependencies but also spatial heterogeneity across spatial locations by incorporating both spatially lagged dependent variable</w:t>
      </w:r>
      <w:r w:rsidR="00AB7557" w:rsidRPr="008F10DE">
        <w:rPr>
          <w:sz w:val="22"/>
          <w:szCs w:val="22"/>
        </w:rPr>
        <w:t>s</w:t>
      </w:r>
      <w:r w:rsidR="00AE164A" w:rsidRPr="008F10DE">
        <w:rPr>
          <w:sz w:val="22"/>
          <w:szCs w:val="22"/>
        </w:rPr>
        <w:t xml:space="preserve"> and spatially lagged independent variables. Fifth, in terms of the </w:t>
      </w:r>
      <w:r w:rsidR="00AE164A" w:rsidRPr="008F10DE">
        <w:rPr>
          <w:i/>
          <w:sz w:val="22"/>
          <w:szCs w:val="22"/>
        </w:rPr>
        <w:t xml:space="preserve">endogeneity </w:t>
      </w:r>
      <w:r w:rsidR="00AE164A" w:rsidRPr="008F10DE">
        <w:rPr>
          <w:sz w:val="22"/>
          <w:szCs w:val="22"/>
        </w:rPr>
        <w:t>problem (which is typical in an empirical context such as ours), the SDM helps</w:t>
      </w:r>
      <w:r w:rsidR="005D71C2" w:rsidRPr="008F10DE">
        <w:rPr>
          <w:sz w:val="22"/>
          <w:szCs w:val="22"/>
        </w:rPr>
        <w:t xml:space="preserve"> </w:t>
      </w:r>
      <w:r w:rsidR="00AE164A" w:rsidRPr="008F10DE">
        <w:rPr>
          <w:sz w:val="22"/>
          <w:szCs w:val="22"/>
        </w:rPr>
        <w:t>ameliorate endogeneity issues and omitted variable bias.</w:t>
      </w:r>
      <w:r w:rsidR="00AE164A" w:rsidRPr="00B50F0E">
        <w:rPr>
          <w:color w:val="004F88"/>
          <w:sz w:val="22"/>
          <w:szCs w:val="22"/>
          <w:vertAlign w:val="superscript"/>
        </w:rPr>
        <w:footnoteReference w:id="9"/>
      </w:r>
      <w:r w:rsidRPr="00B50F0E">
        <w:rPr>
          <w:color w:val="004F88"/>
          <w:sz w:val="22"/>
          <w:szCs w:val="22"/>
        </w:rPr>
        <w:t xml:space="preserve"> </w:t>
      </w:r>
      <w:r w:rsidR="00AE164A" w:rsidRPr="008F10DE">
        <w:rPr>
          <w:sz w:val="22"/>
          <w:szCs w:val="22"/>
        </w:rPr>
        <w:t>In our estimation, we employ a series of likelihood ratio (LR) tests</w:t>
      </w:r>
      <w:r w:rsidR="003D1A25" w:rsidRPr="008F10DE">
        <w:rPr>
          <w:sz w:val="22"/>
          <w:szCs w:val="22"/>
        </w:rPr>
        <w:t>,</w:t>
      </w:r>
      <w:r w:rsidR="00AE164A" w:rsidRPr="008F10DE">
        <w:rPr>
          <w:sz w:val="22"/>
          <w:szCs w:val="22"/>
        </w:rPr>
        <w:t xml:space="preserve"> as in Elhorst (</w:t>
      </w:r>
      <w:r w:rsidR="00AE164A" w:rsidRPr="00484BCF">
        <w:rPr>
          <w:color w:val="004F88"/>
          <w:sz w:val="22"/>
          <w:szCs w:val="22"/>
        </w:rPr>
        <w:t>2010</w:t>
      </w:r>
      <w:r w:rsidR="00AE164A" w:rsidRPr="008F10DE">
        <w:rPr>
          <w:sz w:val="22"/>
          <w:szCs w:val="22"/>
        </w:rPr>
        <w:t>)</w:t>
      </w:r>
      <w:r w:rsidR="003D1A25" w:rsidRPr="008F10DE">
        <w:rPr>
          <w:sz w:val="22"/>
          <w:szCs w:val="22"/>
        </w:rPr>
        <w:t>,</w:t>
      </w:r>
      <w:r w:rsidR="00AE164A" w:rsidRPr="008F10DE">
        <w:rPr>
          <w:sz w:val="22"/>
          <w:szCs w:val="22"/>
        </w:rPr>
        <w:t xml:space="preserve"> to examine if the SDM is our </w:t>
      </w:r>
      <w:r w:rsidR="003D1A25" w:rsidRPr="008F10DE">
        <w:rPr>
          <w:sz w:val="22"/>
          <w:szCs w:val="22"/>
        </w:rPr>
        <w:t>preferred</w:t>
      </w:r>
      <w:r w:rsidR="00AE164A" w:rsidRPr="008F10DE">
        <w:rPr>
          <w:sz w:val="22"/>
          <w:szCs w:val="22"/>
        </w:rPr>
        <w:t xml:space="preserve"> specification among a set of competitive spatial panel models.</w:t>
      </w:r>
    </w:p>
    <w:p w14:paraId="3BE90C4B" w14:textId="77777777" w:rsidR="006D498D" w:rsidRDefault="006D498D" w:rsidP="006D498D">
      <w:pPr>
        <w:spacing w:after="229" w:line="360" w:lineRule="auto"/>
        <w:ind w:left="-10" w:right="7"/>
        <w:jc w:val="both"/>
        <w:rPr>
          <w:sz w:val="22"/>
          <w:szCs w:val="22"/>
        </w:rPr>
      </w:pPr>
    </w:p>
    <w:p w14:paraId="7B3A93A8" w14:textId="582FC6C3" w:rsidR="003643C6" w:rsidRPr="008F10DE" w:rsidRDefault="00AE164A" w:rsidP="006D498D">
      <w:pPr>
        <w:spacing w:after="229" w:line="360" w:lineRule="auto"/>
        <w:ind w:left="-10" w:right="7"/>
        <w:jc w:val="both"/>
        <w:rPr>
          <w:sz w:val="22"/>
          <w:szCs w:val="22"/>
        </w:rPr>
      </w:pPr>
      <w:r w:rsidRPr="008F10DE">
        <w:rPr>
          <w:sz w:val="22"/>
          <w:szCs w:val="22"/>
        </w:rPr>
        <w:t xml:space="preserve">We can use OLS as the benchmark specification so that </w:t>
      </w:r>
      <w:r w:rsidR="00AB7557" w:rsidRPr="008F10DE">
        <w:rPr>
          <w:sz w:val="22"/>
          <w:szCs w:val="22"/>
        </w:rPr>
        <w:t xml:space="preserve">a </w:t>
      </w:r>
      <w:r w:rsidRPr="008F10DE">
        <w:rPr>
          <w:sz w:val="22"/>
          <w:szCs w:val="22"/>
        </w:rPr>
        <w:t xml:space="preserve">comparison of coefficients from the more robust estimation procedures can be made. Our </w:t>
      </w:r>
      <w:r w:rsidR="00AB7557" w:rsidRPr="008F10DE">
        <w:rPr>
          <w:sz w:val="22"/>
          <w:szCs w:val="22"/>
        </w:rPr>
        <w:t xml:space="preserve">preferred </w:t>
      </w:r>
      <w:r w:rsidRPr="008F10DE">
        <w:rPr>
          <w:sz w:val="22"/>
          <w:szCs w:val="22"/>
        </w:rPr>
        <w:t>estimation technique is the maximum likelihood method (ML)</w:t>
      </w:r>
      <w:r w:rsidR="003D1A25" w:rsidRPr="008F10DE">
        <w:rPr>
          <w:sz w:val="22"/>
          <w:szCs w:val="22"/>
        </w:rPr>
        <w:t>,</w:t>
      </w:r>
      <w:r w:rsidRPr="008F10DE">
        <w:rPr>
          <w:sz w:val="22"/>
          <w:szCs w:val="22"/>
        </w:rPr>
        <w:t xml:space="preserve"> as this is a well-known estimation method defined for a well-behaved likelihood function of the relationship </w:t>
      </w:r>
      <w:r w:rsidR="003D1A25" w:rsidRPr="008F10DE">
        <w:rPr>
          <w:sz w:val="22"/>
          <w:szCs w:val="22"/>
        </w:rPr>
        <w:t>between</w:t>
      </w:r>
      <w:r w:rsidRPr="008F10DE">
        <w:rPr>
          <w:sz w:val="22"/>
          <w:szCs w:val="22"/>
        </w:rPr>
        <w:t xml:space="preserve"> dependent and explanatory variables.</w:t>
      </w:r>
      <w:r w:rsidRPr="00B50F0E">
        <w:rPr>
          <w:color w:val="004F88"/>
          <w:sz w:val="22"/>
          <w:szCs w:val="22"/>
          <w:vertAlign w:val="superscript"/>
        </w:rPr>
        <w:footnoteReference w:id="10"/>
      </w:r>
      <w:r w:rsidRPr="008F10DE">
        <w:rPr>
          <w:sz w:val="22"/>
          <w:szCs w:val="22"/>
          <w:vertAlign w:val="superscript"/>
        </w:rPr>
        <w:t xml:space="preserve"> </w:t>
      </w:r>
      <w:r w:rsidRPr="008F10DE">
        <w:rPr>
          <w:sz w:val="22"/>
          <w:szCs w:val="22"/>
        </w:rPr>
        <w:t>Moreover, the ML method is known to overcome the problem of the imprecise and inappropriate coefficients produced by the OLS method while estimating the (dynamic) spatial panel model (see, for instance</w:t>
      </w:r>
      <w:r w:rsidR="003D1A25" w:rsidRPr="008F10DE">
        <w:rPr>
          <w:sz w:val="22"/>
          <w:szCs w:val="22"/>
        </w:rPr>
        <w:t>,</w:t>
      </w:r>
      <w:r w:rsidRPr="008F10DE">
        <w:rPr>
          <w:sz w:val="22"/>
          <w:szCs w:val="22"/>
        </w:rPr>
        <w:t xml:space="preserve"> Anselin and Hudak </w:t>
      </w:r>
      <w:r w:rsidRPr="00484BCF">
        <w:rPr>
          <w:color w:val="004F88"/>
          <w:sz w:val="22"/>
          <w:szCs w:val="22"/>
        </w:rPr>
        <w:t>1992</w:t>
      </w:r>
      <w:r w:rsidRPr="008F10DE">
        <w:rPr>
          <w:sz w:val="22"/>
          <w:szCs w:val="22"/>
        </w:rPr>
        <w:t xml:space="preserve">; Lee </w:t>
      </w:r>
      <w:r w:rsidRPr="00484BCF">
        <w:rPr>
          <w:color w:val="004F88"/>
          <w:sz w:val="22"/>
          <w:szCs w:val="22"/>
        </w:rPr>
        <w:t>2004</w:t>
      </w:r>
      <w:r w:rsidRPr="008F10DE">
        <w:rPr>
          <w:sz w:val="22"/>
          <w:szCs w:val="22"/>
        </w:rPr>
        <w:t xml:space="preserve">; Yu </w:t>
      </w:r>
      <w:r w:rsidR="00EB3323" w:rsidRPr="00484BCF">
        <w:rPr>
          <w:sz w:val="22"/>
          <w:szCs w:val="22"/>
        </w:rPr>
        <w:t>et al</w:t>
      </w:r>
      <w:r w:rsidR="00EB3323" w:rsidRPr="008F10DE">
        <w:rPr>
          <w:i/>
          <w:iCs/>
          <w:sz w:val="22"/>
          <w:szCs w:val="22"/>
        </w:rPr>
        <w:t>.</w:t>
      </w:r>
      <w:r w:rsidRPr="008F10DE">
        <w:rPr>
          <w:sz w:val="22"/>
          <w:szCs w:val="22"/>
        </w:rPr>
        <w:t xml:space="preserve"> </w:t>
      </w:r>
      <w:r w:rsidRPr="00484BCF">
        <w:rPr>
          <w:color w:val="004F88"/>
          <w:sz w:val="22"/>
          <w:szCs w:val="22"/>
        </w:rPr>
        <w:t>2008</w:t>
      </w:r>
      <w:r w:rsidRPr="008F10DE">
        <w:rPr>
          <w:sz w:val="22"/>
          <w:szCs w:val="22"/>
        </w:rPr>
        <w:t xml:space="preserve">, among others). Furthermore, the ML method applied to our SDM specification provides us with consistent estimates of coefficients when </w:t>
      </w:r>
      <w:r w:rsidR="00AB7557" w:rsidRPr="008F10DE">
        <w:rPr>
          <w:sz w:val="22"/>
          <w:szCs w:val="22"/>
        </w:rPr>
        <w:t xml:space="preserve">the </w:t>
      </w:r>
      <w:r w:rsidRPr="008F10DE">
        <w:rPr>
          <w:sz w:val="22"/>
          <w:szCs w:val="22"/>
        </w:rPr>
        <w:t xml:space="preserve">numbers of both periods and spatial units are large (Yu </w:t>
      </w:r>
      <w:r w:rsidR="00EB3323" w:rsidRPr="00484BCF">
        <w:rPr>
          <w:sz w:val="22"/>
          <w:szCs w:val="22"/>
        </w:rPr>
        <w:t>et al.</w:t>
      </w:r>
      <w:r w:rsidRPr="008F10DE">
        <w:rPr>
          <w:sz w:val="22"/>
          <w:szCs w:val="22"/>
        </w:rPr>
        <w:t xml:space="preserve"> </w:t>
      </w:r>
      <w:r w:rsidRPr="00484BCF">
        <w:rPr>
          <w:color w:val="004F88"/>
          <w:sz w:val="22"/>
          <w:szCs w:val="22"/>
        </w:rPr>
        <w:t>2008</w:t>
      </w:r>
      <w:r w:rsidRPr="008F10DE">
        <w:rPr>
          <w:sz w:val="22"/>
          <w:szCs w:val="22"/>
        </w:rPr>
        <w:t>).</w:t>
      </w:r>
      <w:r w:rsidRPr="00B50F0E">
        <w:rPr>
          <w:color w:val="004F88"/>
          <w:sz w:val="22"/>
          <w:szCs w:val="22"/>
          <w:vertAlign w:val="superscript"/>
        </w:rPr>
        <w:footnoteReference w:id="11"/>
      </w:r>
      <w:r w:rsidRPr="008F10DE">
        <w:rPr>
          <w:sz w:val="22"/>
          <w:szCs w:val="22"/>
          <w:vertAlign w:val="superscript"/>
        </w:rPr>
        <w:t xml:space="preserve"> </w:t>
      </w:r>
      <w:r w:rsidRPr="008F10DE">
        <w:rPr>
          <w:sz w:val="22"/>
          <w:szCs w:val="22"/>
        </w:rPr>
        <w:t xml:space="preserve">Bias corrections of the </w:t>
      </w:r>
      <w:r w:rsidR="00B7415C" w:rsidRPr="008F10DE">
        <w:rPr>
          <w:sz w:val="22"/>
          <w:szCs w:val="22"/>
        </w:rPr>
        <w:t>estimated</w:t>
      </w:r>
      <w:r w:rsidRPr="008F10DE">
        <w:rPr>
          <w:sz w:val="22"/>
          <w:szCs w:val="22"/>
        </w:rPr>
        <w:t xml:space="preserve"> coefficients can also be measured and can be used to adjust the deviations in the initial ML estimators. In addition, estimating the spatial panel model by the ML technique allows practitioners to investigate if the specific group of estimated coefficients </w:t>
      </w:r>
      <w:r w:rsidR="00AB7557" w:rsidRPr="008F10DE">
        <w:rPr>
          <w:sz w:val="22"/>
          <w:szCs w:val="22"/>
        </w:rPr>
        <w:t xml:space="preserve">is </w:t>
      </w:r>
      <w:r w:rsidRPr="008F10DE">
        <w:rPr>
          <w:sz w:val="22"/>
          <w:szCs w:val="22"/>
        </w:rPr>
        <w:t>jointly significant by using the likelihood ratio (LR) test. This imposing property of the ML method is important for identifying the right model specification, determining thereby if the selected spatial panel model (i) is static or dynamic and (ii) SAR, SDM</w:t>
      </w:r>
      <w:r w:rsidR="00AB7557" w:rsidRPr="008F10DE">
        <w:rPr>
          <w:sz w:val="22"/>
          <w:szCs w:val="22"/>
        </w:rPr>
        <w:t>,</w:t>
      </w:r>
      <w:r w:rsidRPr="008F10DE">
        <w:rPr>
          <w:sz w:val="22"/>
          <w:szCs w:val="22"/>
        </w:rPr>
        <w:t xml:space="preserve"> or SEM.</w:t>
      </w:r>
    </w:p>
    <w:p w14:paraId="50AD81F4" w14:textId="5C76AD1B" w:rsidR="003643C6" w:rsidRPr="008F10DE" w:rsidRDefault="00AE164A" w:rsidP="006D498D">
      <w:pPr>
        <w:spacing w:line="360" w:lineRule="auto"/>
        <w:ind w:left="-10" w:right="7"/>
        <w:jc w:val="both"/>
        <w:rPr>
          <w:sz w:val="22"/>
          <w:szCs w:val="22"/>
        </w:rPr>
      </w:pPr>
      <w:r w:rsidRPr="008F10DE">
        <w:rPr>
          <w:sz w:val="22"/>
          <w:szCs w:val="22"/>
        </w:rPr>
        <w:t xml:space="preserve">An alternative method is </w:t>
      </w:r>
      <w:r w:rsidR="00CD3D4D" w:rsidRPr="008F10DE">
        <w:rPr>
          <w:sz w:val="22"/>
          <w:szCs w:val="22"/>
        </w:rPr>
        <w:t>to use an</w:t>
      </w:r>
      <w:r w:rsidRPr="008F10DE">
        <w:rPr>
          <w:sz w:val="22"/>
          <w:szCs w:val="22"/>
        </w:rPr>
        <w:t xml:space="preserve"> instrumental </w:t>
      </w:r>
      <w:r w:rsidR="003D1A25" w:rsidRPr="008F10DE">
        <w:rPr>
          <w:sz w:val="22"/>
          <w:szCs w:val="22"/>
        </w:rPr>
        <w:t>variable</w:t>
      </w:r>
      <w:r w:rsidRPr="008F10DE">
        <w:rPr>
          <w:sz w:val="22"/>
          <w:szCs w:val="22"/>
        </w:rPr>
        <w:t xml:space="preserve"> regression (IV /2SLS) approach. In general, the estimators of either the ML or the IV/2SLS for the spatial panel model can be reliable </w:t>
      </w:r>
      <w:r w:rsidR="00B7415C" w:rsidRPr="008F10DE">
        <w:rPr>
          <w:sz w:val="22"/>
          <w:szCs w:val="22"/>
        </w:rPr>
        <w:t>if</w:t>
      </w:r>
      <w:r w:rsidRPr="008F10DE">
        <w:rPr>
          <w:sz w:val="22"/>
          <w:szCs w:val="22"/>
        </w:rPr>
        <w:t xml:space="preserve"> specific assumptions of each method are satisfied, viz., consistent and asymptotically distributed estimators for the ML method (Kelejian and Prucha </w:t>
      </w:r>
      <w:r w:rsidRPr="00484BCF">
        <w:rPr>
          <w:color w:val="004F88"/>
          <w:sz w:val="22"/>
          <w:szCs w:val="22"/>
        </w:rPr>
        <w:t>1998</w:t>
      </w:r>
      <w:r w:rsidR="002E1949" w:rsidRPr="008F10DE">
        <w:rPr>
          <w:sz w:val="22"/>
          <w:szCs w:val="22"/>
        </w:rPr>
        <w:t>) and</w:t>
      </w:r>
      <w:r w:rsidRPr="008F10DE">
        <w:rPr>
          <w:sz w:val="22"/>
          <w:szCs w:val="22"/>
        </w:rPr>
        <w:t xml:space="preserve"> correlated explanatory variables for the IV/2SLS method (Lee </w:t>
      </w:r>
      <w:r w:rsidRPr="00484BCF">
        <w:rPr>
          <w:color w:val="004F88"/>
          <w:sz w:val="22"/>
          <w:szCs w:val="22"/>
        </w:rPr>
        <w:t>2004</w:t>
      </w:r>
      <w:r w:rsidRPr="008F10DE">
        <w:rPr>
          <w:sz w:val="22"/>
          <w:szCs w:val="22"/>
        </w:rPr>
        <w:t>). We do not employ the IV/2SLS method in our estimation because</w:t>
      </w:r>
      <w:r w:rsidR="00AB7557" w:rsidRPr="008F10DE">
        <w:rPr>
          <w:sz w:val="22"/>
          <w:szCs w:val="22"/>
        </w:rPr>
        <w:t>,</w:t>
      </w:r>
      <w:r w:rsidRPr="008F10DE">
        <w:rPr>
          <w:sz w:val="22"/>
          <w:szCs w:val="22"/>
        </w:rPr>
        <w:t xml:space="preserve"> despite its potential to eliminate endogeneity, it still fails to account for issues such as the effects of additional endogenous variables in the regression (Fingleton and Le Gallo </w:t>
      </w:r>
      <w:r w:rsidRPr="00484BCF">
        <w:rPr>
          <w:color w:val="004F88"/>
          <w:sz w:val="22"/>
          <w:szCs w:val="22"/>
        </w:rPr>
        <w:t>2010</w:t>
      </w:r>
      <w:r w:rsidRPr="008F10DE">
        <w:rPr>
          <w:sz w:val="22"/>
          <w:szCs w:val="22"/>
        </w:rPr>
        <w:t>). Moreover, the specification of the SDM in Fingleton and Le Gallo (</w:t>
      </w:r>
      <w:r w:rsidRPr="005B1D9D">
        <w:rPr>
          <w:color w:val="004F88"/>
          <w:sz w:val="22"/>
          <w:szCs w:val="22"/>
        </w:rPr>
        <w:t>2010</w:t>
      </w:r>
      <w:r w:rsidRPr="008F10DE">
        <w:rPr>
          <w:sz w:val="22"/>
          <w:szCs w:val="22"/>
        </w:rPr>
        <w:t>) not only contains spatial endogenous and exogenous interactions but also adds spatial residual interactions, which may further cause the problem of parameter identification raised by Manski (</w:t>
      </w:r>
      <w:r w:rsidRPr="00484BCF">
        <w:rPr>
          <w:color w:val="004F88"/>
          <w:sz w:val="22"/>
          <w:szCs w:val="22"/>
        </w:rPr>
        <w:t>1993</w:t>
      </w:r>
      <w:r w:rsidRPr="008F10DE">
        <w:rPr>
          <w:sz w:val="22"/>
          <w:szCs w:val="22"/>
        </w:rPr>
        <w:t xml:space="preserve">). Finally, in contrast with </w:t>
      </w:r>
      <w:r w:rsidR="00AB7557" w:rsidRPr="008F10DE">
        <w:rPr>
          <w:sz w:val="22"/>
          <w:szCs w:val="22"/>
        </w:rPr>
        <w:t xml:space="preserve">the </w:t>
      </w:r>
      <w:r w:rsidRPr="008F10DE">
        <w:rPr>
          <w:sz w:val="22"/>
          <w:szCs w:val="22"/>
        </w:rPr>
        <w:t xml:space="preserve">ML method, the IV/2SLS method could not </w:t>
      </w:r>
      <w:r w:rsidR="00CD3D4D" w:rsidRPr="008F10DE">
        <w:rPr>
          <w:sz w:val="22"/>
          <w:szCs w:val="22"/>
        </w:rPr>
        <w:t>contribute</w:t>
      </w:r>
      <w:r w:rsidRPr="008F10DE">
        <w:rPr>
          <w:sz w:val="22"/>
          <w:szCs w:val="22"/>
        </w:rPr>
        <w:t xml:space="preserve"> to the joint significance test of the regressors (Kelejian and Prucha </w:t>
      </w:r>
      <w:r w:rsidRPr="00B50F0E">
        <w:rPr>
          <w:color w:val="004F88"/>
          <w:sz w:val="22"/>
          <w:szCs w:val="22"/>
        </w:rPr>
        <w:t>1998</w:t>
      </w:r>
      <w:r w:rsidRPr="008F10DE">
        <w:rPr>
          <w:sz w:val="22"/>
          <w:szCs w:val="22"/>
        </w:rPr>
        <w:t>). For these reasons, we choose the ML estimation method for our SDM specification</w:t>
      </w:r>
      <w:r w:rsidR="009B588C" w:rsidRPr="00B50F0E">
        <w:rPr>
          <w:rStyle w:val="FootnoteReference"/>
          <w:color w:val="004F88"/>
          <w:sz w:val="22"/>
          <w:szCs w:val="22"/>
        </w:rPr>
        <w:footnoteReference w:id="12"/>
      </w:r>
      <w:r w:rsidRPr="008F10DE">
        <w:rPr>
          <w:sz w:val="22"/>
          <w:szCs w:val="22"/>
        </w:rPr>
        <w:t>.</w:t>
      </w:r>
    </w:p>
    <w:p w14:paraId="11BAA88C" w14:textId="77777777" w:rsidR="006D498D" w:rsidRDefault="006D498D" w:rsidP="006D498D">
      <w:pPr>
        <w:spacing w:line="360" w:lineRule="auto"/>
        <w:ind w:left="-10" w:right="7"/>
        <w:jc w:val="both"/>
        <w:rPr>
          <w:sz w:val="22"/>
          <w:szCs w:val="22"/>
        </w:rPr>
      </w:pPr>
    </w:p>
    <w:p w14:paraId="3836BDAF" w14:textId="768970D6" w:rsidR="009B588C" w:rsidRPr="008F10DE" w:rsidRDefault="009B588C" w:rsidP="006D498D">
      <w:pPr>
        <w:spacing w:line="360" w:lineRule="auto"/>
        <w:ind w:left="-10" w:right="7"/>
        <w:jc w:val="both"/>
        <w:rPr>
          <w:sz w:val="22"/>
          <w:szCs w:val="22"/>
        </w:rPr>
      </w:pPr>
      <w:r w:rsidRPr="008F10DE">
        <w:rPr>
          <w:sz w:val="22"/>
          <w:szCs w:val="22"/>
        </w:rPr>
        <w:t xml:space="preserve">In terms of a location, the </w:t>
      </w:r>
      <w:r w:rsidRPr="008F10DE">
        <w:rPr>
          <w:i/>
          <w:sz w:val="22"/>
          <w:szCs w:val="22"/>
        </w:rPr>
        <w:t xml:space="preserve">direct effect </w:t>
      </w:r>
      <w:r w:rsidRPr="008F10DE">
        <w:rPr>
          <w:sz w:val="22"/>
          <w:szCs w:val="22"/>
        </w:rPr>
        <w:t xml:space="preserve">refers to the averaged (own-partial) derivative of Y with respect to explanatory variables, X, from the same location. The </w:t>
      </w:r>
      <w:r w:rsidRPr="008F10DE">
        <w:rPr>
          <w:i/>
          <w:sz w:val="22"/>
          <w:szCs w:val="22"/>
        </w:rPr>
        <w:t>indirect effect</w:t>
      </w:r>
      <w:r w:rsidRPr="008F10DE">
        <w:rPr>
          <w:sz w:val="22"/>
          <w:szCs w:val="22"/>
        </w:rPr>
        <w:t>, also termed the spatial spillover effect, refers to the averaged (cross partial) derivative of Y with respect to explanatory variables, X, from the neighbouring locations. According to Blanchard et al</w:t>
      </w:r>
      <w:r w:rsidRPr="008F10DE">
        <w:rPr>
          <w:i/>
          <w:iCs/>
          <w:sz w:val="22"/>
          <w:szCs w:val="22"/>
        </w:rPr>
        <w:t>.</w:t>
      </w:r>
      <w:r w:rsidRPr="008F10DE">
        <w:rPr>
          <w:sz w:val="22"/>
          <w:szCs w:val="22"/>
        </w:rPr>
        <w:t xml:space="preserve"> (</w:t>
      </w:r>
      <w:r w:rsidRPr="00484BCF">
        <w:rPr>
          <w:color w:val="004F88"/>
          <w:sz w:val="22"/>
          <w:szCs w:val="22"/>
        </w:rPr>
        <w:t>1992</w:t>
      </w:r>
      <w:r w:rsidRPr="008F10DE">
        <w:rPr>
          <w:sz w:val="22"/>
          <w:szCs w:val="22"/>
        </w:rPr>
        <w:t xml:space="preserve">) and De Groot and Elhorst </w:t>
      </w:r>
      <w:r w:rsidRPr="00484BCF">
        <w:rPr>
          <w:color w:val="004F88"/>
          <w:sz w:val="22"/>
          <w:szCs w:val="22"/>
        </w:rPr>
        <w:t>(2010</w:t>
      </w:r>
      <w:r w:rsidRPr="008F10DE">
        <w:rPr>
          <w:sz w:val="22"/>
          <w:szCs w:val="22"/>
        </w:rPr>
        <w:t>), by using the PD method, it is possible to characterise the error correction process so that one can envisage how an economy adjusts back to its long-term equilibrium over time. To summarise, with respect to the estimation method of the dynamic SDM, we employ the ML method to estimate our main model. It will also help us compare our work with the existing literature, which invariably applies the ML method for estimation. In addition, the PD can be regarded as an alternative method to check whether the direct/indirect effects of the independent variables obtained from the ML estimation are robust or not.</w:t>
      </w:r>
    </w:p>
    <w:p w14:paraId="03A65A7E" w14:textId="2F71059D" w:rsidR="00E34FE5" w:rsidRPr="008F10DE" w:rsidRDefault="0002747E" w:rsidP="005A2333">
      <w:pPr>
        <w:pStyle w:val="Heading2"/>
        <w:rPr>
          <w:b w:val="0"/>
          <w:bCs w:val="0"/>
          <w:sz w:val="22"/>
          <w:szCs w:val="22"/>
        </w:rPr>
      </w:pPr>
      <w:r w:rsidRPr="008F10DE">
        <w:rPr>
          <w:sz w:val="22"/>
          <w:szCs w:val="22"/>
        </w:rPr>
        <w:t>4.3</w:t>
      </w:r>
      <w:r w:rsidR="00F2635D" w:rsidRPr="008F10DE">
        <w:rPr>
          <w:sz w:val="22"/>
          <w:szCs w:val="22"/>
        </w:rPr>
        <w:t>.</w:t>
      </w:r>
      <w:r w:rsidR="009B588C" w:rsidRPr="008F10DE">
        <w:rPr>
          <w:sz w:val="22"/>
          <w:szCs w:val="22"/>
        </w:rPr>
        <w:t xml:space="preserve"> Choice of </w:t>
      </w:r>
      <w:r w:rsidR="00FB41ED">
        <w:rPr>
          <w:sz w:val="22"/>
          <w:szCs w:val="22"/>
        </w:rPr>
        <w:t>R</w:t>
      </w:r>
      <w:r w:rsidR="009B588C" w:rsidRPr="008F10DE">
        <w:rPr>
          <w:sz w:val="22"/>
          <w:szCs w:val="22"/>
        </w:rPr>
        <w:t xml:space="preserve">egression </w:t>
      </w:r>
      <w:r w:rsidR="00FB41ED">
        <w:rPr>
          <w:sz w:val="22"/>
          <w:szCs w:val="22"/>
        </w:rPr>
        <w:t>A</w:t>
      </w:r>
      <w:r w:rsidR="009B588C" w:rsidRPr="008F10DE">
        <w:rPr>
          <w:sz w:val="22"/>
          <w:szCs w:val="22"/>
        </w:rPr>
        <w:t xml:space="preserve">pproach: </w:t>
      </w:r>
      <w:r w:rsidR="00E34FE5" w:rsidRPr="008F10DE">
        <w:rPr>
          <w:sz w:val="22"/>
          <w:szCs w:val="22"/>
        </w:rPr>
        <w:t xml:space="preserve">Spatial </w:t>
      </w:r>
      <w:r w:rsidR="005B1FB8" w:rsidRPr="008F10DE">
        <w:rPr>
          <w:sz w:val="22"/>
          <w:szCs w:val="22"/>
        </w:rPr>
        <w:t>Tobit</w:t>
      </w:r>
      <w:r w:rsidR="00A4624C" w:rsidRPr="008F10DE">
        <w:rPr>
          <w:sz w:val="22"/>
          <w:szCs w:val="22"/>
        </w:rPr>
        <w:t xml:space="preserve"> M</w:t>
      </w:r>
      <w:r w:rsidR="00E34FE5" w:rsidRPr="008F10DE">
        <w:rPr>
          <w:sz w:val="22"/>
          <w:szCs w:val="22"/>
        </w:rPr>
        <w:t xml:space="preserve">odel (STM) </w:t>
      </w:r>
    </w:p>
    <w:p w14:paraId="17C29703" w14:textId="1503445E" w:rsidR="00763B37" w:rsidRPr="008F10DE" w:rsidRDefault="00763B37" w:rsidP="006D498D">
      <w:pPr>
        <w:spacing w:before="100" w:beforeAutospacing="1" w:after="100" w:afterAutospacing="1" w:line="360" w:lineRule="auto"/>
        <w:jc w:val="both"/>
        <w:rPr>
          <w:sz w:val="22"/>
          <w:szCs w:val="22"/>
        </w:rPr>
      </w:pPr>
      <w:r w:rsidRPr="008F10DE">
        <w:rPr>
          <w:sz w:val="22"/>
          <w:szCs w:val="22"/>
        </w:rPr>
        <w:t>Due to the nature of the distribution of our dependent variable (bank efficiency score) where we have lower and upper limit</w:t>
      </w:r>
      <w:r w:rsidR="00AB7557" w:rsidRPr="008F10DE">
        <w:rPr>
          <w:sz w:val="22"/>
          <w:szCs w:val="22"/>
        </w:rPr>
        <w:t>s</w:t>
      </w:r>
      <w:r w:rsidRPr="008F10DE">
        <w:rPr>
          <w:sz w:val="22"/>
          <w:szCs w:val="22"/>
        </w:rPr>
        <w:t xml:space="preserve">, we have employed </w:t>
      </w:r>
      <w:r w:rsidR="00AB7557" w:rsidRPr="008F10DE">
        <w:rPr>
          <w:sz w:val="22"/>
          <w:szCs w:val="22"/>
        </w:rPr>
        <w:t xml:space="preserve">the </w:t>
      </w:r>
      <w:r w:rsidRPr="008F10DE">
        <w:rPr>
          <w:sz w:val="22"/>
          <w:szCs w:val="22"/>
        </w:rPr>
        <w:t>spatial version Tobit model</w:t>
      </w:r>
      <w:r w:rsidR="005B1FB8" w:rsidRPr="008F10DE">
        <w:rPr>
          <w:sz w:val="22"/>
          <w:szCs w:val="22"/>
        </w:rPr>
        <w:t xml:space="preserve">, </w:t>
      </w:r>
      <w:r w:rsidRPr="008F10DE">
        <w:rPr>
          <w:sz w:val="22"/>
          <w:szCs w:val="22"/>
        </w:rPr>
        <w:t>which is expressed as:</w:t>
      </w:r>
    </w:p>
    <w:p w14:paraId="14F066F9" w14:textId="5E17D12D" w:rsidR="00B7415C" w:rsidRPr="008F10DE" w:rsidRDefault="00000000" w:rsidP="006D498D">
      <w:pPr>
        <w:spacing w:line="360" w:lineRule="auto"/>
        <w:ind w:left="2160" w:firstLine="720"/>
        <w:jc w:val="both"/>
        <w:rPr>
          <w:sz w:val="22"/>
          <w:szCs w:val="22"/>
        </w:rPr>
      </w:pP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=max</m:t>
        </m:r>
        <m:d>
          <m:dPr>
            <m:begChr m:val="{"/>
            <m:endChr m:val="}"/>
            <m:ctrlPr>
              <w:rPr>
                <w:rFonts w:ascii="Cambria Math" w:hAnsi="Cambria Math"/>
                <w:i/>
                <w:sz w:val="22"/>
                <w:szCs w:val="22"/>
              </w:rPr>
            </m:ctrlPr>
          </m:dPr>
          <m:e>
            <m:r>
              <w:rPr>
                <w:rFonts w:ascii="Cambria Math" w:hAnsi="Cambria Math"/>
                <w:sz w:val="22"/>
                <w:szCs w:val="22"/>
              </w:rPr>
              <m:t>0,λ</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ij</m:t>
                    </m:r>
                  </m:sub>
                </m:sSub>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β+</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m:t>
                    </m:r>
                  </m:sub>
                </m:sSub>
              </m:e>
            </m:nary>
          </m:e>
        </m:d>
      </m:oMath>
      <w:r w:rsidR="00B7415C" w:rsidRPr="008F10DE">
        <w:rPr>
          <w:sz w:val="22"/>
          <w:szCs w:val="22"/>
        </w:rPr>
        <w:tab/>
      </w:r>
      <w:r w:rsidR="00B7415C" w:rsidRPr="008F10DE">
        <w:rPr>
          <w:sz w:val="22"/>
          <w:szCs w:val="22"/>
        </w:rPr>
        <w:tab/>
      </w:r>
      <w:r w:rsidR="00B7415C" w:rsidRPr="008F10DE">
        <w:rPr>
          <w:sz w:val="22"/>
          <w:szCs w:val="22"/>
        </w:rPr>
        <w:tab/>
      </w:r>
      <w:r w:rsidR="00B7415C" w:rsidRPr="008F10DE">
        <w:rPr>
          <w:sz w:val="22"/>
          <w:szCs w:val="22"/>
        </w:rPr>
        <w:tab/>
        <w:t>(</w:t>
      </w:r>
      <w:r w:rsidR="00707127" w:rsidRPr="008F10DE">
        <w:rPr>
          <w:sz w:val="22"/>
          <w:szCs w:val="22"/>
        </w:rPr>
        <w:t>1</w:t>
      </w:r>
      <w:r w:rsidR="00850917" w:rsidRPr="008F10DE">
        <w:rPr>
          <w:sz w:val="22"/>
          <w:szCs w:val="22"/>
        </w:rPr>
        <w:t>3</w:t>
      </w:r>
      <w:r w:rsidR="00B7415C" w:rsidRPr="008F10DE">
        <w:rPr>
          <w:sz w:val="22"/>
          <w:szCs w:val="22"/>
        </w:rPr>
        <w:t>)</w:t>
      </w:r>
    </w:p>
    <w:p w14:paraId="76F2C128" w14:textId="77777777" w:rsidR="00B7415C" w:rsidRPr="008F10DE" w:rsidRDefault="00B7415C" w:rsidP="00B7415C">
      <w:pPr>
        <w:spacing w:line="360" w:lineRule="auto"/>
        <w:jc w:val="both"/>
        <w:rPr>
          <w:sz w:val="22"/>
          <w:szCs w:val="22"/>
        </w:rPr>
      </w:pPr>
    </w:p>
    <w:p w14:paraId="5ED09253" w14:textId="4DFCD135" w:rsidR="00763B37" w:rsidRPr="008F10DE" w:rsidRDefault="00763B37" w:rsidP="00B7415C">
      <w:pPr>
        <w:spacing w:line="360" w:lineRule="auto"/>
        <w:jc w:val="both"/>
        <w:rPr>
          <w:sz w:val="22"/>
          <w:szCs w:val="22"/>
        </w:rPr>
      </w:pPr>
      <w:r w:rsidRPr="008F10DE">
        <w:rPr>
          <w:sz w:val="22"/>
          <w:szCs w:val="22"/>
        </w:rPr>
        <w:t xml:space="preserve">and the “latent spatial lag </w:t>
      </w:r>
      <w:r w:rsidR="00A4624C" w:rsidRPr="008F10DE">
        <w:rPr>
          <w:sz w:val="22"/>
          <w:szCs w:val="22"/>
        </w:rPr>
        <w:t>T</w:t>
      </w:r>
      <w:r w:rsidRPr="008F10DE">
        <w:rPr>
          <w:sz w:val="22"/>
          <w:szCs w:val="22"/>
        </w:rPr>
        <w:t xml:space="preserve">obit model”, which is expressed through the latent variable у, - defined by the </w:t>
      </w:r>
      <w:r w:rsidR="005D71C2" w:rsidRPr="008F10DE">
        <w:rPr>
          <w:sz w:val="22"/>
          <w:szCs w:val="22"/>
        </w:rPr>
        <w:t>E</w:t>
      </w:r>
      <w:r w:rsidRPr="008F10DE">
        <w:rPr>
          <w:sz w:val="22"/>
          <w:szCs w:val="22"/>
        </w:rPr>
        <w:t>quation:</w:t>
      </w:r>
    </w:p>
    <w:p w14:paraId="57E7CA36" w14:textId="77777777" w:rsidR="00235D31" w:rsidRPr="008F10DE" w:rsidRDefault="00235D31" w:rsidP="00B7415C">
      <w:pPr>
        <w:spacing w:line="360" w:lineRule="auto"/>
        <w:jc w:val="both"/>
        <w:rPr>
          <w:sz w:val="22"/>
          <w:szCs w:val="22"/>
        </w:rPr>
      </w:pPr>
    </w:p>
    <w:p w14:paraId="028A7543" w14:textId="4559C753" w:rsidR="00763B37" w:rsidRPr="008F10DE" w:rsidRDefault="00000000" w:rsidP="006D498D">
      <w:pPr>
        <w:spacing w:line="360" w:lineRule="auto"/>
        <w:ind w:left="1440" w:firstLine="720"/>
        <w:jc w:val="center"/>
        <w:rPr>
          <w:sz w:val="22"/>
          <w:szCs w:val="22"/>
        </w:rPr>
      </w:pP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=max</m:t>
        </m:r>
        <m:d>
          <m:dPr>
            <m:begChr m:val="{"/>
            <m:endChr m:val="}"/>
            <m:ctrlPr>
              <w:rPr>
                <w:rFonts w:ascii="Cambria Math" w:hAnsi="Cambria Math"/>
                <w:i/>
                <w:sz w:val="22"/>
                <w:szCs w:val="22"/>
              </w:rPr>
            </m:ctrlPr>
          </m:dPr>
          <m:e>
            <m:r>
              <w:rPr>
                <w:rFonts w:ascii="Cambria Math" w:hAnsi="Cambria Math"/>
                <w:sz w:val="22"/>
                <w:szCs w:val="22"/>
              </w:rPr>
              <m:t>0,</m:t>
            </m:r>
            <m:sSubSup>
              <m:sSubSupPr>
                <m:ctrlPr>
                  <w:rPr>
                    <w:rFonts w:ascii="Cambria Math" w:hAnsi="Cambria Math"/>
                    <w:i/>
                    <w:sz w:val="22"/>
                    <w:szCs w:val="22"/>
                  </w:rPr>
                </m:ctrlPr>
              </m:sSubSupPr>
              <m:e>
                <m:r>
                  <w:rPr>
                    <w:rFonts w:ascii="Cambria Math" w:hAnsi="Cambria Math"/>
                    <w:sz w:val="22"/>
                    <w:szCs w:val="22"/>
                  </w:rPr>
                  <m:t>y</m:t>
                </m:r>
              </m:e>
              <m:sub>
                <m:r>
                  <w:rPr>
                    <w:rFonts w:ascii="Cambria Math" w:hAnsi="Cambria Math"/>
                    <w:sz w:val="22"/>
                    <w:szCs w:val="22"/>
                  </w:rPr>
                  <m:t>i</m:t>
                </m:r>
              </m:sub>
              <m:sup>
                <m:r>
                  <w:rPr>
                    <w:rFonts w:ascii="Cambria Math" w:hAnsi="Cambria Math"/>
                    <w:sz w:val="22"/>
                    <w:szCs w:val="22"/>
                  </w:rPr>
                  <m:t>*</m:t>
                </m:r>
              </m:sup>
            </m:sSubSup>
          </m:e>
        </m:d>
        <m:r>
          <w:rPr>
            <w:rFonts w:ascii="Cambria Math" w:hAnsi="Cambria Math"/>
            <w:sz w:val="22"/>
            <w:szCs w:val="22"/>
          </w:rPr>
          <m:t xml:space="preserve">where </m:t>
        </m:r>
        <m:sSubSup>
          <m:sSubSupPr>
            <m:ctrlPr>
              <w:rPr>
                <w:rFonts w:ascii="Cambria Math" w:hAnsi="Cambria Math"/>
                <w:i/>
                <w:sz w:val="22"/>
                <w:szCs w:val="22"/>
              </w:rPr>
            </m:ctrlPr>
          </m:sSubSupPr>
          <m:e>
            <m:r>
              <w:rPr>
                <w:rFonts w:ascii="Cambria Math" w:hAnsi="Cambria Math"/>
                <w:sz w:val="22"/>
                <w:szCs w:val="22"/>
              </w:rPr>
              <m:t>y</m:t>
            </m:r>
          </m:e>
          <m:sub>
            <m:r>
              <w:rPr>
                <w:rFonts w:ascii="Cambria Math" w:hAnsi="Cambria Math"/>
                <w:sz w:val="22"/>
                <w:szCs w:val="22"/>
              </w:rPr>
              <m:t>i</m:t>
            </m:r>
          </m:sub>
          <m:sup>
            <m:r>
              <w:rPr>
                <w:rFonts w:ascii="Cambria Math" w:hAnsi="Cambria Math"/>
                <w:sz w:val="22"/>
                <w:szCs w:val="22"/>
              </w:rPr>
              <m:t>*</m:t>
            </m:r>
          </m:sup>
        </m:sSubSup>
        <m:r>
          <w:rPr>
            <w:rFonts w:ascii="Cambria Math" w:hAnsi="Cambria Math"/>
            <w:sz w:val="22"/>
            <w:szCs w:val="22"/>
          </w:rPr>
          <m:t>=λ</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ij</m:t>
                </m:r>
              </m:sub>
            </m:sSub>
            <m:sSubSup>
              <m:sSubSupPr>
                <m:ctrlPr>
                  <w:rPr>
                    <w:rFonts w:ascii="Cambria Math" w:hAnsi="Cambria Math"/>
                    <w:i/>
                    <w:sz w:val="22"/>
                    <w:szCs w:val="22"/>
                  </w:rPr>
                </m:ctrlPr>
              </m:sSubSupPr>
              <m:e>
                <m:r>
                  <w:rPr>
                    <w:rFonts w:ascii="Cambria Math" w:hAnsi="Cambria Math"/>
                    <w:sz w:val="22"/>
                    <w:szCs w:val="22"/>
                  </w:rPr>
                  <m:t>y</m:t>
                </m:r>
              </m:e>
              <m:sub>
                <m:r>
                  <w:rPr>
                    <w:rFonts w:ascii="Cambria Math" w:hAnsi="Cambria Math"/>
                    <w:sz w:val="22"/>
                    <w:szCs w:val="22"/>
                  </w:rPr>
                  <m:t>i</m:t>
                </m:r>
              </m:sub>
              <m:sup>
                <m:r>
                  <w:rPr>
                    <w:rFonts w:ascii="Cambria Math" w:hAnsi="Cambria Math"/>
                    <w:sz w:val="22"/>
                    <w:szCs w:val="22"/>
                  </w:rPr>
                  <m:t>*</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β+</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m:t>
                </m:r>
              </m:sub>
            </m:sSub>
          </m:e>
        </m:nary>
      </m:oMath>
      <w:r w:rsidR="00B7415C" w:rsidRPr="008F10DE">
        <w:rPr>
          <w:sz w:val="22"/>
          <w:szCs w:val="22"/>
        </w:rPr>
        <w:tab/>
      </w:r>
      <w:r w:rsidR="00B7415C" w:rsidRPr="008F10DE">
        <w:rPr>
          <w:sz w:val="22"/>
          <w:szCs w:val="22"/>
        </w:rPr>
        <w:tab/>
      </w:r>
      <w:r w:rsidR="00B7415C" w:rsidRPr="008F10DE">
        <w:rPr>
          <w:sz w:val="22"/>
          <w:szCs w:val="22"/>
        </w:rPr>
        <w:tab/>
      </w:r>
      <w:r w:rsidR="00A7311B" w:rsidRPr="008F10DE">
        <w:rPr>
          <w:sz w:val="22"/>
          <w:szCs w:val="22"/>
        </w:rPr>
        <w:t>(</w:t>
      </w:r>
      <w:r w:rsidR="00707127" w:rsidRPr="008F10DE">
        <w:rPr>
          <w:sz w:val="22"/>
          <w:szCs w:val="22"/>
        </w:rPr>
        <w:t>1</w:t>
      </w:r>
      <w:r w:rsidR="00850917" w:rsidRPr="008F10DE">
        <w:rPr>
          <w:sz w:val="22"/>
          <w:szCs w:val="22"/>
        </w:rPr>
        <w:t>4</w:t>
      </w:r>
      <w:r w:rsidR="00A7311B" w:rsidRPr="008F10DE">
        <w:rPr>
          <w:sz w:val="22"/>
          <w:szCs w:val="22"/>
        </w:rPr>
        <w:t>)</w:t>
      </w:r>
    </w:p>
    <w:p w14:paraId="14C14F87" w14:textId="2DF50519" w:rsidR="00763B37" w:rsidRPr="008F10DE" w:rsidRDefault="005B1FB8" w:rsidP="006F00FF">
      <w:pPr>
        <w:spacing w:before="100" w:beforeAutospacing="1" w:after="100" w:afterAutospacing="1" w:line="360" w:lineRule="auto"/>
        <w:jc w:val="both"/>
        <w:rPr>
          <w:sz w:val="22"/>
          <w:szCs w:val="22"/>
        </w:rPr>
      </w:pPr>
      <w:r w:rsidRPr="008F10DE">
        <w:rPr>
          <w:sz w:val="22"/>
          <w:szCs w:val="22"/>
        </w:rPr>
        <w:t>In Eq</w:t>
      </w:r>
      <w:r w:rsidR="00B7415C" w:rsidRPr="008F10DE">
        <w:rPr>
          <w:sz w:val="22"/>
          <w:szCs w:val="22"/>
        </w:rPr>
        <w:t>uation (</w:t>
      </w:r>
      <w:r w:rsidR="00707127" w:rsidRPr="00B50F0E">
        <w:rPr>
          <w:color w:val="004F88"/>
          <w:sz w:val="22"/>
          <w:szCs w:val="22"/>
        </w:rPr>
        <w:t>1</w:t>
      </w:r>
      <w:r w:rsidR="00850917" w:rsidRPr="00B50F0E">
        <w:rPr>
          <w:color w:val="004F88"/>
          <w:sz w:val="22"/>
          <w:szCs w:val="22"/>
        </w:rPr>
        <w:t>4</w:t>
      </w:r>
      <w:r w:rsidR="00B7415C" w:rsidRPr="008F10DE">
        <w:rPr>
          <w:sz w:val="22"/>
          <w:szCs w:val="22"/>
        </w:rPr>
        <w:t>)</w:t>
      </w:r>
      <w:r w:rsidRPr="008F10DE">
        <w:rPr>
          <w:sz w:val="22"/>
          <w:szCs w:val="22"/>
        </w:rPr>
        <w:t xml:space="preserve">, </w:t>
      </w:r>
      <w:r w:rsidRPr="008F10DE">
        <w:rPr>
          <w:i/>
          <w:iCs/>
          <w:sz w:val="22"/>
          <w:szCs w:val="22"/>
        </w:rPr>
        <w:t>y</w:t>
      </w:r>
      <w:r w:rsidRPr="008F10DE">
        <w:rPr>
          <w:sz w:val="22"/>
          <w:szCs w:val="22"/>
          <w:vertAlign w:val="subscript"/>
        </w:rPr>
        <w:t>i</w:t>
      </w:r>
      <w:r w:rsidRPr="008F10DE">
        <w:rPr>
          <w:sz w:val="22"/>
          <w:szCs w:val="22"/>
        </w:rPr>
        <w:t xml:space="preserve"> captures</w:t>
      </w:r>
      <m:oMath>
        <m:r>
          <w:rPr>
            <w:rFonts w:ascii="Cambria Math" w:hAnsi="Cambria Math"/>
            <w:sz w:val="22"/>
            <w:szCs w:val="22"/>
          </w:rPr>
          <m:t xml:space="preserve"> </m:t>
        </m:r>
        <m:sSub>
          <m:sSubPr>
            <m:ctrlPr>
              <w:rPr>
                <w:rFonts w:ascii="Cambria Math" w:hAnsi="Cambria Math"/>
                <w:i/>
                <w:sz w:val="22"/>
                <w:szCs w:val="22"/>
              </w:rPr>
            </m:ctrlPr>
          </m:sSubPr>
          <m:e>
            <m:acc>
              <m:accPr>
                <m:ctrlPr>
                  <w:rPr>
                    <w:rFonts w:ascii="Cambria Math" w:hAnsi="Cambria Math"/>
                    <w:i/>
                    <w:sz w:val="22"/>
                    <w:szCs w:val="22"/>
                  </w:rPr>
                </m:ctrlPr>
              </m:accPr>
              <m:e>
                <m:acc>
                  <m:accPr>
                    <m:ctrlPr>
                      <w:rPr>
                        <w:rFonts w:ascii="Cambria Math" w:hAnsi="Cambria Math"/>
                        <w:bCs/>
                        <w:i/>
                        <w:sz w:val="22"/>
                        <w:szCs w:val="22"/>
                      </w:rPr>
                    </m:ctrlPr>
                  </m:accPr>
                  <m:e>
                    <m:r>
                      <w:rPr>
                        <w:rFonts w:ascii="Cambria Math" w:hAnsi="Cambria Math"/>
                        <w:sz w:val="22"/>
                        <w:szCs w:val="22"/>
                      </w:rPr>
                      <m:t xml:space="preserve">δ </m:t>
                    </m:r>
                  </m:e>
                </m:acc>
              </m:e>
            </m:acc>
          </m:e>
          <m:sub>
            <m:r>
              <w:rPr>
                <w:rFonts w:ascii="Cambria Math" w:hAnsi="Cambria Math"/>
                <w:sz w:val="22"/>
                <w:szCs w:val="22"/>
              </w:rPr>
              <m:t>i,t</m:t>
            </m:r>
          </m:sub>
        </m:sSub>
      </m:oMath>
      <w:r w:rsidRPr="008F10DE">
        <w:rPr>
          <w:sz w:val="22"/>
          <w:szCs w:val="22"/>
        </w:rPr>
        <w:t xml:space="preserve"> or the efficiency scores as in Eq</w:t>
      </w:r>
      <w:r w:rsidR="00B7415C" w:rsidRPr="008F10DE">
        <w:rPr>
          <w:sz w:val="22"/>
          <w:szCs w:val="22"/>
        </w:rPr>
        <w:t>uation</w:t>
      </w:r>
      <w:r w:rsidRPr="008F10DE">
        <w:rPr>
          <w:sz w:val="22"/>
          <w:szCs w:val="22"/>
        </w:rPr>
        <w:t xml:space="preserve"> </w:t>
      </w:r>
      <w:r w:rsidR="00B7415C" w:rsidRPr="008F10DE">
        <w:rPr>
          <w:sz w:val="22"/>
          <w:szCs w:val="22"/>
        </w:rPr>
        <w:t>(</w:t>
      </w:r>
      <w:r w:rsidR="00707127" w:rsidRPr="00B50F0E">
        <w:rPr>
          <w:color w:val="004F88"/>
          <w:sz w:val="22"/>
          <w:szCs w:val="22"/>
        </w:rPr>
        <w:t>1</w:t>
      </w:r>
      <w:r w:rsidR="00850917" w:rsidRPr="00B50F0E">
        <w:rPr>
          <w:color w:val="004F88"/>
          <w:sz w:val="22"/>
          <w:szCs w:val="22"/>
        </w:rPr>
        <w:t>1</w:t>
      </w:r>
      <w:r w:rsidR="00B7415C" w:rsidRPr="008F10DE">
        <w:rPr>
          <w:sz w:val="22"/>
          <w:szCs w:val="22"/>
        </w:rPr>
        <w:t>)</w:t>
      </w:r>
      <w:r w:rsidRPr="008F10DE">
        <w:rPr>
          <w:sz w:val="22"/>
          <w:szCs w:val="22"/>
        </w:rPr>
        <w:t xml:space="preserve">. </w:t>
      </w:r>
      <w:r w:rsidR="00763B37" w:rsidRPr="008F10DE">
        <w:rPr>
          <w:sz w:val="22"/>
          <w:szCs w:val="22"/>
        </w:rPr>
        <w:t>Qu and Lee (</w:t>
      </w:r>
      <w:r w:rsidR="00763B37" w:rsidRPr="00484BCF">
        <w:rPr>
          <w:color w:val="004F88"/>
          <w:sz w:val="22"/>
          <w:szCs w:val="22"/>
        </w:rPr>
        <w:t>2012</w:t>
      </w:r>
      <w:r w:rsidR="00763B37" w:rsidRPr="008F10DE">
        <w:rPr>
          <w:sz w:val="22"/>
          <w:szCs w:val="22"/>
        </w:rPr>
        <w:t xml:space="preserve">) demonstrate that the spatial lag </w:t>
      </w:r>
      <w:r w:rsidR="00E27EA6" w:rsidRPr="008F10DE">
        <w:rPr>
          <w:sz w:val="22"/>
          <w:szCs w:val="22"/>
        </w:rPr>
        <w:t>Tobit</w:t>
      </w:r>
      <w:r w:rsidR="00763B37" w:rsidRPr="008F10DE">
        <w:rPr>
          <w:sz w:val="22"/>
          <w:szCs w:val="22"/>
        </w:rPr>
        <w:t xml:space="preserve"> model can be motivated by two distinct branches of microeconomic theories. The first is the literature on peer effects from an exogenous social network in which the model represents a Nash equilibrium where each </w:t>
      </w:r>
      <w:r w:rsidR="00A20B3B" w:rsidRPr="008F10DE">
        <w:rPr>
          <w:sz w:val="22"/>
          <w:szCs w:val="22"/>
        </w:rPr>
        <w:t>maximises</w:t>
      </w:r>
      <w:r w:rsidR="00763B37" w:rsidRPr="008F10DE">
        <w:rPr>
          <w:sz w:val="22"/>
          <w:szCs w:val="22"/>
        </w:rPr>
        <w:t xml:space="preserve"> </w:t>
      </w:r>
      <w:r w:rsidR="00A20B3B" w:rsidRPr="008F10DE">
        <w:rPr>
          <w:sz w:val="22"/>
          <w:szCs w:val="22"/>
        </w:rPr>
        <w:t>their</w:t>
      </w:r>
      <w:r w:rsidR="00763B37" w:rsidRPr="008F10DE">
        <w:rPr>
          <w:sz w:val="22"/>
          <w:szCs w:val="22"/>
        </w:rPr>
        <w:t xml:space="preserve"> utility. The second is related to the standard econometric </w:t>
      </w:r>
      <w:r w:rsidR="00A20B3B" w:rsidRPr="008F10DE">
        <w:rPr>
          <w:sz w:val="22"/>
          <w:szCs w:val="22"/>
        </w:rPr>
        <w:t>modelling</w:t>
      </w:r>
      <w:r w:rsidR="00763B37" w:rsidRPr="008F10DE">
        <w:rPr>
          <w:sz w:val="22"/>
          <w:szCs w:val="22"/>
        </w:rPr>
        <w:t xml:space="preserve"> in cases where a large share of data can be zero.</w:t>
      </w:r>
    </w:p>
    <w:p w14:paraId="0A1CABDF" w14:textId="05D267C6" w:rsidR="00862C4D" w:rsidRPr="00CE1CE2" w:rsidRDefault="0002747E" w:rsidP="005A2333">
      <w:pPr>
        <w:pStyle w:val="Heading1"/>
        <w:numPr>
          <w:ilvl w:val="0"/>
          <w:numId w:val="0"/>
        </w:numPr>
        <w:rPr>
          <w:sz w:val="22"/>
          <w:szCs w:val="22"/>
        </w:rPr>
      </w:pPr>
      <w:r>
        <w:rPr>
          <w:sz w:val="22"/>
          <w:szCs w:val="22"/>
          <w:lang w:val="en-US"/>
        </w:rPr>
        <w:t>5</w:t>
      </w:r>
      <w:r w:rsidR="00862C4D" w:rsidRPr="00CE1CE2">
        <w:rPr>
          <w:sz w:val="22"/>
          <w:szCs w:val="22"/>
        </w:rPr>
        <w:t xml:space="preserve">. Empirical </w:t>
      </w:r>
      <w:r w:rsidR="00FB41ED">
        <w:rPr>
          <w:sz w:val="22"/>
          <w:szCs w:val="22"/>
        </w:rPr>
        <w:t>R</w:t>
      </w:r>
      <w:r w:rsidR="00862C4D" w:rsidRPr="00CE1CE2">
        <w:rPr>
          <w:sz w:val="22"/>
          <w:szCs w:val="22"/>
        </w:rPr>
        <w:t>esults</w:t>
      </w:r>
      <w:bookmarkEnd w:id="18"/>
      <w:bookmarkEnd w:id="19"/>
      <w:bookmarkEnd w:id="20"/>
      <w:r w:rsidR="00862C4D" w:rsidRPr="00CE1CE2">
        <w:rPr>
          <w:sz w:val="22"/>
          <w:szCs w:val="22"/>
        </w:rPr>
        <w:t xml:space="preserve"> </w:t>
      </w:r>
      <w:bookmarkEnd w:id="21"/>
      <w:bookmarkEnd w:id="22"/>
    </w:p>
    <w:p w14:paraId="686F0552" w14:textId="077F2AF0" w:rsidR="00FF6C99" w:rsidRPr="00CE1CE2" w:rsidRDefault="0002747E" w:rsidP="005A2333">
      <w:pPr>
        <w:pStyle w:val="Heading2"/>
        <w:rPr>
          <w:b w:val="0"/>
          <w:bCs w:val="0"/>
          <w:sz w:val="22"/>
          <w:szCs w:val="22"/>
        </w:rPr>
      </w:pPr>
      <w:r>
        <w:rPr>
          <w:sz w:val="22"/>
          <w:szCs w:val="22"/>
        </w:rPr>
        <w:t>5</w:t>
      </w:r>
      <w:r w:rsidR="00B65CE4" w:rsidRPr="00CE1CE2">
        <w:rPr>
          <w:sz w:val="22"/>
          <w:szCs w:val="22"/>
        </w:rPr>
        <w:t xml:space="preserve">.1. Univariate </w:t>
      </w:r>
      <w:r w:rsidR="00FB41ED">
        <w:rPr>
          <w:sz w:val="22"/>
          <w:szCs w:val="22"/>
        </w:rPr>
        <w:t>A</w:t>
      </w:r>
      <w:r w:rsidR="00B65CE4" w:rsidRPr="00CE1CE2">
        <w:rPr>
          <w:sz w:val="22"/>
          <w:szCs w:val="22"/>
        </w:rPr>
        <w:t>nalysis</w:t>
      </w:r>
    </w:p>
    <w:p w14:paraId="08FA4DFA" w14:textId="21317720" w:rsidR="00AA5F7E" w:rsidRPr="00CE1CE2" w:rsidRDefault="00AA5F7E" w:rsidP="006D498D">
      <w:pPr>
        <w:spacing w:line="360" w:lineRule="auto"/>
        <w:jc w:val="both"/>
        <w:rPr>
          <w:sz w:val="22"/>
          <w:szCs w:val="22"/>
        </w:rPr>
      </w:pPr>
      <w:r w:rsidRPr="00CE1CE2">
        <w:rPr>
          <w:sz w:val="22"/>
          <w:szCs w:val="22"/>
        </w:rPr>
        <w:t xml:space="preserve">Table </w:t>
      </w:r>
      <w:r w:rsidRPr="001346E5">
        <w:rPr>
          <w:color w:val="0070C0"/>
          <w:sz w:val="22"/>
          <w:szCs w:val="22"/>
        </w:rPr>
        <w:t>4</w:t>
      </w:r>
      <w:r w:rsidRPr="00CE1CE2">
        <w:rPr>
          <w:sz w:val="22"/>
          <w:szCs w:val="22"/>
        </w:rPr>
        <w:t xml:space="preserve"> </w:t>
      </w:r>
      <w:r w:rsidR="00166432" w:rsidRPr="00CE1CE2">
        <w:rPr>
          <w:sz w:val="22"/>
          <w:szCs w:val="22"/>
        </w:rPr>
        <w:t>displays</w:t>
      </w:r>
      <w:r w:rsidRPr="00CE1CE2">
        <w:rPr>
          <w:sz w:val="22"/>
          <w:szCs w:val="22"/>
        </w:rPr>
        <w:t xml:space="preserve"> the </w:t>
      </w:r>
      <w:r w:rsidR="00B644F0" w:rsidRPr="00CE1CE2">
        <w:rPr>
          <w:sz w:val="22"/>
          <w:szCs w:val="22"/>
        </w:rPr>
        <w:t xml:space="preserve">average </w:t>
      </w:r>
      <w:r w:rsidRPr="00CE1CE2">
        <w:rPr>
          <w:sz w:val="22"/>
          <w:szCs w:val="22"/>
        </w:rPr>
        <w:t xml:space="preserve">bootstrap </w:t>
      </w:r>
      <w:r w:rsidR="00BA62A3" w:rsidRPr="00CE1CE2">
        <w:rPr>
          <w:sz w:val="22"/>
          <w:szCs w:val="22"/>
        </w:rPr>
        <w:t xml:space="preserve">bank </w:t>
      </w:r>
      <w:r w:rsidRPr="00CE1CE2">
        <w:rPr>
          <w:sz w:val="22"/>
          <w:szCs w:val="22"/>
        </w:rPr>
        <w:t xml:space="preserve">efficiency scores of each </w:t>
      </w:r>
      <w:r w:rsidR="00B644F0" w:rsidRPr="00CE1CE2">
        <w:rPr>
          <w:sz w:val="22"/>
          <w:szCs w:val="22"/>
        </w:rPr>
        <w:t xml:space="preserve">state </w:t>
      </w:r>
      <w:r w:rsidRPr="00CE1CE2">
        <w:rPr>
          <w:sz w:val="22"/>
          <w:szCs w:val="22"/>
        </w:rPr>
        <w:t>and the District of Columbia over the period 19</w:t>
      </w:r>
      <w:r w:rsidR="0054610E" w:rsidRPr="00CE1CE2">
        <w:rPr>
          <w:sz w:val="22"/>
          <w:szCs w:val="22"/>
        </w:rPr>
        <w:t>72</w:t>
      </w:r>
      <w:r w:rsidRPr="00CE1CE2">
        <w:rPr>
          <w:sz w:val="22"/>
          <w:szCs w:val="22"/>
        </w:rPr>
        <w:t xml:space="preserve"> to 20</w:t>
      </w:r>
      <w:r w:rsidR="0054610E" w:rsidRPr="00CE1CE2">
        <w:rPr>
          <w:sz w:val="22"/>
          <w:szCs w:val="22"/>
        </w:rPr>
        <w:t>20</w:t>
      </w:r>
      <w:r w:rsidRPr="00CE1CE2">
        <w:rPr>
          <w:sz w:val="22"/>
          <w:szCs w:val="22"/>
        </w:rPr>
        <w:t>, assuming constant returns to scale (</w:t>
      </w:r>
      <w:r w:rsidR="00187F5A" w:rsidRPr="00E14280">
        <w:rPr>
          <w:i/>
          <w:iCs/>
          <w:sz w:val="22"/>
          <w:szCs w:val="22"/>
        </w:rPr>
        <w:t>CRS</w:t>
      </w:r>
      <w:r w:rsidRPr="00CE1CE2">
        <w:rPr>
          <w:sz w:val="22"/>
          <w:szCs w:val="22"/>
        </w:rPr>
        <w:t>) and variable returns to scale (</w:t>
      </w:r>
      <w:r w:rsidR="00187F5A" w:rsidRPr="00E14280">
        <w:rPr>
          <w:i/>
          <w:iCs/>
          <w:sz w:val="22"/>
          <w:szCs w:val="22"/>
        </w:rPr>
        <w:t>VRS</w:t>
      </w:r>
      <w:r w:rsidRPr="00CE1CE2">
        <w:rPr>
          <w:sz w:val="22"/>
          <w:szCs w:val="22"/>
        </w:rPr>
        <w:t>)</w:t>
      </w:r>
      <w:r w:rsidR="008364A0" w:rsidRPr="00CE1CE2">
        <w:rPr>
          <w:sz w:val="22"/>
          <w:szCs w:val="22"/>
        </w:rPr>
        <w:t xml:space="preserve"> estimations</w:t>
      </w:r>
      <w:r w:rsidRPr="00CE1CE2">
        <w:rPr>
          <w:sz w:val="22"/>
          <w:szCs w:val="22"/>
        </w:rPr>
        <w:t xml:space="preserve">. </w:t>
      </w:r>
      <w:r w:rsidR="000F6119" w:rsidRPr="00CE1CE2">
        <w:rPr>
          <w:sz w:val="22"/>
          <w:szCs w:val="22"/>
        </w:rPr>
        <w:t>Fig</w:t>
      </w:r>
      <w:r w:rsidR="001346E5">
        <w:rPr>
          <w:sz w:val="22"/>
          <w:szCs w:val="22"/>
        </w:rPr>
        <w:t>ures</w:t>
      </w:r>
      <w:r w:rsidR="000F6119" w:rsidRPr="00CE1CE2">
        <w:rPr>
          <w:sz w:val="22"/>
          <w:szCs w:val="22"/>
        </w:rPr>
        <w:t xml:space="preserve"> </w:t>
      </w:r>
      <w:r w:rsidR="008364A0" w:rsidRPr="001346E5">
        <w:rPr>
          <w:color w:val="0070C0"/>
          <w:sz w:val="22"/>
          <w:szCs w:val="22"/>
        </w:rPr>
        <w:t>1</w:t>
      </w:r>
      <w:r w:rsidR="000F6119" w:rsidRPr="00CE1CE2">
        <w:rPr>
          <w:sz w:val="22"/>
          <w:szCs w:val="22"/>
        </w:rPr>
        <w:t xml:space="preserve"> and </w:t>
      </w:r>
      <w:r w:rsidR="008364A0" w:rsidRPr="001346E5">
        <w:rPr>
          <w:color w:val="0070C0"/>
          <w:sz w:val="22"/>
          <w:szCs w:val="22"/>
        </w:rPr>
        <w:t>2</w:t>
      </w:r>
      <w:r w:rsidR="000F6119" w:rsidRPr="00CE1CE2">
        <w:rPr>
          <w:sz w:val="22"/>
          <w:szCs w:val="22"/>
        </w:rPr>
        <w:t xml:space="preserve"> present </w:t>
      </w:r>
      <w:r w:rsidR="00166432" w:rsidRPr="00E14280">
        <w:rPr>
          <w:i/>
          <w:iCs/>
          <w:sz w:val="22"/>
          <w:szCs w:val="22"/>
        </w:rPr>
        <w:t>CRS</w:t>
      </w:r>
      <w:r w:rsidR="00166432" w:rsidRPr="00CE1CE2">
        <w:rPr>
          <w:sz w:val="22"/>
          <w:szCs w:val="22"/>
        </w:rPr>
        <w:t xml:space="preserve"> and </w:t>
      </w:r>
      <w:r w:rsidR="00166432" w:rsidRPr="00E14280">
        <w:rPr>
          <w:i/>
          <w:iCs/>
          <w:sz w:val="22"/>
          <w:szCs w:val="22"/>
        </w:rPr>
        <w:t>VRS</w:t>
      </w:r>
      <w:r w:rsidR="00166432" w:rsidRPr="00CE1CE2">
        <w:rPr>
          <w:sz w:val="22"/>
          <w:szCs w:val="22"/>
        </w:rPr>
        <w:t xml:space="preserve"> scores</w:t>
      </w:r>
      <w:r w:rsidR="000F6119" w:rsidRPr="00CE1CE2">
        <w:rPr>
          <w:sz w:val="22"/>
          <w:szCs w:val="22"/>
        </w:rPr>
        <w:t xml:space="preserve"> for 5</w:t>
      </w:r>
      <w:r w:rsidR="00036069">
        <w:rPr>
          <w:sz w:val="22"/>
          <w:szCs w:val="22"/>
        </w:rPr>
        <w:t>0</w:t>
      </w:r>
      <w:r w:rsidR="000F6119" w:rsidRPr="00CE1CE2">
        <w:rPr>
          <w:sz w:val="22"/>
          <w:szCs w:val="22"/>
        </w:rPr>
        <w:t xml:space="preserve"> states and the District of Columbia from 1972 to 2020. Fig</w:t>
      </w:r>
      <w:r w:rsidR="00450110">
        <w:rPr>
          <w:sz w:val="22"/>
          <w:szCs w:val="22"/>
        </w:rPr>
        <w:t>.</w:t>
      </w:r>
      <w:r w:rsidR="000F6119" w:rsidRPr="00CE1CE2">
        <w:rPr>
          <w:sz w:val="22"/>
          <w:szCs w:val="22"/>
        </w:rPr>
        <w:t xml:space="preserve"> </w:t>
      </w:r>
      <w:r w:rsidR="008364A0" w:rsidRPr="00450110">
        <w:rPr>
          <w:color w:val="0070C0"/>
          <w:sz w:val="22"/>
          <w:szCs w:val="22"/>
        </w:rPr>
        <w:t>3</w:t>
      </w:r>
      <w:r w:rsidR="000F6119" w:rsidRPr="00CE1CE2">
        <w:rPr>
          <w:sz w:val="22"/>
          <w:szCs w:val="22"/>
        </w:rPr>
        <w:t xml:space="preserve"> shows Kernel Density Estimation for both </w:t>
      </w:r>
      <w:r w:rsidR="00187F5A" w:rsidRPr="00E14280">
        <w:rPr>
          <w:i/>
          <w:iCs/>
          <w:sz w:val="22"/>
          <w:szCs w:val="22"/>
        </w:rPr>
        <w:t>CRS</w:t>
      </w:r>
      <w:r w:rsidR="000F6119" w:rsidRPr="00CE1CE2">
        <w:rPr>
          <w:sz w:val="22"/>
          <w:szCs w:val="22"/>
        </w:rPr>
        <w:t xml:space="preserve"> and </w:t>
      </w:r>
      <w:r w:rsidR="00187F5A" w:rsidRPr="00E14280">
        <w:rPr>
          <w:i/>
          <w:iCs/>
          <w:sz w:val="22"/>
          <w:szCs w:val="22"/>
        </w:rPr>
        <w:t>VRS</w:t>
      </w:r>
      <w:r w:rsidR="00166432" w:rsidRPr="00CE1CE2">
        <w:rPr>
          <w:sz w:val="22"/>
          <w:szCs w:val="22"/>
        </w:rPr>
        <w:t xml:space="preserve"> scores</w:t>
      </w:r>
      <w:r w:rsidR="000F6119" w:rsidRPr="00CE1CE2">
        <w:rPr>
          <w:sz w:val="22"/>
          <w:szCs w:val="22"/>
        </w:rPr>
        <w:t xml:space="preserve">. </w:t>
      </w:r>
      <w:r w:rsidRPr="00CE1CE2">
        <w:rPr>
          <w:sz w:val="22"/>
          <w:szCs w:val="22"/>
        </w:rPr>
        <w:t xml:space="preserve">None of the states are on the efficient frontier (with an efficiency score of 1) during our sample period. All the </w:t>
      </w:r>
      <w:r w:rsidR="00AB7557" w:rsidRPr="00CE1CE2">
        <w:rPr>
          <w:sz w:val="22"/>
          <w:szCs w:val="22"/>
        </w:rPr>
        <w:t>bias</w:t>
      </w:r>
      <w:r w:rsidR="00AB7557">
        <w:rPr>
          <w:sz w:val="22"/>
          <w:szCs w:val="22"/>
        </w:rPr>
        <w:t>-</w:t>
      </w:r>
      <w:r w:rsidRPr="00CE1CE2">
        <w:rPr>
          <w:sz w:val="22"/>
          <w:szCs w:val="22"/>
        </w:rPr>
        <w:t xml:space="preserve">corrected </w:t>
      </w:r>
      <w:r w:rsidR="00D661DF" w:rsidRPr="00E14280">
        <w:rPr>
          <w:i/>
          <w:iCs/>
          <w:sz w:val="22"/>
          <w:szCs w:val="22"/>
        </w:rPr>
        <w:t>CRS</w:t>
      </w:r>
      <w:r w:rsidRPr="00CE1CE2">
        <w:rPr>
          <w:sz w:val="22"/>
          <w:szCs w:val="22"/>
        </w:rPr>
        <w:t xml:space="preserve"> </w:t>
      </w:r>
      <w:r w:rsidR="007F2972" w:rsidRPr="00CE1CE2">
        <w:rPr>
          <w:sz w:val="22"/>
          <w:szCs w:val="22"/>
        </w:rPr>
        <w:t xml:space="preserve">and </w:t>
      </w:r>
      <w:r w:rsidR="007F2972" w:rsidRPr="00E14280">
        <w:rPr>
          <w:i/>
          <w:iCs/>
          <w:sz w:val="22"/>
          <w:szCs w:val="22"/>
        </w:rPr>
        <w:t>VRS</w:t>
      </w:r>
      <w:r w:rsidR="007F2972" w:rsidRPr="00CE1CE2">
        <w:rPr>
          <w:sz w:val="22"/>
          <w:szCs w:val="22"/>
        </w:rPr>
        <w:t xml:space="preserve"> </w:t>
      </w:r>
      <w:r w:rsidRPr="00CE1CE2">
        <w:rPr>
          <w:sz w:val="22"/>
          <w:szCs w:val="22"/>
        </w:rPr>
        <w:t xml:space="preserve">scores are lower than </w:t>
      </w:r>
      <w:r w:rsidR="00AB7557">
        <w:rPr>
          <w:sz w:val="22"/>
          <w:szCs w:val="22"/>
        </w:rPr>
        <w:t xml:space="preserve">the </w:t>
      </w:r>
      <w:r w:rsidR="007F2972" w:rsidRPr="00CE1CE2">
        <w:rPr>
          <w:sz w:val="22"/>
          <w:szCs w:val="22"/>
        </w:rPr>
        <w:t xml:space="preserve">original </w:t>
      </w:r>
      <w:r w:rsidR="00D661DF" w:rsidRPr="00E14280">
        <w:rPr>
          <w:i/>
          <w:iCs/>
          <w:sz w:val="22"/>
          <w:szCs w:val="22"/>
        </w:rPr>
        <w:t>CRS</w:t>
      </w:r>
      <w:r w:rsidRPr="00CE1CE2">
        <w:rPr>
          <w:sz w:val="22"/>
          <w:szCs w:val="22"/>
        </w:rPr>
        <w:t xml:space="preserve"> </w:t>
      </w:r>
      <w:r w:rsidR="007F2972" w:rsidRPr="00CE1CE2">
        <w:rPr>
          <w:sz w:val="22"/>
          <w:szCs w:val="22"/>
        </w:rPr>
        <w:t xml:space="preserve">and </w:t>
      </w:r>
      <w:r w:rsidR="007F2972" w:rsidRPr="00E14280">
        <w:rPr>
          <w:i/>
          <w:iCs/>
          <w:sz w:val="22"/>
          <w:szCs w:val="22"/>
        </w:rPr>
        <w:t>VRS</w:t>
      </w:r>
      <w:r w:rsidR="007F2972" w:rsidRPr="00CE1CE2">
        <w:rPr>
          <w:sz w:val="22"/>
          <w:szCs w:val="22"/>
        </w:rPr>
        <w:t xml:space="preserve"> </w:t>
      </w:r>
      <w:r w:rsidRPr="00CE1CE2">
        <w:rPr>
          <w:sz w:val="22"/>
          <w:szCs w:val="22"/>
        </w:rPr>
        <w:t xml:space="preserve">scores. </w:t>
      </w:r>
      <w:r w:rsidR="00994D9F" w:rsidRPr="00CE1CE2">
        <w:rPr>
          <w:sz w:val="22"/>
          <w:szCs w:val="22"/>
        </w:rPr>
        <w:t>While some state</w:t>
      </w:r>
      <w:r w:rsidRPr="00CE1CE2">
        <w:rPr>
          <w:sz w:val="22"/>
          <w:szCs w:val="22"/>
        </w:rPr>
        <w:t>s are more efficient in certain years the average scores over the whole period indicate that all banks are relatively inefficient.</w:t>
      </w:r>
    </w:p>
    <w:p w14:paraId="6A4CF2AC" w14:textId="77777777" w:rsidR="006D498D" w:rsidRDefault="006D498D" w:rsidP="006D498D">
      <w:pPr>
        <w:spacing w:line="360" w:lineRule="auto"/>
        <w:jc w:val="both"/>
        <w:rPr>
          <w:sz w:val="22"/>
          <w:szCs w:val="22"/>
        </w:rPr>
      </w:pPr>
    </w:p>
    <w:p w14:paraId="18776FB8" w14:textId="2040A028" w:rsidR="009F06CC" w:rsidRPr="00CE1CE2" w:rsidRDefault="002E12D9" w:rsidP="006D498D">
      <w:pPr>
        <w:spacing w:line="360" w:lineRule="auto"/>
        <w:jc w:val="both"/>
        <w:rPr>
          <w:sz w:val="22"/>
          <w:szCs w:val="22"/>
        </w:rPr>
      </w:pPr>
      <w:r w:rsidRPr="00CE1CE2">
        <w:rPr>
          <w:sz w:val="22"/>
          <w:szCs w:val="22"/>
        </w:rPr>
        <w:t xml:space="preserve">The average </w:t>
      </w:r>
      <w:r w:rsidR="00D661DF" w:rsidRPr="00CE1CE2">
        <w:rPr>
          <w:sz w:val="22"/>
          <w:szCs w:val="22"/>
        </w:rPr>
        <w:t xml:space="preserve">original </w:t>
      </w:r>
      <w:r w:rsidRPr="00CE1CE2">
        <w:rPr>
          <w:sz w:val="22"/>
          <w:szCs w:val="22"/>
        </w:rPr>
        <w:t>efficiency score for the whole system is 0.</w:t>
      </w:r>
      <w:r w:rsidR="00CD437D" w:rsidRPr="00CE1CE2">
        <w:rPr>
          <w:sz w:val="22"/>
          <w:szCs w:val="22"/>
        </w:rPr>
        <w:t>49</w:t>
      </w:r>
      <w:r w:rsidR="00152AA4">
        <w:rPr>
          <w:sz w:val="22"/>
          <w:szCs w:val="22"/>
        </w:rPr>
        <w:t>,</w:t>
      </w:r>
      <w:r w:rsidRPr="00CE1CE2">
        <w:rPr>
          <w:sz w:val="22"/>
          <w:szCs w:val="22"/>
        </w:rPr>
        <w:t xml:space="preserve"> assuming constant returns to scale and 0.</w:t>
      </w:r>
      <w:r w:rsidR="00CD437D" w:rsidRPr="00CE1CE2">
        <w:rPr>
          <w:sz w:val="22"/>
          <w:szCs w:val="22"/>
        </w:rPr>
        <w:t>61</w:t>
      </w:r>
      <w:r w:rsidR="00506896">
        <w:rPr>
          <w:sz w:val="22"/>
          <w:szCs w:val="22"/>
        </w:rPr>
        <w:t>,</w:t>
      </w:r>
      <w:r w:rsidRPr="00CE1CE2">
        <w:rPr>
          <w:sz w:val="22"/>
          <w:szCs w:val="22"/>
        </w:rPr>
        <w:t xml:space="preserve"> assuming variable returns to scale. From these initial estimates, we apply Simar and Wilson’s (</w:t>
      </w:r>
      <w:r w:rsidRPr="00450110">
        <w:rPr>
          <w:color w:val="0070C0"/>
          <w:sz w:val="22"/>
          <w:szCs w:val="22"/>
        </w:rPr>
        <w:t>2007</w:t>
      </w:r>
      <w:r w:rsidRPr="00CE1CE2">
        <w:rPr>
          <w:sz w:val="22"/>
          <w:szCs w:val="22"/>
        </w:rPr>
        <w:t>) method. The average bootstrap efficiency score for the whole system is 0.4</w:t>
      </w:r>
      <w:r w:rsidR="00CD437D" w:rsidRPr="00CE1CE2">
        <w:rPr>
          <w:sz w:val="22"/>
          <w:szCs w:val="22"/>
        </w:rPr>
        <w:t>4</w:t>
      </w:r>
      <w:r w:rsidR="00152AA4">
        <w:rPr>
          <w:sz w:val="22"/>
          <w:szCs w:val="22"/>
        </w:rPr>
        <w:t>,</w:t>
      </w:r>
      <w:r w:rsidRPr="00CE1CE2">
        <w:rPr>
          <w:sz w:val="22"/>
          <w:szCs w:val="22"/>
        </w:rPr>
        <w:t xml:space="preserve"> assuming </w:t>
      </w:r>
      <w:r w:rsidR="00166432" w:rsidRPr="00CE1CE2">
        <w:rPr>
          <w:sz w:val="22"/>
          <w:szCs w:val="22"/>
        </w:rPr>
        <w:t xml:space="preserve">bias-corrected bootstrap </w:t>
      </w:r>
      <w:r w:rsidRPr="00CE1CE2">
        <w:rPr>
          <w:sz w:val="22"/>
          <w:szCs w:val="22"/>
        </w:rPr>
        <w:t xml:space="preserve">constant returns to scale </w:t>
      </w:r>
      <w:r w:rsidR="00187F5A" w:rsidRPr="00CE1CE2">
        <w:rPr>
          <w:sz w:val="22"/>
          <w:szCs w:val="22"/>
        </w:rPr>
        <w:t>(</w:t>
      </w:r>
      <w:r w:rsidR="00187F5A" w:rsidRPr="00E14280">
        <w:rPr>
          <w:i/>
          <w:iCs/>
          <w:sz w:val="22"/>
          <w:szCs w:val="22"/>
        </w:rPr>
        <w:t>CRS</w:t>
      </w:r>
      <w:r w:rsidR="00187F5A" w:rsidRPr="00CE1CE2">
        <w:rPr>
          <w:sz w:val="22"/>
          <w:szCs w:val="22"/>
        </w:rPr>
        <w:t>)</w:t>
      </w:r>
      <w:r w:rsidRPr="00CE1CE2">
        <w:rPr>
          <w:sz w:val="22"/>
          <w:szCs w:val="22"/>
        </w:rPr>
        <w:t xml:space="preserve"> and 0.5</w:t>
      </w:r>
      <w:r w:rsidR="00CD437D" w:rsidRPr="00CE1CE2">
        <w:rPr>
          <w:sz w:val="22"/>
          <w:szCs w:val="22"/>
        </w:rPr>
        <w:t>9</w:t>
      </w:r>
      <w:r w:rsidRPr="00CE1CE2">
        <w:rPr>
          <w:sz w:val="22"/>
          <w:szCs w:val="22"/>
        </w:rPr>
        <w:t xml:space="preserve"> assuming </w:t>
      </w:r>
      <w:r w:rsidR="00166432" w:rsidRPr="00CE1CE2">
        <w:rPr>
          <w:sz w:val="22"/>
          <w:szCs w:val="22"/>
        </w:rPr>
        <w:t xml:space="preserve">bias-corrected bootstrap </w:t>
      </w:r>
      <w:r w:rsidRPr="00CE1CE2">
        <w:rPr>
          <w:sz w:val="22"/>
          <w:szCs w:val="22"/>
        </w:rPr>
        <w:t xml:space="preserve">variable returns to scale </w:t>
      </w:r>
      <w:r w:rsidR="00187F5A" w:rsidRPr="00CE1CE2">
        <w:rPr>
          <w:sz w:val="22"/>
          <w:szCs w:val="22"/>
        </w:rPr>
        <w:t>(</w:t>
      </w:r>
      <w:r w:rsidR="00187F5A" w:rsidRPr="00E14280">
        <w:rPr>
          <w:i/>
          <w:iCs/>
          <w:sz w:val="22"/>
          <w:szCs w:val="22"/>
        </w:rPr>
        <w:t>VRS</w:t>
      </w:r>
      <w:r w:rsidR="00187F5A" w:rsidRPr="00CE1CE2">
        <w:rPr>
          <w:sz w:val="22"/>
          <w:szCs w:val="22"/>
        </w:rPr>
        <w:t>).</w:t>
      </w:r>
      <w:r w:rsidRPr="00CE1CE2">
        <w:rPr>
          <w:sz w:val="22"/>
          <w:szCs w:val="22"/>
        </w:rPr>
        <w:t xml:space="preserve"> All the </w:t>
      </w:r>
      <w:r w:rsidR="007229C4" w:rsidRPr="00CE1CE2">
        <w:rPr>
          <w:sz w:val="22"/>
          <w:szCs w:val="22"/>
        </w:rPr>
        <w:t>U.S. states</w:t>
      </w:r>
      <w:r w:rsidRPr="00CE1CE2">
        <w:rPr>
          <w:sz w:val="22"/>
          <w:szCs w:val="22"/>
        </w:rPr>
        <w:t xml:space="preserve"> have lower bootstrap constant return to scale efficiency scores than 0.</w:t>
      </w:r>
      <w:r w:rsidR="00CD437D" w:rsidRPr="00CE1CE2">
        <w:rPr>
          <w:sz w:val="22"/>
          <w:szCs w:val="22"/>
        </w:rPr>
        <w:t>55</w:t>
      </w:r>
      <w:r w:rsidR="00506896">
        <w:rPr>
          <w:sz w:val="22"/>
          <w:szCs w:val="22"/>
        </w:rPr>
        <w:t>,</w:t>
      </w:r>
      <w:r w:rsidRPr="00CE1CE2">
        <w:rPr>
          <w:sz w:val="22"/>
          <w:szCs w:val="22"/>
        </w:rPr>
        <w:t xml:space="preserve"> except for Alaska</w:t>
      </w:r>
      <w:r w:rsidR="00506896">
        <w:rPr>
          <w:sz w:val="22"/>
          <w:szCs w:val="22"/>
        </w:rPr>
        <w:t>,</w:t>
      </w:r>
      <w:r w:rsidRPr="00CE1CE2">
        <w:rPr>
          <w:sz w:val="22"/>
          <w:szCs w:val="22"/>
        </w:rPr>
        <w:t xml:space="preserve"> while </w:t>
      </w:r>
      <w:r w:rsidR="00D661DF" w:rsidRPr="00CE1CE2">
        <w:rPr>
          <w:sz w:val="22"/>
          <w:szCs w:val="22"/>
        </w:rPr>
        <w:t>2</w:t>
      </w:r>
      <w:r w:rsidR="00704AE3" w:rsidRPr="00CE1CE2">
        <w:rPr>
          <w:sz w:val="22"/>
          <w:szCs w:val="22"/>
        </w:rPr>
        <w:t>6</w:t>
      </w:r>
      <w:r w:rsidRPr="00CE1CE2">
        <w:rPr>
          <w:sz w:val="22"/>
          <w:szCs w:val="22"/>
        </w:rPr>
        <w:t xml:space="preserve"> states achieve variable return to scale</w:t>
      </w:r>
      <w:r w:rsidR="00BA62A3" w:rsidRPr="00CE1CE2">
        <w:rPr>
          <w:sz w:val="22"/>
          <w:szCs w:val="22"/>
        </w:rPr>
        <w:t xml:space="preserve"> efficiency scores</w:t>
      </w:r>
      <w:r w:rsidRPr="00CE1CE2">
        <w:rPr>
          <w:sz w:val="22"/>
          <w:szCs w:val="22"/>
        </w:rPr>
        <w:t xml:space="preserve"> higher than 0.5</w:t>
      </w:r>
      <w:r w:rsidR="00704AE3" w:rsidRPr="00CE1CE2">
        <w:rPr>
          <w:sz w:val="22"/>
          <w:szCs w:val="22"/>
        </w:rPr>
        <w:t>5</w:t>
      </w:r>
      <w:r w:rsidR="002B1C00" w:rsidRPr="00CE1CE2">
        <w:rPr>
          <w:sz w:val="22"/>
          <w:szCs w:val="22"/>
        </w:rPr>
        <w:t xml:space="preserve">. The </w:t>
      </w:r>
      <w:r w:rsidR="00D661DF" w:rsidRPr="00E14280">
        <w:rPr>
          <w:i/>
          <w:iCs/>
          <w:sz w:val="22"/>
          <w:szCs w:val="22"/>
        </w:rPr>
        <w:t>VRS</w:t>
      </w:r>
      <w:r w:rsidR="002B1C00" w:rsidRPr="00CE1CE2">
        <w:rPr>
          <w:sz w:val="22"/>
          <w:szCs w:val="22"/>
        </w:rPr>
        <w:t xml:space="preserve"> score measures pure technical efficiency</w:t>
      </w:r>
      <w:r w:rsidR="00506896">
        <w:rPr>
          <w:sz w:val="22"/>
          <w:szCs w:val="22"/>
        </w:rPr>
        <w:t>,</w:t>
      </w:r>
      <w:r w:rsidR="002B1C00" w:rsidRPr="00CE1CE2">
        <w:rPr>
          <w:sz w:val="22"/>
          <w:szCs w:val="22"/>
        </w:rPr>
        <w:t xml:space="preserve"> reflecting management skills</w:t>
      </w:r>
      <w:r w:rsidR="007F2972" w:rsidRPr="00CE1CE2">
        <w:rPr>
          <w:sz w:val="22"/>
          <w:szCs w:val="22"/>
        </w:rPr>
        <w:t xml:space="preserve">. </w:t>
      </w:r>
      <w:r w:rsidR="007F2972" w:rsidRPr="00E14280">
        <w:rPr>
          <w:i/>
          <w:iCs/>
          <w:sz w:val="22"/>
          <w:szCs w:val="22"/>
        </w:rPr>
        <w:t>VRS</w:t>
      </w:r>
      <w:r w:rsidR="007F2972" w:rsidRPr="00CE1CE2">
        <w:rPr>
          <w:sz w:val="22"/>
          <w:szCs w:val="22"/>
        </w:rPr>
        <w:t xml:space="preserve">’s </w:t>
      </w:r>
      <w:r w:rsidR="002B1C00" w:rsidRPr="00CE1CE2">
        <w:rPr>
          <w:sz w:val="22"/>
          <w:szCs w:val="22"/>
        </w:rPr>
        <w:t xml:space="preserve">average score is higher than </w:t>
      </w:r>
      <w:r w:rsidR="00506896">
        <w:rPr>
          <w:sz w:val="22"/>
          <w:szCs w:val="22"/>
        </w:rPr>
        <w:t>that of</w:t>
      </w:r>
      <w:r w:rsidR="002B1C00" w:rsidRPr="00CE1CE2">
        <w:rPr>
          <w:sz w:val="22"/>
          <w:szCs w:val="22"/>
        </w:rPr>
        <w:t xml:space="preserve"> the </w:t>
      </w:r>
      <w:r w:rsidR="00D661DF" w:rsidRPr="00E14280">
        <w:rPr>
          <w:i/>
          <w:iCs/>
          <w:sz w:val="22"/>
          <w:szCs w:val="22"/>
        </w:rPr>
        <w:t>CRS</w:t>
      </w:r>
      <w:r w:rsidR="00506896">
        <w:rPr>
          <w:i/>
          <w:iCs/>
          <w:sz w:val="22"/>
          <w:szCs w:val="22"/>
        </w:rPr>
        <w:t>,</w:t>
      </w:r>
      <w:r w:rsidR="002B1C00" w:rsidRPr="00CE1CE2">
        <w:rPr>
          <w:sz w:val="22"/>
          <w:szCs w:val="22"/>
        </w:rPr>
        <w:t xml:space="preserve"> </w:t>
      </w:r>
      <w:r w:rsidR="007F2972" w:rsidRPr="00CE1CE2">
        <w:rPr>
          <w:sz w:val="22"/>
          <w:szCs w:val="22"/>
        </w:rPr>
        <w:t xml:space="preserve">which </w:t>
      </w:r>
      <w:r w:rsidR="002B1C00" w:rsidRPr="00CE1CE2">
        <w:rPr>
          <w:sz w:val="22"/>
          <w:szCs w:val="22"/>
        </w:rPr>
        <w:t>measure</w:t>
      </w:r>
      <w:r w:rsidR="007F2972" w:rsidRPr="00CE1CE2">
        <w:rPr>
          <w:sz w:val="22"/>
          <w:szCs w:val="22"/>
        </w:rPr>
        <w:t xml:space="preserve">s </w:t>
      </w:r>
      <w:r w:rsidR="002B1C00" w:rsidRPr="00CE1CE2">
        <w:rPr>
          <w:sz w:val="22"/>
          <w:szCs w:val="22"/>
        </w:rPr>
        <w:t>overall technical efficiency.</w:t>
      </w:r>
      <w:r w:rsidR="009F06CC" w:rsidRPr="00CE1CE2">
        <w:rPr>
          <w:sz w:val="22"/>
          <w:szCs w:val="22"/>
        </w:rPr>
        <w:t xml:space="preserve"> </w:t>
      </w:r>
    </w:p>
    <w:p w14:paraId="3933591D" w14:textId="3AE5B33A" w:rsidR="00936551" w:rsidRDefault="00936551" w:rsidP="006D498D">
      <w:pPr>
        <w:spacing w:line="360" w:lineRule="auto"/>
        <w:jc w:val="both"/>
        <w:rPr>
          <w:sz w:val="22"/>
          <w:szCs w:val="22"/>
        </w:rPr>
      </w:pPr>
      <w:r w:rsidRPr="00CE1CE2">
        <w:rPr>
          <w:sz w:val="22"/>
          <w:szCs w:val="22"/>
        </w:rPr>
        <w:t xml:space="preserve">Table </w:t>
      </w:r>
      <w:r w:rsidRPr="001346E5">
        <w:rPr>
          <w:color w:val="0070C0"/>
          <w:sz w:val="22"/>
          <w:szCs w:val="22"/>
        </w:rPr>
        <w:t>5</w:t>
      </w:r>
      <w:r w:rsidRPr="00CE1CE2">
        <w:rPr>
          <w:sz w:val="22"/>
          <w:szCs w:val="22"/>
        </w:rPr>
        <w:t xml:space="preserve"> </w:t>
      </w:r>
      <w:r w:rsidR="00F232F2" w:rsidRPr="00CE1CE2">
        <w:rPr>
          <w:sz w:val="22"/>
          <w:szCs w:val="22"/>
        </w:rPr>
        <w:t>presents</w:t>
      </w:r>
      <w:r w:rsidRPr="00CE1CE2">
        <w:rPr>
          <w:sz w:val="22"/>
          <w:szCs w:val="22"/>
        </w:rPr>
        <w:t xml:space="preserve"> the bootstrap efficiency scores of the </w:t>
      </w:r>
      <w:r w:rsidR="007229C4" w:rsidRPr="00CE1CE2">
        <w:rPr>
          <w:sz w:val="22"/>
          <w:szCs w:val="22"/>
        </w:rPr>
        <w:t>U.S. banking</w:t>
      </w:r>
      <w:r w:rsidRPr="00CE1CE2">
        <w:rPr>
          <w:sz w:val="22"/>
          <w:szCs w:val="22"/>
        </w:rPr>
        <w:t xml:space="preserve"> system over the period 19</w:t>
      </w:r>
      <w:r w:rsidR="0054610E" w:rsidRPr="00CE1CE2">
        <w:rPr>
          <w:sz w:val="22"/>
          <w:szCs w:val="22"/>
        </w:rPr>
        <w:t>72</w:t>
      </w:r>
      <w:r w:rsidRPr="00CE1CE2">
        <w:rPr>
          <w:sz w:val="22"/>
          <w:szCs w:val="22"/>
        </w:rPr>
        <w:t xml:space="preserve"> to 20</w:t>
      </w:r>
      <w:r w:rsidR="0054610E" w:rsidRPr="00CE1CE2">
        <w:rPr>
          <w:sz w:val="22"/>
          <w:szCs w:val="22"/>
        </w:rPr>
        <w:t>20</w:t>
      </w:r>
      <w:r w:rsidRPr="00CE1CE2">
        <w:rPr>
          <w:sz w:val="22"/>
          <w:szCs w:val="22"/>
        </w:rPr>
        <w:t>, assuming constant returns to scale (</w:t>
      </w:r>
      <w:r w:rsidR="00D661DF" w:rsidRPr="00E14280">
        <w:rPr>
          <w:i/>
          <w:iCs/>
          <w:sz w:val="22"/>
          <w:szCs w:val="22"/>
        </w:rPr>
        <w:t>CRS</w:t>
      </w:r>
      <w:r w:rsidRPr="00CE1CE2">
        <w:rPr>
          <w:sz w:val="22"/>
          <w:szCs w:val="22"/>
        </w:rPr>
        <w:t>) and variable returns to scale (</w:t>
      </w:r>
      <w:r w:rsidR="00D661DF" w:rsidRPr="00E14280">
        <w:rPr>
          <w:i/>
          <w:iCs/>
          <w:sz w:val="22"/>
          <w:szCs w:val="22"/>
        </w:rPr>
        <w:t>VRS</w:t>
      </w:r>
      <w:r w:rsidRPr="00CE1CE2">
        <w:rPr>
          <w:sz w:val="22"/>
          <w:szCs w:val="22"/>
        </w:rPr>
        <w:t xml:space="preserve">). All the </w:t>
      </w:r>
      <w:r w:rsidR="00AB7557" w:rsidRPr="00CE1CE2">
        <w:rPr>
          <w:sz w:val="22"/>
          <w:szCs w:val="22"/>
        </w:rPr>
        <w:t>bias</w:t>
      </w:r>
      <w:r w:rsidR="00AB7557">
        <w:rPr>
          <w:sz w:val="22"/>
          <w:szCs w:val="22"/>
        </w:rPr>
        <w:t>-</w:t>
      </w:r>
      <w:r w:rsidRPr="00CE1CE2">
        <w:rPr>
          <w:sz w:val="22"/>
          <w:szCs w:val="22"/>
        </w:rPr>
        <w:t xml:space="preserve">corrected </w:t>
      </w:r>
      <w:r w:rsidR="00D661DF" w:rsidRPr="00E14280">
        <w:rPr>
          <w:i/>
          <w:iCs/>
          <w:sz w:val="22"/>
          <w:szCs w:val="22"/>
        </w:rPr>
        <w:t>CRS</w:t>
      </w:r>
      <w:r w:rsidRPr="00CE1CE2">
        <w:rPr>
          <w:sz w:val="22"/>
          <w:szCs w:val="22"/>
        </w:rPr>
        <w:t xml:space="preserve"> scores are lower than </w:t>
      </w:r>
      <w:r w:rsidR="00D661DF" w:rsidRPr="00E14280">
        <w:rPr>
          <w:i/>
          <w:iCs/>
          <w:sz w:val="22"/>
          <w:szCs w:val="22"/>
        </w:rPr>
        <w:t>VRS</w:t>
      </w:r>
      <w:r w:rsidRPr="00CE1CE2">
        <w:rPr>
          <w:sz w:val="22"/>
          <w:szCs w:val="22"/>
        </w:rPr>
        <w:t xml:space="preserve"> scores. </w:t>
      </w:r>
      <w:r w:rsidR="00994D9F" w:rsidRPr="00CE1CE2">
        <w:rPr>
          <w:sz w:val="22"/>
          <w:szCs w:val="22"/>
        </w:rPr>
        <w:t xml:space="preserve">The </w:t>
      </w:r>
      <w:r w:rsidR="00AB7557" w:rsidRPr="00CE1CE2">
        <w:rPr>
          <w:sz w:val="22"/>
          <w:szCs w:val="22"/>
        </w:rPr>
        <w:t>bias</w:t>
      </w:r>
      <w:r w:rsidR="00AB7557">
        <w:rPr>
          <w:sz w:val="22"/>
          <w:szCs w:val="22"/>
        </w:rPr>
        <w:t>-</w:t>
      </w:r>
      <w:r w:rsidR="001A65CB" w:rsidRPr="00CE1CE2">
        <w:rPr>
          <w:sz w:val="22"/>
          <w:szCs w:val="22"/>
        </w:rPr>
        <w:t xml:space="preserve">corrected </w:t>
      </w:r>
      <w:r w:rsidR="00E86A25" w:rsidRPr="00CE1CE2">
        <w:rPr>
          <w:sz w:val="22"/>
          <w:szCs w:val="22"/>
        </w:rPr>
        <w:t xml:space="preserve">constant return to scale </w:t>
      </w:r>
      <w:r w:rsidR="00994D9F" w:rsidRPr="00CE1CE2">
        <w:rPr>
          <w:sz w:val="22"/>
          <w:szCs w:val="22"/>
        </w:rPr>
        <w:t xml:space="preserve">efficiency scores </w:t>
      </w:r>
      <w:r w:rsidR="00187F5A" w:rsidRPr="00CE1CE2">
        <w:rPr>
          <w:sz w:val="22"/>
          <w:szCs w:val="22"/>
        </w:rPr>
        <w:t>(</w:t>
      </w:r>
      <w:r w:rsidR="00187F5A" w:rsidRPr="00E14280">
        <w:rPr>
          <w:i/>
          <w:iCs/>
          <w:sz w:val="22"/>
          <w:szCs w:val="22"/>
        </w:rPr>
        <w:t>CRS</w:t>
      </w:r>
      <w:r w:rsidR="00187F5A" w:rsidRPr="00CE1CE2">
        <w:rPr>
          <w:sz w:val="22"/>
          <w:szCs w:val="22"/>
        </w:rPr>
        <w:t>)</w:t>
      </w:r>
      <w:r w:rsidR="00E86A25" w:rsidRPr="00CE1CE2">
        <w:rPr>
          <w:sz w:val="22"/>
          <w:szCs w:val="22"/>
        </w:rPr>
        <w:t xml:space="preserve"> </w:t>
      </w:r>
      <w:r w:rsidR="00176FD4" w:rsidRPr="00CE1CE2">
        <w:rPr>
          <w:sz w:val="22"/>
          <w:szCs w:val="22"/>
        </w:rPr>
        <w:t xml:space="preserve">fluctuated between 0.3 and 0.5 </w:t>
      </w:r>
      <w:r w:rsidR="00994D9F" w:rsidRPr="00CE1CE2">
        <w:rPr>
          <w:sz w:val="22"/>
          <w:szCs w:val="22"/>
        </w:rPr>
        <w:t>from 19</w:t>
      </w:r>
      <w:r w:rsidR="0054610E" w:rsidRPr="00CE1CE2">
        <w:rPr>
          <w:sz w:val="22"/>
          <w:szCs w:val="22"/>
        </w:rPr>
        <w:t>72</w:t>
      </w:r>
      <w:r w:rsidR="00994D9F" w:rsidRPr="00CE1CE2">
        <w:rPr>
          <w:sz w:val="22"/>
          <w:szCs w:val="22"/>
        </w:rPr>
        <w:t xml:space="preserve"> to </w:t>
      </w:r>
      <w:r w:rsidR="00E86A25" w:rsidRPr="00CE1CE2">
        <w:rPr>
          <w:sz w:val="22"/>
          <w:szCs w:val="22"/>
        </w:rPr>
        <w:t>20</w:t>
      </w:r>
      <w:r w:rsidR="0054610E" w:rsidRPr="00CE1CE2">
        <w:rPr>
          <w:sz w:val="22"/>
          <w:szCs w:val="22"/>
        </w:rPr>
        <w:t>20</w:t>
      </w:r>
      <w:r w:rsidR="00E86A25" w:rsidRPr="00CE1CE2">
        <w:rPr>
          <w:sz w:val="22"/>
          <w:szCs w:val="22"/>
        </w:rPr>
        <w:t xml:space="preserve">. On the other hand, the </w:t>
      </w:r>
      <w:r w:rsidR="00AB7557" w:rsidRPr="00CE1CE2">
        <w:rPr>
          <w:sz w:val="22"/>
          <w:szCs w:val="22"/>
        </w:rPr>
        <w:t>bias</w:t>
      </w:r>
      <w:r w:rsidR="00AB7557">
        <w:rPr>
          <w:sz w:val="22"/>
          <w:szCs w:val="22"/>
        </w:rPr>
        <w:t>-</w:t>
      </w:r>
      <w:r w:rsidR="001A65CB" w:rsidRPr="00CE1CE2">
        <w:rPr>
          <w:sz w:val="22"/>
          <w:szCs w:val="22"/>
        </w:rPr>
        <w:t>corrected</w:t>
      </w:r>
      <w:r w:rsidR="00235D31">
        <w:rPr>
          <w:sz w:val="22"/>
          <w:szCs w:val="22"/>
        </w:rPr>
        <w:t xml:space="preserve"> bootstrap</w:t>
      </w:r>
      <w:r w:rsidR="001A65CB" w:rsidRPr="00CE1CE2">
        <w:rPr>
          <w:sz w:val="22"/>
          <w:szCs w:val="22"/>
        </w:rPr>
        <w:t xml:space="preserve"> </w:t>
      </w:r>
      <w:r w:rsidR="00E86A25" w:rsidRPr="00CE1CE2">
        <w:rPr>
          <w:sz w:val="22"/>
          <w:szCs w:val="22"/>
        </w:rPr>
        <w:t xml:space="preserve">variable return to scale </w:t>
      </w:r>
      <w:r w:rsidR="007F2972" w:rsidRPr="00CE1CE2">
        <w:rPr>
          <w:sz w:val="22"/>
          <w:szCs w:val="22"/>
        </w:rPr>
        <w:t xml:space="preserve">efficiency scores </w:t>
      </w:r>
      <w:r w:rsidR="00187F5A" w:rsidRPr="00CE1CE2">
        <w:rPr>
          <w:sz w:val="22"/>
          <w:szCs w:val="22"/>
        </w:rPr>
        <w:t>(</w:t>
      </w:r>
      <w:r w:rsidR="00187F5A" w:rsidRPr="00E14280">
        <w:rPr>
          <w:i/>
          <w:iCs/>
          <w:sz w:val="22"/>
          <w:szCs w:val="22"/>
        </w:rPr>
        <w:t>VRS</w:t>
      </w:r>
      <w:r w:rsidR="00187F5A" w:rsidRPr="00CE1CE2">
        <w:rPr>
          <w:sz w:val="22"/>
          <w:szCs w:val="22"/>
        </w:rPr>
        <w:t>)</w:t>
      </w:r>
      <w:r w:rsidR="00E86A25" w:rsidRPr="00CE1CE2">
        <w:rPr>
          <w:sz w:val="22"/>
          <w:szCs w:val="22"/>
        </w:rPr>
        <w:t xml:space="preserve"> w</w:t>
      </w:r>
      <w:r w:rsidR="007F2972" w:rsidRPr="00CE1CE2">
        <w:rPr>
          <w:sz w:val="22"/>
          <w:szCs w:val="22"/>
        </w:rPr>
        <w:t>ere</w:t>
      </w:r>
      <w:r w:rsidR="00E86A25" w:rsidRPr="00CE1CE2">
        <w:rPr>
          <w:sz w:val="22"/>
          <w:szCs w:val="22"/>
        </w:rPr>
        <w:t xml:space="preserve"> between 0.4 and 0.5 </w:t>
      </w:r>
      <w:r w:rsidR="00AB7557">
        <w:rPr>
          <w:sz w:val="22"/>
          <w:szCs w:val="22"/>
        </w:rPr>
        <w:t xml:space="preserve">from 1972 to </w:t>
      </w:r>
      <w:r w:rsidR="001A65CB" w:rsidRPr="00CE1CE2">
        <w:rPr>
          <w:sz w:val="22"/>
          <w:szCs w:val="22"/>
        </w:rPr>
        <w:t>1990</w:t>
      </w:r>
      <w:r w:rsidR="00E86A25" w:rsidRPr="00CE1CE2">
        <w:rPr>
          <w:sz w:val="22"/>
          <w:szCs w:val="22"/>
        </w:rPr>
        <w:t>. Then, efficiency scores increased to 0.5-0.6 from 199</w:t>
      </w:r>
      <w:r w:rsidR="00D661DF" w:rsidRPr="00CE1CE2">
        <w:rPr>
          <w:sz w:val="22"/>
          <w:szCs w:val="22"/>
        </w:rPr>
        <w:t>1</w:t>
      </w:r>
      <w:r w:rsidR="00E86A25" w:rsidRPr="00CE1CE2">
        <w:rPr>
          <w:sz w:val="22"/>
          <w:szCs w:val="22"/>
        </w:rPr>
        <w:t xml:space="preserve"> to 20</w:t>
      </w:r>
      <w:r w:rsidR="0054610E" w:rsidRPr="00CE1CE2">
        <w:rPr>
          <w:sz w:val="22"/>
          <w:szCs w:val="22"/>
        </w:rPr>
        <w:t>20</w:t>
      </w:r>
      <w:r w:rsidR="00176FD4" w:rsidRPr="00CE1CE2">
        <w:rPr>
          <w:sz w:val="22"/>
          <w:szCs w:val="22"/>
        </w:rPr>
        <w:t>. The range of efficiency score is marginally consistent with Feng and Zhang (</w:t>
      </w:r>
      <w:r w:rsidR="00176FD4" w:rsidRPr="00450110">
        <w:rPr>
          <w:color w:val="0070C0"/>
          <w:sz w:val="22"/>
          <w:szCs w:val="22"/>
        </w:rPr>
        <w:t>2012</w:t>
      </w:r>
      <w:r w:rsidR="00176FD4" w:rsidRPr="00CE1CE2">
        <w:rPr>
          <w:sz w:val="22"/>
          <w:szCs w:val="22"/>
        </w:rPr>
        <w:t xml:space="preserve">) and </w:t>
      </w:r>
      <w:r w:rsidR="00D82FF0" w:rsidRPr="00CE1CE2">
        <w:rPr>
          <w:sz w:val="22"/>
          <w:szCs w:val="22"/>
        </w:rPr>
        <w:t xml:space="preserve">Al-Khasawneh </w:t>
      </w:r>
      <w:r w:rsidR="00EB3323" w:rsidRPr="00235D31">
        <w:rPr>
          <w:sz w:val="22"/>
          <w:szCs w:val="22"/>
        </w:rPr>
        <w:t>et al</w:t>
      </w:r>
      <w:r w:rsidR="00EB3323">
        <w:rPr>
          <w:i/>
          <w:iCs/>
          <w:sz w:val="22"/>
          <w:szCs w:val="22"/>
        </w:rPr>
        <w:t>.</w:t>
      </w:r>
      <w:r w:rsidR="00D82FF0" w:rsidRPr="00CE1CE2">
        <w:rPr>
          <w:sz w:val="22"/>
          <w:szCs w:val="22"/>
        </w:rPr>
        <w:t xml:space="preserve"> (</w:t>
      </w:r>
      <w:r w:rsidR="00D82FF0" w:rsidRPr="00450110">
        <w:rPr>
          <w:color w:val="0070C0"/>
          <w:sz w:val="22"/>
          <w:szCs w:val="22"/>
        </w:rPr>
        <w:t>2020</w:t>
      </w:r>
      <w:r w:rsidR="00D82FF0" w:rsidRPr="00CE1CE2">
        <w:rPr>
          <w:sz w:val="22"/>
          <w:szCs w:val="22"/>
        </w:rPr>
        <w:t>)</w:t>
      </w:r>
      <w:r w:rsidR="00E86A25" w:rsidRPr="00CE1CE2">
        <w:rPr>
          <w:sz w:val="22"/>
          <w:szCs w:val="22"/>
        </w:rPr>
        <w:t xml:space="preserve">. </w:t>
      </w:r>
    </w:p>
    <w:p w14:paraId="199376CD" w14:textId="4941545D" w:rsidR="00A357E6" w:rsidRDefault="00A357E6" w:rsidP="00A357E6">
      <w:pPr>
        <w:spacing w:line="360" w:lineRule="auto"/>
        <w:jc w:val="both"/>
        <w:rPr>
          <w:sz w:val="22"/>
          <w:szCs w:val="22"/>
        </w:rPr>
      </w:pPr>
    </w:p>
    <w:p w14:paraId="6A4E4EF8" w14:textId="44A8E0EF" w:rsidR="00A357E6" w:rsidRDefault="00A357E6" w:rsidP="009B588C">
      <w:pPr>
        <w:spacing w:line="360" w:lineRule="auto"/>
        <w:jc w:val="center"/>
        <w:rPr>
          <w:sz w:val="22"/>
          <w:szCs w:val="22"/>
        </w:rPr>
      </w:pPr>
      <w:r>
        <w:rPr>
          <w:sz w:val="22"/>
          <w:szCs w:val="22"/>
        </w:rPr>
        <w:t>(Insert Table</w:t>
      </w:r>
      <w:r w:rsidR="00923F82">
        <w:rPr>
          <w:sz w:val="22"/>
          <w:szCs w:val="22"/>
        </w:rPr>
        <w:t>s</w:t>
      </w:r>
      <w:r>
        <w:rPr>
          <w:sz w:val="22"/>
          <w:szCs w:val="22"/>
        </w:rPr>
        <w:t xml:space="preserve"> </w:t>
      </w:r>
      <w:r w:rsidRPr="00A357E6">
        <w:rPr>
          <w:color w:val="0070C0"/>
          <w:sz w:val="22"/>
          <w:szCs w:val="22"/>
        </w:rPr>
        <w:t>4</w:t>
      </w:r>
      <w:r w:rsidR="00923F82">
        <w:rPr>
          <w:color w:val="0070C0"/>
          <w:sz w:val="22"/>
          <w:szCs w:val="22"/>
        </w:rPr>
        <w:t xml:space="preserve"> &amp; 5</w:t>
      </w:r>
      <w:r w:rsidR="00506896">
        <w:rPr>
          <w:color w:val="0070C0"/>
          <w:sz w:val="22"/>
          <w:szCs w:val="22"/>
        </w:rPr>
        <w:t xml:space="preserve"> </w:t>
      </w:r>
      <w:r w:rsidR="00506896">
        <w:rPr>
          <w:sz w:val="22"/>
          <w:szCs w:val="22"/>
        </w:rPr>
        <w:t>about here</w:t>
      </w:r>
      <w:r>
        <w:rPr>
          <w:sz w:val="22"/>
          <w:szCs w:val="22"/>
        </w:rPr>
        <w:t>)</w:t>
      </w:r>
    </w:p>
    <w:p w14:paraId="7C0865AC" w14:textId="1DC9F7B5" w:rsidR="00A357E6" w:rsidRPr="00CE1CE2" w:rsidRDefault="00A357E6" w:rsidP="009B588C">
      <w:pPr>
        <w:spacing w:line="360" w:lineRule="auto"/>
        <w:jc w:val="center"/>
        <w:rPr>
          <w:sz w:val="22"/>
          <w:szCs w:val="22"/>
        </w:rPr>
      </w:pPr>
      <w:r>
        <w:rPr>
          <w:sz w:val="22"/>
          <w:szCs w:val="22"/>
        </w:rPr>
        <w:t>(Insert Fig</w:t>
      </w:r>
      <w:r w:rsidR="00923F82">
        <w:rPr>
          <w:sz w:val="22"/>
          <w:szCs w:val="22"/>
        </w:rPr>
        <w:t>ures</w:t>
      </w:r>
      <w:r w:rsidR="000777B2">
        <w:rPr>
          <w:sz w:val="22"/>
          <w:szCs w:val="22"/>
          <w:lang w:val="vi-VN"/>
        </w:rPr>
        <w:t xml:space="preserve"> </w:t>
      </w:r>
      <w:r>
        <w:rPr>
          <w:color w:val="0070C0"/>
          <w:sz w:val="22"/>
          <w:szCs w:val="22"/>
        </w:rPr>
        <w:t>1</w:t>
      </w:r>
      <w:r w:rsidR="00923F82">
        <w:rPr>
          <w:color w:val="0070C0"/>
          <w:sz w:val="22"/>
          <w:szCs w:val="22"/>
        </w:rPr>
        <w:t>, 2, 3</w:t>
      </w:r>
      <w:r w:rsidR="00506896">
        <w:rPr>
          <w:color w:val="0070C0"/>
          <w:sz w:val="22"/>
          <w:szCs w:val="22"/>
        </w:rPr>
        <w:t xml:space="preserve"> </w:t>
      </w:r>
      <w:r w:rsidR="00506896">
        <w:rPr>
          <w:sz w:val="22"/>
          <w:szCs w:val="22"/>
        </w:rPr>
        <w:t>about here</w:t>
      </w:r>
      <w:r>
        <w:rPr>
          <w:sz w:val="22"/>
          <w:szCs w:val="22"/>
        </w:rPr>
        <w:t>)</w:t>
      </w:r>
    </w:p>
    <w:p w14:paraId="11BBE364" w14:textId="3F0F470D" w:rsidR="003C7AEC" w:rsidRDefault="003C7AEC" w:rsidP="006E59E7">
      <w:pPr>
        <w:spacing w:line="360" w:lineRule="auto"/>
        <w:jc w:val="both"/>
        <w:rPr>
          <w:sz w:val="22"/>
          <w:szCs w:val="22"/>
        </w:rPr>
      </w:pPr>
    </w:p>
    <w:p w14:paraId="5AC8468B" w14:textId="3C345771" w:rsidR="00923F82" w:rsidRPr="00591939" w:rsidRDefault="00923F82" w:rsidP="006D498D">
      <w:pPr>
        <w:spacing w:line="360" w:lineRule="auto"/>
        <w:jc w:val="both"/>
        <w:rPr>
          <w:sz w:val="22"/>
          <w:szCs w:val="22"/>
        </w:rPr>
      </w:pPr>
      <w:r w:rsidRPr="007D666A">
        <w:rPr>
          <w:sz w:val="22"/>
          <w:szCs w:val="22"/>
        </w:rPr>
        <w:t xml:space="preserve">We employ </w:t>
      </w:r>
      <w:r>
        <w:rPr>
          <w:sz w:val="22"/>
          <w:szCs w:val="22"/>
        </w:rPr>
        <w:t xml:space="preserve">the bootstrap </w:t>
      </w:r>
      <w:r w:rsidRPr="007D666A">
        <w:rPr>
          <w:sz w:val="22"/>
          <w:szCs w:val="22"/>
        </w:rPr>
        <w:t xml:space="preserve">Data Envelopment Analysis (DEA) frontier method to estimate </w:t>
      </w:r>
      <w:r>
        <w:rPr>
          <w:sz w:val="22"/>
          <w:szCs w:val="22"/>
        </w:rPr>
        <w:t>bank</w:t>
      </w:r>
      <w:r w:rsidRPr="007D666A">
        <w:rPr>
          <w:sz w:val="22"/>
          <w:szCs w:val="22"/>
        </w:rPr>
        <w:t xml:space="preserve"> efficiency scores</w:t>
      </w:r>
      <w:r>
        <w:rPr>
          <w:sz w:val="22"/>
          <w:szCs w:val="22"/>
        </w:rPr>
        <w:t xml:space="preserve"> following </w:t>
      </w:r>
      <w:r w:rsidRPr="007D666A">
        <w:rPr>
          <w:sz w:val="22"/>
          <w:szCs w:val="22"/>
        </w:rPr>
        <w:t xml:space="preserve">constant return to scale </w:t>
      </w:r>
      <w:r>
        <w:rPr>
          <w:sz w:val="22"/>
          <w:szCs w:val="22"/>
        </w:rPr>
        <w:t>(</w:t>
      </w:r>
      <w:r w:rsidRPr="00E14280">
        <w:rPr>
          <w:i/>
          <w:iCs/>
          <w:sz w:val="22"/>
          <w:szCs w:val="22"/>
        </w:rPr>
        <w:t>CRS</w:t>
      </w:r>
      <w:r>
        <w:rPr>
          <w:sz w:val="22"/>
          <w:szCs w:val="22"/>
        </w:rPr>
        <w:t xml:space="preserve">) and </w:t>
      </w:r>
      <w:r w:rsidRPr="007D666A">
        <w:rPr>
          <w:sz w:val="22"/>
          <w:szCs w:val="22"/>
        </w:rPr>
        <w:t xml:space="preserve">variable return to scale </w:t>
      </w:r>
      <w:r>
        <w:rPr>
          <w:sz w:val="22"/>
          <w:szCs w:val="22"/>
        </w:rPr>
        <w:t>(</w:t>
      </w:r>
      <w:r w:rsidRPr="00E14280">
        <w:rPr>
          <w:i/>
          <w:iCs/>
          <w:sz w:val="22"/>
          <w:szCs w:val="22"/>
        </w:rPr>
        <w:t>VRS</w:t>
      </w:r>
      <w:r>
        <w:rPr>
          <w:sz w:val="22"/>
          <w:szCs w:val="22"/>
        </w:rPr>
        <w:t>)</w:t>
      </w:r>
      <w:r w:rsidRPr="007D666A">
        <w:rPr>
          <w:sz w:val="22"/>
          <w:szCs w:val="22"/>
        </w:rPr>
        <w:t xml:space="preserve">. However, when a sample's decision-making units (DMUs) range in size from small to large, the </w:t>
      </w:r>
      <w:r w:rsidRPr="00E14280">
        <w:rPr>
          <w:i/>
          <w:iCs/>
          <w:sz w:val="22"/>
          <w:szCs w:val="22"/>
        </w:rPr>
        <w:t>VRS</w:t>
      </w:r>
      <w:r w:rsidRPr="007D666A">
        <w:rPr>
          <w:sz w:val="22"/>
          <w:szCs w:val="22"/>
        </w:rPr>
        <w:t xml:space="preserve"> technique is preferable to the </w:t>
      </w:r>
      <w:r w:rsidRPr="00E14280">
        <w:rPr>
          <w:i/>
          <w:iCs/>
          <w:sz w:val="22"/>
          <w:szCs w:val="22"/>
        </w:rPr>
        <w:t>CRS</w:t>
      </w:r>
      <w:r w:rsidRPr="007D666A">
        <w:rPr>
          <w:sz w:val="22"/>
          <w:szCs w:val="22"/>
        </w:rPr>
        <w:t xml:space="preserve"> approach. Only when all DMUs function at their optimal scale is </w:t>
      </w:r>
      <w:r w:rsidRPr="00E14280">
        <w:rPr>
          <w:i/>
          <w:iCs/>
          <w:sz w:val="22"/>
          <w:szCs w:val="22"/>
        </w:rPr>
        <w:t>CRS</w:t>
      </w:r>
      <w:r w:rsidRPr="007D666A">
        <w:rPr>
          <w:sz w:val="22"/>
          <w:szCs w:val="22"/>
        </w:rPr>
        <w:t xml:space="preserve"> appropriate. Hence, the </w:t>
      </w:r>
      <w:r w:rsidRPr="00E14280">
        <w:rPr>
          <w:i/>
          <w:iCs/>
          <w:sz w:val="22"/>
          <w:szCs w:val="22"/>
        </w:rPr>
        <w:t>VRS</w:t>
      </w:r>
      <w:r w:rsidRPr="007D666A">
        <w:rPr>
          <w:sz w:val="22"/>
          <w:szCs w:val="22"/>
        </w:rPr>
        <w:t xml:space="preserve"> results are preferred for inference</w:t>
      </w:r>
      <w:r w:rsidRPr="009F38ED">
        <w:rPr>
          <w:color w:val="0070C0"/>
          <w:sz w:val="22"/>
          <w:szCs w:val="22"/>
        </w:rPr>
        <w:t>.</w:t>
      </w:r>
      <w:r w:rsidRPr="007D666A">
        <w:rPr>
          <w:sz w:val="22"/>
          <w:szCs w:val="22"/>
        </w:rPr>
        <w:t xml:space="preserve"> </w:t>
      </w:r>
      <w:r w:rsidR="00591939" w:rsidRPr="00591939">
        <w:rPr>
          <w:sz w:val="22"/>
          <w:szCs w:val="22"/>
        </w:rPr>
        <w:t xml:space="preserve">Fig. </w:t>
      </w:r>
      <w:r w:rsidR="00591939" w:rsidRPr="00591939">
        <w:rPr>
          <w:color w:val="0070C0"/>
          <w:sz w:val="22"/>
          <w:szCs w:val="22"/>
        </w:rPr>
        <w:t>4</w:t>
      </w:r>
      <w:r w:rsidR="00591939" w:rsidRPr="00591939">
        <w:rPr>
          <w:sz w:val="22"/>
          <w:szCs w:val="22"/>
        </w:rPr>
        <w:t xml:space="preserve"> illustrates cross-sectional average between </w:t>
      </w:r>
      <w:r w:rsidR="00591939" w:rsidRPr="00591939">
        <w:rPr>
          <w:i/>
          <w:iCs/>
          <w:sz w:val="22"/>
          <w:szCs w:val="22"/>
        </w:rPr>
        <w:t>CRS</w:t>
      </w:r>
      <w:r w:rsidR="00591939" w:rsidRPr="00591939">
        <w:rPr>
          <w:sz w:val="22"/>
          <w:szCs w:val="22"/>
        </w:rPr>
        <w:t xml:space="preserve"> and </w:t>
      </w:r>
      <w:r w:rsidR="00591939" w:rsidRPr="00591939">
        <w:rPr>
          <w:i/>
          <w:iCs/>
          <w:sz w:val="22"/>
          <w:szCs w:val="22"/>
        </w:rPr>
        <w:t>SVOTE</w:t>
      </w:r>
      <w:r w:rsidR="00591939" w:rsidRPr="00591939">
        <w:rPr>
          <w:sz w:val="22"/>
          <w:szCs w:val="22"/>
        </w:rPr>
        <w:t xml:space="preserve"> and </w:t>
      </w:r>
      <w:r w:rsidR="00591939" w:rsidRPr="00591939">
        <w:rPr>
          <w:i/>
          <w:iCs/>
          <w:sz w:val="22"/>
          <w:szCs w:val="22"/>
        </w:rPr>
        <w:t>NVOTE</w:t>
      </w:r>
      <w:r w:rsidR="00591939" w:rsidRPr="00591939">
        <w:rPr>
          <w:sz w:val="22"/>
          <w:szCs w:val="22"/>
        </w:rPr>
        <w:t xml:space="preserve"> while Fig. </w:t>
      </w:r>
      <w:r w:rsidR="00591939" w:rsidRPr="00591939">
        <w:rPr>
          <w:color w:val="0070C0"/>
          <w:sz w:val="22"/>
          <w:szCs w:val="22"/>
        </w:rPr>
        <w:t>5</w:t>
      </w:r>
      <w:r w:rsidR="00591939" w:rsidRPr="00591939">
        <w:rPr>
          <w:sz w:val="22"/>
          <w:szCs w:val="22"/>
        </w:rPr>
        <w:t xml:space="preserve"> represents cross-sectional average between </w:t>
      </w:r>
      <w:r w:rsidR="00591939" w:rsidRPr="00591939">
        <w:rPr>
          <w:i/>
          <w:iCs/>
          <w:sz w:val="22"/>
          <w:szCs w:val="22"/>
        </w:rPr>
        <w:t>VRS</w:t>
      </w:r>
      <w:r w:rsidR="00591939" w:rsidRPr="00591939">
        <w:rPr>
          <w:sz w:val="22"/>
          <w:szCs w:val="22"/>
        </w:rPr>
        <w:t xml:space="preserve"> and </w:t>
      </w:r>
      <w:r w:rsidR="00591939" w:rsidRPr="00591939">
        <w:rPr>
          <w:i/>
          <w:iCs/>
          <w:sz w:val="22"/>
          <w:szCs w:val="22"/>
        </w:rPr>
        <w:t>SVOTE</w:t>
      </w:r>
      <w:r w:rsidR="00591939" w:rsidRPr="00591939">
        <w:rPr>
          <w:sz w:val="22"/>
          <w:szCs w:val="22"/>
        </w:rPr>
        <w:t xml:space="preserve"> and </w:t>
      </w:r>
      <w:r w:rsidR="00591939" w:rsidRPr="00591939">
        <w:rPr>
          <w:i/>
          <w:iCs/>
          <w:sz w:val="22"/>
          <w:szCs w:val="22"/>
        </w:rPr>
        <w:t>NVOTE</w:t>
      </w:r>
      <w:r w:rsidR="00591939" w:rsidRPr="00591939">
        <w:rPr>
          <w:sz w:val="22"/>
          <w:szCs w:val="22"/>
        </w:rPr>
        <w:t>.</w:t>
      </w:r>
    </w:p>
    <w:p w14:paraId="50471E0F" w14:textId="77777777" w:rsidR="00923F82" w:rsidRDefault="00923F82" w:rsidP="00923F82">
      <w:pPr>
        <w:spacing w:line="360" w:lineRule="auto"/>
        <w:jc w:val="both"/>
        <w:rPr>
          <w:sz w:val="22"/>
          <w:szCs w:val="22"/>
        </w:rPr>
      </w:pPr>
    </w:p>
    <w:p w14:paraId="73D96C2C" w14:textId="0B09BEA8" w:rsidR="009B588C" w:rsidRDefault="00923F82" w:rsidP="00143B2F">
      <w:pPr>
        <w:spacing w:line="360" w:lineRule="auto"/>
        <w:jc w:val="center"/>
        <w:rPr>
          <w:b/>
          <w:bCs/>
          <w:sz w:val="22"/>
          <w:szCs w:val="22"/>
        </w:rPr>
      </w:pPr>
      <w:r>
        <w:rPr>
          <w:sz w:val="22"/>
          <w:szCs w:val="22"/>
        </w:rPr>
        <w:t>(Insert Figures</w:t>
      </w:r>
      <w:r w:rsidR="000777B2">
        <w:rPr>
          <w:sz w:val="22"/>
          <w:szCs w:val="22"/>
          <w:lang w:val="vi-VN"/>
        </w:rPr>
        <w:t xml:space="preserve"> </w:t>
      </w:r>
      <w:r>
        <w:rPr>
          <w:color w:val="0070C0"/>
          <w:sz w:val="22"/>
          <w:szCs w:val="22"/>
        </w:rPr>
        <w:t>4 &amp; 5</w:t>
      </w:r>
      <w:r w:rsidR="00CC70D8">
        <w:rPr>
          <w:color w:val="0070C0"/>
          <w:sz w:val="22"/>
          <w:szCs w:val="22"/>
        </w:rPr>
        <w:t xml:space="preserve"> </w:t>
      </w:r>
      <w:r w:rsidR="00CC70D8" w:rsidRPr="00CC70D8">
        <w:rPr>
          <w:sz w:val="22"/>
          <w:szCs w:val="22"/>
        </w:rPr>
        <w:t>about here</w:t>
      </w:r>
      <w:r>
        <w:rPr>
          <w:sz w:val="22"/>
          <w:szCs w:val="22"/>
        </w:rPr>
        <w:t>)</w:t>
      </w:r>
    </w:p>
    <w:p w14:paraId="4EFCC628" w14:textId="3DD0325A" w:rsidR="00B65CE4" w:rsidRPr="00923F82" w:rsidRDefault="005A2333" w:rsidP="00923F82">
      <w:pPr>
        <w:pStyle w:val="Heading2"/>
        <w:jc w:val="both"/>
        <w:rPr>
          <w:sz w:val="22"/>
          <w:szCs w:val="22"/>
        </w:rPr>
      </w:pPr>
      <w:r w:rsidRPr="005A2333">
        <w:rPr>
          <w:sz w:val="22"/>
          <w:szCs w:val="22"/>
        </w:rPr>
        <w:t>5</w:t>
      </w:r>
      <w:r w:rsidR="00B65CE4" w:rsidRPr="005A2333">
        <w:rPr>
          <w:sz w:val="22"/>
          <w:szCs w:val="22"/>
        </w:rPr>
        <w:t xml:space="preserve">.2. </w:t>
      </w:r>
      <w:r w:rsidR="009B588C">
        <w:rPr>
          <w:sz w:val="22"/>
          <w:szCs w:val="22"/>
        </w:rPr>
        <w:t xml:space="preserve">Results: </w:t>
      </w:r>
      <w:r w:rsidR="00923F82" w:rsidRPr="00CE1CE2">
        <w:rPr>
          <w:sz w:val="22"/>
          <w:szCs w:val="22"/>
        </w:rPr>
        <w:t>SAR</w:t>
      </w:r>
      <w:r w:rsidR="009B588C">
        <w:rPr>
          <w:sz w:val="22"/>
          <w:szCs w:val="22"/>
        </w:rPr>
        <w:t xml:space="preserve"> and SDM Models</w:t>
      </w:r>
    </w:p>
    <w:p w14:paraId="427B1E88" w14:textId="77777777" w:rsidR="00904D89" w:rsidRDefault="00904D89" w:rsidP="003C71F6">
      <w:pPr>
        <w:spacing w:line="360" w:lineRule="auto"/>
        <w:ind w:firstLine="720"/>
        <w:jc w:val="both"/>
        <w:rPr>
          <w:sz w:val="22"/>
          <w:szCs w:val="22"/>
        </w:rPr>
      </w:pPr>
    </w:p>
    <w:p w14:paraId="63E3B38F" w14:textId="33478373" w:rsidR="00984DE1" w:rsidRPr="008F10DE" w:rsidRDefault="00E1404F" w:rsidP="006D498D">
      <w:pPr>
        <w:spacing w:line="360" w:lineRule="auto"/>
        <w:jc w:val="both"/>
        <w:rPr>
          <w:bCs/>
          <w:sz w:val="22"/>
          <w:szCs w:val="22"/>
        </w:rPr>
      </w:pPr>
      <w:r w:rsidRPr="00CE1CE2">
        <w:rPr>
          <w:sz w:val="22"/>
          <w:szCs w:val="22"/>
        </w:rPr>
        <w:t xml:space="preserve">The results in </w:t>
      </w:r>
      <w:r w:rsidR="001346E5">
        <w:rPr>
          <w:sz w:val="22"/>
          <w:szCs w:val="22"/>
        </w:rPr>
        <w:t>T</w:t>
      </w:r>
      <w:r w:rsidRPr="00CE1CE2">
        <w:rPr>
          <w:sz w:val="22"/>
          <w:szCs w:val="22"/>
        </w:rPr>
        <w:t xml:space="preserve">able </w:t>
      </w:r>
      <w:r w:rsidRPr="00A357E6">
        <w:rPr>
          <w:color w:val="0070C0"/>
          <w:sz w:val="22"/>
          <w:szCs w:val="22"/>
        </w:rPr>
        <w:t>6</w:t>
      </w:r>
      <w:r w:rsidR="004F20B3" w:rsidRPr="00A357E6">
        <w:rPr>
          <w:color w:val="0070C0"/>
          <w:sz w:val="22"/>
          <w:szCs w:val="22"/>
        </w:rPr>
        <w:t xml:space="preserve"> </w:t>
      </w:r>
      <w:r w:rsidRPr="00CE1CE2">
        <w:rPr>
          <w:sz w:val="22"/>
          <w:szCs w:val="22"/>
        </w:rPr>
        <w:t xml:space="preserve">show regressions between independent and control variables with </w:t>
      </w:r>
      <w:r w:rsidR="004A2E3D" w:rsidRPr="00CE1CE2">
        <w:rPr>
          <w:sz w:val="22"/>
          <w:szCs w:val="22"/>
        </w:rPr>
        <w:t xml:space="preserve">bootstrap variable return to scale efficiency scores </w:t>
      </w:r>
      <w:r w:rsidR="004F20B3" w:rsidRPr="00CE1CE2">
        <w:rPr>
          <w:sz w:val="22"/>
          <w:szCs w:val="22"/>
        </w:rPr>
        <w:t>(</w:t>
      </w:r>
      <w:r w:rsidR="004F20B3" w:rsidRPr="00E14280">
        <w:rPr>
          <w:i/>
          <w:iCs/>
          <w:sz w:val="22"/>
          <w:szCs w:val="22"/>
        </w:rPr>
        <w:t>VRS</w:t>
      </w:r>
      <w:r w:rsidR="004F20B3" w:rsidRPr="00CE1CE2">
        <w:rPr>
          <w:sz w:val="22"/>
          <w:szCs w:val="22"/>
        </w:rPr>
        <w:t>)</w:t>
      </w:r>
      <w:r w:rsidR="004A2E3D" w:rsidRPr="00CE1CE2">
        <w:rPr>
          <w:sz w:val="22"/>
          <w:szCs w:val="22"/>
        </w:rPr>
        <w:t>.</w:t>
      </w:r>
      <w:r w:rsidR="00D44399" w:rsidRPr="00CE1CE2">
        <w:rPr>
          <w:sz w:val="22"/>
          <w:szCs w:val="22"/>
        </w:rPr>
        <w:t xml:space="preserve"> </w:t>
      </w:r>
      <w:r w:rsidR="00AB7557">
        <w:rPr>
          <w:sz w:val="22"/>
          <w:szCs w:val="22"/>
        </w:rPr>
        <w:t xml:space="preserve">The </w:t>
      </w:r>
      <w:r w:rsidR="00472A6C">
        <w:rPr>
          <w:sz w:val="22"/>
          <w:szCs w:val="22"/>
        </w:rPr>
        <w:t>S</w:t>
      </w:r>
      <w:r w:rsidR="00AB7557" w:rsidRPr="00CE1CE2">
        <w:rPr>
          <w:sz w:val="22"/>
          <w:szCs w:val="22"/>
        </w:rPr>
        <w:t xml:space="preserve">patial </w:t>
      </w:r>
      <w:r w:rsidR="00472A6C">
        <w:rPr>
          <w:sz w:val="22"/>
          <w:szCs w:val="22"/>
        </w:rPr>
        <w:t>A</w:t>
      </w:r>
      <w:r w:rsidR="004F20B3" w:rsidRPr="00CE1CE2">
        <w:rPr>
          <w:sz w:val="22"/>
          <w:szCs w:val="22"/>
        </w:rPr>
        <w:t>utoregressive</w:t>
      </w:r>
      <w:r w:rsidR="00067B0B" w:rsidRPr="00CE1CE2">
        <w:rPr>
          <w:sz w:val="22"/>
          <w:szCs w:val="22"/>
        </w:rPr>
        <w:t xml:space="preserve"> model </w:t>
      </w:r>
      <w:r w:rsidR="004F20B3" w:rsidRPr="00CE1CE2">
        <w:rPr>
          <w:sz w:val="22"/>
          <w:szCs w:val="22"/>
        </w:rPr>
        <w:t>(</w:t>
      </w:r>
      <w:r w:rsidR="004F20B3" w:rsidRPr="0067691E">
        <w:rPr>
          <w:i/>
          <w:iCs/>
          <w:sz w:val="22"/>
          <w:szCs w:val="22"/>
        </w:rPr>
        <w:t>SAR</w:t>
      </w:r>
      <w:r w:rsidR="004F20B3" w:rsidRPr="00CE1CE2">
        <w:rPr>
          <w:sz w:val="22"/>
          <w:szCs w:val="22"/>
        </w:rPr>
        <w:t xml:space="preserve">) </w:t>
      </w:r>
      <w:r w:rsidR="00067B0B" w:rsidRPr="00CE1CE2">
        <w:rPr>
          <w:sz w:val="22"/>
          <w:szCs w:val="22"/>
        </w:rPr>
        <w:t>is used to examine the relation between bootstrap efficiency scores and independent and control variables</w:t>
      </w:r>
      <w:r w:rsidR="003643C6" w:rsidRPr="00CE1CE2">
        <w:rPr>
          <w:sz w:val="22"/>
          <w:szCs w:val="22"/>
        </w:rPr>
        <w:t>.</w:t>
      </w:r>
      <w:r w:rsidR="007047A4" w:rsidRPr="00CE1CE2">
        <w:rPr>
          <w:sz w:val="22"/>
          <w:szCs w:val="22"/>
        </w:rPr>
        <w:t xml:space="preserve"> </w:t>
      </w:r>
      <w:r w:rsidR="004A2E3D" w:rsidRPr="00CE1CE2">
        <w:rPr>
          <w:bCs/>
          <w:sz w:val="22"/>
          <w:szCs w:val="22"/>
        </w:rPr>
        <w:t xml:space="preserve">The results from adjusted efficiency scores show that </w:t>
      </w:r>
      <w:r w:rsidR="00AD6FDE" w:rsidRPr="00CE1CE2">
        <w:rPr>
          <w:bCs/>
          <w:sz w:val="22"/>
          <w:szCs w:val="22"/>
        </w:rPr>
        <w:t xml:space="preserve">state vote </w:t>
      </w:r>
      <w:r w:rsidR="004A2E3D" w:rsidRPr="00CE1CE2">
        <w:rPr>
          <w:bCs/>
          <w:sz w:val="22"/>
          <w:szCs w:val="22"/>
        </w:rPr>
        <w:t>(</w:t>
      </w:r>
      <w:r w:rsidR="00F94F17" w:rsidRPr="001346E5">
        <w:rPr>
          <w:bCs/>
          <w:i/>
          <w:iCs/>
          <w:sz w:val="22"/>
          <w:szCs w:val="22"/>
        </w:rPr>
        <w:t>SVOTE</w:t>
      </w:r>
      <w:r w:rsidR="004A2E3D" w:rsidRPr="00CE1CE2">
        <w:rPr>
          <w:bCs/>
          <w:sz w:val="22"/>
          <w:szCs w:val="22"/>
        </w:rPr>
        <w:t xml:space="preserve">) </w:t>
      </w:r>
      <w:r w:rsidR="00AD6FDE" w:rsidRPr="00CE1CE2">
        <w:rPr>
          <w:bCs/>
          <w:sz w:val="22"/>
          <w:szCs w:val="22"/>
        </w:rPr>
        <w:t>is</w:t>
      </w:r>
      <w:r w:rsidR="004F20B3" w:rsidRPr="00CE1CE2">
        <w:rPr>
          <w:bCs/>
          <w:sz w:val="22"/>
          <w:szCs w:val="22"/>
        </w:rPr>
        <w:t xml:space="preserve"> </w:t>
      </w:r>
      <w:r w:rsidR="005C2E11" w:rsidRPr="00CE1CE2">
        <w:rPr>
          <w:bCs/>
          <w:sz w:val="22"/>
          <w:szCs w:val="22"/>
        </w:rPr>
        <w:t>positive</w:t>
      </w:r>
      <w:r w:rsidR="00AD6FDE" w:rsidRPr="00CE1CE2">
        <w:rPr>
          <w:bCs/>
          <w:sz w:val="22"/>
          <w:szCs w:val="22"/>
        </w:rPr>
        <w:t xml:space="preserve"> and significant suggesting that U</w:t>
      </w:r>
      <w:r w:rsidR="007229C4" w:rsidRPr="00CE1CE2">
        <w:rPr>
          <w:bCs/>
          <w:sz w:val="22"/>
          <w:szCs w:val="22"/>
        </w:rPr>
        <w:t>.</w:t>
      </w:r>
      <w:r w:rsidR="00AD6FDE" w:rsidRPr="00CE1CE2">
        <w:rPr>
          <w:bCs/>
          <w:sz w:val="22"/>
          <w:szCs w:val="22"/>
        </w:rPr>
        <w:t>S</w:t>
      </w:r>
      <w:r w:rsidR="007229C4" w:rsidRPr="00CE1CE2">
        <w:rPr>
          <w:bCs/>
          <w:sz w:val="22"/>
          <w:szCs w:val="22"/>
        </w:rPr>
        <w:t>.</w:t>
      </w:r>
      <w:r w:rsidR="00AD6FDE" w:rsidRPr="00CE1CE2">
        <w:rPr>
          <w:bCs/>
          <w:sz w:val="22"/>
          <w:szCs w:val="22"/>
        </w:rPr>
        <w:t xml:space="preserve"> commercial banks become more efficient when states vote for the </w:t>
      </w:r>
      <w:r w:rsidR="005C2E11" w:rsidRPr="00CE1CE2">
        <w:rPr>
          <w:bCs/>
          <w:sz w:val="22"/>
          <w:szCs w:val="22"/>
        </w:rPr>
        <w:t>Democratic</w:t>
      </w:r>
      <w:r w:rsidR="00AD6FDE" w:rsidRPr="00CE1CE2">
        <w:rPr>
          <w:bCs/>
          <w:sz w:val="22"/>
          <w:szCs w:val="22"/>
        </w:rPr>
        <w:t xml:space="preserve"> </w:t>
      </w:r>
      <w:r w:rsidR="00C7592F">
        <w:rPr>
          <w:bCs/>
          <w:sz w:val="22"/>
          <w:szCs w:val="22"/>
        </w:rPr>
        <w:t>party</w:t>
      </w:r>
      <w:r w:rsidR="00AD6FDE" w:rsidRPr="00CE1CE2">
        <w:rPr>
          <w:bCs/>
          <w:sz w:val="22"/>
          <w:szCs w:val="22"/>
        </w:rPr>
        <w:t xml:space="preserve">. </w:t>
      </w:r>
      <w:r w:rsidR="007047A4" w:rsidRPr="00CE1CE2">
        <w:rPr>
          <w:bCs/>
          <w:sz w:val="22"/>
          <w:szCs w:val="22"/>
        </w:rPr>
        <w:t xml:space="preserve">We find that </w:t>
      </w:r>
      <w:r w:rsidR="00AB7557">
        <w:rPr>
          <w:bCs/>
          <w:sz w:val="22"/>
          <w:szCs w:val="22"/>
        </w:rPr>
        <w:t xml:space="preserve">the </w:t>
      </w:r>
      <w:r w:rsidR="007047A4" w:rsidRPr="00CE1CE2">
        <w:rPr>
          <w:bCs/>
          <w:sz w:val="22"/>
          <w:szCs w:val="22"/>
        </w:rPr>
        <w:t>national vote (</w:t>
      </w:r>
      <w:r w:rsidR="007047A4" w:rsidRPr="001346E5">
        <w:rPr>
          <w:bCs/>
          <w:i/>
          <w:iCs/>
          <w:sz w:val="22"/>
          <w:szCs w:val="22"/>
        </w:rPr>
        <w:t>NVOTE</w:t>
      </w:r>
      <w:r w:rsidR="007047A4" w:rsidRPr="00CE1CE2">
        <w:rPr>
          <w:bCs/>
          <w:sz w:val="22"/>
          <w:szCs w:val="22"/>
        </w:rPr>
        <w:t xml:space="preserve">) is </w:t>
      </w:r>
      <w:r w:rsidR="001346E5">
        <w:rPr>
          <w:bCs/>
          <w:sz w:val="22"/>
          <w:szCs w:val="22"/>
        </w:rPr>
        <w:t xml:space="preserve">insignificant. </w:t>
      </w:r>
      <w:r w:rsidR="007047A4" w:rsidRPr="00CE1CE2">
        <w:rPr>
          <w:sz w:val="22"/>
          <w:szCs w:val="22"/>
        </w:rPr>
        <w:t xml:space="preserve">Regarding the bank-specific variables, </w:t>
      </w:r>
      <w:r w:rsidR="00984DE1" w:rsidRPr="00CE1CE2">
        <w:rPr>
          <w:sz w:val="22"/>
          <w:szCs w:val="22"/>
        </w:rPr>
        <w:t>total asset (</w:t>
      </w:r>
      <w:r w:rsidR="00984DE1" w:rsidRPr="00235D31">
        <w:rPr>
          <w:i/>
          <w:iCs/>
          <w:sz w:val="22"/>
          <w:szCs w:val="22"/>
        </w:rPr>
        <w:t>LNTA</w:t>
      </w:r>
      <w:r w:rsidR="00984DE1" w:rsidRPr="00CE1CE2">
        <w:rPr>
          <w:sz w:val="22"/>
          <w:szCs w:val="22"/>
        </w:rPr>
        <w:t xml:space="preserve">) is positive as anticipated. In every model, </w:t>
      </w:r>
      <w:r w:rsidR="00F232F2" w:rsidRPr="00CE1CE2">
        <w:rPr>
          <w:sz w:val="22"/>
          <w:szCs w:val="22"/>
        </w:rPr>
        <w:t>non-performing loans over total loans (</w:t>
      </w:r>
      <w:r w:rsidR="00984DE1" w:rsidRPr="00235D31">
        <w:rPr>
          <w:i/>
          <w:iCs/>
          <w:sz w:val="22"/>
          <w:szCs w:val="22"/>
        </w:rPr>
        <w:t>NPLTL</w:t>
      </w:r>
      <w:r w:rsidR="00F232F2" w:rsidRPr="00CE1CE2">
        <w:rPr>
          <w:sz w:val="22"/>
          <w:szCs w:val="22"/>
        </w:rPr>
        <w:t>)</w:t>
      </w:r>
      <w:r w:rsidR="00984DE1" w:rsidRPr="00CE1CE2">
        <w:rPr>
          <w:sz w:val="22"/>
          <w:szCs w:val="22"/>
        </w:rPr>
        <w:t xml:space="preserve"> and </w:t>
      </w:r>
      <w:r w:rsidR="00783103">
        <w:rPr>
          <w:i/>
          <w:iCs/>
          <w:sz w:val="22"/>
          <w:szCs w:val="22"/>
        </w:rPr>
        <w:t>COVID</w:t>
      </w:r>
      <w:r w:rsidR="00235D31" w:rsidRPr="00235D31">
        <w:rPr>
          <w:i/>
          <w:iCs/>
          <w:sz w:val="22"/>
          <w:szCs w:val="22"/>
        </w:rPr>
        <w:t>-</w:t>
      </w:r>
      <w:r w:rsidR="00984DE1" w:rsidRPr="00235D31">
        <w:rPr>
          <w:i/>
          <w:iCs/>
          <w:sz w:val="22"/>
          <w:szCs w:val="22"/>
        </w:rPr>
        <w:t>19</w:t>
      </w:r>
      <w:r w:rsidR="00984DE1" w:rsidRPr="00CE1CE2">
        <w:rPr>
          <w:sz w:val="22"/>
          <w:szCs w:val="22"/>
        </w:rPr>
        <w:t xml:space="preserve"> are both negative as expected. </w:t>
      </w:r>
      <w:r w:rsidR="00C70807" w:rsidRPr="00D06E52">
        <w:rPr>
          <w:sz w:val="22"/>
          <w:szCs w:val="22"/>
        </w:rPr>
        <w:t>Total deposits</w:t>
      </w:r>
      <w:r w:rsidR="00F232F2" w:rsidRPr="00D06E52">
        <w:rPr>
          <w:sz w:val="22"/>
          <w:szCs w:val="22"/>
        </w:rPr>
        <w:t xml:space="preserve"> over total assets (</w:t>
      </w:r>
      <w:r w:rsidR="00C70807" w:rsidRPr="00D06E52">
        <w:rPr>
          <w:i/>
          <w:iCs/>
          <w:sz w:val="22"/>
          <w:szCs w:val="22"/>
        </w:rPr>
        <w:t>DO</w:t>
      </w:r>
      <w:r w:rsidR="00984DE1" w:rsidRPr="00D06E52">
        <w:rPr>
          <w:i/>
          <w:iCs/>
          <w:sz w:val="22"/>
          <w:szCs w:val="22"/>
        </w:rPr>
        <w:t>A</w:t>
      </w:r>
      <w:r w:rsidR="00F232F2" w:rsidRPr="00D06E52">
        <w:rPr>
          <w:sz w:val="22"/>
          <w:szCs w:val="22"/>
        </w:rPr>
        <w:t>)</w:t>
      </w:r>
      <w:r w:rsidR="00984DE1" w:rsidRPr="00D06E52">
        <w:rPr>
          <w:sz w:val="22"/>
          <w:szCs w:val="22"/>
        </w:rPr>
        <w:t xml:space="preserve"> </w:t>
      </w:r>
      <w:r w:rsidR="00A357E6" w:rsidRPr="00D06E52">
        <w:rPr>
          <w:sz w:val="22"/>
          <w:szCs w:val="22"/>
        </w:rPr>
        <w:t>are</w:t>
      </w:r>
      <w:r w:rsidR="00984DE1" w:rsidRPr="00D06E52">
        <w:rPr>
          <w:sz w:val="22"/>
          <w:szCs w:val="22"/>
        </w:rPr>
        <w:t xml:space="preserve"> not significant.</w:t>
      </w:r>
      <w:r w:rsidR="00C16B43">
        <w:rPr>
          <w:sz w:val="22"/>
          <w:szCs w:val="22"/>
        </w:rPr>
        <w:t xml:space="preserve"> </w:t>
      </w:r>
      <w:r w:rsidR="00E064BC" w:rsidRPr="008F10DE">
        <w:rPr>
          <w:sz w:val="22"/>
          <w:szCs w:val="22"/>
        </w:rPr>
        <w:t xml:space="preserve">Table </w:t>
      </w:r>
      <w:r w:rsidR="001346E5" w:rsidRPr="00B50F0E">
        <w:rPr>
          <w:color w:val="004F88"/>
          <w:sz w:val="22"/>
          <w:szCs w:val="22"/>
        </w:rPr>
        <w:t>7</w:t>
      </w:r>
      <w:r w:rsidR="00E064BC" w:rsidRPr="008F10DE">
        <w:rPr>
          <w:sz w:val="22"/>
          <w:szCs w:val="22"/>
        </w:rPr>
        <w:t xml:space="preserve"> display</w:t>
      </w:r>
      <w:r w:rsidR="001346E5" w:rsidRPr="008F10DE">
        <w:rPr>
          <w:sz w:val="22"/>
          <w:szCs w:val="22"/>
        </w:rPr>
        <w:t>s</w:t>
      </w:r>
      <w:r w:rsidR="00E064BC" w:rsidRPr="008F10DE">
        <w:rPr>
          <w:sz w:val="22"/>
          <w:szCs w:val="22"/>
        </w:rPr>
        <w:t xml:space="preserve"> the outcomes of the </w:t>
      </w:r>
      <w:r w:rsidR="00472A6C">
        <w:rPr>
          <w:sz w:val="22"/>
          <w:szCs w:val="22"/>
        </w:rPr>
        <w:t>S</w:t>
      </w:r>
      <w:r w:rsidR="00E064BC" w:rsidRPr="008F10DE">
        <w:rPr>
          <w:sz w:val="22"/>
          <w:szCs w:val="22"/>
        </w:rPr>
        <w:t xml:space="preserve">patial </w:t>
      </w:r>
      <w:r w:rsidR="00472A6C">
        <w:rPr>
          <w:sz w:val="22"/>
          <w:szCs w:val="22"/>
        </w:rPr>
        <w:t>D</w:t>
      </w:r>
      <w:r w:rsidR="00E064BC" w:rsidRPr="008F10DE">
        <w:rPr>
          <w:sz w:val="22"/>
          <w:szCs w:val="22"/>
        </w:rPr>
        <w:t>ynamic model (S</w:t>
      </w:r>
      <w:r w:rsidR="00904D89" w:rsidRPr="008F10DE">
        <w:rPr>
          <w:sz w:val="22"/>
          <w:szCs w:val="22"/>
        </w:rPr>
        <w:t>DM</w:t>
      </w:r>
      <w:r w:rsidR="00E064BC" w:rsidRPr="008F10DE">
        <w:rPr>
          <w:sz w:val="22"/>
          <w:szCs w:val="22"/>
        </w:rPr>
        <w:t xml:space="preserve">). </w:t>
      </w:r>
      <w:r w:rsidR="007047A4" w:rsidRPr="008F10DE">
        <w:rPr>
          <w:bCs/>
          <w:sz w:val="22"/>
          <w:szCs w:val="22"/>
        </w:rPr>
        <w:t xml:space="preserve">The results from adjusted efficiency scores show that </w:t>
      </w:r>
      <w:r w:rsidR="00AB7557" w:rsidRPr="008F10DE">
        <w:rPr>
          <w:bCs/>
          <w:sz w:val="22"/>
          <w:szCs w:val="22"/>
        </w:rPr>
        <w:t xml:space="preserve">the </w:t>
      </w:r>
      <w:r w:rsidR="007047A4" w:rsidRPr="008F10DE">
        <w:rPr>
          <w:bCs/>
          <w:sz w:val="22"/>
          <w:szCs w:val="22"/>
        </w:rPr>
        <w:t>state vote (</w:t>
      </w:r>
      <w:r w:rsidR="007047A4" w:rsidRPr="008F10DE">
        <w:rPr>
          <w:bCs/>
          <w:i/>
          <w:iCs/>
          <w:sz w:val="22"/>
          <w:szCs w:val="22"/>
        </w:rPr>
        <w:t>SVOTE</w:t>
      </w:r>
      <w:r w:rsidR="007047A4" w:rsidRPr="008F10DE">
        <w:rPr>
          <w:bCs/>
          <w:sz w:val="22"/>
          <w:szCs w:val="22"/>
        </w:rPr>
        <w:t xml:space="preserve">) is positive and significant </w:t>
      </w:r>
      <w:r w:rsidR="00885918" w:rsidRPr="008F10DE">
        <w:rPr>
          <w:bCs/>
          <w:sz w:val="22"/>
          <w:szCs w:val="22"/>
        </w:rPr>
        <w:t xml:space="preserve">while </w:t>
      </w:r>
      <w:r w:rsidR="00AB7557" w:rsidRPr="008F10DE">
        <w:rPr>
          <w:bCs/>
          <w:sz w:val="22"/>
          <w:szCs w:val="22"/>
        </w:rPr>
        <w:t xml:space="preserve">the </w:t>
      </w:r>
      <w:r w:rsidR="007047A4" w:rsidRPr="008F10DE">
        <w:rPr>
          <w:bCs/>
          <w:sz w:val="22"/>
          <w:szCs w:val="22"/>
        </w:rPr>
        <w:t>national vote (</w:t>
      </w:r>
      <w:r w:rsidR="007047A4" w:rsidRPr="008F10DE">
        <w:rPr>
          <w:bCs/>
          <w:i/>
          <w:iCs/>
          <w:sz w:val="22"/>
          <w:szCs w:val="22"/>
        </w:rPr>
        <w:t>NVOTE</w:t>
      </w:r>
      <w:r w:rsidR="007047A4" w:rsidRPr="008F10DE">
        <w:rPr>
          <w:bCs/>
          <w:sz w:val="22"/>
          <w:szCs w:val="22"/>
        </w:rPr>
        <w:t xml:space="preserve">) is insignificant in all the models. </w:t>
      </w:r>
      <w:r w:rsidR="00F232F2" w:rsidRPr="008F10DE">
        <w:rPr>
          <w:bCs/>
          <w:sz w:val="22"/>
          <w:szCs w:val="22"/>
        </w:rPr>
        <w:t>Non-performing loans over total loans (</w:t>
      </w:r>
      <w:r w:rsidR="00885918" w:rsidRPr="008F10DE">
        <w:rPr>
          <w:bCs/>
          <w:i/>
          <w:iCs/>
          <w:sz w:val="22"/>
          <w:szCs w:val="22"/>
        </w:rPr>
        <w:t>NPLTL</w:t>
      </w:r>
      <w:r w:rsidR="00F232F2" w:rsidRPr="008F10DE">
        <w:rPr>
          <w:bCs/>
          <w:sz w:val="22"/>
          <w:szCs w:val="22"/>
        </w:rPr>
        <w:t>)</w:t>
      </w:r>
      <w:r w:rsidR="00885918" w:rsidRPr="008F10DE">
        <w:rPr>
          <w:bCs/>
          <w:sz w:val="22"/>
          <w:szCs w:val="22"/>
        </w:rPr>
        <w:t xml:space="preserve"> </w:t>
      </w:r>
      <w:r w:rsidR="00C70807" w:rsidRPr="008F10DE">
        <w:rPr>
          <w:bCs/>
          <w:sz w:val="22"/>
          <w:szCs w:val="22"/>
        </w:rPr>
        <w:t>is</w:t>
      </w:r>
      <w:r w:rsidR="00885918" w:rsidRPr="008F10DE">
        <w:rPr>
          <w:bCs/>
          <w:sz w:val="22"/>
          <w:szCs w:val="22"/>
        </w:rPr>
        <w:t xml:space="preserve"> negative, </w:t>
      </w:r>
      <w:r w:rsidR="00411A94" w:rsidRPr="008F10DE">
        <w:rPr>
          <w:bCs/>
          <w:sz w:val="22"/>
          <w:szCs w:val="22"/>
        </w:rPr>
        <w:t>like</w:t>
      </w:r>
      <w:r w:rsidR="00885918" w:rsidRPr="008F10DE">
        <w:rPr>
          <w:bCs/>
          <w:sz w:val="22"/>
          <w:szCs w:val="22"/>
        </w:rPr>
        <w:t xml:space="preserve"> </w:t>
      </w:r>
      <w:r w:rsidR="00AB7557" w:rsidRPr="008F10DE">
        <w:rPr>
          <w:bCs/>
          <w:sz w:val="22"/>
          <w:szCs w:val="22"/>
        </w:rPr>
        <w:t xml:space="preserve">the </w:t>
      </w:r>
      <w:r w:rsidR="00472A6C">
        <w:rPr>
          <w:bCs/>
          <w:sz w:val="22"/>
          <w:szCs w:val="22"/>
        </w:rPr>
        <w:t>S</w:t>
      </w:r>
      <w:r w:rsidR="00C7592F" w:rsidRPr="008F10DE">
        <w:rPr>
          <w:bCs/>
          <w:sz w:val="22"/>
          <w:szCs w:val="22"/>
        </w:rPr>
        <w:t xml:space="preserve">patial </w:t>
      </w:r>
      <w:r w:rsidR="00472A6C">
        <w:rPr>
          <w:bCs/>
          <w:sz w:val="22"/>
          <w:szCs w:val="22"/>
        </w:rPr>
        <w:t>A</w:t>
      </w:r>
      <w:r w:rsidR="00C7592F" w:rsidRPr="008F10DE">
        <w:rPr>
          <w:bCs/>
          <w:sz w:val="22"/>
          <w:szCs w:val="22"/>
        </w:rPr>
        <w:t>uto</w:t>
      </w:r>
      <w:r w:rsidR="00AB7557" w:rsidRPr="008F10DE">
        <w:rPr>
          <w:bCs/>
          <w:sz w:val="22"/>
          <w:szCs w:val="22"/>
        </w:rPr>
        <w:t>re</w:t>
      </w:r>
      <w:r w:rsidR="00C7592F" w:rsidRPr="008F10DE">
        <w:rPr>
          <w:bCs/>
          <w:sz w:val="22"/>
          <w:szCs w:val="22"/>
        </w:rPr>
        <w:t>gressive model (</w:t>
      </w:r>
      <w:r w:rsidR="00885918" w:rsidRPr="0067691E">
        <w:rPr>
          <w:bCs/>
          <w:i/>
          <w:iCs/>
          <w:sz w:val="22"/>
          <w:szCs w:val="22"/>
        </w:rPr>
        <w:t>SAR</w:t>
      </w:r>
      <w:r w:rsidR="00C7592F" w:rsidRPr="008F10DE">
        <w:rPr>
          <w:bCs/>
          <w:sz w:val="22"/>
          <w:szCs w:val="22"/>
        </w:rPr>
        <w:t>)</w:t>
      </w:r>
      <w:r w:rsidR="00984DE1" w:rsidRPr="008F10DE">
        <w:rPr>
          <w:bCs/>
          <w:sz w:val="22"/>
          <w:szCs w:val="22"/>
        </w:rPr>
        <w:t xml:space="preserve">. As expected, </w:t>
      </w:r>
      <w:r w:rsidR="00F232F2" w:rsidRPr="008F10DE">
        <w:rPr>
          <w:bCs/>
          <w:sz w:val="22"/>
          <w:szCs w:val="22"/>
        </w:rPr>
        <w:t>total assets (</w:t>
      </w:r>
      <w:r w:rsidR="00984DE1" w:rsidRPr="008F10DE">
        <w:rPr>
          <w:bCs/>
          <w:i/>
          <w:iCs/>
          <w:sz w:val="22"/>
          <w:szCs w:val="22"/>
        </w:rPr>
        <w:t>LNTA</w:t>
      </w:r>
      <w:r w:rsidR="00F232F2" w:rsidRPr="008F10DE">
        <w:rPr>
          <w:bCs/>
          <w:sz w:val="22"/>
          <w:szCs w:val="22"/>
        </w:rPr>
        <w:t>)</w:t>
      </w:r>
      <w:r w:rsidR="00984DE1" w:rsidRPr="008F10DE">
        <w:rPr>
          <w:bCs/>
          <w:sz w:val="22"/>
          <w:szCs w:val="22"/>
        </w:rPr>
        <w:t xml:space="preserve"> </w:t>
      </w:r>
      <w:r w:rsidR="00127826" w:rsidRPr="008F10DE">
        <w:rPr>
          <w:bCs/>
          <w:sz w:val="22"/>
          <w:szCs w:val="22"/>
        </w:rPr>
        <w:t>contribute</w:t>
      </w:r>
      <w:r w:rsidR="00984DE1" w:rsidRPr="008F10DE">
        <w:rPr>
          <w:bCs/>
          <w:sz w:val="22"/>
          <w:szCs w:val="22"/>
        </w:rPr>
        <w:t xml:space="preserve"> positively to efficiency scores. </w:t>
      </w:r>
      <w:r w:rsidR="00C70807" w:rsidRPr="008F10DE">
        <w:rPr>
          <w:bCs/>
          <w:sz w:val="22"/>
          <w:szCs w:val="22"/>
        </w:rPr>
        <w:t>Total deposits</w:t>
      </w:r>
      <w:r w:rsidR="00F232F2" w:rsidRPr="008F10DE">
        <w:rPr>
          <w:bCs/>
          <w:sz w:val="22"/>
          <w:szCs w:val="22"/>
        </w:rPr>
        <w:t xml:space="preserve"> over total assets (</w:t>
      </w:r>
      <w:r w:rsidR="00B00673" w:rsidRPr="008F10DE">
        <w:rPr>
          <w:bCs/>
          <w:i/>
          <w:iCs/>
          <w:sz w:val="22"/>
          <w:szCs w:val="22"/>
        </w:rPr>
        <w:t>DO</w:t>
      </w:r>
      <w:r w:rsidR="00984DE1" w:rsidRPr="008F10DE">
        <w:rPr>
          <w:bCs/>
          <w:i/>
          <w:iCs/>
          <w:sz w:val="22"/>
          <w:szCs w:val="22"/>
        </w:rPr>
        <w:t>A</w:t>
      </w:r>
      <w:r w:rsidR="00F232F2" w:rsidRPr="008F10DE">
        <w:rPr>
          <w:bCs/>
          <w:sz w:val="22"/>
          <w:szCs w:val="22"/>
        </w:rPr>
        <w:t>)</w:t>
      </w:r>
      <w:r w:rsidR="00984DE1" w:rsidRPr="008F10DE">
        <w:rPr>
          <w:bCs/>
          <w:sz w:val="22"/>
          <w:szCs w:val="22"/>
        </w:rPr>
        <w:t xml:space="preserve"> </w:t>
      </w:r>
      <w:r w:rsidR="00C70807" w:rsidRPr="008F10DE">
        <w:rPr>
          <w:bCs/>
          <w:sz w:val="22"/>
          <w:szCs w:val="22"/>
        </w:rPr>
        <w:t xml:space="preserve">and </w:t>
      </w:r>
      <w:r w:rsidR="00783103" w:rsidRPr="00783103">
        <w:rPr>
          <w:bCs/>
          <w:i/>
          <w:iCs/>
          <w:sz w:val="22"/>
          <w:szCs w:val="22"/>
        </w:rPr>
        <w:t>COVID</w:t>
      </w:r>
      <w:r w:rsidR="00C70807" w:rsidRPr="00783103">
        <w:rPr>
          <w:bCs/>
          <w:i/>
          <w:iCs/>
          <w:sz w:val="22"/>
          <w:szCs w:val="22"/>
        </w:rPr>
        <w:t>-19</w:t>
      </w:r>
      <w:r w:rsidR="00C70807" w:rsidRPr="008F10DE">
        <w:rPr>
          <w:bCs/>
          <w:sz w:val="22"/>
          <w:szCs w:val="22"/>
        </w:rPr>
        <w:t xml:space="preserve"> </w:t>
      </w:r>
      <w:r w:rsidR="00127826" w:rsidRPr="008F10DE">
        <w:rPr>
          <w:bCs/>
          <w:sz w:val="22"/>
          <w:szCs w:val="22"/>
        </w:rPr>
        <w:t>are</w:t>
      </w:r>
      <w:r w:rsidR="00984DE1" w:rsidRPr="008F10DE">
        <w:rPr>
          <w:bCs/>
          <w:sz w:val="22"/>
          <w:szCs w:val="22"/>
        </w:rPr>
        <w:t xml:space="preserve"> </w:t>
      </w:r>
      <w:r w:rsidR="00C7592F" w:rsidRPr="008F10DE">
        <w:rPr>
          <w:bCs/>
          <w:sz w:val="22"/>
          <w:szCs w:val="22"/>
        </w:rPr>
        <w:t xml:space="preserve">not </w:t>
      </w:r>
      <w:r w:rsidR="00C70807" w:rsidRPr="008F10DE">
        <w:rPr>
          <w:bCs/>
          <w:sz w:val="22"/>
          <w:szCs w:val="22"/>
        </w:rPr>
        <w:t>significant</w:t>
      </w:r>
      <w:r w:rsidR="00984DE1" w:rsidRPr="008F10DE">
        <w:rPr>
          <w:bCs/>
          <w:sz w:val="22"/>
          <w:szCs w:val="22"/>
        </w:rPr>
        <w:t>.</w:t>
      </w:r>
    </w:p>
    <w:p w14:paraId="1D9885C1" w14:textId="1F0E6C06" w:rsidR="00E064BC" w:rsidRPr="008F10DE" w:rsidRDefault="00E064BC" w:rsidP="00DC335C">
      <w:pPr>
        <w:rPr>
          <w:sz w:val="22"/>
          <w:szCs w:val="22"/>
        </w:rPr>
      </w:pPr>
    </w:p>
    <w:p w14:paraId="754CE393" w14:textId="33DC0DC0" w:rsidR="00904D89" w:rsidRPr="008F10DE" w:rsidRDefault="00904D89" w:rsidP="00C16B43">
      <w:pPr>
        <w:spacing w:line="360" w:lineRule="auto"/>
        <w:jc w:val="center"/>
        <w:rPr>
          <w:sz w:val="22"/>
          <w:szCs w:val="22"/>
        </w:rPr>
      </w:pPr>
      <w:r w:rsidRPr="008F10DE">
        <w:rPr>
          <w:sz w:val="22"/>
          <w:szCs w:val="22"/>
        </w:rPr>
        <w:t>(Insert Table</w:t>
      </w:r>
      <w:r w:rsidR="00F62ED4" w:rsidRPr="008F10DE">
        <w:rPr>
          <w:sz w:val="22"/>
          <w:szCs w:val="22"/>
        </w:rPr>
        <w:t xml:space="preserve">s </w:t>
      </w:r>
      <w:r w:rsidR="00F62ED4" w:rsidRPr="00B50F0E">
        <w:rPr>
          <w:color w:val="004F88"/>
          <w:sz w:val="22"/>
          <w:szCs w:val="22"/>
        </w:rPr>
        <w:t>6</w:t>
      </w:r>
      <w:r w:rsidR="00F62ED4" w:rsidRPr="008F10DE">
        <w:rPr>
          <w:sz w:val="22"/>
          <w:szCs w:val="22"/>
        </w:rPr>
        <w:t xml:space="preserve"> &amp;</w:t>
      </w:r>
      <w:r w:rsidRPr="008F10DE">
        <w:rPr>
          <w:sz w:val="22"/>
          <w:szCs w:val="22"/>
        </w:rPr>
        <w:t xml:space="preserve"> </w:t>
      </w:r>
      <w:r w:rsidRPr="00B50F0E">
        <w:rPr>
          <w:color w:val="004F88"/>
          <w:sz w:val="22"/>
          <w:szCs w:val="22"/>
        </w:rPr>
        <w:t>7</w:t>
      </w:r>
      <w:r w:rsidR="00CC70D8" w:rsidRPr="008F10DE">
        <w:rPr>
          <w:sz w:val="22"/>
          <w:szCs w:val="22"/>
        </w:rPr>
        <w:t xml:space="preserve"> about here</w:t>
      </w:r>
      <w:r w:rsidRPr="008F10DE">
        <w:rPr>
          <w:sz w:val="22"/>
          <w:szCs w:val="22"/>
        </w:rPr>
        <w:t>)</w:t>
      </w:r>
    </w:p>
    <w:p w14:paraId="6D588D90" w14:textId="4655CF9A" w:rsidR="00923F82" w:rsidRPr="00923F82" w:rsidRDefault="00923F82" w:rsidP="00971DE4">
      <w:pPr>
        <w:pStyle w:val="Heading2"/>
        <w:jc w:val="both"/>
        <w:rPr>
          <w:sz w:val="22"/>
          <w:szCs w:val="22"/>
        </w:rPr>
      </w:pPr>
      <w:r w:rsidRPr="00923F82">
        <w:rPr>
          <w:sz w:val="22"/>
          <w:szCs w:val="22"/>
        </w:rPr>
        <w:t>5.3. R</w:t>
      </w:r>
      <w:r w:rsidR="009B588C">
        <w:rPr>
          <w:sz w:val="22"/>
          <w:szCs w:val="22"/>
        </w:rPr>
        <w:t>esults: S</w:t>
      </w:r>
      <w:r w:rsidRPr="00CE1CE2">
        <w:rPr>
          <w:sz w:val="22"/>
          <w:szCs w:val="22"/>
        </w:rPr>
        <w:t xml:space="preserve">patial </w:t>
      </w:r>
      <w:r>
        <w:rPr>
          <w:sz w:val="22"/>
          <w:szCs w:val="22"/>
        </w:rPr>
        <w:t>T</w:t>
      </w:r>
      <w:r w:rsidRPr="00CE1CE2">
        <w:rPr>
          <w:sz w:val="22"/>
          <w:szCs w:val="22"/>
        </w:rPr>
        <w:t>obit (STM)</w:t>
      </w:r>
      <w:r w:rsidR="009B588C">
        <w:rPr>
          <w:sz w:val="22"/>
          <w:szCs w:val="22"/>
        </w:rPr>
        <w:t xml:space="preserve"> </w:t>
      </w:r>
      <w:r w:rsidR="00FB41ED">
        <w:rPr>
          <w:sz w:val="22"/>
          <w:szCs w:val="22"/>
        </w:rPr>
        <w:t>S</w:t>
      </w:r>
      <w:r w:rsidR="009B588C">
        <w:rPr>
          <w:sz w:val="22"/>
          <w:szCs w:val="22"/>
        </w:rPr>
        <w:t>pecification</w:t>
      </w:r>
    </w:p>
    <w:p w14:paraId="2450970E" w14:textId="5BF11FE3" w:rsidR="00F232F2" w:rsidRPr="008F10DE" w:rsidRDefault="00904D89" w:rsidP="006D498D">
      <w:pPr>
        <w:spacing w:after="200" w:line="360" w:lineRule="auto"/>
        <w:jc w:val="both"/>
        <w:rPr>
          <w:bCs/>
          <w:sz w:val="22"/>
          <w:szCs w:val="22"/>
        </w:rPr>
      </w:pPr>
      <w:r>
        <w:rPr>
          <w:sz w:val="22"/>
          <w:szCs w:val="22"/>
        </w:rPr>
        <w:t>T</w:t>
      </w:r>
      <w:r w:rsidR="00641B63" w:rsidRPr="00CE1CE2">
        <w:rPr>
          <w:sz w:val="22"/>
          <w:szCs w:val="22"/>
        </w:rPr>
        <w:t xml:space="preserve">able </w:t>
      </w:r>
      <w:r w:rsidRPr="00EB3323">
        <w:rPr>
          <w:color w:val="0070C0"/>
          <w:sz w:val="22"/>
          <w:szCs w:val="22"/>
        </w:rPr>
        <w:t>8</w:t>
      </w:r>
      <w:r w:rsidR="00641B63" w:rsidRPr="00CE1CE2">
        <w:rPr>
          <w:sz w:val="22"/>
          <w:szCs w:val="22"/>
        </w:rPr>
        <w:t xml:space="preserve"> presents estimations </w:t>
      </w:r>
      <w:r w:rsidR="00E064BC" w:rsidRPr="00CE1CE2">
        <w:rPr>
          <w:sz w:val="22"/>
          <w:szCs w:val="22"/>
        </w:rPr>
        <w:t xml:space="preserve">using the </w:t>
      </w:r>
      <w:r w:rsidR="00472A6C">
        <w:rPr>
          <w:sz w:val="22"/>
          <w:szCs w:val="22"/>
        </w:rPr>
        <w:t>S</w:t>
      </w:r>
      <w:r w:rsidR="00E064BC" w:rsidRPr="00CE1CE2">
        <w:rPr>
          <w:sz w:val="22"/>
          <w:szCs w:val="22"/>
        </w:rPr>
        <w:t xml:space="preserve">patial </w:t>
      </w:r>
      <w:r w:rsidR="00A4624C">
        <w:rPr>
          <w:sz w:val="22"/>
          <w:szCs w:val="22"/>
        </w:rPr>
        <w:t>T</w:t>
      </w:r>
      <w:r w:rsidR="00E064BC" w:rsidRPr="00CE1CE2">
        <w:rPr>
          <w:sz w:val="22"/>
          <w:szCs w:val="22"/>
        </w:rPr>
        <w:t>obit model (</w:t>
      </w:r>
      <w:r w:rsidR="00E064BC" w:rsidRPr="0067691E">
        <w:rPr>
          <w:i/>
          <w:iCs/>
          <w:sz w:val="22"/>
          <w:szCs w:val="22"/>
        </w:rPr>
        <w:t>STM</w:t>
      </w:r>
      <w:r w:rsidR="00E064BC" w:rsidRPr="00CE1CE2">
        <w:rPr>
          <w:sz w:val="22"/>
          <w:szCs w:val="22"/>
        </w:rPr>
        <w:t xml:space="preserve">). </w:t>
      </w:r>
      <w:r w:rsidR="00641B63" w:rsidRPr="00CE1CE2">
        <w:rPr>
          <w:bCs/>
          <w:sz w:val="22"/>
          <w:szCs w:val="22"/>
        </w:rPr>
        <w:t xml:space="preserve">For interpretation, the STM is preferred. </w:t>
      </w:r>
      <w:r w:rsidR="00641B63" w:rsidRPr="00CE1CE2">
        <w:rPr>
          <w:sz w:val="22"/>
          <w:szCs w:val="22"/>
        </w:rPr>
        <w:t>T</w:t>
      </w:r>
      <w:r w:rsidR="00E34FE5" w:rsidRPr="00CE1CE2">
        <w:rPr>
          <w:sz w:val="22"/>
          <w:szCs w:val="22"/>
        </w:rPr>
        <w:t xml:space="preserve">he results </w:t>
      </w:r>
      <w:r w:rsidR="00D646AF" w:rsidRPr="00CE1CE2">
        <w:rPr>
          <w:sz w:val="22"/>
          <w:szCs w:val="22"/>
        </w:rPr>
        <w:t xml:space="preserve">clearly </w:t>
      </w:r>
      <w:r w:rsidR="00E34FE5" w:rsidRPr="00CE1CE2">
        <w:rPr>
          <w:sz w:val="22"/>
          <w:szCs w:val="22"/>
        </w:rPr>
        <w:t xml:space="preserve">show </w:t>
      </w:r>
      <w:r w:rsidR="003528CC" w:rsidRPr="00CE1CE2">
        <w:rPr>
          <w:bCs/>
          <w:sz w:val="22"/>
          <w:szCs w:val="22"/>
        </w:rPr>
        <w:t>that state vote (</w:t>
      </w:r>
      <w:r w:rsidR="003528CC" w:rsidRPr="003C71F6">
        <w:rPr>
          <w:bCs/>
          <w:i/>
          <w:iCs/>
          <w:sz w:val="22"/>
          <w:szCs w:val="22"/>
        </w:rPr>
        <w:t>SVOTE</w:t>
      </w:r>
      <w:r w:rsidR="003528CC" w:rsidRPr="00CE1CE2">
        <w:rPr>
          <w:bCs/>
          <w:sz w:val="22"/>
          <w:szCs w:val="22"/>
        </w:rPr>
        <w:t>) and federal vote (</w:t>
      </w:r>
      <w:r w:rsidR="003528CC" w:rsidRPr="003C71F6">
        <w:rPr>
          <w:bCs/>
          <w:i/>
          <w:iCs/>
          <w:sz w:val="22"/>
          <w:szCs w:val="22"/>
        </w:rPr>
        <w:t>NVOTE</w:t>
      </w:r>
      <w:r w:rsidR="003528CC" w:rsidRPr="00CE1CE2">
        <w:rPr>
          <w:bCs/>
          <w:sz w:val="22"/>
          <w:szCs w:val="22"/>
        </w:rPr>
        <w:t xml:space="preserve">) are </w:t>
      </w:r>
      <w:r w:rsidR="00D646AF" w:rsidRPr="00CE1CE2">
        <w:rPr>
          <w:bCs/>
          <w:sz w:val="22"/>
          <w:szCs w:val="22"/>
        </w:rPr>
        <w:t>statistically</w:t>
      </w:r>
      <w:r w:rsidR="003528CC" w:rsidRPr="00CE1CE2">
        <w:rPr>
          <w:bCs/>
          <w:sz w:val="22"/>
          <w:szCs w:val="22"/>
        </w:rPr>
        <w:t xml:space="preserve"> significant</w:t>
      </w:r>
      <w:r w:rsidR="00AB7557">
        <w:rPr>
          <w:bCs/>
          <w:sz w:val="22"/>
          <w:szCs w:val="22"/>
        </w:rPr>
        <w:t>ly</w:t>
      </w:r>
      <w:r w:rsidR="003528CC" w:rsidRPr="00CE1CE2">
        <w:rPr>
          <w:bCs/>
          <w:sz w:val="22"/>
          <w:szCs w:val="22"/>
        </w:rPr>
        <w:t xml:space="preserve"> </w:t>
      </w:r>
      <w:r w:rsidR="00D646AF" w:rsidRPr="00CE1CE2">
        <w:rPr>
          <w:bCs/>
          <w:sz w:val="22"/>
          <w:szCs w:val="22"/>
        </w:rPr>
        <w:t xml:space="preserve">related to bank efficiency </w:t>
      </w:r>
      <w:r w:rsidR="003528CC" w:rsidRPr="00CE1CE2">
        <w:rPr>
          <w:bCs/>
          <w:sz w:val="22"/>
          <w:szCs w:val="22"/>
        </w:rPr>
        <w:t>in the</w:t>
      </w:r>
      <w:r w:rsidR="00545EF3">
        <w:rPr>
          <w:bCs/>
          <w:sz w:val="22"/>
          <w:szCs w:val="22"/>
        </w:rPr>
        <w:t xml:space="preserve"> model when variable return to scale (</w:t>
      </w:r>
      <w:r w:rsidR="00545EF3" w:rsidRPr="00545EF3">
        <w:rPr>
          <w:bCs/>
          <w:i/>
          <w:iCs/>
          <w:sz w:val="22"/>
          <w:szCs w:val="22"/>
        </w:rPr>
        <w:t>VRS</w:t>
      </w:r>
      <w:r w:rsidR="00545EF3">
        <w:rPr>
          <w:bCs/>
          <w:sz w:val="22"/>
          <w:szCs w:val="22"/>
        </w:rPr>
        <w:t>) is the dependent variable</w:t>
      </w:r>
      <w:r w:rsidR="003528CC" w:rsidRPr="00545EF3">
        <w:rPr>
          <w:bCs/>
          <w:sz w:val="22"/>
          <w:szCs w:val="22"/>
        </w:rPr>
        <w:t xml:space="preserve">. </w:t>
      </w:r>
      <w:bookmarkStart w:id="23" w:name="_Hlk205764843"/>
      <w:r w:rsidR="00545EF3" w:rsidRPr="00545EF3">
        <w:rPr>
          <w:bCs/>
          <w:i/>
          <w:iCs/>
          <w:sz w:val="22"/>
          <w:szCs w:val="22"/>
        </w:rPr>
        <w:t>SVOTE</w:t>
      </w:r>
      <w:r w:rsidR="00545EF3" w:rsidRPr="00545EF3">
        <w:rPr>
          <w:bCs/>
          <w:sz w:val="22"/>
          <w:szCs w:val="22"/>
        </w:rPr>
        <w:t xml:space="preserve"> shows coefficient at 0.0153 while NVOTE indicates coefficient at 0.0169. </w:t>
      </w:r>
      <w:bookmarkEnd w:id="23"/>
      <w:r w:rsidR="00545EF3" w:rsidRPr="00545EF3">
        <w:rPr>
          <w:bCs/>
          <w:sz w:val="22"/>
          <w:szCs w:val="22"/>
        </w:rPr>
        <w:t xml:space="preserve"> </w:t>
      </w:r>
      <w:r w:rsidR="00593B7D" w:rsidRPr="00545EF3">
        <w:rPr>
          <w:sz w:val="22"/>
          <w:szCs w:val="22"/>
        </w:rPr>
        <w:t>This strongly s</w:t>
      </w:r>
      <w:r w:rsidR="00593B7D" w:rsidRPr="00CE1CE2">
        <w:rPr>
          <w:sz w:val="22"/>
          <w:szCs w:val="22"/>
        </w:rPr>
        <w:t xml:space="preserve">uggested that </w:t>
      </w:r>
      <w:r w:rsidR="003528CC" w:rsidRPr="00CE1CE2">
        <w:rPr>
          <w:bCs/>
          <w:sz w:val="22"/>
          <w:szCs w:val="22"/>
        </w:rPr>
        <w:t xml:space="preserve">U.S. commercial banks become more efficient when state </w:t>
      </w:r>
      <w:r w:rsidR="00593B7D" w:rsidRPr="00CE1CE2">
        <w:rPr>
          <w:bCs/>
          <w:sz w:val="22"/>
          <w:szCs w:val="22"/>
        </w:rPr>
        <w:t xml:space="preserve">and federal </w:t>
      </w:r>
      <w:r w:rsidR="003528CC" w:rsidRPr="00CE1CE2">
        <w:rPr>
          <w:bCs/>
          <w:sz w:val="22"/>
          <w:szCs w:val="22"/>
        </w:rPr>
        <w:t>vote</w:t>
      </w:r>
      <w:r w:rsidR="00593B7D" w:rsidRPr="00CE1CE2">
        <w:rPr>
          <w:bCs/>
          <w:sz w:val="22"/>
          <w:szCs w:val="22"/>
        </w:rPr>
        <w:t>s</w:t>
      </w:r>
      <w:r w:rsidR="003528CC" w:rsidRPr="00CE1CE2">
        <w:rPr>
          <w:bCs/>
          <w:sz w:val="22"/>
          <w:szCs w:val="22"/>
        </w:rPr>
        <w:t xml:space="preserve"> </w:t>
      </w:r>
      <w:r w:rsidR="00593B7D" w:rsidRPr="00CE1CE2">
        <w:rPr>
          <w:bCs/>
          <w:sz w:val="22"/>
          <w:szCs w:val="22"/>
        </w:rPr>
        <w:t xml:space="preserve">favor </w:t>
      </w:r>
      <w:r w:rsidR="003528CC" w:rsidRPr="00CE1CE2">
        <w:rPr>
          <w:bCs/>
          <w:sz w:val="22"/>
          <w:szCs w:val="22"/>
        </w:rPr>
        <w:t>the Democratic</w:t>
      </w:r>
      <w:r w:rsidR="00593B7D" w:rsidRPr="00CE1CE2">
        <w:rPr>
          <w:bCs/>
          <w:sz w:val="22"/>
          <w:szCs w:val="22"/>
        </w:rPr>
        <w:t xml:space="preserve"> party. </w:t>
      </w:r>
      <w:r w:rsidR="00CB42CF" w:rsidRPr="00CE1CE2">
        <w:rPr>
          <w:bCs/>
          <w:sz w:val="22"/>
          <w:szCs w:val="22"/>
        </w:rPr>
        <w:t>I</w:t>
      </w:r>
      <w:r w:rsidR="003528CC" w:rsidRPr="00CE1CE2">
        <w:rPr>
          <w:bCs/>
          <w:sz w:val="22"/>
          <w:szCs w:val="22"/>
        </w:rPr>
        <w:t xml:space="preserve">f the Democratic party wins </w:t>
      </w:r>
      <w:r w:rsidR="00593B7D" w:rsidRPr="00CE1CE2">
        <w:rPr>
          <w:bCs/>
          <w:sz w:val="22"/>
          <w:szCs w:val="22"/>
        </w:rPr>
        <w:t xml:space="preserve">both state and </w:t>
      </w:r>
      <w:r w:rsidR="003528CC" w:rsidRPr="00CE1CE2">
        <w:rPr>
          <w:bCs/>
          <w:sz w:val="22"/>
          <w:szCs w:val="22"/>
        </w:rPr>
        <w:t xml:space="preserve">presidential elections, banks are also more efficient than when the Republican party </w:t>
      </w:r>
      <w:r w:rsidR="00CB42CF" w:rsidRPr="00CE1CE2">
        <w:rPr>
          <w:bCs/>
          <w:sz w:val="22"/>
          <w:szCs w:val="22"/>
        </w:rPr>
        <w:t>controls</w:t>
      </w:r>
      <w:r w:rsidR="003528CC" w:rsidRPr="00CE1CE2">
        <w:rPr>
          <w:bCs/>
          <w:sz w:val="22"/>
          <w:szCs w:val="22"/>
        </w:rPr>
        <w:t xml:space="preserve"> the </w:t>
      </w:r>
      <w:r w:rsidR="00593B7D" w:rsidRPr="00CE1CE2">
        <w:rPr>
          <w:bCs/>
          <w:sz w:val="22"/>
          <w:szCs w:val="22"/>
        </w:rPr>
        <w:t xml:space="preserve">state and </w:t>
      </w:r>
      <w:r w:rsidR="003528CC" w:rsidRPr="00CE1CE2">
        <w:rPr>
          <w:bCs/>
          <w:sz w:val="22"/>
          <w:szCs w:val="22"/>
        </w:rPr>
        <w:t>federal powers</w:t>
      </w:r>
      <w:r w:rsidR="00CB42CF" w:rsidRPr="00CE1CE2">
        <w:rPr>
          <w:bCs/>
          <w:sz w:val="22"/>
          <w:szCs w:val="22"/>
        </w:rPr>
        <w:t xml:space="preserve">. </w:t>
      </w:r>
      <w:r w:rsidR="008364A0" w:rsidRPr="008F10DE">
        <w:rPr>
          <w:bCs/>
          <w:sz w:val="22"/>
          <w:szCs w:val="22"/>
        </w:rPr>
        <w:t>This result is in line with earlier research on the beneficial effects of Democrats on the U</w:t>
      </w:r>
      <w:r w:rsidR="00090E87" w:rsidRPr="008F10DE">
        <w:rPr>
          <w:bCs/>
          <w:sz w:val="22"/>
          <w:szCs w:val="22"/>
        </w:rPr>
        <w:t>.</w:t>
      </w:r>
      <w:r w:rsidR="008364A0" w:rsidRPr="008F10DE">
        <w:rPr>
          <w:bCs/>
          <w:sz w:val="22"/>
          <w:szCs w:val="22"/>
        </w:rPr>
        <w:t>S</w:t>
      </w:r>
      <w:r w:rsidR="00090E87" w:rsidRPr="008F10DE">
        <w:rPr>
          <w:bCs/>
          <w:sz w:val="22"/>
          <w:szCs w:val="22"/>
        </w:rPr>
        <w:t>.</w:t>
      </w:r>
      <w:r w:rsidR="008364A0" w:rsidRPr="008F10DE">
        <w:rPr>
          <w:bCs/>
          <w:sz w:val="22"/>
          <w:szCs w:val="22"/>
        </w:rPr>
        <w:t xml:space="preserve"> economy following “partisan theory”. </w:t>
      </w:r>
      <w:r w:rsidR="00D5042B" w:rsidRPr="008F10DE">
        <w:rPr>
          <w:bCs/>
          <w:sz w:val="22"/>
          <w:szCs w:val="22"/>
        </w:rPr>
        <w:t xml:space="preserve">Democratic leadership may create an environment more conducive to stable and efficient banking </w:t>
      </w:r>
      <w:r w:rsidR="00CB42CF" w:rsidRPr="008F10DE">
        <w:rPr>
          <w:bCs/>
          <w:sz w:val="22"/>
          <w:szCs w:val="22"/>
        </w:rPr>
        <w:t xml:space="preserve">(Alesina </w:t>
      </w:r>
      <w:r w:rsidR="00CB42CF" w:rsidRPr="00484BCF">
        <w:rPr>
          <w:bCs/>
          <w:color w:val="004F88"/>
          <w:sz w:val="22"/>
          <w:szCs w:val="22"/>
        </w:rPr>
        <w:t>198</w:t>
      </w:r>
      <w:r w:rsidR="00AD1CA6" w:rsidRPr="00484BCF">
        <w:rPr>
          <w:bCs/>
          <w:color w:val="004F88"/>
          <w:sz w:val="22"/>
          <w:szCs w:val="22"/>
        </w:rPr>
        <w:t>8</w:t>
      </w:r>
      <w:r w:rsidR="00CB42CF" w:rsidRPr="008F10DE">
        <w:rPr>
          <w:bCs/>
          <w:sz w:val="22"/>
          <w:szCs w:val="22"/>
        </w:rPr>
        <w:t xml:space="preserve">; </w:t>
      </w:r>
      <w:r w:rsidR="00FA1251" w:rsidRPr="008F10DE">
        <w:rPr>
          <w:bCs/>
          <w:sz w:val="22"/>
          <w:szCs w:val="22"/>
        </w:rPr>
        <w:t xml:space="preserve">Blinder and Watson </w:t>
      </w:r>
      <w:r w:rsidR="00FA1251" w:rsidRPr="00484BCF">
        <w:rPr>
          <w:bCs/>
          <w:color w:val="004F88"/>
          <w:sz w:val="22"/>
          <w:szCs w:val="22"/>
        </w:rPr>
        <w:t>2016</w:t>
      </w:r>
      <w:r w:rsidR="00FA1251" w:rsidRPr="008F10DE">
        <w:rPr>
          <w:bCs/>
          <w:sz w:val="22"/>
          <w:szCs w:val="22"/>
        </w:rPr>
        <w:t xml:space="preserve">; </w:t>
      </w:r>
      <w:r w:rsidR="00CB42CF" w:rsidRPr="008F10DE">
        <w:rPr>
          <w:bCs/>
          <w:sz w:val="22"/>
          <w:szCs w:val="22"/>
        </w:rPr>
        <w:t xml:space="preserve">Chappell </w:t>
      </w:r>
      <w:r w:rsidR="00E064BC" w:rsidRPr="008F10DE">
        <w:rPr>
          <w:bCs/>
          <w:sz w:val="22"/>
          <w:szCs w:val="22"/>
        </w:rPr>
        <w:t>and</w:t>
      </w:r>
      <w:r w:rsidR="00CB42CF" w:rsidRPr="008F10DE">
        <w:rPr>
          <w:bCs/>
          <w:sz w:val="22"/>
          <w:szCs w:val="22"/>
        </w:rPr>
        <w:t xml:space="preserve"> Keech </w:t>
      </w:r>
      <w:r w:rsidR="00CB42CF" w:rsidRPr="00484BCF">
        <w:rPr>
          <w:bCs/>
          <w:color w:val="004F88"/>
          <w:sz w:val="22"/>
          <w:szCs w:val="22"/>
        </w:rPr>
        <w:t>1986</w:t>
      </w:r>
      <w:r w:rsidR="00CB42CF" w:rsidRPr="008F10DE">
        <w:rPr>
          <w:bCs/>
          <w:sz w:val="22"/>
          <w:szCs w:val="22"/>
        </w:rPr>
        <w:t xml:space="preserve">; Hibbs </w:t>
      </w:r>
      <w:r w:rsidR="00CB42CF" w:rsidRPr="00484BCF">
        <w:rPr>
          <w:bCs/>
          <w:color w:val="004F88"/>
          <w:sz w:val="22"/>
          <w:szCs w:val="22"/>
        </w:rPr>
        <w:t>1977</w:t>
      </w:r>
      <w:r w:rsidR="00CB42CF" w:rsidRPr="008F10DE">
        <w:rPr>
          <w:bCs/>
          <w:sz w:val="22"/>
          <w:szCs w:val="22"/>
        </w:rPr>
        <w:t xml:space="preserve">). </w:t>
      </w:r>
      <w:r w:rsidR="00F232F2" w:rsidRPr="008F10DE">
        <w:rPr>
          <w:bCs/>
          <w:sz w:val="22"/>
          <w:szCs w:val="22"/>
        </w:rPr>
        <w:t>Our findings support the "partisan theory" which holds for the U.S. economy as well as bank efficiency.</w:t>
      </w:r>
    </w:p>
    <w:p w14:paraId="48012633" w14:textId="703988DA" w:rsidR="00472AEB" w:rsidRPr="008F10DE" w:rsidRDefault="000C6783" w:rsidP="006D498D">
      <w:pPr>
        <w:spacing w:after="200" w:line="360" w:lineRule="auto"/>
        <w:jc w:val="both"/>
        <w:rPr>
          <w:sz w:val="22"/>
          <w:szCs w:val="22"/>
        </w:rPr>
      </w:pPr>
      <w:r w:rsidRPr="008F10DE">
        <w:rPr>
          <w:bCs/>
          <w:sz w:val="22"/>
          <w:szCs w:val="22"/>
        </w:rPr>
        <w:t>Among bank-specific characteristics, total assets (</w:t>
      </w:r>
      <w:r w:rsidRPr="008F10DE">
        <w:rPr>
          <w:bCs/>
          <w:i/>
          <w:iCs/>
          <w:sz w:val="22"/>
          <w:szCs w:val="22"/>
        </w:rPr>
        <w:t>LNTA</w:t>
      </w:r>
      <w:r w:rsidRPr="008F10DE">
        <w:rPr>
          <w:bCs/>
          <w:sz w:val="22"/>
          <w:szCs w:val="22"/>
        </w:rPr>
        <w:t xml:space="preserve">) have a positive relationship with bank efficiency, as larger asset bases may enable banks to benefit from economies of scale. When such scale economies exist, larger banks can operate more efficiently by spreading fixed costs over a broader range of activities and resources. The results from both the </w:t>
      </w:r>
      <w:r w:rsidR="00472A6C">
        <w:rPr>
          <w:bCs/>
          <w:sz w:val="22"/>
          <w:szCs w:val="22"/>
        </w:rPr>
        <w:t>S</w:t>
      </w:r>
      <w:r w:rsidRPr="008F10DE">
        <w:rPr>
          <w:bCs/>
          <w:sz w:val="22"/>
          <w:szCs w:val="22"/>
        </w:rPr>
        <w:t xml:space="preserve">patial </w:t>
      </w:r>
      <w:r w:rsidR="00472A6C">
        <w:rPr>
          <w:bCs/>
          <w:sz w:val="22"/>
          <w:szCs w:val="22"/>
        </w:rPr>
        <w:t>D</w:t>
      </w:r>
      <w:r w:rsidRPr="008F10DE">
        <w:rPr>
          <w:bCs/>
          <w:sz w:val="22"/>
          <w:szCs w:val="22"/>
        </w:rPr>
        <w:t>ynamic model (</w:t>
      </w:r>
      <w:r w:rsidRPr="008F10DE">
        <w:rPr>
          <w:bCs/>
          <w:i/>
          <w:iCs/>
          <w:sz w:val="22"/>
          <w:szCs w:val="22"/>
        </w:rPr>
        <w:t>SDM</w:t>
      </w:r>
      <w:r w:rsidRPr="008F10DE">
        <w:rPr>
          <w:bCs/>
          <w:sz w:val="22"/>
          <w:szCs w:val="22"/>
        </w:rPr>
        <w:t>) and the spatial autoregressive model (</w:t>
      </w:r>
      <w:r w:rsidRPr="008F10DE">
        <w:rPr>
          <w:bCs/>
          <w:i/>
          <w:iCs/>
          <w:sz w:val="22"/>
          <w:szCs w:val="22"/>
        </w:rPr>
        <w:t>SAR</w:t>
      </w:r>
      <w:r w:rsidRPr="008F10DE">
        <w:rPr>
          <w:bCs/>
          <w:sz w:val="22"/>
          <w:szCs w:val="22"/>
        </w:rPr>
        <w:t>) under the VRS specification support this expectation. These findings are consistent with prior studies, including Akhigbe and McNulty (</w:t>
      </w:r>
      <w:r w:rsidRPr="00484BCF">
        <w:rPr>
          <w:bCs/>
          <w:color w:val="004F88"/>
          <w:sz w:val="22"/>
          <w:szCs w:val="22"/>
        </w:rPr>
        <w:t>2003</w:t>
      </w:r>
      <w:r w:rsidRPr="008F10DE">
        <w:rPr>
          <w:bCs/>
          <w:sz w:val="22"/>
          <w:szCs w:val="22"/>
        </w:rPr>
        <w:t>), DeYoung and Hasan (</w:t>
      </w:r>
      <w:r w:rsidRPr="00484BCF">
        <w:rPr>
          <w:bCs/>
          <w:color w:val="004F88"/>
          <w:sz w:val="22"/>
          <w:szCs w:val="22"/>
        </w:rPr>
        <w:t>1998</w:t>
      </w:r>
      <w:r w:rsidRPr="008F10DE">
        <w:rPr>
          <w:bCs/>
          <w:sz w:val="22"/>
          <w:szCs w:val="22"/>
        </w:rPr>
        <w:t xml:space="preserve">), Khan et al. </w:t>
      </w:r>
      <w:r w:rsidRPr="00484BCF">
        <w:rPr>
          <w:bCs/>
          <w:color w:val="004F88"/>
          <w:sz w:val="22"/>
          <w:szCs w:val="22"/>
        </w:rPr>
        <w:t>(2020</w:t>
      </w:r>
      <w:r w:rsidRPr="008F10DE">
        <w:rPr>
          <w:bCs/>
          <w:sz w:val="22"/>
          <w:szCs w:val="22"/>
        </w:rPr>
        <w:t>), and Miller and Noulas (</w:t>
      </w:r>
      <w:r w:rsidRPr="00484BCF">
        <w:rPr>
          <w:bCs/>
          <w:color w:val="004F88"/>
          <w:sz w:val="22"/>
          <w:szCs w:val="22"/>
        </w:rPr>
        <w:t>1996</w:t>
      </w:r>
      <w:r w:rsidRPr="008F10DE">
        <w:rPr>
          <w:bCs/>
          <w:sz w:val="22"/>
          <w:szCs w:val="22"/>
        </w:rPr>
        <w:t xml:space="preserve">), which document a positive association between bank size and efficiency. </w:t>
      </w:r>
      <w:r w:rsidR="001D5D96" w:rsidRPr="008F10DE">
        <w:rPr>
          <w:bCs/>
          <w:sz w:val="22"/>
          <w:szCs w:val="22"/>
        </w:rPr>
        <w:t>Nonperforming loans</w:t>
      </w:r>
      <w:r w:rsidR="00F232F2" w:rsidRPr="008F10DE">
        <w:rPr>
          <w:bCs/>
          <w:sz w:val="22"/>
          <w:szCs w:val="22"/>
        </w:rPr>
        <w:t xml:space="preserve"> over total loans</w:t>
      </w:r>
      <w:r w:rsidR="001D5D96" w:rsidRPr="008F10DE">
        <w:rPr>
          <w:bCs/>
          <w:sz w:val="22"/>
          <w:szCs w:val="22"/>
        </w:rPr>
        <w:t xml:space="preserve"> </w:t>
      </w:r>
      <w:r w:rsidR="00641B63" w:rsidRPr="008F10DE">
        <w:rPr>
          <w:bCs/>
          <w:sz w:val="22"/>
          <w:szCs w:val="22"/>
        </w:rPr>
        <w:t>(</w:t>
      </w:r>
      <w:r w:rsidR="00641B63" w:rsidRPr="008F10DE">
        <w:rPr>
          <w:bCs/>
          <w:i/>
          <w:iCs/>
          <w:sz w:val="22"/>
          <w:szCs w:val="22"/>
        </w:rPr>
        <w:t>NPLTL</w:t>
      </w:r>
      <w:r w:rsidR="00641B63" w:rsidRPr="008F10DE">
        <w:rPr>
          <w:bCs/>
          <w:sz w:val="22"/>
          <w:szCs w:val="22"/>
        </w:rPr>
        <w:t xml:space="preserve">) </w:t>
      </w:r>
      <w:r w:rsidR="001D5D96" w:rsidRPr="008F10DE">
        <w:rPr>
          <w:bCs/>
          <w:sz w:val="22"/>
          <w:szCs w:val="22"/>
        </w:rPr>
        <w:t>reduce bank revenues and</w:t>
      </w:r>
      <w:r w:rsidR="001D5D96" w:rsidRPr="008F10DE">
        <w:rPr>
          <w:sz w:val="22"/>
          <w:szCs w:val="22"/>
        </w:rPr>
        <w:t xml:space="preserve"> increase loan monitoring expenses</w:t>
      </w:r>
      <w:r w:rsidR="00506896" w:rsidRPr="008F10DE">
        <w:rPr>
          <w:sz w:val="22"/>
          <w:szCs w:val="22"/>
        </w:rPr>
        <w:t>,</w:t>
      </w:r>
      <w:r w:rsidR="001D5D96" w:rsidRPr="008F10DE">
        <w:rPr>
          <w:sz w:val="22"/>
          <w:szCs w:val="22"/>
        </w:rPr>
        <w:t xml:space="preserve"> which indicates that larger levels of problem loans are associated with lower levels of profit efficiency. </w:t>
      </w:r>
      <w:r w:rsidR="00F232F2" w:rsidRPr="008F10DE">
        <w:rPr>
          <w:bCs/>
          <w:sz w:val="22"/>
          <w:szCs w:val="22"/>
        </w:rPr>
        <w:t xml:space="preserve">Poor loan performance is indicated by many non-performing loans. </w:t>
      </w:r>
      <w:r w:rsidR="00641B63" w:rsidRPr="008F10DE">
        <w:rPr>
          <w:sz w:val="22"/>
          <w:szCs w:val="22"/>
        </w:rPr>
        <w:t xml:space="preserve">The result </w:t>
      </w:r>
      <w:r w:rsidR="004D1108" w:rsidRPr="008F10DE">
        <w:rPr>
          <w:sz w:val="22"/>
          <w:szCs w:val="22"/>
        </w:rPr>
        <w:t xml:space="preserve">on </w:t>
      </w:r>
      <w:r w:rsidR="004D1108" w:rsidRPr="008F10DE">
        <w:rPr>
          <w:i/>
          <w:iCs/>
          <w:sz w:val="22"/>
          <w:szCs w:val="22"/>
        </w:rPr>
        <w:t>NPLTL</w:t>
      </w:r>
      <w:r w:rsidR="004D1108" w:rsidRPr="008F10DE">
        <w:rPr>
          <w:sz w:val="22"/>
          <w:szCs w:val="22"/>
        </w:rPr>
        <w:t xml:space="preserve"> </w:t>
      </w:r>
      <w:r w:rsidR="00D61D62" w:rsidRPr="008F10DE">
        <w:rPr>
          <w:sz w:val="22"/>
          <w:szCs w:val="22"/>
        </w:rPr>
        <w:t xml:space="preserve">for </w:t>
      </w:r>
      <w:r w:rsidR="00AB7557" w:rsidRPr="008F10DE">
        <w:rPr>
          <w:sz w:val="22"/>
          <w:szCs w:val="22"/>
        </w:rPr>
        <w:t xml:space="preserve">the </w:t>
      </w:r>
      <w:r w:rsidR="00D61D62" w:rsidRPr="008F10DE">
        <w:rPr>
          <w:i/>
          <w:iCs/>
          <w:sz w:val="22"/>
          <w:szCs w:val="22"/>
        </w:rPr>
        <w:t>VRS</w:t>
      </w:r>
      <w:r w:rsidR="00D61D62" w:rsidRPr="008F10DE">
        <w:rPr>
          <w:sz w:val="22"/>
          <w:szCs w:val="22"/>
        </w:rPr>
        <w:t xml:space="preserve"> </w:t>
      </w:r>
      <w:r w:rsidR="00F232F2" w:rsidRPr="008F10DE">
        <w:rPr>
          <w:sz w:val="22"/>
          <w:szCs w:val="22"/>
        </w:rPr>
        <w:t xml:space="preserve">model </w:t>
      </w:r>
      <w:r w:rsidR="00641B63" w:rsidRPr="008F10DE">
        <w:rPr>
          <w:sz w:val="22"/>
          <w:szCs w:val="22"/>
        </w:rPr>
        <w:t xml:space="preserve">is also confirmed by the </w:t>
      </w:r>
      <w:r w:rsidR="00641B63" w:rsidRPr="008F10DE">
        <w:rPr>
          <w:i/>
          <w:iCs/>
          <w:sz w:val="22"/>
          <w:szCs w:val="22"/>
        </w:rPr>
        <w:t>SAR</w:t>
      </w:r>
      <w:r w:rsidR="00641B63" w:rsidRPr="008F10DE">
        <w:rPr>
          <w:sz w:val="22"/>
          <w:szCs w:val="22"/>
        </w:rPr>
        <w:t xml:space="preserve"> and </w:t>
      </w:r>
      <w:r w:rsidR="00641B63" w:rsidRPr="008F10DE">
        <w:rPr>
          <w:i/>
          <w:iCs/>
          <w:sz w:val="22"/>
          <w:szCs w:val="22"/>
        </w:rPr>
        <w:t>SDM</w:t>
      </w:r>
      <w:r w:rsidR="00641B63" w:rsidRPr="008F10DE">
        <w:rPr>
          <w:sz w:val="22"/>
          <w:szCs w:val="22"/>
        </w:rPr>
        <w:t xml:space="preserve"> methods. </w:t>
      </w:r>
      <w:r w:rsidR="00317956" w:rsidRPr="008F10DE">
        <w:rPr>
          <w:sz w:val="22"/>
          <w:szCs w:val="22"/>
        </w:rPr>
        <w:t>The result concurs with previous studies (</w:t>
      </w:r>
      <w:r w:rsidR="00FA1251" w:rsidRPr="008F10DE">
        <w:rPr>
          <w:sz w:val="22"/>
          <w:szCs w:val="22"/>
        </w:rPr>
        <w:t xml:space="preserve">Akhigbe and McNulty </w:t>
      </w:r>
      <w:r w:rsidR="00FA1251" w:rsidRPr="00484BCF">
        <w:rPr>
          <w:color w:val="004F88"/>
          <w:sz w:val="22"/>
          <w:szCs w:val="22"/>
        </w:rPr>
        <w:t>2003</w:t>
      </w:r>
      <w:r w:rsidR="00FA1251" w:rsidRPr="008F10DE">
        <w:rPr>
          <w:sz w:val="22"/>
          <w:szCs w:val="22"/>
        </w:rPr>
        <w:t xml:space="preserve">; </w:t>
      </w:r>
      <w:r w:rsidR="00317956" w:rsidRPr="008F10DE">
        <w:rPr>
          <w:sz w:val="22"/>
          <w:szCs w:val="22"/>
        </w:rPr>
        <w:t xml:space="preserve">Berger and DeYoung </w:t>
      </w:r>
      <w:r w:rsidR="00317956" w:rsidRPr="00484BCF">
        <w:rPr>
          <w:color w:val="004F88"/>
          <w:sz w:val="22"/>
          <w:szCs w:val="22"/>
        </w:rPr>
        <w:t>1997</w:t>
      </w:r>
      <w:r w:rsidR="00317956" w:rsidRPr="008F10DE">
        <w:rPr>
          <w:sz w:val="22"/>
          <w:szCs w:val="22"/>
        </w:rPr>
        <w:t xml:space="preserve">; DeYoung and Hasan </w:t>
      </w:r>
      <w:r w:rsidR="00317956" w:rsidRPr="00484BCF">
        <w:rPr>
          <w:color w:val="004F88"/>
          <w:sz w:val="22"/>
          <w:szCs w:val="22"/>
        </w:rPr>
        <w:t>1998</w:t>
      </w:r>
      <w:r w:rsidR="00317956" w:rsidRPr="008F10DE">
        <w:rPr>
          <w:sz w:val="22"/>
          <w:szCs w:val="22"/>
        </w:rPr>
        <w:t xml:space="preserve">; Harris </w:t>
      </w:r>
      <w:r w:rsidR="00EB3323" w:rsidRPr="008F10DE">
        <w:rPr>
          <w:sz w:val="22"/>
          <w:szCs w:val="22"/>
        </w:rPr>
        <w:t>et al</w:t>
      </w:r>
      <w:r w:rsidR="00EB3323" w:rsidRPr="008F10DE">
        <w:rPr>
          <w:i/>
          <w:iCs/>
          <w:sz w:val="22"/>
          <w:szCs w:val="22"/>
        </w:rPr>
        <w:t>.</w:t>
      </w:r>
      <w:r w:rsidR="00317956" w:rsidRPr="008F10DE">
        <w:rPr>
          <w:sz w:val="22"/>
          <w:szCs w:val="22"/>
        </w:rPr>
        <w:t xml:space="preserve"> </w:t>
      </w:r>
      <w:r w:rsidR="00317956" w:rsidRPr="00484BCF">
        <w:rPr>
          <w:color w:val="004F88"/>
          <w:sz w:val="22"/>
          <w:szCs w:val="22"/>
        </w:rPr>
        <w:t>2013</w:t>
      </w:r>
      <w:r w:rsidR="00317956" w:rsidRPr="008F10DE">
        <w:rPr>
          <w:sz w:val="22"/>
          <w:szCs w:val="22"/>
        </w:rPr>
        <w:t xml:space="preserve">). In the models where </w:t>
      </w:r>
      <w:r w:rsidR="00317956" w:rsidRPr="008F10DE">
        <w:rPr>
          <w:i/>
          <w:iCs/>
          <w:sz w:val="22"/>
          <w:szCs w:val="22"/>
        </w:rPr>
        <w:t>SVOTE</w:t>
      </w:r>
      <w:r w:rsidR="00317956" w:rsidRPr="008F10DE">
        <w:rPr>
          <w:sz w:val="22"/>
          <w:szCs w:val="22"/>
        </w:rPr>
        <w:t xml:space="preserve"> and </w:t>
      </w:r>
      <w:r w:rsidR="00317956" w:rsidRPr="008F10DE">
        <w:rPr>
          <w:i/>
          <w:iCs/>
          <w:sz w:val="22"/>
          <w:szCs w:val="22"/>
        </w:rPr>
        <w:t>NVOTE</w:t>
      </w:r>
      <w:r w:rsidR="00317956" w:rsidRPr="008F10DE">
        <w:rPr>
          <w:sz w:val="22"/>
          <w:szCs w:val="22"/>
        </w:rPr>
        <w:t xml:space="preserve"> are independent variables, respectively, the coefficients </w:t>
      </w:r>
      <w:r w:rsidR="00C7592F" w:rsidRPr="008F10DE">
        <w:rPr>
          <w:sz w:val="22"/>
          <w:szCs w:val="22"/>
        </w:rPr>
        <w:t xml:space="preserve">of </w:t>
      </w:r>
      <w:r w:rsidR="00C7592F" w:rsidRPr="008F10DE">
        <w:rPr>
          <w:i/>
          <w:iCs/>
          <w:sz w:val="22"/>
          <w:szCs w:val="22"/>
        </w:rPr>
        <w:t>NPLTL</w:t>
      </w:r>
      <w:r w:rsidR="00C7592F" w:rsidRPr="008F10DE">
        <w:rPr>
          <w:sz w:val="22"/>
          <w:szCs w:val="22"/>
        </w:rPr>
        <w:t xml:space="preserve"> </w:t>
      </w:r>
      <w:r w:rsidR="00317956" w:rsidRPr="008F10DE">
        <w:rPr>
          <w:sz w:val="22"/>
          <w:szCs w:val="22"/>
        </w:rPr>
        <w:t>are -</w:t>
      </w:r>
      <w:r w:rsidR="00472AEB" w:rsidRPr="008F10DE">
        <w:rPr>
          <w:sz w:val="22"/>
          <w:szCs w:val="22"/>
        </w:rPr>
        <w:t>6</w:t>
      </w:r>
      <w:r w:rsidR="00317956" w:rsidRPr="008F10DE">
        <w:rPr>
          <w:sz w:val="22"/>
          <w:szCs w:val="22"/>
        </w:rPr>
        <w:t>.</w:t>
      </w:r>
      <w:r w:rsidR="00472AEB" w:rsidRPr="008F10DE">
        <w:rPr>
          <w:sz w:val="22"/>
          <w:szCs w:val="22"/>
        </w:rPr>
        <w:t>24</w:t>
      </w:r>
      <w:r w:rsidR="00545EF3" w:rsidRPr="008F10DE">
        <w:rPr>
          <w:sz w:val="22"/>
          <w:szCs w:val="22"/>
        </w:rPr>
        <w:t>50</w:t>
      </w:r>
      <w:r w:rsidR="00317956" w:rsidRPr="008F10DE">
        <w:rPr>
          <w:sz w:val="22"/>
          <w:szCs w:val="22"/>
        </w:rPr>
        <w:t xml:space="preserve"> and -</w:t>
      </w:r>
      <w:r w:rsidR="00472AEB" w:rsidRPr="008F10DE">
        <w:rPr>
          <w:sz w:val="22"/>
          <w:szCs w:val="22"/>
        </w:rPr>
        <w:t>6</w:t>
      </w:r>
      <w:r w:rsidR="00317956" w:rsidRPr="008F10DE">
        <w:rPr>
          <w:sz w:val="22"/>
          <w:szCs w:val="22"/>
        </w:rPr>
        <w:t>.</w:t>
      </w:r>
      <w:r w:rsidR="00472AEB" w:rsidRPr="008F10DE">
        <w:rPr>
          <w:sz w:val="22"/>
          <w:szCs w:val="22"/>
        </w:rPr>
        <w:t>325</w:t>
      </w:r>
      <w:r w:rsidR="00545EF3" w:rsidRPr="008F10DE">
        <w:rPr>
          <w:sz w:val="22"/>
          <w:szCs w:val="22"/>
        </w:rPr>
        <w:t>6</w:t>
      </w:r>
      <w:r w:rsidR="00317956" w:rsidRPr="008F10DE">
        <w:rPr>
          <w:sz w:val="22"/>
          <w:szCs w:val="22"/>
        </w:rPr>
        <w:t xml:space="preserve">. </w:t>
      </w:r>
      <w:r w:rsidR="00472AEB" w:rsidRPr="008F10DE">
        <w:rPr>
          <w:sz w:val="22"/>
          <w:szCs w:val="22"/>
        </w:rPr>
        <w:t>Total deposits over total assets</w:t>
      </w:r>
      <w:r w:rsidR="006B6B69" w:rsidRPr="008F10DE">
        <w:rPr>
          <w:sz w:val="22"/>
          <w:szCs w:val="22"/>
        </w:rPr>
        <w:t xml:space="preserve"> </w:t>
      </w:r>
      <w:r w:rsidR="00641B63" w:rsidRPr="008F10DE">
        <w:rPr>
          <w:sz w:val="22"/>
          <w:szCs w:val="22"/>
        </w:rPr>
        <w:t>(</w:t>
      </w:r>
      <w:r w:rsidR="00472AEB" w:rsidRPr="008F10DE">
        <w:rPr>
          <w:i/>
          <w:iCs/>
          <w:sz w:val="22"/>
          <w:szCs w:val="22"/>
        </w:rPr>
        <w:t>DOA</w:t>
      </w:r>
      <w:r w:rsidR="00641B63" w:rsidRPr="008F10DE">
        <w:rPr>
          <w:sz w:val="22"/>
          <w:szCs w:val="22"/>
        </w:rPr>
        <w:t xml:space="preserve">) </w:t>
      </w:r>
      <w:r w:rsidR="006B6B69" w:rsidRPr="008F10DE">
        <w:rPr>
          <w:sz w:val="22"/>
          <w:szCs w:val="22"/>
        </w:rPr>
        <w:t xml:space="preserve">have </w:t>
      </w:r>
      <w:r w:rsidR="00221447" w:rsidRPr="008F10DE">
        <w:rPr>
          <w:sz w:val="22"/>
          <w:szCs w:val="22"/>
        </w:rPr>
        <w:t>a</w:t>
      </w:r>
      <w:r w:rsidR="006B6B69" w:rsidRPr="008F10DE">
        <w:rPr>
          <w:sz w:val="22"/>
          <w:szCs w:val="22"/>
        </w:rPr>
        <w:t xml:space="preserve"> negative relationship with efficiency (</w:t>
      </w:r>
      <w:r w:rsidR="00221447" w:rsidRPr="008F10DE">
        <w:rPr>
          <w:sz w:val="22"/>
          <w:szCs w:val="22"/>
        </w:rPr>
        <w:t>Harris et al., 2013</w:t>
      </w:r>
      <w:r w:rsidR="006B6B69" w:rsidRPr="008F10DE">
        <w:rPr>
          <w:sz w:val="22"/>
          <w:szCs w:val="22"/>
        </w:rPr>
        <w:t xml:space="preserve">). </w:t>
      </w:r>
      <w:r w:rsidR="00D61D62" w:rsidRPr="008F10DE">
        <w:rPr>
          <w:sz w:val="22"/>
          <w:szCs w:val="22"/>
        </w:rPr>
        <w:t xml:space="preserve">SAR (insignificant) and SDM (positive) models do not agree with the results; nonetheless, the </w:t>
      </w:r>
      <w:r w:rsidR="00472A6C">
        <w:rPr>
          <w:sz w:val="22"/>
          <w:szCs w:val="22"/>
        </w:rPr>
        <w:t>S</w:t>
      </w:r>
      <w:r w:rsidR="00D61D62" w:rsidRPr="008F10DE">
        <w:rPr>
          <w:sz w:val="22"/>
          <w:szCs w:val="22"/>
        </w:rPr>
        <w:t xml:space="preserve">patial </w:t>
      </w:r>
      <w:r w:rsidR="00667BE2" w:rsidRPr="008F10DE">
        <w:rPr>
          <w:sz w:val="22"/>
          <w:szCs w:val="22"/>
        </w:rPr>
        <w:t>T</w:t>
      </w:r>
      <w:r w:rsidR="00D61D62" w:rsidRPr="008F10DE">
        <w:rPr>
          <w:sz w:val="22"/>
          <w:szCs w:val="22"/>
        </w:rPr>
        <w:t xml:space="preserve">obit model </w:t>
      </w:r>
      <w:r w:rsidR="00BD43B4" w:rsidRPr="008F10DE">
        <w:rPr>
          <w:sz w:val="22"/>
          <w:szCs w:val="22"/>
        </w:rPr>
        <w:t>(</w:t>
      </w:r>
      <w:r w:rsidR="00BD43B4" w:rsidRPr="008F10DE">
        <w:rPr>
          <w:i/>
          <w:iCs/>
          <w:sz w:val="22"/>
          <w:szCs w:val="22"/>
        </w:rPr>
        <w:t>STM</w:t>
      </w:r>
      <w:r w:rsidR="00BD43B4" w:rsidRPr="008F10DE">
        <w:rPr>
          <w:sz w:val="22"/>
          <w:szCs w:val="22"/>
        </w:rPr>
        <w:t xml:space="preserve">) </w:t>
      </w:r>
      <w:r w:rsidR="00D61D62" w:rsidRPr="008F10DE">
        <w:rPr>
          <w:sz w:val="22"/>
          <w:szCs w:val="22"/>
        </w:rPr>
        <w:t xml:space="preserve">is favored (Qu and Lee </w:t>
      </w:r>
      <w:r w:rsidR="00D61D62" w:rsidRPr="00484BCF">
        <w:rPr>
          <w:color w:val="004F88"/>
          <w:sz w:val="22"/>
          <w:szCs w:val="22"/>
        </w:rPr>
        <w:t>2012</w:t>
      </w:r>
      <w:r w:rsidR="00D61D62" w:rsidRPr="008F10DE">
        <w:rPr>
          <w:sz w:val="22"/>
          <w:szCs w:val="22"/>
        </w:rPr>
        <w:t>)</w:t>
      </w:r>
      <w:r w:rsidR="006B6B69" w:rsidRPr="008F10DE">
        <w:rPr>
          <w:bCs/>
          <w:sz w:val="22"/>
          <w:szCs w:val="22"/>
        </w:rPr>
        <w:t xml:space="preserve">. </w:t>
      </w:r>
      <w:r w:rsidR="006B6B69" w:rsidRPr="008F10DE">
        <w:rPr>
          <w:sz w:val="22"/>
          <w:szCs w:val="22"/>
        </w:rPr>
        <w:t xml:space="preserve">Finally, it is clear that in </w:t>
      </w:r>
      <w:r w:rsidR="00AB7557" w:rsidRPr="008F10DE">
        <w:rPr>
          <w:sz w:val="22"/>
          <w:szCs w:val="22"/>
        </w:rPr>
        <w:t xml:space="preserve">the </w:t>
      </w:r>
      <w:r w:rsidR="006B6B69" w:rsidRPr="008F10DE">
        <w:rPr>
          <w:sz w:val="22"/>
          <w:szCs w:val="22"/>
        </w:rPr>
        <w:t xml:space="preserve">pandemic year of 2020, banks reported lower efficiency. </w:t>
      </w:r>
      <w:r w:rsidR="00077BEF" w:rsidRPr="008F10DE">
        <w:rPr>
          <w:sz w:val="22"/>
          <w:szCs w:val="22"/>
        </w:rPr>
        <w:t>As the cost</w:t>
      </w:r>
      <w:r w:rsidR="00AB7557" w:rsidRPr="008F10DE">
        <w:rPr>
          <w:sz w:val="22"/>
          <w:szCs w:val="22"/>
        </w:rPr>
        <w:t>-to-</w:t>
      </w:r>
      <w:r w:rsidR="00077BEF" w:rsidRPr="008F10DE">
        <w:rPr>
          <w:sz w:val="22"/>
          <w:szCs w:val="22"/>
        </w:rPr>
        <w:t>income ratio rises during the epidemic, US bank efficiency declines (</w:t>
      </w:r>
      <w:r w:rsidR="00885918" w:rsidRPr="008F10DE">
        <w:rPr>
          <w:sz w:val="22"/>
          <w:szCs w:val="22"/>
        </w:rPr>
        <w:t xml:space="preserve">Heitmann </w:t>
      </w:r>
      <w:r w:rsidR="00EB3323" w:rsidRPr="008F10DE">
        <w:rPr>
          <w:sz w:val="22"/>
          <w:szCs w:val="22"/>
        </w:rPr>
        <w:t>et al.</w:t>
      </w:r>
      <w:r w:rsidR="00885918" w:rsidRPr="008F10DE">
        <w:rPr>
          <w:sz w:val="22"/>
          <w:szCs w:val="22"/>
        </w:rPr>
        <w:t xml:space="preserve"> </w:t>
      </w:r>
      <w:r w:rsidR="00885918" w:rsidRPr="00484BCF">
        <w:rPr>
          <w:color w:val="004F88"/>
          <w:sz w:val="22"/>
          <w:szCs w:val="22"/>
        </w:rPr>
        <w:t>202</w:t>
      </w:r>
      <w:r w:rsidR="00E14280" w:rsidRPr="00484BCF">
        <w:rPr>
          <w:color w:val="004F88"/>
          <w:sz w:val="22"/>
          <w:szCs w:val="22"/>
        </w:rPr>
        <w:t>3</w:t>
      </w:r>
      <w:r w:rsidR="00885918" w:rsidRPr="008F10DE">
        <w:rPr>
          <w:sz w:val="22"/>
          <w:szCs w:val="22"/>
        </w:rPr>
        <w:t>)</w:t>
      </w:r>
      <w:r w:rsidR="00077BEF" w:rsidRPr="008F10DE">
        <w:rPr>
          <w:sz w:val="22"/>
          <w:szCs w:val="22"/>
        </w:rPr>
        <w:t xml:space="preserve">. </w:t>
      </w:r>
      <w:r w:rsidR="00D61D62" w:rsidRPr="008F10DE">
        <w:rPr>
          <w:sz w:val="22"/>
          <w:szCs w:val="22"/>
        </w:rPr>
        <w:t xml:space="preserve">SAR and SDM </w:t>
      </w:r>
      <w:r w:rsidR="009D3402" w:rsidRPr="008F10DE">
        <w:rPr>
          <w:sz w:val="22"/>
          <w:szCs w:val="22"/>
        </w:rPr>
        <w:t>approaches</w:t>
      </w:r>
      <w:r w:rsidR="00D61D62" w:rsidRPr="008F10DE">
        <w:rPr>
          <w:sz w:val="22"/>
          <w:szCs w:val="22"/>
        </w:rPr>
        <w:t xml:space="preserve"> also favor this </w:t>
      </w:r>
      <w:r w:rsidR="00D61D62" w:rsidRPr="008F10DE">
        <w:rPr>
          <w:i/>
          <w:iCs/>
          <w:sz w:val="22"/>
          <w:szCs w:val="22"/>
        </w:rPr>
        <w:t>VRS</w:t>
      </w:r>
      <w:r w:rsidR="00E064BC" w:rsidRPr="008F10DE">
        <w:rPr>
          <w:sz w:val="22"/>
          <w:szCs w:val="22"/>
        </w:rPr>
        <w:t xml:space="preserve">’s </w:t>
      </w:r>
      <w:r w:rsidR="00D61D62" w:rsidRPr="008F10DE">
        <w:rPr>
          <w:sz w:val="22"/>
          <w:szCs w:val="22"/>
        </w:rPr>
        <w:t xml:space="preserve">result. In the </w:t>
      </w:r>
      <w:r w:rsidR="00D61D62" w:rsidRPr="0067691E">
        <w:rPr>
          <w:i/>
          <w:iCs/>
          <w:sz w:val="22"/>
          <w:szCs w:val="22"/>
        </w:rPr>
        <w:t>STM</w:t>
      </w:r>
      <w:r w:rsidR="00D61D62" w:rsidRPr="008F10DE">
        <w:rPr>
          <w:sz w:val="22"/>
          <w:szCs w:val="22"/>
        </w:rPr>
        <w:t xml:space="preserve"> technique, the coefficient</w:t>
      </w:r>
      <w:r w:rsidR="00472AEB" w:rsidRPr="008F10DE">
        <w:rPr>
          <w:sz w:val="22"/>
          <w:szCs w:val="22"/>
        </w:rPr>
        <w:t xml:space="preserve"> is -0.045</w:t>
      </w:r>
      <w:r w:rsidR="00545EF3" w:rsidRPr="008F10DE">
        <w:rPr>
          <w:sz w:val="22"/>
          <w:szCs w:val="22"/>
        </w:rPr>
        <w:t>0</w:t>
      </w:r>
      <w:r w:rsidR="00472AEB" w:rsidRPr="008F10DE">
        <w:rPr>
          <w:sz w:val="22"/>
          <w:szCs w:val="22"/>
        </w:rPr>
        <w:t xml:space="preserve"> for SVOTE model and -0.0522 for the NVOTE model. </w:t>
      </w:r>
    </w:p>
    <w:p w14:paraId="75F35F32" w14:textId="631E8D4B" w:rsidR="008F5D8B" w:rsidRPr="008F10DE" w:rsidRDefault="008F5D8B" w:rsidP="00C16B43">
      <w:pPr>
        <w:spacing w:after="200" w:line="360" w:lineRule="auto"/>
        <w:jc w:val="center"/>
        <w:rPr>
          <w:sz w:val="22"/>
          <w:szCs w:val="22"/>
        </w:rPr>
      </w:pPr>
      <w:r w:rsidRPr="008F10DE">
        <w:rPr>
          <w:sz w:val="22"/>
          <w:szCs w:val="22"/>
        </w:rPr>
        <w:t xml:space="preserve">(Insert Table </w:t>
      </w:r>
      <w:r w:rsidRPr="00B50F0E">
        <w:rPr>
          <w:color w:val="004F88"/>
          <w:sz w:val="22"/>
          <w:szCs w:val="22"/>
        </w:rPr>
        <w:t>8</w:t>
      </w:r>
      <w:r w:rsidR="00CC70D8" w:rsidRPr="008F10DE">
        <w:rPr>
          <w:sz w:val="22"/>
          <w:szCs w:val="22"/>
        </w:rPr>
        <w:t xml:space="preserve"> about here</w:t>
      </w:r>
      <w:r w:rsidRPr="008F10DE">
        <w:rPr>
          <w:sz w:val="22"/>
          <w:szCs w:val="22"/>
        </w:rPr>
        <w:t>)</w:t>
      </w:r>
    </w:p>
    <w:p w14:paraId="43D3EFF5" w14:textId="51BDC380" w:rsidR="00105AE5" w:rsidRPr="008F10DE" w:rsidRDefault="005A2333" w:rsidP="005A2333">
      <w:pPr>
        <w:pStyle w:val="Heading2"/>
        <w:rPr>
          <w:sz w:val="22"/>
          <w:szCs w:val="22"/>
        </w:rPr>
      </w:pPr>
      <w:r w:rsidRPr="008F10DE">
        <w:rPr>
          <w:sz w:val="22"/>
          <w:szCs w:val="22"/>
        </w:rPr>
        <w:t>5</w:t>
      </w:r>
      <w:r w:rsidR="008F5D8B" w:rsidRPr="008F10DE">
        <w:rPr>
          <w:sz w:val="22"/>
          <w:szCs w:val="22"/>
        </w:rPr>
        <w:t>.</w:t>
      </w:r>
      <w:r w:rsidR="00923F82" w:rsidRPr="008F10DE">
        <w:rPr>
          <w:sz w:val="22"/>
          <w:szCs w:val="22"/>
        </w:rPr>
        <w:t>4.</w:t>
      </w:r>
      <w:r w:rsidR="008F5D8B" w:rsidRPr="008F10DE">
        <w:rPr>
          <w:sz w:val="22"/>
          <w:szCs w:val="22"/>
        </w:rPr>
        <w:t xml:space="preserve"> Additional </w:t>
      </w:r>
      <w:r w:rsidR="00FB41ED">
        <w:rPr>
          <w:sz w:val="22"/>
          <w:szCs w:val="22"/>
        </w:rPr>
        <w:t>T</w:t>
      </w:r>
      <w:r w:rsidR="008F5D8B" w:rsidRPr="008F10DE">
        <w:rPr>
          <w:sz w:val="22"/>
          <w:szCs w:val="22"/>
        </w:rPr>
        <w:t>ests</w:t>
      </w:r>
    </w:p>
    <w:p w14:paraId="7FE3CEEB" w14:textId="77777777" w:rsidR="008F5D8B" w:rsidRPr="008F10DE" w:rsidRDefault="008F5D8B" w:rsidP="000F6119">
      <w:pPr>
        <w:jc w:val="both"/>
        <w:rPr>
          <w:b/>
          <w:bCs/>
          <w:sz w:val="22"/>
          <w:szCs w:val="22"/>
        </w:rPr>
      </w:pPr>
    </w:p>
    <w:p w14:paraId="423F6125" w14:textId="4FD16B6D" w:rsidR="00221447" w:rsidRPr="008F10DE" w:rsidRDefault="00DF75D4" w:rsidP="006D498D">
      <w:pPr>
        <w:spacing w:line="360" w:lineRule="auto"/>
        <w:jc w:val="both"/>
        <w:rPr>
          <w:sz w:val="22"/>
          <w:szCs w:val="22"/>
        </w:rPr>
      </w:pPr>
      <w:r w:rsidRPr="008F10DE">
        <w:rPr>
          <w:sz w:val="22"/>
          <w:szCs w:val="22"/>
        </w:rPr>
        <w:t xml:space="preserve">Tables </w:t>
      </w:r>
      <w:r w:rsidRPr="00B50F0E">
        <w:rPr>
          <w:color w:val="004F88"/>
          <w:sz w:val="22"/>
          <w:szCs w:val="22"/>
        </w:rPr>
        <w:t>9</w:t>
      </w:r>
      <w:r w:rsidRPr="008F10DE">
        <w:rPr>
          <w:sz w:val="22"/>
          <w:szCs w:val="22"/>
        </w:rPr>
        <w:t xml:space="preserve"> and </w:t>
      </w:r>
      <w:r w:rsidRPr="00B50F0E">
        <w:rPr>
          <w:color w:val="004F88"/>
          <w:sz w:val="22"/>
          <w:szCs w:val="22"/>
        </w:rPr>
        <w:t>10</w:t>
      </w:r>
      <w:r w:rsidRPr="008F10DE">
        <w:rPr>
          <w:sz w:val="22"/>
          <w:szCs w:val="22"/>
        </w:rPr>
        <w:t xml:space="preserve"> present additional estimations of VRS efficiency scores using the Spatial Tobit </w:t>
      </w:r>
      <w:r w:rsidR="00472A6C">
        <w:rPr>
          <w:sz w:val="22"/>
          <w:szCs w:val="22"/>
        </w:rPr>
        <w:t>m</w:t>
      </w:r>
      <w:r w:rsidRPr="008F10DE">
        <w:rPr>
          <w:sz w:val="22"/>
          <w:szCs w:val="22"/>
        </w:rPr>
        <w:t>odel (</w:t>
      </w:r>
      <w:r w:rsidRPr="0067691E">
        <w:rPr>
          <w:i/>
          <w:iCs/>
          <w:sz w:val="22"/>
          <w:szCs w:val="22"/>
        </w:rPr>
        <w:t>STM</w:t>
      </w:r>
      <w:r w:rsidRPr="008F10DE">
        <w:rPr>
          <w:sz w:val="22"/>
          <w:szCs w:val="22"/>
        </w:rPr>
        <w:t>), based on the number of votes cast and the ratio of votes between the Democratic and Republican parties</w:t>
      </w:r>
      <w:r w:rsidR="004B12C5" w:rsidRPr="008F10DE">
        <w:rPr>
          <w:sz w:val="22"/>
          <w:szCs w:val="22"/>
        </w:rPr>
        <w:t xml:space="preserve">. </w:t>
      </w:r>
      <w:r w:rsidRPr="008F10DE">
        <w:rPr>
          <w:sz w:val="22"/>
          <w:szCs w:val="22"/>
        </w:rPr>
        <w:t>The findings indicate a significant positive correlation between the US banks’ efficiency score (</w:t>
      </w:r>
      <w:r w:rsidRPr="008F10DE">
        <w:rPr>
          <w:i/>
          <w:iCs/>
          <w:sz w:val="22"/>
          <w:szCs w:val="22"/>
        </w:rPr>
        <w:t>VRS</w:t>
      </w:r>
      <w:r w:rsidRPr="008F10DE">
        <w:rPr>
          <w:sz w:val="22"/>
          <w:szCs w:val="22"/>
        </w:rPr>
        <w:t>) and both the number of votes cast for the Democratic Party (</w:t>
      </w:r>
      <w:r w:rsidRPr="008F10DE">
        <w:rPr>
          <w:i/>
          <w:iCs/>
          <w:sz w:val="22"/>
          <w:szCs w:val="22"/>
        </w:rPr>
        <w:t>LNPREDem</w:t>
      </w:r>
      <w:r w:rsidRPr="008F10DE">
        <w:rPr>
          <w:sz w:val="22"/>
          <w:szCs w:val="22"/>
        </w:rPr>
        <w:t>) and the ratio of Democratic to Republican votes (</w:t>
      </w:r>
      <w:r w:rsidRPr="008F10DE">
        <w:rPr>
          <w:i/>
          <w:iCs/>
          <w:sz w:val="22"/>
          <w:szCs w:val="22"/>
        </w:rPr>
        <w:t>PREDemRep</w:t>
      </w:r>
      <w:r w:rsidRPr="008F10DE">
        <w:rPr>
          <w:sz w:val="22"/>
          <w:szCs w:val="22"/>
        </w:rPr>
        <w:t xml:space="preserve">) across states. The coefficient is 0.0087 when the independent variable is the number of votes for the Democratic Party, and 0.0039 when it is the ratio of Democratic to Republican votes (see Table </w:t>
      </w:r>
      <w:r w:rsidRPr="00B50F0E">
        <w:rPr>
          <w:color w:val="004F88"/>
          <w:sz w:val="22"/>
          <w:szCs w:val="22"/>
        </w:rPr>
        <w:t>9</w:t>
      </w:r>
      <w:r w:rsidRPr="008F10DE">
        <w:rPr>
          <w:sz w:val="22"/>
          <w:szCs w:val="22"/>
        </w:rPr>
        <w:t>). These results suggest that U.S. commercial banks tend to be more efficient when election outcomes favor the Democratic Party in terms of vote share.</w:t>
      </w:r>
    </w:p>
    <w:p w14:paraId="226A4E0A" w14:textId="77777777" w:rsidR="00DF75D4" w:rsidRDefault="00DF75D4" w:rsidP="00DF75D4">
      <w:pPr>
        <w:spacing w:line="360" w:lineRule="auto"/>
        <w:jc w:val="both"/>
        <w:rPr>
          <w:sz w:val="22"/>
          <w:szCs w:val="22"/>
        </w:rPr>
      </w:pPr>
    </w:p>
    <w:p w14:paraId="673AD569" w14:textId="1E440025" w:rsidR="00472AEB" w:rsidRPr="008F10DE" w:rsidRDefault="00472AEB" w:rsidP="009B588C">
      <w:pPr>
        <w:jc w:val="center"/>
        <w:rPr>
          <w:sz w:val="22"/>
          <w:szCs w:val="22"/>
        </w:rPr>
      </w:pPr>
      <w:r w:rsidRPr="008F10DE">
        <w:rPr>
          <w:sz w:val="22"/>
          <w:szCs w:val="22"/>
        </w:rPr>
        <w:t xml:space="preserve">(Insert Table </w:t>
      </w:r>
      <w:r w:rsidRPr="00B50F0E">
        <w:rPr>
          <w:color w:val="004F88"/>
          <w:sz w:val="22"/>
          <w:szCs w:val="22"/>
        </w:rPr>
        <w:t>9</w:t>
      </w:r>
      <w:r w:rsidR="00CC70D8" w:rsidRPr="008F10DE">
        <w:rPr>
          <w:sz w:val="22"/>
          <w:szCs w:val="22"/>
        </w:rPr>
        <w:t xml:space="preserve"> about here</w:t>
      </w:r>
      <w:r w:rsidRPr="008F10DE">
        <w:rPr>
          <w:sz w:val="22"/>
          <w:szCs w:val="22"/>
        </w:rPr>
        <w:t>)</w:t>
      </w:r>
    </w:p>
    <w:p w14:paraId="5F660E3D" w14:textId="77777777" w:rsidR="00472AEB" w:rsidRPr="008F10DE" w:rsidRDefault="00472AEB" w:rsidP="008D1701">
      <w:pPr>
        <w:spacing w:line="360" w:lineRule="auto"/>
        <w:jc w:val="both"/>
        <w:rPr>
          <w:sz w:val="22"/>
          <w:szCs w:val="22"/>
        </w:rPr>
      </w:pPr>
    </w:p>
    <w:p w14:paraId="55A28FA5" w14:textId="4FC14727" w:rsidR="00D974D9" w:rsidRPr="008F10DE" w:rsidRDefault="00D974D9" w:rsidP="005B41A3">
      <w:pPr>
        <w:spacing w:line="360" w:lineRule="auto"/>
        <w:jc w:val="both"/>
        <w:rPr>
          <w:sz w:val="22"/>
          <w:szCs w:val="22"/>
        </w:rPr>
      </w:pPr>
      <w:r w:rsidRPr="008F10DE">
        <w:rPr>
          <w:sz w:val="22"/>
          <w:szCs w:val="22"/>
        </w:rPr>
        <w:t xml:space="preserve">Table </w:t>
      </w:r>
      <w:r w:rsidRPr="00B50F0E">
        <w:rPr>
          <w:color w:val="004F88"/>
          <w:sz w:val="22"/>
          <w:szCs w:val="22"/>
        </w:rPr>
        <w:t>10</w:t>
      </w:r>
      <w:r w:rsidRPr="008F10DE">
        <w:rPr>
          <w:sz w:val="22"/>
          <w:szCs w:val="22"/>
        </w:rPr>
        <w:t xml:space="preserve"> indicates that bank efficiency improves following a change in the ruling political party at both the state and federal levels, as captured by the variables </w:t>
      </w:r>
      <w:r w:rsidRPr="008F10DE">
        <w:rPr>
          <w:i/>
          <w:iCs/>
          <w:sz w:val="22"/>
          <w:szCs w:val="22"/>
        </w:rPr>
        <w:t>SChange</w:t>
      </w:r>
      <w:r w:rsidRPr="008F10DE">
        <w:rPr>
          <w:sz w:val="22"/>
          <w:szCs w:val="22"/>
        </w:rPr>
        <w:t xml:space="preserve"> and </w:t>
      </w:r>
      <w:r w:rsidRPr="008F10DE">
        <w:rPr>
          <w:i/>
          <w:iCs/>
          <w:sz w:val="22"/>
          <w:szCs w:val="22"/>
        </w:rPr>
        <w:t>NChange</w:t>
      </w:r>
      <w:r w:rsidRPr="008F10DE">
        <w:rPr>
          <w:sz w:val="22"/>
          <w:szCs w:val="22"/>
        </w:rPr>
        <w:t>. This finding suggests that political turnover can play a constructive role in shaping banks’ operational performance. A plausible interpretation is that shifts in political leadership are often accompanied by changes in regulatory stances, supervisory priorities, and broader economic policies, which may alter banks’ incentive structures and competitive environments. In line with this view, Faccio (</w:t>
      </w:r>
      <w:r w:rsidRPr="00484BCF">
        <w:rPr>
          <w:color w:val="004F88"/>
          <w:sz w:val="22"/>
          <w:szCs w:val="22"/>
        </w:rPr>
        <w:t>2006</w:t>
      </w:r>
      <w:r w:rsidRPr="008F10DE">
        <w:rPr>
          <w:sz w:val="22"/>
          <w:szCs w:val="22"/>
        </w:rPr>
        <w:t>) argues that political transitions tend to generate policy realignments that can affect firms’ behavior, including their efficiency-enhancing investments and organizational adjustments. Consistent with this argument, the results here imply that regular political alternation, such as the four-year electoral cycle at both state and national levels in the United States, may foster improvements in banking efficiency, potentially through the introduction of new reform agendas, increased regulatory scrutiny, or policies that intensify competition and promote operational optimization.</w:t>
      </w:r>
    </w:p>
    <w:p w14:paraId="5AC2863C" w14:textId="77777777" w:rsidR="005B41A3" w:rsidRDefault="005B41A3" w:rsidP="005B41A3">
      <w:pPr>
        <w:spacing w:line="360" w:lineRule="auto"/>
        <w:jc w:val="both"/>
        <w:rPr>
          <w:sz w:val="22"/>
          <w:szCs w:val="22"/>
        </w:rPr>
      </w:pPr>
    </w:p>
    <w:p w14:paraId="586D8744" w14:textId="559F490E" w:rsidR="00D974D9" w:rsidRPr="008F10DE" w:rsidRDefault="00D974D9" w:rsidP="005B41A3">
      <w:pPr>
        <w:spacing w:line="360" w:lineRule="auto"/>
        <w:jc w:val="both"/>
        <w:rPr>
          <w:sz w:val="22"/>
          <w:szCs w:val="22"/>
        </w:rPr>
      </w:pPr>
      <w:r w:rsidRPr="008F10DE">
        <w:rPr>
          <w:sz w:val="22"/>
          <w:szCs w:val="22"/>
        </w:rPr>
        <w:t xml:space="preserve">The estimated coefficients are identical for both political change indicators, with a value of 0.016 for </w:t>
      </w:r>
      <w:r w:rsidRPr="008F10DE">
        <w:rPr>
          <w:i/>
          <w:iCs/>
          <w:sz w:val="22"/>
          <w:szCs w:val="22"/>
        </w:rPr>
        <w:t>SChange</w:t>
      </w:r>
      <w:r w:rsidRPr="008F10DE">
        <w:rPr>
          <w:sz w:val="22"/>
          <w:szCs w:val="22"/>
        </w:rPr>
        <w:t xml:space="preserve"> and </w:t>
      </w:r>
      <w:r w:rsidRPr="008F10DE">
        <w:rPr>
          <w:i/>
          <w:iCs/>
          <w:sz w:val="22"/>
          <w:szCs w:val="22"/>
        </w:rPr>
        <w:t>NChange</w:t>
      </w:r>
      <w:r w:rsidRPr="008F10DE">
        <w:rPr>
          <w:sz w:val="22"/>
          <w:szCs w:val="22"/>
        </w:rPr>
        <w:t xml:space="preserve">. This symmetry suggests that political turnover at the state and national levels exerts a comparable marginal impact on bank efficiency. Specifically, </w:t>
      </w:r>
      <w:r w:rsidRPr="008F10DE">
        <w:rPr>
          <w:i/>
          <w:iCs/>
          <w:sz w:val="22"/>
          <w:szCs w:val="22"/>
        </w:rPr>
        <w:t>SChange</w:t>
      </w:r>
      <w:r w:rsidRPr="008F10DE">
        <w:rPr>
          <w:sz w:val="22"/>
          <w:szCs w:val="22"/>
        </w:rPr>
        <w:t xml:space="preserve"> captures a change in the party chosen by voters at the state level between the current and previous year, while </w:t>
      </w:r>
      <w:r w:rsidRPr="008F10DE">
        <w:rPr>
          <w:i/>
          <w:iCs/>
          <w:sz w:val="22"/>
          <w:szCs w:val="22"/>
        </w:rPr>
        <w:t>NChange</w:t>
      </w:r>
      <w:r w:rsidRPr="008F10DE">
        <w:rPr>
          <w:sz w:val="22"/>
          <w:szCs w:val="22"/>
        </w:rPr>
        <w:t xml:space="preserve"> reflects an analogous shift at the federal level. The positive and statistically meaningful coefficients for both variables underscore that banks appear to respond proactively to political transitions, possibly by streamlining operations, revising strategic priorities, or reallocating resources in anticipation of new policy regimes.</w:t>
      </w:r>
    </w:p>
    <w:p w14:paraId="0C6AB013" w14:textId="77777777" w:rsidR="005B41A3" w:rsidRDefault="005B41A3" w:rsidP="005B41A3">
      <w:pPr>
        <w:spacing w:line="360" w:lineRule="auto"/>
        <w:jc w:val="both"/>
        <w:rPr>
          <w:sz w:val="22"/>
          <w:szCs w:val="22"/>
        </w:rPr>
      </w:pPr>
    </w:p>
    <w:p w14:paraId="7CEB2772" w14:textId="73A49811" w:rsidR="00D974D9" w:rsidRPr="008F10DE" w:rsidRDefault="00D974D9" w:rsidP="005B41A3">
      <w:pPr>
        <w:spacing w:line="360" w:lineRule="auto"/>
        <w:jc w:val="both"/>
        <w:rPr>
          <w:sz w:val="22"/>
          <w:szCs w:val="22"/>
        </w:rPr>
      </w:pPr>
      <w:r w:rsidRPr="008F10DE">
        <w:rPr>
          <w:sz w:val="22"/>
          <w:szCs w:val="22"/>
        </w:rPr>
        <w:t>These findings are also consistent with prior empirical evidence, notably Laeven and Levine (</w:t>
      </w:r>
      <w:r w:rsidRPr="00484BCF">
        <w:rPr>
          <w:color w:val="004F88"/>
          <w:sz w:val="22"/>
          <w:szCs w:val="22"/>
        </w:rPr>
        <w:t>2009</w:t>
      </w:r>
      <w:r w:rsidRPr="008F10DE">
        <w:rPr>
          <w:sz w:val="22"/>
          <w:szCs w:val="22"/>
        </w:rPr>
        <w:t>), who document that political uncertainty and leadership transitions can induce banks to modify their strategies in ways that enhance efficiency. Importantly, the stability of the estimated relationships between all bank-specific control variables and the newly introduced presidential election indicators further strengthens the credibility of the results. This robustness suggests that the observed efficiency gains are not driven by shifts in the underlying financial characteristics of banks, but rather reflect a distinct and independent effect of political change. Overall, the evidence supports the view that political turnover, far from being purely disruptive, can act as a catalyst for efficiency improvements in the U.S. banking system.</w:t>
      </w:r>
    </w:p>
    <w:p w14:paraId="5150A39E" w14:textId="1DA1BBC4" w:rsidR="008F5D8B" w:rsidRPr="008F10DE" w:rsidRDefault="008F5D8B" w:rsidP="000F6119">
      <w:pPr>
        <w:jc w:val="both"/>
        <w:rPr>
          <w:sz w:val="22"/>
          <w:szCs w:val="22"/>
        </w:rPr>
      </w:pPr>
    </w:p>
    <w:p w14:paraId="60AD2019" w14:textId="1E6B4368" w:rsidR="008F5D8B" w:rsidRPr="008F10DE" w:rsidRDefault="008F5D8B" w:rsidP="009B588C">
      <w:pPr>
        <w:jc w:val="center"/>
        <w:rPr>
          <w:sz w:val="22"/>
          <w:szCs w:val="22"/>
        </w:rPr>
      </w:pPr>
      <w:r w:rsidRPr="008F10DE">
        <w:rPr>
          <w:sz w:val="22"/>
          <w:szCs w:val="22"/>
        </w:rPr>
        <w:t xml:space="preserve">(Insert Table </w:t>
      </w:r>
      <w:r w:rsidRPr="00B50F0E">
        <w:rPr>
          <w:color w:val="004F88"/>
          <w:sz w:val="22"/>
          <w:szCs w:val="22"/>
        </w:rPr>
        <w:t>10</w:t>
      </w:r>
      <w:r w:rsidR="00CC70D8" w:rsidRPr="008F10DE">
        <w:rPr>
          <w:sz w:val="22"/>
          <w:szCs w:val="22"/>
        </w:rPr>
        <w:t xml:space="preserve"> about here</w:t>
      </w:r>
      <w:r w:rsidRPr="008F10DE">
        <w:rPr>
          <w:sz w:val="22"/>
          <w:szCs w:val="22"/>
        </w:rPr>
        <w:t>)</w:t>
      </w:r>
    </w:p>
    <w:p w14:paraId="157941AB" w14:textId="77777777" w:rsidR="005B41A3" w:rsidRDefault="005B41A3" w:rsidP="005B41A3">
      <w:pPr>
        <w:spacing w:line="360" w:lineRule="auto"/>
        <w:jc w:val="both"/>
        <w:rPr>
          <w:sz w:val="22"/>
          <w:szCs w:val="22"/>
        </w:rPr>
      </w:pPr>
    </w:p>
    <w:p w14:paraId="5C196D6E" w14:textId="73F191F4" w:rsidR="00BB28FD" w:rsidRPr="008F10DE" w:rsidRDefault="00BB28FD" w:rsidP="005B41A3">
      <w:pPr>
        <w:spacing w:line="360" w:lineRule="auto"/>
        <w:jc w:val="both"/>
        <w:rPr>
          <w:sz w:val="22"/>
          <w:szCs w:val="22"/>
        </w:rPr>
      </w:pPr>
      <w:r w:rsidRPr="008F10DE">
        <w:rPr>
          <w:sz w:val="22"/>
          <w:szCs w:val="22"/>
        </w:rPr>
        <w:t xml:space="preserve">To further substantiate the result that Democratic governance enhances bank efficiency at the state level, we examine the role of the U.S. coincident index in shaping the relationship between political outcomes and bank performance. The coincident index aggregates four key state-level economic indicators, nonfarm payroll employment, average hours worked in manufacturing by production workers, the unemployment rate, and real wage and salary disbursements adjusted by the consumer price index, into a single composite measure of current economic conditions. </w:t>
      </w:r>
      <w:r w:rsidR="003A7E73" w:rsidRPr="008F10DE">
        <w:rPr>
          <w:sz w:val="22"/>
          <w:szCs w:val="22"/>
        </w:rPr>
        <w:t xml:space="preserve">These composite indicators are designed to reflect contemporaneous economic activity and are strongly correlated with real economic output and business cycle conditions (Aruoba et al. </w:t>
      </w:r>
      <w:r w:rsidR="003A7E73" w:rsidRPr="00484BCF">
        <w:rPr>
          <w:color w:val="004F88"/>
          <w:sz w:val="22"/>
          <w:szCs w:val="22"/>
        </w:rPr>
        <w:t>2009</w:t>
      </w:r>
      <w:r w:rsidR="003A7E73" w:rsidRPr="008F10DE">
        <w:rPr>
          <w:sz w:val="22"/>
          <w:szCs w:val="22"/>
        </w:rPr>
        <w:t xml:space="preserve">). </w:t>
      </w:r>
      <w:r w:rsidRPr="008F10DE">
        <w:rPr>
          <w:sz w:val="22"/>
          <w:szCs w:val="22"/>
        </w:rPr>
        <w:t>By capturing real-time variations in labor market activity and income dynamics, this index provides a comprehensive proxy for the underlying economic environment in which banks operate.</w:t>
      </w:r>
    </w:p>
    <w:p w14:paraId="08E36BA3" w14:textId="77777777" w:rsidR="005B41A3" w:rsidRDefault="005B41A3" w:rsidP="005B41A3">
      <w:pPr>
        <w:spacing w:line="360" w:lineRule="auto"/>
        <w:jc w:val="both"/>
        <w:rPr>
          <w:sz w:val="22"/>
          <w:szCs w:val="22"/>
        </w:rPr>
      </w:pPr>
    </w:p>
    <w:p w14:paraId="5687F6E4" w14:textId="67D8F2B1" w:rsidR="00BB28FD" w:rsidRPr="008F10DE" w:rsidRDefault="00BB28FD" w:rsidP="005B41A3">
      <w:pPr>
        <w:spacing w:line="360" w:lineRule="auto"/>
        <w:jc w:val="both"/>
        <w:rPr>
          <w:sz w:val="22"/>
          <w:szCs w:val="22"/>
        </w:rPr>
      </w:pPr>
      <w:r w:rsidRPr="008F10DE">
        <w:rPr>
          <w:sz w:val="22"/>
          <w:szCs w:val="22"/>
        </w:rPr>
        <w:t xml:space="preserve">The empirical results, reported in Table </w:t>
      </w:r>
      <w:r w:rsidRPr="00B50F0E">
        <w:rPr>
          <w:color w:val="004F88"/>
          <w:sz w:val="22"/>
          <w:szCs w:val="22"/>
        </w:rPr>
        <w:t>11</w:t>
      </w:r>
      <w:r w:rsidRPr="008F10DE">
        <w:rPr>
          <w:sz w:val="22"/>
          <w:szCs w:val="22"/>
        </w:rPr>
        <w:t xml:space="preserve">, demonstrate that the core finding of a positive association between Democratic electoral outcomes and bank efficiency remains robust even after controlling for the coincident index. In particular, when </w:t>
      </w:r>
      <w:r w:rsidRPr="0067691E">
        <w:rPr>
          <w:i/>
          <w:iCs/>
          <w:sz w:val="22"/>
          <w:szCs w:val="22"/>
        </w:rPr>
        <w:t>SVOTE</w:t>
      </w:r>
      <w:r w:rsidRPr="008F10DE">
        <w:rPr>
          <w:sz w:val="22"/>
          <w:szCs w:val="22"/>
        </w:rPr>
        <w:t xml:space="preserve"> is used as the principal political variable, the coefficient on Democratic victories continues to be positive and statistically significant, indicating that the efficiency-enhancing effect of Democratic leadership is not merely a byproduct of more favorable local economic conditions. Rather, it reflects an independent political influence that persists beyond contemporaneous business-cycle fluctuations.</w:t>
      </w:r>
    </w:p>
    <w:p w14:paraId="2FD53C44" w14:textId="77777777" w:rsidR="005B41A3" w:rsidRDefault="005B41A3" w:rsidP="005B41A3">
      <w:pPr>
        <w:spacing w:line="360" w:lineRule="auto"/>
        <w:jc w:val="both"/>
        <w:rPr>
          <w:sz w:val="22"/>
          <w:szCs w:val="22"/>
        </w:rPr>
      </w:pPr>
    </w:p>
    <w:p w14:paraId="3917722E" w14:textId="17A4FEF2" w:rsidR="00BB28FD" w:rsidRPr="008F10DE" w:rsidRDefault="00BB28FD" w:rsidP="005B41A3">
      <w:pPr>
        <w:spacing w:line="360" w:lineRule="auto"/>
        <w:jc w:val="both"/>
        <w:rPr>
          <w:sz w:val="22"/>
          <w:szCs w:val="22"/>
        </w:rPr>
      </w:pPr>
      <w:r w:rsidRPr="008F10DE">
        <w:rPr>
          <w:sz w:val="22"/>
          <w:szCs w:val="22"/>
        </w:rPr>
        <w:t>These results underscore the importance of incorporating coincident indexes when assessing the interaction between U.S. elections and banking performance, as they help disentangle political effects from cyclical economic forces. Moreover, the positive and significant relationship between the coincident index and Democratic vote shares suggests that states experiencing stronger real-time economic conditions are more likely to support Democratic candidates at the state level. This pattern is consistent with the notion that voters may reward incumbent parties during periods of economic strength and that Democratic platforms, often emphasizing employment growth, income support, and economic stabilization, resonate more strongly in states with robust labor market and wage dynamics.</w:t>
      </w:r>
    </w:p>
    <w:p w14:paraId="53841106" w14:textId="77777777" w:rsidR="00BB28FD" w:rsidRPr="008F10DE" w:rsidRDefault="00BB28FD" w:rsidP="005B41A3">
      <w:pPr>
        <w:spacing w:line="360" w:lineRule="auto"/>
        <w:jc w:val="both"/>
        <w:rPr>
          <w:sz w:val="22"/>
          <w:szCs w:val="22"/>
        </w:rPr>
      </w:pPr>
      <w:r w:rsidRPr="008F10DE">
        <w:rPr>
          <w:sz w:val="22"/>
          <w:szCs w:val="22"/>
        </w:rPr>
        <w:t>Taken together, the findings reinforce the conclusion that Democratic governance is systematically associated with higher state-level bank efficiency, even after accounting for prevailing economic conditions. They further imply that the observed efficiency gains are not solely driven by macroeconomic momentum, but may also reflect policy orientations, regulatory approaches, or institutional frameworks under Democratic leadership that are conducive to improved bank operations and performance. This additional layer of evidence strengthens the causal interpretation of the political effect and highlights the relevance of real-time economic indicators in understanding how electoral dynamics translate into financial-sector outcomes.</w:t>
      </w:r>
    </w:p>
    <w:p w14:paraId="2164B094" w14:textId="16A6114F" w:rsidR="0026438C" w:rsidRPr="008F10DE" w:rsidRDefault="0026438C" w:rsidP="00D95E4E">
      <w:pPr>
        <w:spacing w:line="360" w:lineRule="auto"/>
        <w:ind w:firstLine="720"/>
        <w:jc w:val="both"/>
        <w:rPr>
          <w:sz w:val="22"/>
          <w:szCs w:val="22"/>
        </w:rPr>
      </w:pPr>
    </w:p>
    <w:p w14:paraId="0339FCC9" w14:textId="38B94071" w:rsidR="0026438C" w:rsidRPr="008F10DE" w:rsidRDefault="0026438C" w:rsidP="009B588C">
      <w:pPr>
        <w:jc w:val="center"/>
        <w:rPr>
          <w:sz w:val="22"/>
          <w:szCs w:val="22"/>
        </w:rPr>
      </w:pPr>
      <w:r w:rsidRPr="008F10DE">
        <w:rPr>
          <w:sz w:val="22"/>
          <w:szCs w:val="22"/>
        </w:rPr>
        <w:t xml:space="preserve">(Insert Table </w:t>
      </w:r>
      <w:r w:rsidRPr="00B50F0E">
        <w:rPr>
          <w:color w:val="004F88"/>
          <w:sz w:val="22"/>
          <w:szCs w:val="22"/>
        </w:rPr>
        <w:t>11</w:t>
      </w:r>
      <w:r w:rsidR="00CC70D8" w:rsidRPr="008F10DE">
        <w:rPr>
          <w:sz w:val="22"/>
          <w:szCs w:val="22"/>
        </w:rPr>
        <w:t xml:space="preserve"> about here</w:t>
      </w:r>
      <w:r w:rsidRPr="008F10DE">
        <w:rPr>
          <w:sz w:val="22"/>
          <w:szCs w:val="22"/>
        </w:rPr>
        <w:t>)</w:t>
      </w:r>
    </w:p>
    <w:p w14:paraId="2146F545" w14:textId="77777777" w:rsidR="0026438C" w:rsidRPr="008F10DE" w:rsidRDefault="0026438C" w:rsidP="000F6119">
      <w:pPr>
        <w:jc w:val="both"/>
        <w:rPr>
          <w:b/>
          <w:bCs/>
          <w:sz w:val="22"/>
          <w:szCs w:val="22"/>
        </w:rPr>
      </w:pPr>
    </w:p>
    <w:p w14:paraId="2EFB66D8" w14:textId="77777777" w:rsidR="00ED1B02" w:rsidRPr="008F10DE" w:rsidRDefault="00ED1B02" w:rsidP="00ED1B02">
      <w:pPr>
        <w:spacing w:line="360" w:lineRule="auto"/>
        <w:jc w:val="both"/>
        <w:rPr>
          <w:sz w:val="22"/>
          <w:szCs w:val="22"/>
        </w:rPr>
      </w:pPr>
    </w:p>
    <w:p w14:paraId="2DD77787" w14:textId="157F9940" w:rsidR="00ED1B02" w:rsidRPr="008F10DE" w:rsidRDefault="00ED1B02" w:rsidP="005B41A3">
      <w:pPr>
        <w:spacing w:line="360" w:lineRule="auto"/>
        <w:jc w:val="both"/>
        <w:rPr>
          <w:sz w:val="22"/>
          <w:szCs w:val="22"/>
        </w:rPr>
      </w:pPr>
      <w:r w:rsidRPr="008F10DE">
        <w:rPr>
          <w:sz w:val="22"/>
          <w:szCs w:val="22"/>
        </w:rPr>
        <w:t>The U.S. Congress consists of two chambers: the House of Representatives and the Senate, which jointly enact federal legislation. The House comprises 435 voting members, each elected from a specific congressional district within a state, serving two-year terms. In contrast, the Senate has 100 members, with two senators representing each state, serving six-year terms. The House is larger, with members representing smaller, more localized constituencies, while the Senate’s smaller size and equal state representation provide broader viewpoints and involve less frequent elections. To consider the effect from both the House of Representatives and the Senate, we include interaction terms between the number of Democratic seats in the House and the number of Democratic senators in the Senate with federal votes (</w:t>
      </w:r>
      <w:r w:rsidRPr="008F10DE">
        <w:rPr>
          <w:i/>
          <w:iCs/>
          <w:sz w:val="22"/>
          <w:szCs w:val="22"/>
        </w:rPr>
        <w:t>NVOTE</w:t>
      </w:r>
      <w:r w:rsidRPr="008F10DE">
        <w:rPr>
          <w:sz w:val="22"/>
          <w:szCs w:val="22"/>
        </w:rPr>
        <w:t xml:space="preserve">). </w:t>
      </w:r>
      <w:r w:rsidR="00B50F0E">
        <w:rPr>
          <w:sz w:val="22"/>
          <w:szCs w:val="22"/>
        </w:rPr>
        <w:t xml:space="preserve">In Table </w:t>
      </w:r>
      <w:r w:rsidR="00B50F0E" w:rsidRPr="00B50F0E">
        <w:rPr>
          <w:color w:val="004F88"/>
          <w:sz w:val="22"/>
          <w:szCs w:val="22"/>
        </w:rPr>
        <w:t>12</w:t>
      </w:r>
      <w:r w:rsidR="00B50F0E">
        <w:rPr>
          <w:sz w:val="22"/>
          <w:szCs w:val="22"/>
        </w:rPr>
        <w:t>, t</w:t>
      </w:r>
      <w:r w:rsidRPr="008F10DE">
        <w:rPr>
          <w:sz w:val="22"/>
          <w:szCs w:val="22"/>
        </w:rPr>
        <w:t xml:space="preserve">he results indicate that both House-Dem-Seats and Senate-Dem-Senators are statistically significant at the 1% and 10% levels, respectively. Specifically, the interaction between federal votes and the number of Democratic seats in the House of Representatives has a coefficient of 0.1443, while the interaction between federal votes and the number of Democratic senators in the Senate has a coefficient of 0.1231. These findings align with previous studies suggesting that the political composition of legislative bodies plays a critical role in shaping economic outcomes, including banking sector efficiency (Claessens et al. </w:t>
      </w:r>
      <w:r w:rsidRPr="00484BCF">
        <w:rPr>
          <w:color w:val="004F88"/>
          <w:sz w:val="22"/>
          <w:szCs w:val="22"/>
        </w:rPr>
        <w:t>2008</w:t>
      </w:r>
      <w:r w:rsidRPr="008F10DE">
        <w:rPr>
          <w:sz w:val="22"/>
          <w:szCs w:val="22"/>
        </w:rPr>
        <w:t xml:space="preserve">). The positive associations suggest that greater Democratic representation in Congress may lead to policies or regulatory environments conducive to enhanced bank efficiency, possibly due to shifts in financial regulation or support for market stability (Laeven </w:t>
      </w:r>
      <w:r w:rsidR="00D974D9" w:rsidRPr="008F10DE">
        <w:rPr>
          <w:sz w:val="22"/>
          <w:szCs w:val="22"/>
        </w:rPr>
        <w:t>and</w:t>
      </w:r>
      <w:r w:rsidRPr="008F10DE">
        <w:rPr>
          <w:sz w:val="22"/>
          <w:szCs w:val="22"/>
        </w:rPr>
        <w:t xml:space="preserve"> Levine </w:t>
      </w:r>
      <w:r w:rsidRPr="00484BCF">
        <w:rPr>
          <w:color w:val="004F88"/>
          <w:sz w:val="22"/>
          <w:szCs w:val="22"/>
        </w:rPr>
        <w:t>2009</w:t>
      </w:r>
      <w:r w:rsidRPr="008F10DE">
        <w:rPr>
          <w:sz w:val="22"/>
          <w:szCs w:val="22"/>
        </w:rPr>
        <w:t>). This supports the conclusion that the presence and strength of Democratic members in both chambers reinforce improvements in bank efficiency scores.</w:t>
      </w:r>
    </w:p>
    <w:p w14:paraId="3CE079A8" w14:textId="77777777" w:rsidR="00ED1B02" w:rsidRPr="008F10DE" w:rsidRDefault="00ED1B02" w:rsidP="00ED1B02">
      <w:pPr>
        <w:spacing w:line="360" w:lineRule="auto"/>
        <w:jc w:val="both"/>
        <w:rPr>
          <w:sz w:val="22"/>
          <w:szCs w:val="22"/>
        </w:rPr>
      </w:pPr>
    </w:p>
    <w:p w14:paraId="66387D3A" w14:textId="54B0AB18" w:rsidR="00ED1B02" w:rsidRPr="008F10DE" w:rsidRDefault="00ED1B02" w:rsidP="009B588C">
      <w:pPr>
        <w:jc w:val="center"/>
        <w:rPr>
          <w:sz w:val="22"/>
          <w:szCs w:val="22"/>
        </w:rPr>
      </w:pPr>
      <w:r w:rsidRPr="008F10DE">
        <w:rPr>
          <w:sz w:val="22"/>
          <w:szCs w:val="22"/>
        </w:rPr>
        <w:t xml:space="preserve">(Insert Table </w:t>
      </w:r>
      <w:r w:rsidRPr="00B50F0E">
        <w:rPr>
          <w:color w:val="004F88"/>
          <w:sz w:val="22"/>
          <w:szCs w:val="22"/>
        </w:rPr>
        <w:t>12</w:t>
      </w:r>
      <w:r w:rsidR="00CC70D8" w:rsidRPr="008F10DE">
        <w:rPr>
          <w:sz w:val="22"/>
          <w:szCs w:val="22"/>
        </w:rPr>
        <w:t xml:space="preserve"> about here</w:t>
      </w:r>
      <w:r w:rsidRPr="008F10DE">
        <w:rPr>
          <w:sz w:val="22"/>
          <w:szCs w:val="22"/>
        </w:rPr>
        <w:t>)</w:t>
      </w:r>
    </w:p>
    <w:p w14:paraId="69A189BE" w14:textId="77777777" w:rsidR="00ED1B02" w:rsidRPr="008F10DE" w:rsidRDefault="00ED1B02" w:rsidP="00ED1B02">
      <w:pPr>
        <w:spacing w:line="360" w:lineRule="auto"/>
        <w:jc w:val="both"/>
        <w:rPr>
          <w:sz w:val="22"/>
          <w:szCs w:val="22"/>
        </w:rPr>
      </w:pPr>
    </w:p>
    <w:p w14:paraId="4CB15658" w14:textId="7B0FDC34" w:rsidR="00D06E52" w:rsidRPr="008F10DE" w:rsidRDefault="00D06E52" w:rsidP="00D06E52">
      <w:pPr>
        <w:pStyle w:val="Heading2"/>
        <w:rPr>
          <w:sz w:val="22"/>
          <w:szCs w:val="22"/>
        </w:rPr>
      </w:pPr>
      <w:r w:rsidRPr="008F10DE">
        <w:rPr>
          <w:sz w:val="22"/>
          <w:szCs w:val="22"/>
        </w:rPr>
        <w:t>5.</w:t>
      </w:r>
      <w:r w:rsidR="00923F82" w:rsidRPr="008F10DE">
        <w:rPr>
          <w:sz w:val="22"/>
          <w:szCs w:val="22"/>
        </w:rPr>
        <w:t>5.</w:t>
      </w:r>
      <w:r w:rsidRPr="008F10DE">
        <w:rPr>
          <w:sz w:val="22"/>
          <w:szCs w:val="22"/>
        </w:rPr>
        <w:t xml:space="preserve"> </w:t>
      </w:r>
      <w:r w:rsidR="00295426" w:rsidRPr="008F10DE">
        <w:rPr>
          <w:sz w:val="22"/>
          <w:szCs w:val="22"/>
        </w:rPr>
        <w:t>R</w:t>
      </w:r>
      <w:r w:rsidRPr="008F10DE">
        <w:rPr>
          <w:sz w:val="22"/>
          <w:szCs w:val="22"/>
        </w:rPr>
        <w:t xml:space="preserve">obustness </w:t>
      </w:r>
      <w:r w:rsidR="00FB41ED">
        <w:rPr>
          <w:sz w:val="22"/>
          <w:szCs w:val="22"/>
        </w:rPr>
        <w:t>T</w:t>
      </w:r>
      <w:r w:rsidRPr="008F10DE">
        <w:rPr>
          <w:sz w:val="22"/>
          <w:szCs w:val="22"/>
        </w:rPr>
        <w:t>ests</w:t>
      </w:r>
    </w:p>
    <w:p w14:paraId="2949F5A0" w14:textId="77777777" w:rsidR="00FA7ADA" w:rsidRPr="00FA7ADA" w:rsidRDefault="00FA7ADA" w:rsidP="00FA7ADA">
      <w:pPr>
        <w:rPr>
          <w:sz w:val="22"/>
          <w:szCs w:val="22"/>
        </w:rPr>
      </w:pPr>
    </w:p>
    <w:p w14:paraId="7FFD929D" w14:textId="07DC4B86" w:rsidR="00D06E52" w:rsidRPr="008F10DE" w:rsidRDefault="00690AC7" w:rsidP="00FA7ADA">
      <w:pPr>
        <w:pStyle w:val="Heading3"/>
        <w:spacing w:line="240" w:lineRule="exact"/>
        <w:rPr>
          <w:b w:val="0"/>
          <w:bCs w:val="0"/>
          <w:sz w:val="22"/>
          <w:szCs w:val="22"/>
        </w:rPr>
      </w:pPr>
      <w:r w:rsidRPr="008F10DE">
        <w:rPr>
          <w:sz w:val="22"/>
          <w:szCs w:val="22"/>
        </w:rPr>
        <w:t>5.5.1. Stochastic Frontier Analysis (SFA)</w:t>
      </w:r>
      <w:r w:rsidR="00D95E4E" w:rsidRPr="008F10DE">
        <w:rPr>
          <w:sz w:val="22"/>
          <w:szCs w:val="22"/>
        </w:rPr>
        <w:t xml:space="preserve"> </w:t>
      </w:r>
      <w:r w:rsidR="00FB41ED">
        <w:rPr>
          <w:sz w:val="22"/>
          <w:szCs w:val="22"/>
        </w:rPr>
        <w:t>E</w:t>
      </w:r>
      <w:r w:rsidR="00D95E4E" w:rsidRPr="008F10DE">
        <w:rPr>
          <w:sz w:val="22"/>
          <w:szCs w:val="22"/>
        </w:rPr>
        <w:t xml:space="preserve">fficiency </w:t>
      </w:r>
      <w:r w:rsidR="00FB41ED">
        <w:rPr>
          <w:sz w:val="22"/>
          <w:szCs w:val="22"/>
        </w:rPr>
        <w:t>S</w:t>
      </w:r>
      <w:r w:rsidR="00D95E4E" w:rsidRPr="008F10DE">
        <w:rPr>
          <w:sz w:val="22"/>
          <w:szCs w:val="22"/>
        </w:rPr>
        <w:t>cores</w:t>
      </w:r>
    </w:p>
    <w:p w14:paraId="0ED9E696" w14:textId="6D774A9F" w:rsidR="00D06E52" w:rsidRPr="008F10DE" w:rsidRDefault="00D06E52" w:rsidP="005B41A3">
      <w:pPr>
        <w:spacing w:line="360" w:lineRule="auto"/>
        <w:jc w:val="both"/>
        <w:rPr>
          <w:sz w:val="22"/>
          <w:szCs w:val="22"/>
        </w:rPr>
      </w:pPr>
      <w:r w:rsidRPr="008F10DE">
        <w:rPr>
          <w:sz w:val="22"/>
          <w:szCs w:val="22"/>
        </w:rPr>
        <w:t>To evaluate the robustness of our results, we apply the Stochastic Frontier Analysis (SFA) approach as an additional efficiency estimation method. In contrast to Data Envelopment Analysis (DEA), which is non-parametric and allows for multiple inputs and outputs without assuming a specific functional form, SFA is a parametric technique that estimates efficiency relative to a defined production or cost frontier. This method separates random noise from inefficiency, thereby accounting for statistical errors and unobserved heterogeneity across banks.</w:t>
      </w:r>
      <w:r w:rsidR="00FF53A5">
        <w:rPr>
          <w:sz w:val="22"/>
          <w:szCs w:val="22"/>
        </w:rPr>
        <w:t xml:space="preserve"> </w:t>
      </w:r>
      <w:r w:rsidR="00FF53A5" w:rsidRPr="00FF53A5">
        <w:rPr>
          <w:color w:val="004F88"/>
          <w:sz w:val="22"/>
          <w:szCs w:val="22"/>
        </w:rPr>
        <w:t>I</w:t>
      </w:r>
      <w:r w:rsidRPr="00FF53A5">
        <w:rPr>
          <w:color w:val="004F88"/>
          <w:sz w:val="22"/>
          <w:szCs w:val="22"/>
        </w:rPr>
        <w:t xml:space="preserve">n the context of production efficiency, </w:t>
      </w:r>
      <w:r w:rsidR="00FF53A5" w:rsidRPr="00FF53A5">
        <w:rPr>
          <w:color w:val="004F88"/>
          <w:sz w:val="22"/>
          <w:szCs w:val="22"/>
        </w:rPr>
        <w:t xml:space="preserve">traditional </w:t>
      </w:r>
      <w:r w:rsidRPr="00FF53A5">
        <w:rPr>
          <w:color w:val="004F88"/>
          <w:sz w:val="22"/>
          <w:szCs w:val="22"/>
        </w:rPr>
        <w:t xml:space="preserve">SFA </w:t>
      </w:r>
      <w:r w:rsidR="00FF53A5" w:rsidRPr="00FF53A5">
        <w:rPr>
          <w:color w:val="004F88"/>
          <w:sz w:val="22"/>
          <w:szCs w:val="22"/>
        </w:rPr>
        <w:t xml:space="preserve">focuses on a single output </w:t>
      </w:r>
      <w:r w:rsidRPr="00FF53A5">
        <w:rPr>
          <w:color w:val="004F88"/>
          <w:sz w:val="22"/>
          <w:szCs w:val="22"/>
        </w:rPr>
        <w:t>with multiple inputs (Beccalli et al. 2015; Reinhard et al. 2020)</w:t>
      </w:r>
      <w:r w:rsidRPr="008F10DE">
        <w:rPr>
          <w:sz w:val="22"/>
          <w:szCs w:val="22"/>
        </w:rPr>
        <w:t xml:space="preserve">. Applying SFA alongside DEA thus provides a valuable cross-check, enabling us to determine whether our results are consistent across both parametric and non-parametric efficiency frameworks. </w:t>
      </w:r>
      <w:r w:rsidR="007107F2" w:rsidRPr="008F10DE">
        <w:rPr>
          <w:sz w:val="22"/>
          <w:szCs w:val="22"/>
        </w:rPr>
        <w:t xml:space="preserve">The results in Table </w:t>
      </w:r>
      <w:r w:rsidR="007107F2" w:rsidRPr="00B50F0E">
        <w:rPr>
          <w:color w:val="004F88"/>
          <w:sz w:val="22"/>
          <w:szCs w:val="22"/>
        </w:rPr>
        <w:t>13</w:t>
      </w:r>
      <w:r w:rsidR="007107F2" w:rsidRPr="008F10DE">
        <w:rPr>
          <w:sz w:val="22"/>
          <w:szCs w:val="22"/>
        </w:rPr>
        <w:t xml:space="preserve"> present the regression analysis of the independent and control variables against the Stochastic Frontier Analysis (SFA) efficiency scores. The findings reveal that both the state vote (</w:t>
      </w:r>
      <w:r w:rsidR="007107F2" w:rsidRPr="008F10DE">
        <w:rPr>
          <w:i/>
          <w:iCs/>
          <w:sz w:val="22"/>
          <w:szCs w:val="22"/>
        </w:rPr>
        <w:t>SVOTE</w:t>
      </w:r>
      <w:r w:rsidR="007107F2" w:rsidRPr="008F10DE">
        <w:rPr>
          <w:sz w:val="22"/>
          <w:szCs w:val="22"/>
        </w:rPr>
        <w:t>) and the federal vote (</w:t>
      </w:r>
      <w:r w:rsidR="007107F2" w:rsidRPr="008F10DE">
        <w:rPr>
          <w:i/>
          <w:iCs/>
          <w:sz w:val="22"/>
          <w:szCs w:val="22"/>
        </w:rPr>
        <w:t>NVOTE</w:t>
      </w:r>
      <w:r w:rsidR="007107F2" w:rsidRPr="008F10DE">
        <w:rPr>
          <w:sz w:val="22"/>
          <w:szCs w:val="22"/>
        </w:rPr>
        <w:t>) are statistically and positively associated with bank efficiency under the VRS model. Specifically, the coefficients are 0.1</w:t>
      </w:r>
      <w:r w:rsidR="00F62ED4" w:rsidRPr="008F10DE">
        <w:rPr>
          <w:sz w:val="22"/>
          <w:szCs w:val="22"/>
        </w:rPr>
        <w:t>075</w:t>
      </w:r>
      <w:r w:rsidR="007107F2" w:rsidRPr="008F10DE">
        <w:rPr>
          <w:sz w:val="22"/>
          <w:szCs w:val="22"/>
        </w:rPr>
        <w:t xml:space="preserve"> for </w:t>
      </w:r>
      <w:r w:rsidR="007107F2" w:rsidRPr="008F10DE">
        <w:rPr>
          <w:i/>
          <w:iCs/>
          <w:sz w:val="22"/>
          <w:szCs w:val="22"/>
        </w:rPr>
        <w:t>SVOTE</w:t>
      </w:r>
      <w:r w:rsidR="007107F2" w:rsidRPr="008F10DE">
        <w:rPr>
          <w:sz w:val="22"/>
          <w:szCs w:val="22"/>
        </w:rPr>
        <w:t xml:space="preserve"> and 0.</w:t>
      </w:r>
      <w:r w:rsidR="00F62ED4" w:rsidRPr="008F10DE">
        <w:rPr>
          <w:sz w:val="22"/>
          <w:szCs w:val="22"/>
        </w:rPr>
        <w:t>0492</w:t>
      </w:r>
      <w:r w:rsidR="007107F2" w:rsidRPr="008F10DE">
        <w:rPr>
          <w:sz w:val="22"/>
          <w:szCs w:val="22"/>
        </w:rPr>
        <w:t xml:space="preserve"> for </w:t>
      </w:r>
      <w:r w:rsidR="007107F2" w:rsidRPr="008F10DE">
        <w:rPr>
          <w:i/>
          <w:iCs/>
          <w:sz w:val="22"/>
          <w:szCs w:val="22"/>
        </w:rPr>
        <w:t>NVOTE</w:t>
      </w:r>
      <w:r w:rsidR="007107F2" w:rsidRPr="008F10DE">
        <w:rPr>
          <w:sz w:val="22"/>
          <w:szCs w:val="22"/>
        </w:rPr>
        <w:t>. These results suggest that the efficiency of the U.S. banking sector improves when the Democratic Party secures victories in both state-level and presidential elections.</w:t>
      </w:r>
    </w:p>
    <w:p w14:paraId="201A2BE1" w14:textId="77777777" w:rsidR="00CD671D" w:rsidRPr="008F10DE" w:rsidRDefault="00CD671D" w:rsidP="00D95E4E">
      <w:pPr>
        <w:spacing w:line="360" w:lineRule="auto"/>
        <w:ind w:firstLine="720"/>
        <w:jc w:val="both"/>
        <w:rPr>
          <w:sz w:val="22"/>
          <w:szCs w:val="22"/>
        </w:rPr>
      </w:pPr>
    </w:p>
    <w:p w14:paraId="5BFEFC6C" w14:textId="6579AB5B" w:rsidR="007107F2" w:rsidRPr="008F10DE" w:rsidRDefault="007107F2" w:rsidP="00C16B43">
      <w:pPr>
        <w:jc w:val="center"/>
        <w:rPr>
          <w:sz w:val="22"/>
          <w:szCs w:val="22"/>
        </w:rPr>
      </w:pPr>
      <w:r w:rsidRPr="008F10DE">
        <w:rPr>
          <w:sz w:val="22"/>
          <w:szCs w:val="22"/>
        </w:rPr>
        <w:t xml:space="preserve">(Insert Table </w:t>
      </w:r>
      <w:r w:rsidRPr="00B50F0E">
        <w:rPr>
          <w:color w:val="004F88"/>
          <w:sz w:val="22"/>
          <w:szCs w:val="22"/>
        </w:rPr>
        <w:t>13</w:t>
      </w:r>
      <w:r w:rsidR="004C3800" w:rsidRPr="008F10DE">
        <w:rPr>
          <w:sz w:val="22"/>
          <w:szCs w:val="22"/>
        </w:rPr>
        <w:t xml:space="preserve"> </w:t>
      </w:r>
      <w:r w:rsidR="00CC70D8" w:rsidRPr="008F10DE">
        <w:rPr>
          <w:sz w:val="22"/>
          <w:szCs w:val="22"/>
        </w:rPr>
        <w:t>about here</w:t>
      </w:r>
      <w:r w:rsidRPr="008F10DE">
        <w:rPr>
          <w:sz w:val="22"/>
          <w:szCs w:val="22"/>
        </w:rPr>
        <w:t>)</w:t>
      </w:r>
    </w:p>
    <w:p w14:paraId="0A96F343" w14:textId="77777777" w:rsidR="007107F2" w:rsidRPr="008F10DE" w:rsidRDefault="007107F2" w:rsidP="007107F2">
      <w:pPr>
        <w:spacing w:line="360" w:lineRule="auto"/>
        <w:jc w:val="both"/>
        <w:rPr>
          <w:sz w:val="22"/>
          <w:szCs w:val="22"/>
        </w:rPr>
      </w:pPr>
    </w:p>
    <w:p w14:paraId="22B96B77" w14:textId="75F0C2A2" w:rsidR="00690AC7" w:rsidRPr="008F10DE" w:rsidRDefault="00690AC7" w:rsidP="00FA7ADA">
      <w:pPr>
        <w:pStyle w:val="Heading3"/>
        <w:rPr>
          <w:b w:val="0"/>
          <w:bCs w:val="0"/>
          <w:sz w:val="22"/>
          <w:szCs w:val="22"/>
        </w:rPr>
      </w:pPr>
      <w:r w:rsidRPr="008F10DE">
        <w:rPr>
          <w:sz w:val="22"/>
          <w:szCs w:val="22"/>
        </w:rPr>
        <w:t xml:space="preserve">5.5.2. Constant Return to Scale (CRS) </w:t>
      </w:r>
      <w:r w:rsidR="00FB41ED">
        <w:rPr>
          <w:sz w:val="22"/>
          <w:szCs w:val="22"/>
        </w:rPr>
        <w:t>E</w:t>
      </w:r>
      <w:r w:rsidR="00D95E4E" w:rsidRPr="008F10DE">
        <w:rPr>
          <w:sz w:val="22"/>
          <w:szCs w:val="22"/>
        </w:rPr>
        <w:t xml:space="preserve">fficiency </w:t>
      </w:r>
      <w:r w:rsidR="00FB41ED">
        <w:rPr>
          <w:sz w:val="22"/>
          <w:szCs w:val="22"/>
        </w:rPr>
        <w:t>S</w:t>
      </w:r>
      <w:r w:rsidR="00D95E4E" w:rsidRPr="008F10DE">
        <w:rPr>
          <w:sz w:val="22"/>
          <w:szCs w:val="22"/>
        </w:rPr>
        <w:t>cores</w:t>
      </w:r>
    </w:p>
    <w:p w14:paraId="6B8E119D" w14:textId="1A4B2358" w:rsidR="0000284E" w:rsidRPr="008F10DE" w:rsidRDefault="0000284E" w:rsidP="005B41A3">
      <w:pPr>
        <w:spacing w:line="360" w:lineRule="auto"/>
        <w:jc w:val="both"/>
        <w:rPr>
          <w:sz w:val="22"/>
          <w:szCs w:val="22"/>
        </w:rPr>
      </w:pPr>
      <w:r w:rsidRPr="008F10DE">
        <w:rPr>
          <w:sz w:val="22"/>
          <w:szCs w:val="22"/>
        </w:rPr>
        <w:t>As part of the robustness analysis, we also employ the constant returns to scale (</w:t>
      </w:r>
      <w:r w:rsidRPr="008F10DE">
        <w:rPr>
          <w:i/>
          <w:iCs/>
          <w:sz w:val="22"/>
          <w:szCs w:val="22"/>
        </w:rPr>
        <w:t>CRS</w:t>
      </w:r>
      <w:r w:rsidRPr="008F10DE">
        <w:rPr>
          <w:sz w:val="22"/>
          <w:szCs w:val="22"/>
        </w:rPr>
        <w:t>) efficiency score as the dependent variable</w:t>
      </w:r>
      <w:r w:rsidR="00B50F0E">
        <w:rPr>
          <w:sz w:val="22"/>
          <w:szCs w:val="22"/>
        </w:rPr>
        <w:t xml:space="preserve"> (Table </w:t>
      </w:r>
      <w:r w:rsidR="00B50F0E" w:rsidRPr="00B50F0E">
        <w:rPr>
          <w:color w:val="004F88"/>
          <w:sz w:val="22"/>
          <w:szCs w:val="22"/>
        </w:rPr>
        <w:t>14</w:t>
      </w:r>
      <w:r w:rsidR="00B50F0E">
        <w:rPr>
          <w:sz w:val="22"/>
          <w:szCs w:val="22"/>
        </w:rPr>
        <w:t>)</w:t>
      </w:r>
      <w:r w:rsidRPr="008F10DE">
        <w:rPr>
          <w:sz w:val="22"/>
          <w:szCs w:val="22"/>
        </w:rPr>
        <w:t>. The results show that while the election outcome at the state level (</w:t>
      </w:r>
      <w:r w:rsidRPr="008F10DE">
        <w:rPr>
          <w:i/>
          <w:iCs/>
          <w:sz w:val="22"/>
          <w:szCs w:val="22"/>
        </w:rPr>
        <w:t>SVOTE</w:t>
      </w:r>
      <w:r w:rsidRPr="008F10DE">
        <w:rPr>
          <w:sz w:val="22"/>
          <w:szCs w:val="22"/>
        </w:rPr>
        <w:t>) does not significantly influence bank efficiency, the general (federal) election outcome (</w:t>
      </w:r>
      <w:r w:rsidRPr="008F10DE">
        <w:rPr>
          <w:i/>
          <w:iCs/>
          <w:sz w:val="22"/>
          <w:szCs w:val="22"/>
        </w:rPr>
        <w:t>NVOTE</w:t>
      </w:r>
      <w:r w:rsidRPr="008F10DE">
        <w:rPr>
          <w:sz w:val="22"/>
          <w:szCs w:val="22"/>
        </w:rPr>
        <w:t>) in favour of the Democratic Party is positively associated with efficiency. The likelihood that banks operate under non-constant returns to scale increases as the banking system develops, which supports the preference for the variable returns to scale (</w:t>
      </w:r>
      <w:r w:rsidRPr="008F10DE">
        <w:rPr>
          <w:i/>
          <w:iCs/>
          <w:sz w:val="22"/>
          <w:szCs w:val="22"/>
        </w:rPr>
        <w:t>VRS</w:t>
      </w:r>
      <w:r w:rsidRPr="008F10DE">
        <w:rPr>
          <w:sz w:val="22"/>
          <w:szCs w:val="22"/>
        </w:rPr>
        <w:t xml:space="preserve">) model over </w:t>
      </w:r>
      <w:r w:rsidRPr="008F10DE">
        <w:rPr>
          <w:i/>
          <w:iCs/>
          <w:sz w:val="22"/>
          <w:szCs w:val="22"/>
        </w:rPr>
        <w:t>CRS</w:t>
      </w:r>
      <w:r w:rsidRPr="008F10DE">
        <w:rPr>
          <w:sz w:val="22"/>
          <w:szCs w:val="22"/>
        </w:rPr>
        <w:t xml:space="preserve">. The </w:t>
      </w:r>
      <w:r w:rsidRPr="008F10DE">
        <w:rPr>
          <w:i/>
          <w:iCs/>
          <w:sz w:val="22"/>
          <w:szCs w:val="22"/>
        </w:rPr>
        <w:t>VRS</w:t>
      </w:r>
      <w:r w:rsidRPr="008F10DE">
        <w:rPr>
          <w:sz w:val="22"/>
          <w:szCs w:val="22"/>
        </w:rPr>
        <w:t xml:space="preserve"> specification allows banks to deviate from the ideal </w:t>
      </w:r>
      <w:r w:rsidRPr="008F10DE">
        <w:rPr>
          <w:i/>
          <w:iCs/>
          <w:sz w:val="22"/>
          <w:szCs w:val="22"/>
        </w:rPr>
        <w:t>CRS</w:t>
      </w:r>
      <w:r w:rsidRPr="008F10DE">
        <w:rPr>
          <w:sz w:val="22"/>
          <w:szCs w:val="22"/>
        </w:rPr>
        <w:t xml:space="preserve"> frontier in response to real-world factors such as imperfect competition, regulatory constraints, credit and lending limitations, and broader macroeconomic conditions. In contrast, the </w:t>
      </w:r>
      <w:r w:rsidRPr="008F10DE">
        <w:rPr>
          <w:i/>
          <w:iCs/>
          <w:sz w:val="22"/>
          <w:szCs w:val="22"/>
        </w:rPr>
        <w:t>CRS</w:t>
      </w:r>
      <w:r w:rsidRPr="008F10DE">
        <w:rPr>
          <w:sz w:val="22"/>
          <w:szCs w:val="22"/>
        </w:rPr>
        <w:t xml:space="preserve"> assumption is only appropriate when all banks operate at their optimal scale — a condition rarely met in practice due to market imperfections (</w:t>
      </w:r>
      <w:r w:rsidR="00484BCF" w:rsidRPr="008F10DE">
        <w:rPr>
          <w:sz w:val="22"/>
          <w:szCs w:val="22"/>
        </w:rPr>
        <w:t xml:space="preserve">Banker et al. </w:t>
      </w:r>
      <w:r w:rsidR="00484BCF" w:rsidRPr="00484BCF">
        <w:rPr>
          <w:color w:val="004F88"/>
          <w:sz w:val="22"/>
          <w:szCs w:val="22"/>
        </w:rPr>
        <w:t>1984</w:t>
      </w:r>
      <w:r w:rsidR="00484BCF">
        <w:rPr>
          <w:sz w:val="22"/>
          <w:szCs w:val="22"/>
        </w:rPr>
        <w:t xml:space="preserve">; </w:t>
      </w:r>
      <w:r w:rsidRPr="008F10DE">
        <w:rPr>
          <w:sz w:val="22"/>
          <w:szCs w:val="22"/>
        </w:rPr>
        <w:t xml:space="preserve">Charnes et al. </w:t>
      </w:r>
      <w:r w:rsidRPr="00484BCF">
        <w:rPr>
          <w:color w:val="004F88"/>
          <w:sz w:val="22"/>
          <w:szCs w:val="22"/>
        </w:rPr>
        <w:t>1978</w:t>
      </w:r>
      <w:r w:rsidRPr="008F10DE">
        <w:rPr>
          <w:sz w:val="22"/>
          <w:szCs w:val="22"/>
        </w:rPr>
        <w:t>). Moreover, the results indicate that total assets (</w:t>
      </w:r>
      <w:r w:rsidRPr="008F10DE">
        <w:rPr>
          <w:i/>
          <w:iCs/>
          <w:sz w:val="22"/>
          <w:szCs w:val="22"/>
        </w:rPr>
        <w:t>LNTA</w:t>
      </w:r>
      <w:r w:rsidRPr="008F10DE">
        <w:rPr>
          <w:sz w:val="22"/>
          <w:szCs w:val="22"/>
        </w:rPr>
        <w:t xml:space="preserve">) negatively affect the </w:t>
      </w:r>
      <w:r w:rsidRPr="008F10DE">
        <w:rPr>
          <w:i/>
          <w:iCs/>
          <w:sz w:val="22"/>
          <w:szCs w:val="22"/>
        </w:rPr>
        <w:t>CRS</w:t>
      </w:r>
      <w:r w:rsidRPr="008F10DE">
        <w:rPr>
          <w:sz w:val="22"/>
          <w:szCs w:val="22"/>
        </w:rPr>
        <w:t xml:space="preserve"> efficiency score, suggesting that larger banks may experience diminishing efficiency under the constant returns framework. By design, </w:t>
      </w:r>
      <w:r w:rsidRPr="008F10DE">
        <w:rPr>
          <w:i/>
          <w:iCs/>
          <w:sz w:val="22"/>
          <w:szCs w:val="22"/>
        </w:rPr>
        <w:t>CRS</w:t>
      </w:r>
      <w:r w:rsidRPr="008F10DE">
        <w:rPr>
          <w:sz w:val="22"/>
          <w:szCs w:val="22"/>
        </w:rPr>
        <w:t xml:space="preserve"> assumes that output changes are directly proportional to input changes, which may not hold for banks with diverse operational scales. In comparison, the </w:t>
      </w:r>
      <w:r w:rsidRPr="008F10DE">
        <w:rPr>
          <w:i/>
          <w:iCs/>
          <w:sz w:val="22"/>
          <w:szCs w:val="22"/>
        </w:rPr>
        <w:t>VRS</w:t>
      </w:r>
      <w:r w:rsidRPr="008F10DE">
        <w:rPr>
          <w:sz w:val="22"/>
          <w:szCs w:val="22"/>
        </w:rPr>
        <w:t xml:space="preserve"> model relaxes this assumption, recognising that variations in input levels may lead to disproportionate changes in output — implying that efficiency can increase or decrease as a bank grows. Therefore, when the sample includes both small and large decision-making units (DMUs), the </w:t>
      </w:r>
      <w:r w:rsidRPr="008F10DE">
        <w:rPr>
          <w:i/>
          <w:iCs/>
          <w:sz w:val="22"/>
          <w:szCs w:val="22"/>
        </w:rPr>
        <w:t>VRS</w:t>
      </w:r>
      <w:r w:rsidRPr="008F10DE">
        <w:rPr>
          <w:sz w:val="22"/>
          <w:szCs w:val="22"/>
        </w:rPr>
        <w:t xml:space="preserve"> model provides a more realistic and appropriate representation of bank efficiency than the </w:t>
      </w:r>
      <w:r w:rsidRPr="008F10DE">
        <w:rPr>
          <w:i/>
          <w:iCs/>
          <w:sz w:val="22"/>
          <w:szCs w:val="22"/>
        </w:rPr>
        <w:t>CR</w:t>
      </w:r>
      <w:r w:rsidRPr="008F10DE">
        <w:rPr>
          <w:sz w:val="22"/>
          <w:szCs w:val="22"/>
        </w:rPr>
        <w:t>S model.</w:t>
      </w:r>
    </w:p>
    <w:p w14:paraId="1682D285" w14:textId="77777777" w:rsidR="0000284E" w:rsidRPr="008F10DE" w:rsidRDefault="0000284E" w:rsidP="007107F2">
      <w:pPr>
        <w:spacing w:line="360" w:lineRule="auto"/>
        <w:jc w:val="both"/>
        <w:rPr>
          <w:sz w:val="22"/>
          <w:szCs w:val="22"/>
        </w:rPr>
      </w:pPr>
    </w:p>
    <w:p w14:paraId="6A4E0A0D" w14:textId="18A0A6D7" w:rsidR="00295426" w:rsidRPr="008F10DE" w:rsidRDefault="00295426" w:rsidP="009B588C">
      <w:pPr>
        <w:jc w:val="center"/>
        <w:rPr>
          <w:sz w:val="22"/>
          <w:szCs w:val="22"/>
        </w:rPr>
      </w:pPr>
      <w:r w:rsidRPr="008F10DE">
        <w:rPr>
          <w:sz w:val="22"/>
          <w:szCs w:val="22"/>
        </w:rPr>
        <w:t xml:space="preserve">(Insert Table </w:t>
      </w:r>
      <w:r w:rsidRPr="00B50F0E">
        <w:rPr>
          <w:color w:val="004F88"/>
          <w:sz w:val="22"/>
          <w:szCs w:val="22"/>
        </w:rPr>
        <w:t>14</w:t>
      </w:r>
      <w:r w:rsidR="004C3800" w:rsidRPr="008F10DE">
        <w:rPr>
          <w:sz w:val="22"/>
          <w:szCs w:val="22"/>
        </w:rPr>
        <w:t xml:space="preserve"> about here </w:t>
      </w:r>
      <w:r w:rsidR="00CC70D8" w:rsidRPr="008F10DE">
        <w:rPr>
          <w:sz w:val="22"/>
          <w:szCs w:val="22"/>
        </w:rPr>
        <w:t>about here</w:t>
      </w:r>
      <w:r w:rsidRPr="008F10DE">
        <w:rPr>
          <w:sz w:val="22"/>
          <w:szCs w:val="22"/>
        </w:rPr>
        <w:t>)</w:t>
      </w:r>
    </w:p>
    <w:p w14:paraId="4C4EE28F" w14:textId="77777777" w:rsidR="00690AC7" w:rsidRPr="008F10DE" w:rsidRDefault="00690AC7" w:rsidP="00295426">
      <w:pPr>
        <w:jc w:val="both"/>
        <w:rPr>
          <w:sz w:val="22"/>
          <w:szCs w:val="22"/>
        </w:rPr>
      </w:pPr>
    </w:p>
    <w:p w14:paraId="0CCCDF81" w14:textId="3AB7E8DE" w:rsidR="00295426" w:rsidRPr="008F10DE" w:rsidRDefault="00690AC7" w:rsidP="00FA7ADA">
      <w:pPr>
        <w:pStyle w:val="Heading3"/>
        <w:rPr>
          <w:b w:val="0"/>
          <w:bCs w:val="0"/>
          <w:sz w:val="22"/>
          <w:szCs w:val="22"/>
        </w:rPr>
      </w:pPr>
      <w:r w:rsidRPr="008F10DE">
        <w:rPr>
          <w:sz w:val="22"/>
          <w:szCs w:val="22"/>
        </w:rPr>
        <w:t xml:space="preserve">5.5.3. </w:t>
      </w:r>
      <w:r w:rsidR="0046281F" w:rsidRPr="008F10DE">
        <w:rPr>
          <w:sz w:val="22"/>
          <w:szCs w:val="22"/>
        </w:rPr>
        <w:t xml:space="preserve">Bank-level </w:t>
      </w:r>
      <w:r w:rsidR="00FB41ED">
        <w:rPr>
          <w:sz w:val="22"/>
          <w:szCs w:val="22"/>
        </w:rPr>
        <w:t>E</w:t>
      </w:r>
      <w:r w:rsidRPr="008F10DE">
        <w:rPr>
          <w:sz w:val="22"/>
          <w:szCs w:val="22"/>
        </w:rPr>
        <w:t xml:space="preserve">fficiency </w:t>
      </w:r>
      <w:r w:rsidR="00FB41ED">
        <w:rPr>
          <w:sz w:val="22"/>
          <w:szCs w:val="22"/>
        </w:rPr>
        <w:t>S</w:t>
      </w:r>
      <w:r w:rsidRPr="008F10DE">
        <w:rPr>
          <w:sz w:val="22"/>
          <w:szCs w:val="22"/>
        </w:rPr>
        <w:t xml:space="preserve">cores </w:t>
      </w:r>
      <w:r w:rsidR="00FA7ADA">
        <w:rPr>
          <w:sz w:val="22"/>
          <w:szCs w:val="22"/>
        </w:rPr>
        <w:t>e</w:t>
      </w:r>
      <w:r w:rsidR="0046281F" w:rsidRPr="008F10DE">
        <w:rPr>
          <w:sz w:val="22"/>
          <w:szCs w:val="22"/>
        </w:rPr>
        <w:t>xcluding</w:t>
      </w:r>
      <w:r w:rsidRPr="008F10DE">
        <w:rPr>
          <w:sz w:val="22"/>
          <w:szCs w:val="22"/>
        </w:rPr>
        <w:t xml:space="preserve"> 10 </w:t>
      </w:r>
      <w:r w:rsidR="00FB41ED">
        <w:rPr>
          <w:sz w:val="22"/>
          <w:szCs w:val="22"/>
        </w:rPr>
        <w:t>M</w:t>
      </w:r>
      <w:r w:rsidRPr="008F10DE">
        <w:rPr>
          <w:sz w:val="22"/>
          <w:szCs w:val="22"/>
        </w:rPr>
        <w:t xml:space="preserve">ega </w:t>
      </w:r>
      <w:r w:rsidR="00FB41ED">
        <w:rPr>
          <w:sz w:val="22"/>
          <w:szCs w:val="22"/>
        </w:rPr>
        <w:t>B</w:t>
      </w:r>
      <w:r w:rsidRPr="008F10DE">
        <w:rPr>
          <w:sz w:val="22"/>
          <w:szCs w:val="22"/>
        </w:rPr>
        <w:t>anks</w:t>
      </w:r>
    </w:p>
    <w:p w14:paraId="72F31FE1" w14:textId="432BE2C7" w:rsidR="00252EE0" w:rsidRPr="008F10DE" w:rsidRDefault="00252EE0" w:rsidP="005B41A3">
      <w:pPr>
        <w:spacing w:line="360" w:lineRule="auto"/>
        <w:jc w:val="both"/>
        <w:rPr>
          <w:sz w:val="22"/>
          <w:szCs w:val="22"/>
          <w:lang w:val="en-US"/>
        </w:rPr>
      </w:pPr>
      <w:r w:rsidRPr="008F10DE">
        <w:rPr>
          <w:sz w:val="22"/>
          <w:szCs w:val="22"/>
          <w:lang w:val="en-US"/>
        </w:rPr>
        <w:t>The top 10 largest U.S. banks</w:t>
      </w:r>
      <w:r w:rsidR="00D95E4E" w:rsidRPr="008F10DE">
        <w:rPr>
          <w:sz w:val="22"/>
          <w:szCs w:val="22"/>
          <w:lang w:val="en-US"/>
        </w:rPr>
        <w:t xml:space="preserve"> </w:t>
      </w:r>
      <w:r w:rsidRPr="008F10DE">
        <w:rPr>
          <w:sz w:val="22"/>
          <w:szCs w:val="22"/>
          <w:lang w:val="en-US"/>
        </w:rPr>
        <w:t>such as JPMorgan Chase, Bank of America, and Citigroup</w:t>
      </w:r>
      <w:r w:rsidR="00D95E4E" w:rsidRPr="008F10DE">
        <w:rPr>
          <w:sz w:val="22"/>
          <w:szCs w:val="22"/>
          <w:lang w:val="en-US"/>
        </w:rPr>
        <w:t xml:space="preserve"> have </w:t>
      </w:r>
      <w:r w:rsidRPr="008F10DE">
        <w:rPr>
          <w:sz w:val="22"/>
          <w:szCs w:val="22"/>
          <w:lang w:val="en-US"/>
        </w:rPr>
        <w:t>a substantial share of total banking assets in the United States. These mega-banks serve a multifaceted role</w:t>
      </w:r>
      <w:r w:rsidR="00D95E4E" w:rsidRPr="008F10DE">
        <w:rPr>
          <w:sz w:val="22"/>
          <w:szCs w:val="22"/>
          <w:lang w:val="en-US"/>
        </w:rPr>
        <w:t xml:space="preserve"> as </w:t>
      </w:r>
      <w:r w:rsidRPr="008F10DE">
        <w:rPr>
          <w:sz w:val="22"/>
          <w:szCs w:val="22"/>
          <w:lang w:val="en-US"/>
        </w:rPr>
        <w:t xml:space="preserve">they act as financial intermediaries by pooling deposits and issuing loans, support international finance, foster economic growth, and provide a range of services including investment, mortgage, and payment processing. However, their immense size makes them both vital to the financial system and a source of regulatory concern due to their “too big to fail” status. The Dodd-Frank Wall Street Reform and Consumer Protection Act of 2010 was introduced to strengthen financial stability and mitigate systemic risks associated with these large institutions (Regmi et al. </w:t>
      </w:r>
      <w:r w:rsidRPr="00B50F0E">
        <w:rPr>
          <w:color w:val="004F88"/>
          <w:sz w:val="22"/>
          <w:szCs w:val="22"/>
          <w:lang w:val="en-US"/>
        </w:rPr>
        <w:t>2020</w:t>
      </w:r>
      <w:r w:rsidRPr="008F10DE">
        <w:rPr>
          <w:sz w:val="22"/>
          <w:szCs w:val="22"/>
          <w:lang w:val="en-US"/>
        </w:rPr>
        <w:t>).</w:t>
      </w:r>
    </w:p>
    <w:p w14:paraId="60428519" w14:textId="77777777" w:rsidR="00252EE0" w:rsidRPr="008F10DE" w:rsidRDefault="00252EE0" w:rsidP="00252EE0">
      <w:pPr>
        <w:spacing w:line="360" w:lineRule="auto"/>
        <w:ind w:firstLine="720"/>
        <w:jc w:val="both"/>
        <w:rPr>
          <w:sz w:val="22"/>
          <w:szCs w:val="22"/>
          <w:lang w:val="en-US"/>
        </w:rPr>
      </w:pPr>
    </w:p>
    <w:p w14:paraId="741AF9AA" w14:textId="792C6E14" w:rsidR="00252EE0" w:rsidRDefault="00252EE0" w:rsidP="005B41A3">
      <w:pPr>
        <w:spacing w:line="360" w:lineRule="auto"/>
        <w:jc w:val="both"/>
        <w:rPr>
          <w:sz w:val="22"/>
          <w:szCs w:val="22"/>
          <w:lang w:val="en-US"/>
        </w:rPr>
      </w:pPr>
      <w:r w:rsidRPr="008F10DE">
        <w:rPr>
          <w:sz w:val="22"/>
          <w:szCs w:val="22"/>
          <w:lang w:val="en-US"/>
        </w:rPr>
        <w:t>To obtain a more accurate assessment of efficiency, we estimate bank-level efficiency scores after excluding the ten largest banks by asset size each year. Owing to missing data among smaller banks, we employ two inputs (staff and deposits) and two outputs (loans and securities), following Berger and Mester (</w:t>
      </w:r>
      <w:r w:rsidRPr="00B50F0E">
        <w:rPr>
          <w:color w:val="004F88"/>
          <w:sz w:val="22"/>
          <w:szCs w:val="22"/>
          <w:lang w:val="en-US"/>
        </w:rPr>
        <w:t>1997</w:t>
      </w:r>
      <w:r w:rsidRPr="008F10DE">
        <w:rPr>
          <w:sz w:val="22"/>
          <w:szCs w:val="22"/>
          <w:lang w:val="en-US"/>
        </w:rPr>
        <w:t>). Due to gaps in input and output data, we were only able to retrieve information from 1993 to 20</w:t>
      </w:r>
      <w:r w:rsidR="00982103" w:rsidRPr="008F10DE">
        <w:rPr>
          <w:sz w:val="22"/>
          <w:szCs w:val="22"/>
          <w:lang w:val="en-US"/>
        </w:rPr>
        <w:t>2</w:t>
      </w:r>
      <w:r w:rsidRPr="008F10DE">
        <w:rPr>
          <w:sz w:val="22"/>
          <w:szCs w:val="22"/>
          <w:lang w:val="en-US"/>
        </w:rPr>
        <w:t>0 from Compustat, rather than the full period from 1972 to 20</w:t>
      </w:r>
      <w:r w:rsidR="00982103" w:rsidRPr="008F10DE">
        <w:rPr>
          <w:sz w:val="22"/>
          <w:szCs w:val="22"/>
          <w:lang w:val="en-US"/>
        </w:rPr>
        <w:t>2</w:t>
      </w:r>
      <w:r w:rsidRPr="008F10DE">
        <w:rPr>
          <w:sz w:val="22"/>
          <w:szCs w:val="22"/>
          <w:lang w:val="en-US"/>
        </w:rPr>
        <w:t>0. The resulting dataset includes 1</w:t>
      </w:r>
      <w:r w:rsidR="00CD671D" w:rsidRPr="008F10DE">
        <w:rPr>
          <w:sz w:val="22"/>
          <w:szCs w:val="22"/>
          <w:lang w:val="en-US"/>
        </w:rPr>
        <w:t>,830</w:t>
      </w:r>
      <w:r w:rsidRPr="008F10DE">
        <w:rPr>
          <w:sz w:val="22"/>
          <w:szCs w:val="22"/>
          <w:lang w:val="en-US"/>
        </w:rPr>
        <w:t xml:space="preserve"> banks. We then merge the estimated efficiency scores with state-level election results. As reported in Table </w:t>
      </w:r>
      <w:r w:rsidRPr="00B50F0E">
        <w:rPr>
          <w:color w:val="004F88"/>
          <w:sz w:val="22"/>
          <w:szCs w:val="22"/>
          <w:lang w:val="en-US"/>
        </w:rPr>
        <w:t>15</w:t>
      </w:r>
      <w:r w:rsidRPr="008F10DE">
        <w:rPr>
          <w:sz w:val="22"/>
          <w:szCs w:val="22"/>
          <w:lang w:val="en-US"/>
        </w:rPr>
        <w:t>, the findings reveal that U.S. bank efficiency</w:t>
      </w:r>
      <w:r w:rsidR="00D974D9" w:rsidRPr="008F10DE">
        <w:rPr>
          <w:sz w:val="22"/>
          <w:szCs w:val="22"/>
          <w:lang w:val="en-US"/>
        </w:rPr>
        <w:t xml:space="preserve">, </w:t>
      </w:r>
      <w:r w:rsidRPr="008F10DE">
        <w:rPr>
          <w:sz w:val="22"/>
          <w:szCs w:val="22"/>
          <w:lang w:val="en-US"/>
        </w:rPr>
        <w:t>excluding the ten mega-banks</w:t>
      </w:r>
      <w:r w:rsidR="00D974D9" w:rsidRPr="008F10DE">
        <w:rPr>
          <w:sz w:val="22"/>
          <w:szCs w:val="22"/>
          <w:lang w:val="en-US"/>
        </w:rPr>
        <w:t xml:space="preserve">, </w:t>
      </w:r>
      <w:r w:rsidRPr="008F10DE">
        <w:rPr>
          <w:sz w:val="22"/>
          <w:szCs w:val="22"/>
          <w:lang w:val="en-US"/>
        </w:rPr>
        <w:t>improves when the Democratic Party wins state-level elections during the 1993–2020 period.</w:t>
      </w:r>
    </w:p>
    <w:p w14:paraId="1E106008" w14:textId="77777777" w:rsidR="005B41A3" w:rsidRPr="008F10DE" w:rsidRDefault="005B41A3" w:rsidP="005B41A3">
      <w:pPr>
        <w:spacing w:line="360" w:lineRule="auto"/>
        <w:jc w:val="both"/>
        <w:rPr>
          <w:sz w:val="22"/>
          <w:szCs w:val="22"/>
          <w:lang w:val="en-US"/>
        </w:rPr>
      </w:pPr>
    </w:p>
    <w:p w14:paraId="0C15C550" w14:textId="722BE219" w:rsidR="00252EE0" w:rsidRPr="008F10DE" w:rsidRDefault="00252EE0" w:rsidP="009B588C">
      <w:pPr>
        <w:jc w:val="center"/>
        <w:rPr>
          <w:sz w:val="22"/>
          <w:szCs w:val="22"/>
        </w:rPr>
      </w:pPr>
      <w:r w:rsidRPr="008F10DE">
        <w:rPr>
          <w:sz w:val="22"/>
          <w:szCs w:val="22"/>
        </w:rPr>
        <w:t xml:space="preserve">(Insert Tables </w:t>
      </w:r>
      <w:r w:rsidRPr="00B50F0E">
        <w:rPr>
          <w:color w:val="004F88"/>
          <w:sz w:val="22"/>
          <w:szCs w:val="22"/>
        </w:rPr>
        <w:t>15</w:t>
      </w:r>
      <w:r w:rsidR="00CC70D8" w:rsidRPr="008F10DE">
        <w:rPr>
          <w:sz w:val="22"/>
          <w:szCs w:val="22"/>
        </w:rPr>
        <w:t xml:space="preserve"> about here</w:t>
      </w:r>
      <w:r w:rsidRPr="008F10DE">
        <w:rPr>
          <w:sz w:val="22"/>
          <w:szCs w:val="22"/>
        </w:rPr>
        <w:t>)</w:t>
      </w:r>
    </w:p>
    <w:p w14:paraId="26F30255" w14:textId="403E9FFD" w:rsidR="00C8068C" w:rsidRPr="008F10DE" w:rsidRDefault="00C8068C" w:rsidP="00C8068C">
      <w:pPr>
        <w:pStyle w:val="Heading2"/>
        <w:rPr>
          <w:sz w:val="22"/>
          <w:szCs w:val="22"/>
        </w:rPr>
      </w:pPr>
      <w:r w:rsidRPr="008F10DE">
        <w:rPr>
          <w:sz w:val="22"/>
          <w:szCs w:val="22"/>
        </w:rPr>
        <w:t xml:space="preserve">5.6. Other </w:t>
      </w:r>
      <w:r w:rsidR="00FB41ED">
        <w:rPr>
          <w:sz w:val="22"/>
          <w:szCs w:val="22"/>
        </w:rPr>
        <w:t>R</w:t>
      </w:r>
      <w:r w:rsidRPr="008F10DE">
        <w:rPr>
          <w:sz w:val="22"/>
          <w:szCs w:val="22"/>
        </w:rPr>
        <w:t xml:space="preserve">elated </w:t>
      </w:r>
      <w:r w:rsidR="00FB41ED">
        <w:rPr>
          <w:sz w:val="22"/>
          <w:szCs w:val="22"/>
        </w:rPr>
        <w:t>C</w:t>
      </w:r>
      <w:r w:rsidR="009B588C" w:rsidRPr="008F10DE">
        <w:rPr>
          <w:sz w:val="22"/>
          <w:szCs w:val="22"/>
        </w:rPr>
        <w:t>hannels</w:t>
      </w:r>
      <w:r w:rsidRPr="008F10DE">
        <w:rPr>
          <w:sz w:val="22"/>
          <w:szCs w:val="22"/>
        </w:rPr>
        <w:t xml:space="preserve"> to </w:t>
      </w:r>
      <w:r w:rsidR="00FB41ED">
        <w:rPr>
          <w:sz w:val="22"/>
          <w:szCs w:val="22"/>
        </w:rPr>
        <w:t>P</w:t>
      </w:r>
      <w:r w:rsidRPr="008F10DE">
        <w:rPr>
          <w:sz w:val="22"/>
          <w:szCs w:val="22"/>
        </w:rPr>
        <w:t xml:space="preserve">artisan </w:t>
      </w:r>
      <w:r w:rsidR="00FB41ED">
        <w:rPr>
          <w:sz w:val="22"/>
          <w:szCs w:val="22"/>
        </w:rPr>
        <w:t>T</w:t>
      </w:r>
      <w:r w:rsidRPr="008F10DE">
        <w:rPr>
          <w:sz w:val="22"/>
          <w:szCs w:val="22"/>
        </w:rPr>
        <w:t>heory</w:t>
      </w:r>
    </w:p>
    <w:p w14:paraId="1CA8DE93" w14:textId="22BDC450" w:rsidR="001459F9" w:rsidRPr="008F10DE" w:rsidRDefault="001459F9" w:rsidP="005B41A3">
      <w:pPr>
        <w:spacing w:line="360" w:lineRule="auto"/>
        <w:jc w:val="both"/>
        <w:rPr>
          <w:sz w:val="22"/>
          <w:szCs w:val="22"/>
          <w:lang w:val="en-US"/>
        </w:rPr>
      </w:pPr>
      <w:r w:rsidRPr="008F10DE">
        <w:rPr>
          <w:sz w:val="22"/>
          <w:szCs w:val="22"/>
          <w:lang w:val="en-US"/>
        </w:rPr>
        <w:t xml:space="preserve">Table </w:t>
      </w:r>
      <w:r w:rsidRPr="00B50F0E">
        <w:rPr>
          <w:color w:val="004F88"/>
          <w:sz w:val="22"/>
          <w:szCs w:val="22"/>
          <w:lang w:val="en-US"/>
        </w:rPr>
        <w:t>1</w:t>
      </w:r>
      <w:r w:rsidR="00D95E4E" w:rsidRPr="00B50F0E">
        <w:rPr>
          <w:color w:val="004F88"/>
          <w:sz w:val="22"/>
          <w:szCs w:val="22"/>
          <w:lang w:val="en-US"/>
        </w:rPr>
        <w:t>6</w:t>
      </w:r>
      <w:r w:rsidRPr="008F10DE">
        <w:rPr>
          <w:sz w:val="22"/>
          <w:szCs w:val="22"/>
          <w:lang w:val="en-US"/>
        </w:rPr>
        <w:t xml:space="preserve"> presents the relationship between the number of new bank charters and political outcomes. The results indicate that the number of new bank charters is statistically significant and negatively associated with both state-level (</w:t>
      </w:r>
      <w:r w:rsidRPr="008F10DE">
        <w:rPr>
          <w:i/>
          <w:iCs/>
          <w:sz w:val="22"/>
          <w:szCs w:val="22"/>
          <w:lang w:val="en-US"/>
        </w:rPr>
        <w:t>SVOTE</w:t>
      </w:r>
      <w:r w:rsidRPr="008F10DE">
        <w:rPr>
          <w:sz w:val="22"/>
          <w:szCs w:val="22"/>
          <w:lang w:val="en-US"/>
        </w:rPr>
        <w:t>) and national-level (</w:t>
      </w:r>
      <w:r w:rsidRPr="008F10DE">
        <w:rPr>
          <w:i/>
          <w:iCs/>
          <w:sz w:val="22"/>
          <w:szCs w:val="22"/>
          <w:lang w:val="en-US"/>
        </w:rPr>
        <w:t>NVOTE</w:t>
      </w:r>
      <w:r w:rsidRPr="008F10DE">
        <w:rPr>
          <w:sz w:val="22"/>
          <w:szCs w:val="22"/>
          <w:lang w:val="en-US"/>
        </w:rPr>
        <w:t xml:space="preserve">) election outcomes, suggesting that the Republican Party tends to favor the issuance of new bank charters. According to the “partisan theory,” the Democratic Party is generally more concerned with unemployment and less focused on controlling inflation compared to the Republican Party (Hibbs, 1977). Moreover, the Democratic Party has historically prioritized output goals over inflation and monetary expansion, in contrast to the Republican Party (Alesina </w:t>
      </w:r>
      <w:r w:rsidR="00D974D9" w:rsidRPr="008F10DE">
        <w:rPr>
          <w:sz w:val="22"/>
          <w:szCs w:val="22"/>
          <w:lang w:val="en-US"/>
        </w:rPr>
        <w:t>and</w:t>
      </w:r>
      <w:r w:rsidRPr="008F10DE">
        <w:rPr>
          <w:sz w:val="22"/>
          <w:szCs w:val="22"/>
          <w:lang w:val="en-US"/>
        </w:rPr>
        <w:t xml:space="preserve"> Sachs</w:t>
      </w:r>
      <w:r w:rsidR="00B50F0E">
        <w:rPr>
          <w:sz w:val="22"/>
          <w:szCs w:val="22"/>
          <w:lang w:val="en-US"/>
        </w:rPr>
        <w:t xml:space="preserve"> </w:t>
      </w:r>
      <w:r w:rsidRPr="00B50F0E">
        <w:rPr>
          <w:color w:val="004F88"/>
          <w:sz w:val="22"/>
          <w:szCs w:val="22"/>
          <w:lang w:val="en-US"/>
        </w:rPr>
        <w:t>1988</w:t>
      </w:r>
      <w:r w:rsidRPr="008F10DE">
        <w:rPr>
          <w:sz w:val="22"/>
          <w:szCs w:val="22"/>
          <w:lang w:val="en-US"/>
        </w:rPr>
        <w:t>).</w:t>
      </w:r>
    </w:p>
    <w:p w14:paraId="156F71D1" w14:textId="6B1896D5" w:rsidR="001459F9" w:rsidRPr="008F10DE" w:rsidRDefault="001459F9" w:rsidP="005B41A3">
      <w:pPr>
        <w:spacing w:line="360" w:lineRule="auto"/>
        <w:jc w:val="both"/>
        <w:rPr>
          <w:sz w:val="22"/>
          <w:szCs w:val="22"/>
          <w:lang w:val="en-US"/>
        </w:rPr>
      </w:pPr>
      <w:r w:rsidRPr="008F10DE">
        <w:rPr>
          <w:sz w:val="22"/>
          <w:szCs w:val="22"/>
          <w:lang w:val="en-US"/>
        </w:rPr>
        <w:t>An increase in commercial banks typically enhances competition, which can exert downward pressure on prices, supporting lower inflation. Consistent with this, Republican lawmakers have actively promoted initiatives to facilitate new bank charters, often through regulatory reforms aimed at reducing barriers for community and regional banks. For instance, in May 2018, President Donald Trump signed the Economic Growth, Regulatory Relief, and Consumer Protection Act, a major deregulatory measure that raised the threshold for banks considered “too big to fail” from $50 billion to $250 billion in assets.</w:t>
      </w:r>
    </w:p>
    <w:p w14:paraId="54320ACD" w14:textId="77777777" w:rsidR="005B41A3" w:rsidRDefault="005B41A3" w:rsidP="005B41A3">
      <w:pPr>
        <w:spacing w:line="360" w:lineRule="auto"/>
        <w:jc w:val="both"/>
        <w:rPr>
          <w:sz w:val="22"/>
          <w:szCs w:val="22"/>
          <w:lang w:val="en-US"/>
        </w:rPr>
      </w:pPr>
    </w:p>
    <w:p w14:paraId="6F6E0C2E" w14:textId="7540DB82" w:rsidR="001459F9" w:rsidRPr="008F10DE" w:rsidRDefault="001459F9" w:rsidP="005B41A3">
      <w:pPr>
        <w:spacing w:line="360" w:lineRule="auto"/>
        <w:jc w:val="both"/>
        <w:rPr>
          <w:sz w:val="22"/>
          <w:szCs w:val="22"/>
          <w:lang w:val="en-US"/>
        </w:rPr>
      </w:pPr>
      <w:r w:rsidRPr="008F10DE">
        <w:rPr>
          <w:sz w:val="22"/>
          <w:szCs w:val="22"/>
          <w:lang w:val="en-US"/>
        </w:rPr>
        <w:t xml:space="preserve">However, a higher number of new bank charters can reduce variable return-to-scale efficiency scores. While previous studies suggest that increased competition (more banks) can reduce market power and interest margins, thereby improving efficiency, excessive competition can compress margins, lower scale efficiency, reduce incentives for cost control (Maudos </w:t>
      </w:r>
      <w:r w:rsidR="00D974D9" w:rsidRPr="008F10DE">
        <w:rPr>
          <w:sz w:val="22"/>
          <w:szCs w:val="22"/>
          <w:lang w:val="en-US"/>
        </w:rPr>
        <w:t>and</w:t>
      </w:r>
      <w:r w:rsidRPr="008F10DE">
        <w:rPr>
          <w:sz w:val="22"/>
          <w:szCs w:val="22"/>
          <w:lang w:val="en-US"/>
        </w:rPr>
        <w:t xml:space="preserve"> de Guevara </w:t>
      </w:r>
      <w:r w:rsidRPr="00B50F0E">
        <w:rPr>
          <w:color w:val="004F88"/>
          <w:sz w:val="22"/>
          <w:szCs w:val="22"/>
          <w:lang w:val="en-US"/>
        </w:rPr>
        <w:t>2004</w:t>
      </w:r>
      <w:r w:rsidRPr="008F10DE">
        <w:rPr>
          <w:sz w:val="22"/>
          <w:szCs w:val="22"/>
          <w:lang w:val="en-US"/>
        </w:rPr>
        <w:t xml:space="preserve">) and decrease cost efficiency (Casu </w:t>
      </w:r>
      <w:r w:rsidR="00D974D9" w:rsidRPr="008F10DE">
        <w:rPr>
          <w:sz w:val="22"/>
          <w:szCs w:val="22"/>
          <w:lang w:val="en-US"/>
        </w:rPr>
        <w:t>and</w:t>
      </w:r>
      <w:r w:rsidRPr="008F10DE">
        <w:rPr>
          <w:sz w:val="22"/>
          <w:szCs w:val="22"/>
          <w:lang w:val="en-US"/>
        </w:rPr>
        <w:t xml:space="preserve"> Girardone </w:t>
      </w:r>
      <w:r w:rsidRPr="00B50F0E">
        <w:rPr>
          <w:color w:val="004F88"/>
          <w:sz w:val="22"/>
          <w:szCs w:val="22"/>
          <w:lang w:val="en-US"/>
        </w:rPr>
        <w:t>2006</w:t>
      </w:r>
      <w:r w:rsidRPr="008F10DE">
        <w:rPr>
          <w:sz w:val="22"/>
          <w:szCs w:val="22"/>
          <w:lang w:val="en-US"/>
        </w:rPr>
        <w:t xml:space="preserve">). </w:t>
      </w:r>
    </w:p>
    <w:p w14:paraId="036B98EF" w14:textId="77777777" w:rsidR="00C8068C" w:rsidRPr="008F10DE" w:rsidRDefault="00C8068C" w:rsidP="007107F2">
      <w:pPr>
        <w:spacing w:line="360" w:lineRule="auto"/>
        <w:jc w:val="both"/>
        <w:rPr>
          <w:sz w:val="22"/>
          <w:szCs w:val="22"/>
        </w:rPr>
      </w:pPr>
    </w:p>
    <w:p w14:paraId="0E5789E6" w14:textId="4F97A815" w:rsidR="00A24DF1" w:rsidRPr="008F10DE" w:rsidRDefault="00A24DF1" w:rsidP="009B588C">
      <w:pPr>
        <w:jc w:val="center"/>
        <w:rPr>
          <w:sz w:val="22"/>
          <w:szCs w:val="22"/>
        </w:rPr>
      </w:pPr>
      <w:r w:rsidRPr="008F10DE">
        <w:rPr>
          <w:sz w:val="22"/>
          <w:szCs w:val="22"/>
        </w:rPr>
        <w:t xml:space="preserve">(Insert Table </w:t>
      </w:r>
      <w:r w:rsidRPr="00B50F0E">
        <w:rPr>
          <w:color w:val="004F88"/>
          <w:sz w:val="22"/>
          <w:szCs w:val="22"/>
        </w:rPr>
        <w:t>1</w:t>
      </w:r>
      <w:r w:rsidR="00690AC7" w:rsidRPr="00B50F0E">
        <w:rPr>
          <w:color w:val="004F88"/>
          <w:sz w:val="22"/>
          <w:szCs w:val="22"/>
        </w:rPr>
        <w:t>6</w:t>
      </w:r>
      <w:r w:rsidR="00CC70D8" w:rsidRPr="008F10DE">
        <w:rPr>
          <w:sz w:val="22"/>
          <w:szCs w:val="22"/>
        </w:rPr>
        <w:t xml:space="preserve"> about here</w:t>
      </w:r>
      <w:r w:rsidRPr="008F10DE">
        <w:rPr>
          <w:sz w:val="22"/>
          <w:szCs w:val="22"/>
        </w:rPr>
        <w:t>)</w:t>
      </w:r>
    </w:p>
    <w:p w14:paraId="7665DAC5" w14:textId="77777777" w:rsidR="00414B04" w:rsidRPr="008F10DE" w:rsidRDefault="00414B04" w:rsidP="009B588C">
      <w:pPr>
        <w:jc w:val="center"/>
        <w:rPr>
          <w:sz w:val="22"/>
          <w:szCs w:val="22"/>
        </w:rPr>
      </w:pPr>
    </w:p>
    <w:p w14:paraId="1855E61B" w14:textId="77777777" w:rsidR="00414B04" w:rsidRPr="008F10DE" w:rsidRDefault="00414B04" w:rsidP="009B588C">
      <w:pPr>
        <w:jc w:val="center"/>
        <w:rPr>
          <w:sz w:val="22"/>
          <w:szCs w:val="22"/>
        </w:rPr>
      </w:pPr>
    </w:p>
    <w:p w14:paraId="3EFDDC2F" w14:textId="00C1B79A" w:rsidR="009D3402" w:rsidRPr="008F10DE" w:rsidRDefault="00127826" w:rsidP="005A2333">
      <w:pPr>
        <w:pStyle w:val="Heading1"/>
        <w:numPr>
          <w:ilvl w:val="0"/>
          <w:numId w:val="0"/>
        </w:numPr>
        <w:rPr>
          <w:sz w:val="22"/>
          <w:szCs w:val="22"/>
        </w:rPr>
      </w:pPr>
      <w:r w:rsidRPr="008F10DE">
        <w:rPr>
          <w:sz w:val="24"/>
          <w:szCs w:val="24"/>
          <w:lang w:val="en-US"/>
        </w:rPr>
        <w:t>6</w:t>
      </w:r>
      <w:r w:rsidR="00AA5F7E" w:rsidRPr="008F10DE">
        <w:rPr>
          <w:sz w:val="24"/>
          <w:szCs w:val="24"/>
        </w:rPr>
        <w:t xml:space="preserve">. Conclusion </w:t>
      </w:r>
    </w:p>
    <w:p w14:paraId="433AE045" w14:textId="5261B327" w:rsidR="00583A52" w:rsidRPr="008F10DE" w:rsidRDefault="00583A52" w:rsidP="005B41A3">
      <w:pPr>
        <w:spacing w:line="360" w:lineRule="auto"/>
        <w:jc w:val="both"/>
        <w:rPr>
          <w:sz w:val="22"/>
          <w:szCs w:val="22"/>
        </w:rPr>
      </w:pPr>
      <w:r w:rsidRPr="008F10DE">
        <w:rPr>
          <w:sz w:val="22"/>
          <w:szCs w:val="22"/>
        </w:rPr>
        <w:t>The global commercial and financial system is closely intertwined with the U.S. banking sector, underscoring the broader relevance of factors that shape bank performance in the United States. Although the effects of macroeconomic conditions, such as GDP growth and inflation, on bank outcomes are well established, this study extends the literature by examining how electoral outcomes influence the efficiency of U.S. banks at the state level. Our findings indicate that, over the period 1972–2020, bank efficiency tended to improve following Democratic victories at both the state and federal levels. Specifically, both state-level votes (</w:t>
      </w:r>
      <w:r w:rsidRPr="005B41A3">
        <w:rPr>
          <w:i/>
          <w:iCs/>
          <w:sz w:val="22"/>
          <w:szCs w:val="22"/>
        </w:rPr>
        <w:t>SVOTE</w:t>
      </w:r>
      <w:r w:rsidRPr="008F10DE">
        <w:rPr>
          <w:sz w:val="22"/>
          <w:szCs w:val="22"/>
        </w:rPr>
        <w:t>) and federal votes (</w:t>
      </w:r>
      <w:r w:rsidRPr="005B41A3">
        <w:rPr>
          <w:i/>
          <w:iCs/>
          <w:sz w:val="22"/>
          <w:szCs w:val="22"/>
        </w:rPr>
        <w:t>NVOTE</w:t>
      </w:r>
      <w:r w:rsidRPr="008F10DE">
        <w:rPr>
          <w:sz w:val="22"/>
          <w:szCs w:val="22"/>
        </w:rPr>
        <w:t>) display consistently positive residuals after a Democratic win, suggesting a systematic association between Democratic electoral success and enhanced banking efficiency.</w:t>
      </w:r>
    </w:p>
    <w:p w14:paraId="784404B1" w14:textId="77777777" w:rsidR="005B41A3" w:rsidRDefault="005B41A3" w:rsidP="005B41A3">
      <w:pPr>
        <w:spacing w:line="360" w:lineRule="auto"/>
        <w:jc w:val="both"/>
        <w:rPr>
          <w:sz w:val="22"/>
          <w:szCs w:val="22"/>
        </w:rPr>
      </w:pPr>
    </w:p>
    <w:p w14:paraId="55FACC34" w14:textId="1ED54EFD" w:rsidR="005A6AE0" w:rsidRPr="008F10DE" w:rsidRDefault="00583A52" w:rsidP="005B41A3">
      <w:pPr>
        <w:spacing w:line="360" w:lineRule="auto"/>
        <w:jc w:val="both"/>
        <w:rPr>
          <w:sz w:val="22"/>
          <w:szCs w:val="22"/>
        </w:rPr>
      </w:pPr>
      <w:r w:rsidRPr="008F10DE">
        <w:rPr>
          <w:sz w:val="22"/>
          <w:szCs w:val="22"/>
        </w:rPr>
        <w:t>The observed relationship between election dynamics and bank efficiency lends further support to the “partisan theory” of the U.S. economy and its implications for financial-sector performance. In line with Blinder and Watson (</w:t>
      </w:r>
      <w:r w:rsidRPr="00B50F0E">
        <w:rPr>
          <w:color w:val="004F88"/>
          <w:sz w:val="22"/>
          <w:szCs w:val="22"/>
        </w:rPr>
        <w:t>2016</w:t>
      </w:r>
      <w:r w:rsidRPr="008F10DE">
        <w:rPr>
          <w:sz w:val="22"/>
          <w:szCs w:val="22"/>
        </w:rPr>
        <w:t xml:space="preserve">), our results imply that Democratic leadership has historically been associated with stronger economic indicators. We also find that efficiency scores are significantly related to the total number of votes cast and to the vote-share ratio between the Democratic and Republican parties, highlighting the role of electoral intensity and political competition. Moreover, states with higher coincident economic indexes are more likely to favor the Democratic Party at the state level, and greater Democratic representation in Congress appears to be linked to policy and regulatory environments that are more conducive to bank efficiency, possibly reflecting shifts in financial regulation, enhanced supervisory frameworks, or a stronger emphasis on market stability. </w:t>
      </w:r>
      <w:r w:rsidR="00460921" w:rsidRPr="008F10DE">
        <w:rPr>
          <w:sz w:val="22"/>
          <w:szCs w:val="22"/>
        </w:rPr>
        <w:t xml:space="preserve">We highlight political dynamics including electoral outcomes and congressional composition (House and Senate) may shape regulatory priorities, financial oversight, and macroeconomic stability, all of which can influence bank efficiency. </w:t>
      </w:r>
      <w:r w:rsidRPr="008F10DE">
        <w:rPr>
          <w:sz w:val="22"/>
          <w:szCs w:val="22"/>
        </w:rPr>
        <w:t xml:space="preserve">More strikingly, our evidence suggests that regular political alternation, specifically, cycling political parties every four years, can itself enhance state-level banking efficiency in the United States. </w:t>
      </w:r>
      <w:r w:rsidR="005A6AE0" w:rsidRPr="008F10DE">
        <w:rPr>
          <w:sz w:val="22"/>
          <w:szCs w:val="22"/>
        </w:rPr>
        <w:t xml:space="preserve">Periodic shifts in political leadership can strengthen institutional checks and balances, preventing regulatory capture and promoting a more competitive financial environment. In such settings, banks may face stronger incentives to innovate, streamline operations, and allocate resources more efficiently (Faccio </w:t>
      </w:r>
      <w:r w:rsidR="005A6AE0" w:rsidRPr="00B50F0E">
        <w:rPr>
          <w:color w:val="004F88"/>
          <w:sz w:val="22"/>
          <w:szCs w:val="22"/>
        </w:rPr>
        <w:t>2006</w:t>
      </w:r>
      <w:r w:rsidR="005A6AE0" w:rsidRPr="008F10DE">
        <w:rPr>
          <w:sz w:val="22"/>
          <w:szCs w:val="22"/>
        </w:rPr>
        <w:t>).</w:t>
      </w:r>
    </w:p>
    <w:p w14:paraId="7545496B" w14:textId="77777777" w:rsidR="005B41A3" w:rsidRDefault="005B41A3" w:rsidP="005B41A3">
      <w:pPr>
        <w:spacing w:line="360" w:lineRule="auto"/>
        <w:jc w:val="both"/>
        <w:rPr>
          <w:sz w:val="22"/>
          <w:szCs w:val="22"/>
        </w:rPr>
      </w:pPr>
    </w:p>
    <w:p w14:paraId="6A270CCF" w14:textId="6474F0C3" w:rsidR="00C16B43" w:rsidRPr="008F10DE" w:rsidRDefault="005A6AE0" w:rsidP="005B41A3">
      <w:pPr>
        <w:spacing w:line="360" w:lineRule="auto"/>
        <w:jc w:val="both"/>
        <w:rPr>
          <w:sz w:val="22"/>
          <w:szCs w:val="22"/>
        </w:rPr>
      </w:pPr>
      <w:r w:rsidRPr="008F10DE">
        <w:rPr>
          <w:sz w:val="22"/>
          <w:szCs w:val="22"/>
        </w:rPr>
        <w:t>Our</w:t>
      </w:r>
      <w:r w:rsidR="00583A52" w:rsidRPr="008F10DE">
        <w:rPr>
          <w:sz w:val="22"/>
          <w:szCs w:val="22"/>
        </w:rPr>
        <w:t xml:space="preserve"> main result proves robust across a range of alternative specifications and sensitivity checks. These include estimating efficiency using a Stochastic Frontier Analysis (</w:t>
      </w:r>
      <w:r w:rsidR="00583A52" w:rsidRPr="005B41A3">
        <w:rPr>
          <w:i/>
          <w:iCs/>
          <w:sz w:val="22"/>
          <w:szCs w:val="22"/>
        </w:rPr>
        <w:t>SFA</w:t>
      </w:r>
      <w:r w:rsidR="00583A52" w:rsidRPr="008F10DE">
        <w:rPr>
          <w:sz w:val="22"/>
          <w:szCs w:val="22"/>
        </w:rPr>
        <w:t>) framework as an alternative to the baseline method, employing constant returns to scale (</w:t>
      </w:r>
      <w:r w:rsidR="00583A52" w:rsidRPr="005B41A3">
        <w:rPr>
          <w:i/>
          <w:iCs/>
          <w:sz w:val="22"/>
          <w:szCs w:val="22"/>
        </w:rPr>
        <w:t>CRS</w:t>
      </w:r>
      <w:r w:rsidR="00583A52" w:rsidRPr="008F10DE">
        <w:rPr>
          <w:sz w:val="22"/>
          <w:szCs w:val="22"/>
        </w:rPr>
        <w:t xml:space="preserve">) efficiency scores as the dependent variable, and recalculating bank-level efficiency after excluding the ten largest banks by asset size in each year to mitigate the influence of outliers and market concentration. </w:t>
      </w:r>
      <w:r w:rsidR="00C16B43" w:rsidRPr="008F10DE">
        <w:rPr>
          <w:sz w:val="22"/>
          <w:szCs w:val="22"/>
        </w:rPr>
        <w:t>Across all robustness checks, the main result is consistent: Democratic wins at both the state and federal levels are systematically associated with higher state-level bank efficiency.</w:t>
      </w:r>
    </w:p>
    <w:p w14:paraId="760397A6" w14:textId="77777777" w:rsidR="005B41A3" w:rsidRDefault="005B41A3" w:rsidP="005B41A3">
      <w:pPr>
        <w:spacing w:line="360" w:lineRule="auto"/>
        <w:jc w:val="both"/>
        <w:rPr>
          <w:sz w:val="22"/>
          <w:szCs w:val="22"/>
        </w:rPr>
      </w:pPr>
    </w:p>
    <w:p w14:paraId="57EBE912" w14:textId="7E1E933D" w:rsidR="00460921" w:rsidRPr="008F10DE" w:rsidRDefault="00460921" w:rsidP="005B41A3">
      <w:pPr>
        <w:spacing w:line="360" w:lineRule="auto"/>
        <w:jc w:val="both"/>
        <w:rPr>
          <w:sz w:val="22"/>
          <w:szCs w:val="22"/>
        </w:rPr>
      </w:pPr>
      <w:r w:rsidRPr="008F10DE">
        <w:rPr>
          <w:sz w:val="22"/>
          <w:szCs w:val="22"/>
        </w:rPr>
        <w:t>Looking ahead, future studies should further explore the complex interactions among Democratic governance, banking crises, and both natural and human-induced shocks. A deeper understanding of these relationships would help clarify the channels through which political leadership and external disruptions jointly shape the stability and efficiency of the U.S. banking system. In addition, future research could examine partisan control of state governments, such as the party affiliation of governors or the composition of state legislatures, which would provide a more direct measure of state-level policymaking influence on banking performance.</w:t>
      </w:r>
    </w:p>
    <w:p w14:paraId="1B015B13" w14:textId="67416DC8" w:rsidR="00583A52" w:rsidRDefault="00583A52" w:rsidP="00C16B43">
      <w:pPr>
        <w:spacing w:line="360" w:lineRule="auto"/>
        <w:ind w:firstLine="720"/>
        <w:jc w:val="both"/>
        <w:rPr>
          <w:color w:val="0070C0"/>
          <w:sz w:val="22"/>
          <w:szCs w:val="22"/>
        </w:rPr>
      </w:pPr>
    </w:p>
    <w:p w14:paraId="5EF0AE7E" w14:textId="3C7A9CC1" w:rsidR="00532F45" w:rsidRPr="00FA1251" w:rsidRDefault="00450110" w:rsidP="00532F45">
      <w:pPr>
        <w:spacing w:line="360" w:lineRule="auto"/>
        <w:jc w:val="both"/>
        <w:rPr>
          <w:b/>
          <w:bCs/>
        </w:rPr>
      </w:pPr>
      <w:r w:rsidRPr="00FA1251">
        <w:rPr>
          <w:b/>
          <w:bCs/>
        </w:rPr>
        <w:t>CRediT authorship contribution statement</w:t>
      </w:r>
    </w:p>
    <w:p w14:paraId="63DE3B8D" w14:textId="77777777" w:rsidR="00532F45" w:rsidRPr="00532F45" w:rsidRDefault="00532F45" w:rsidP="00532F45">
      <w:pPr>
        <w:spacing w:line="360" w:lineRule="auto"/>
        <w:jc w:val="both"/>
        <w:rPr>
          <w:b/>
          <w:bCs/>
          <w:sz w:val="22"/>
          <w:szCs w:val="22"/>
        </w:rPr>
      </w:pPr>
      <w:r w:rsidRPr="00532F45">
        <w:rPr>
          <w:b/>
          <w:bCs/>
          <w:sz w:val="22"/>
          <w:szCs w:val="22"/>
        </w:rPr>
        <w:t xml:space="preserve">Data availability </w:t>
      </w:r>
    </w:p>
    <w:p w14:paraId="4AC540DE" w14:textId="5EAFBAA1" w:rsidR="00532F45" w:rsidRPr="00532F45" w:rsidRDefault="00532F45" w:rsidP="00532F45">
      <w:pPr>
        <w:spacing w:line="360" w:lineRule="auto"/>
        <w:jc w:val="both"/>
        <w:rPr>
          <w:sz w:val="22"/>
          <w:szCs w:val="22"/>
        </w:rPr>
      </w:pPr>
      <w:r w:rsidRPr="00532F45">
        <w:rPr>
          <w:sz w:val="22"/>
          <w:szCs w:val="22"/>
        </w:rPr>
        <w:t xml:space="preserve">Data will be made available on </w:t>
      </w:r>
      <w:r w:rsidR="003C71F6">
        <w:rPr>
          <w:sz w:val="22"/>
          <w:szCs w:val="22"/>
        </w:rPr>
        <w:t xml:space="preserve">reasonable </w:t>
      </w:r>
      <w:r w:rsidRPr="00532F45">
        <w:rPr>
          <w:sz w:val="22"/>
          <w:szCs w:val="22"/>
        </w:rPr>
        <w:t>request.</w:t>
      </w:r>
    </w:p>
    <w:p w14:paraId="7BA84255" w14:textId="44E43133" w:rsidR="007E3420" w:rsidRPr="007E3420" w:rsidRDefault="006C513B" w:rsidP="007E3420">
      <w:pPr>
        <w:pStyle w:val="Heading1"/>
        <w:numPr>
          <w:ilvl w:val="0"/>
          <w:numId w:val="0"/>
        </w:numPr>
        <w:rPr>
          <w:sz w:val="22"/>
          <w:szCs w:val="22"/>
        </w:rPr>
      </w:pPr>
      <w:r w:rsidRPr="000F4729">
        <w:rPr>
          <w:sz w:val="22"/>
          <w:szCs w:val="22"/>
        </w:rPr>
        <w:t>Reference</w:t>
      </w:r>
      <w:r w:rsidR="00CD71A2">
        <w:rPr>
          <w:sz w:val="22"/>
          <w:szCs w:val="22"/>
        </w:rPr>
        <w:t>s</w:t>
      </w:r>
    </w:p>
    <w:p w14:paraId="0105C3F9"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Aigner, D., Lovell, C.A.K., Schmidt, P., 1977. Formulation and Estimation of Stochastic Frontier Production Function Models. Journal of Econometrics 6, 21–37. https://doi.org/10.1016/0304-4076(77)90052-5</w:t>
      </w:r>
    </w:p>
    <w:p w14:paraId="553BDC21"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Akhigbe, A., McNulty, J.E., 2003. The Profit Efficiency of Small US Commercial Banks. Journal of Banking &amp; Finance 27, 307–325. https://doi.org/10.1016/s0378-4266(01)00250-3</w:t>
      </w:r>
    </w:p>
    <w:p w14:paraId="7478D26D"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Akhigbe, A., McNulty, J.E., Stevenson, B.A., 2017. Does the Form of Ownership Affect Firm Performance? Evidence from US Bank Profit Efficiency before and during the Financial Crisis. The Quarterly Review of Economics and Finance 64, 120–129. https://doi.org/10.1016/j.qref.2016.07.015</w:t>
      </w:r>
    </w:p>
    <w:p w14:paraId="5A2D8F3D"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Al-Khasawneh, J.A., Essaddam, N., Hussain, T., 2020. Total Productivity and Cost Efficiency Dynamics of US Merging Banks: A Non-parametric Bootstrapped Analysis of the Fifth Merger Wave. The Quarterly Review of Economics and Finance 78, 199–211. https://doi.org/10.1016/j.qref.2020.02.002</w:t>
      </w:r>
    </w:p>
    <w:p w14:paraId="20DD09E1"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Alesina, A., 1988. Credibility and Policy Convergence in a Two-party System with Rational Voters. The American Economic Review 78, 796–805.</w:t>
      </w:r>
    </w:p>
    <w:p w14:paraId="5AD0B3BC"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Alesina, A., Sachs, J., 1988. Political Parties and the Business Cycle in the United States, 1948-1984. Journal of Money, Credit and Banking 20, 63. https://doi.org/10.2307/1992667</w:t>
      </w:r>
    </w:p>
    <w:p w14:paraId="138C1994"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Anselin, L., Gallo, J.L., Jayet, H., 2008. Spatial Panel Econometrics. Advanced Studies in Theoretical and Applied Econometrics 625–660. https://doi.org/10.1007/978-3-540-75892-1_19</w:t>
      </w:r>
    </w:p>
    <w:p w14:paraId="00BDF3EC"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Anselin, L., Hudak, S., 1992. Spatial Econometrics in Practice. Regional Science and Urban Economics 22, 509–536. https://doi.org/10.1016/0166-0462(92)90042-y</w:t>
      </w:r>
    </w:p>
    <w:p w14:paraId="12435E35"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Aruoba, S.B., Diebold, F.X., Scotti, C., 2009. Real-Time Measurement of Business Conditions. Journal of Business &amp; Economic Statistics 27, 417–427. https://doi.org/10.1198/jbes.2009.07205</w:t>
      </w:r>
    </w:p>
    <w:p w14:paraId="3D81D6F2"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Assaf, A.G., Barros, C.P., Matousek, R., 2011. Technical Efficiency in Saudi Banks. Expert Systems with Applications 38, 5781–5786. https://doi.org/10.1016/j.eswa.2010.10.054</w:t>
      </w:r>
    </w:p>
    <w:p w14:paraId="391FD007"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lang w:val="fr-FR"/>
        </w:rPr>
      </w:pPr>
      <w:r w:rsidRPr="007E3420">
        <w:rPr>
          <w:rFonts w:asciiTheme="majorBidi" w:hAnsiTheme="majorBidi" w:cstheme="majorBidi"/>
          <w:sz w:val="22"/>
          <w:szCs w:val="22"/>
        </w:rPr>
        <w:t xml:space="preserve">Banker, R.D., Charnes, A., Cooper, W.W., 1984. Some Models for Estimating Technical and Scale Inefficiencies in Data Envelopment Analysis. </w:t>
      </w:r>
      <w:r w:rsidRPr="007E3420">
        <w:rPr>
          <w:rFonts w:asciiTheme="majorBidi" w:hAnsiTheme="majorBidi" w:cstheme="majorBidi"/>
          <w:sz w:val="22"/>
          <w:szCs w:val="22"/>
          <w:lang w:val="fr-FR"/>
        </w:rPr>
        <w:t>Management Science 30, 1078–1092. https://doi.org/10.1287/mnsc.30.9.1078</w:t>
      </w:r>
    </w:p>
    <w:p w14:paraId="147C7111"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lang w:val="fr-FR"/>
        </w:rPr>
        <w:t xml:space="preserve">Bao, Y., Ullah, A., 2007. </w:t>
      </w:r>
      <w:r w:rsidRPr="007E3420">
        <w:rPr>
          <w:rFonts w:asciiTheme="majorBidi" w:hAnsiTheme="majorBidi" w:cstheme="majorBidi"/>
          <w:sz w:val="22"/>
          <w:szCs w:val="22"/>
        </w:rPr>
        <w:t>The Second-order Bias and Mean Squared Error of Estimators in Time-series Models. Journal of Econometrics 140, 650–669. https://doi.org/10.1016/j.jeconom.2006.07.007</w:t>
      </w:r>
    </w:p>
    <w:p w14:paraId="050A4876"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Beccalli, E., Anolli, M., Borello, G., 2015. Are European Banks Too Big? Evidence on Economies of Scale. Journal of Banking &amp; Finance 58, 232–246. https://doi.org/10.1016/j.jbankfin.2015.04.014</w:t>
      </w:r>
    </w:p>
    <w:p w14:paraId="768A7B94"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Belotti, F., Hughes, G., Mortari, A.P., 2017. Spatial Panel-data Models Using Stata. The Stata Journal: Promoting communications on statistics and Stata 17, 139–180. https://doi.org/10.1177/1536867x1701700109</w:t>
      </w:r>
    </w:p>
    <w:p w14:paraId="39B3DD1E"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Berger, A.N., Demirgüç-Kunt, A., 2021. Banking Research in the Time of COVID-19. Journal of Financial Stability 57, 100939. https://doi.org/10.1016/j.jfs.2021.100939</w:t>
      </w:r>
    </w:p>
    <w:p w14:paraId="4436A795"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Berger, A.N., DeYoung, R., 1997. Problem Loans and Cost Efficiency in Commercial Banks. Journal of Banking &amp; Finance 21, 849–870. https://doi.org/10.1016/s0378-4266(97)00003-4</w:t>
      </w:r>
    </w:p>
    <w:p w14:paraId="7FC7D73E"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Berger, A.N., Mester, L.J., 1997. Inside the Black Box: What Explains Differences in the Efficiencies of Financial Institutions? Journal of Banking &amp; Finance 21, 895–947. https://doi.org/10.1016/s0378-4266(97)00010-1</w:t>
      </w:r>
    </w:p>
    <w:p w14:paraId="309956BE"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Bertrand, M., Kamenica, E., 2018. Coming Apart? Cultural Distances in the United States Over Time [WWW Document]. National Bureau of Economic Research. URL https://www.nber.org/papers/w24771</w:t>
      </w:r>
    </w:p>
    <w:p w14:paraId="05A17C30"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Blanchard, O.J., Katz, L.F., Hall, R.E., Eichengreen, B., 1992. Regional Evolution. Brookings Papers on Economic Activity 1, 1–75.</w:t>
      </w:r>
    </w:p>
    <w:p w14:paraId="1F25E3A7"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Blinder, A.S., Watson, M.W., 2016. Presidents and the US Economy: An Econometric Exploration. American Economic Review 106, 1015–1045. https://doi.org/10.1257/aer.20140913</w:t>
      </w:r>
    </w:p>
    <w:p w14:paraId="0B9B4993"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Brewer, M.D., 2005. The rise of Partisanship and the Expansion of Partisan Conflict within the American Electorate. Political Research Quarterly 58, 219–229. https://doi.org/10.1177/106591290505800203</w:t>
      </w:r>
    </w:p>
    <w:p w14:paraId="5F623FF4"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Cahan, D., Potrafke, N., 2021. The Democrat-Republican Presidential Growth Gap and the Partisan Balance of the State Governments. Public Choice 189, 577–601. https://doi.org/10.1007/s11127-021-00912-y</w:t>
      </w:r>
    </w:p>
    <w:p w14:paraId="573C4C48"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Casu, B., Girardone, C., 2006. Bank Competition, Concentration and Efficiency in the Single European Market. The Manchester School 74, 441–468. https://doi.org/10.1111/j.1467-9957.2006.00503.x</w:t>
      </w:r>
    </w:p>
    <w:p w14:paraId="3F473B6D"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Chappell, H.W., Keech, W.R., 1986. Party Differences in Macroeconomic Policies and Outcomes. The American Economic Review 76, 71–74.</w:t>
      </w:r>
    </w:p>
    <w:p w14:paraId="2ABF9333"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Chappell, H.W., Keech, W.R., 1985. A New View of Political Accountability for Economic Performance. The American Political Science Review 79, 10–27. https://doi.org/10.2307/1956116</w:t>
      </w:r>
    </w:p>
    <w:p w14:paraId="127ED3C3"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Charnes, A., Cooper, W.W., Rhodes, E., 1978. Measuring the Efficiency of Decision Making Units. European Journal of Operational Research 2, 429–444. https://doi.org/10.1016/0377-2217(78)90138-8</w:t>
      </w:r>
    </w:p>
    <w:p w14:paraId="268E9737"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Chortareas, G., Kapetanios, G., Ventouri, A., 2016. Credit Market Freedom and Cost Efficiency in US State Banking. Journal of Empirical Finance 37, 173–185. https://doi.org/10.1016/j.jempfin.2016.03.002</w:t>
      </w:r>
    </w:p>
    <w:p w14:paraId="474BD55F"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Claessens, S., Feijen, E., Laeven, L., 2008. Political Connections and Preferential Access to Finance: The Role of Campaign Contributions. Journal of Financial Economics 88, 554–580. https://doi.org/10.1016/j.jfineco.2006.11.003</w:t>
      </w:r>
    </w:p>
    <w:p w14:paraId="434586C9"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Comiskey, M., Marsh, L.C., 2012. Presidents, Parties, and the Business Cycle, 1949-2009. Presidential Studies Quarterly 42, 40–59. https://doi.org/10.1111/j.1741-5705.2012.03940.x</w:t>
      </w:r>
    </w:p>
    <w:p w14:paraId="5D50AEB9"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lang w:val="nl-NL"/>
        </w:rPr>
      </w:pPr>
      <w:r w:rsidRPr="007E3420">
        <w:rPr>
          <w:rFonts w:asciiTheme="majorBidi" w:hAnsiTheme="majorBidi" w:cstheme="majorBidi"/>
          <w:sz w:val="22"/>
          <w:szCs w:val="22"/>
        </w:rPr>
        <w:t xml:space="preserve">De Groot, A.J., Elhorst, J.P., 2010. Labour Market Effects of Flexicurity From a Regional Perspective. </w:t>
      </w:r>
      <w:r w:rsidRPr="007E3420">
        <w:rPr>
          <w:rFonts w:asciiTheme="majorBidi" w:hAnsiTheme="majorBidi" w:cstheme="majorBidi"/>
          <w:sz w:val="22"/>
          <w:szCs w:val="22"/>
          <w:lang w:val="nl-NL"/>
        </w:rPr>
        <w:t>Tijdschrift voor economische en sociale geografie 101, 392–408. https://doi.org/10.1111/j.1467-9663.2009.00562.x</w:t>
      </w:r>
    </w:p>
    <w:p w14:paraId="7B4BEA03"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DeYoung, R., Hasan, I., 1998. The Performance of De Novo Commercial Banks: A Profit Efficiency Approach. Journal of Banking &amp; Finance 22, 565–587. https://doi.org/10.1016/s0378-4266(98)00025-9</w:t>
      </w:r>
    </w:p>
    <w:p w14:paraId="2A5D6A21"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Doherty, C., 2017. Key Takeaways on Americans’ Growing Partisan Divide Over Political Values, https://www.pewresearch.org. Pew Research Center.</w:t>
      </w:r>
    </w:p>
    <w:p w14:paraId="5CBD4356"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Du, K., Worthington, A.C., Zelenyuk, V., 2018. Data Envelopment Analysis, Truncated Regression and Double-bootstrap for Panel Data with Application to Chinese Banking. European Journal of Operational Research 265, 748–764. https://doi.org/10.1016/j.ejor.2017.08.005</w:t>
      </w:r>
    </w:p>
    <w:p w14:paraId="63CD21CB"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Duan, K., Mishra, T., Parhi, M., Wolfe, S., 2018. How Effective are Policy Interventions in a Spatially-Embedded International Real Estate Market? The Journal of Real Estate Finance and Economics 58, 596–637. https://doi.org/10.1007/s11146-018-9654-3</w:t>
      </w:r>
    </w:p>
    <w:p w14:paraId="4F9643A2"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Duan, Y., Edwards, J.S., Dwivedi, Y.K., 2019. Artificial Intelligence for Decision Making in the Era of Big Data – Evolution, Challenges and Research Agenda. International Journal of Information Management 48, 63–71. https://doi.org/10.1016/j.ijinfomgt.2019.01.021</w:t>
      </w:r>
    </w:p>
    <w:p w14:paraId="52AD845A"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Elhorst, J.P., 2010. Applied Spatial Econometrics: Raising the Bar. Spatial Economic Analysis 5, 9–28. https://doi.org/10.1080/17421770903541772</w:t>
      </w:r>
    </w:p>
    <w:p w14:paraId="65BB5D1D"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Elhorst, J.P., Fréret, S., 2009. Evidence of Political Yardstick Competition in France Using a Two-regime. Journal of Regional Science 49, 931–951. https://doi.org/10.1111/j.1467-9787.2009.00613.x</w:t>
      </w:r>
    </w:p>
    <w:p w14:paraId="5FF01B5E"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Faccio, M., 2006. Politically Connected Firms. American Economic Review 96, 369–386. https://doi.org/10.1257/000282806776157704</w:t>
      </w:r>
    </w:p>
    <w:p w14:paraId="1956CC54"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Feng, G., Zhang, X., 2012. Productivity and Efficiency at Large and Community Banks in the US: A Bayesian True Random Effects Stochastic Distance Frontier Analysis. Journal of Banking &amp; Finance 36, 1883–1895. https://doi.org/10.1016/j.jbankfin.2012.02.008</w:t>
      </w:r>
    </w:p>
    <w:p w14:paraId="31E96A90"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Fingleton, B., Le Gallo, J., 2010. Endogeneity in a Spatial Context: Properties of Estimators, in: Progress in Spatial Analysis. Springer, Berlin.</w:t>
      </w:r>
    </w:p>
    <w:p w14:paraId="62A9EB0E"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Gerber, A.S., Huber, G.A., 2009. Partisanship and Economic Behavior: Do Partisan Differences in Economic Forecasts Predict Real Economic Behavior? American Political Science Review 103, 407–426. https://doi.org/10.1017/s0003055409990098</w:t>
      </w:r>
    </w:p>
    <w:p w14:paraId="2BAB62A3"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Gropper, D.M., Jahera, J.S., Park, J.C., 2015. Political Power, Economic Freedom and Congress: Effects on Bank Performance. Journal of Banking &amp; Finance 60, 76–92. https://doi.org/10.1016/j.jbankfin.2015.08.005</w:t>
      </w:r>
    </w:p>
    <w:p w14:paraId="68F3C5ED"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Gropper, D.M., Jahera, J.S., Park, J.C., 2013. Does It Help to Have Friends in High Places? Bank Stock Performance and Congressional Committee Chairmanships. Journal of Banking &amp; Finance 37, 1986–1999. https://doi.org/10.1016/j.jbankfin.2013.01.003</w:t>
      </w:r>
    </w:p>
    <w:p w14:paraId="6AFD1692"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lang w:val="es-ES_tradnl"/>
        </w:rPr>
        <w:t xml:space="preserve">Harris, O., Huerta, D., Ngo, T., 2013. </w:t>
      </w:r>
      <w:r w:rsidRPr="007E3420">
        <w:rPr>
          <w:rFonts w:asciiTheme="majorBidi" w:hAnsiTheme="majorBidi" w:cstheme="majorBidi"/>
          <w:sz w:val="22"/>
          <w:szCs w:val="22"/>
        </w:rPr>
        <w:t>The Impact of TARP on Bank Efficiency. Journal of International Financial Markets, Institutions and Money 24, 85–104. https://doi.org/10.1016/j.intfin.2012.12.001</w:t>
      </w:r>
    </w:p>
    <w:p w14:paraId="0A57DA73"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Heitmann, D., Chowdhury, M.A.F., Islam, M.S., 2023. Heterogeneous Impact of Covid-19 on the US Banking Sector. The North American Journal of Economics and Finance 68, 101990. https://doi.org/10.1016/j.najef.2023.101990</w:t>
      </w:r>
    </w:p>
    <w:p w14:paraId="6764278C"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Hibbs, D.A., 1977. Political Parties and Macroeconomic Policy. American Political Science Review 71, 1467–1487. https://doi.org/10.1017/s0003055400269712</w:t>
      </w:r>
    </w:p>
    <w:p w14:paraId="084E016D"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Joskow, P., Noll, R., 1981. Regulation in Theory and Practice: An Overview, in: Studies in Public Regulation. The MIT Press, Cambridge, pp. 0–262.</w:t>
      </w:r>
    </w:p>
    <w:p w14:paraId="339964BA"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Kelejian, H.H., Prucha, I.R., 1998. A Generalized Spatial Two-stage Least Squares Procedure for Estimating a Spatial Autoregressive Model with Autoregressive Disturbances. The Journal of Real Estate Finance and Economics 17, 99–121. https://doi.org/10.1023/a:1007707430416</w:t>
      </w:r>
    </w:p>
    <w:p w14:paraId="1EB9FAE8"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Kempf, E., Tsoutsura, M., 2021. Partisan Professionals: Evidence from Credit Rating Analysts. The Journal of Finance 76, 2805–2856. https://doi.org/10.1111/jofi.13083</w:t>
      </w:r>
    </w:p>
    <w:p w14:paraId="5FDB46C2"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Khan, A., Hassan, M.K., Maroney, N., Boujlil, R., Ozkan, B., 2020. Efficiency, Diversification, and Performance of US Banks. International Review of Economics &amp; Finance 67, 101–117. https://doi.org/10.1016/j.iref.2019.12.010</w:t>
      </w:r>
    </w:p>
    <w:p w14:paraId="7A366E51"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Kroszner, R.S., Strahan, P.E., 1999. What Drives Deregulation? Economics and Politics of the Relaxation of Bank Branching Restrictions. The Quarterly Journal of Economics 114, 1437–1467. https://doi.org/10.1162/003355399556223</w:t>
      </w:r>
    </w:p>
    <w:p w14:paraId="15332492"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Laeven, L., Levine, R., 2009. Bank Governance, Regulation and Risk Taking. Journal of Financial Economics 93, 259–275. https://doi.org/10.1016/j.jfineco.2008.09.003</w:t>
      </w:r>
    </w:p>
    <w:p w14:paraId="660EB45A"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Le, M., Hoang, V.-N., Wilson, C., Managi, S., 2020. Net Stable Funding Ratio and Profit Efficiency of Commercial Banks in the US. Economic Analysis and Policy 67, 55–66. https://doi.org/10.1016/j.eap.2020.05.008</w:t>
      </w:r>
    </w:p>
    <w:p w14:paraId="5D29CD31"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Lee, L., Yu, J., 2016. Identification of Spatial Durbin Panel Models. Journal of Applied Econometrics 31, 133–162. https://doi.org/10.1002/jae.2450</w:t>
      </w:r>
    </w:p>
    <w:p w14:paraId="27B1AB3E"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lang w:val="it-IT"/>
        </w:rPr>
      </w:pPr>
      <w:r w:rsidRPr="007E3420">
        <w:rPr>
          <w:rFonts w:asciiTheme="majorBidi" w:hAnsiTheme="majorBidi" w:cstheme="majorBidi"/>
          <w:sz w:val="22"/>
          <w:szCs w:val="22"/>
        </w:rPr>
        <w:t xml:space="preserve">Lee, L.-F., 2004. Asymptotic Distributions of Quasi-Maximum Likelihood Estimators for Spatial Autoregressive Models. </w:t>
      </w:r>
      <w:r w:rsidRPr="007E3420">
        <w:rPr>
          <w:rFonts w:asciiTheme="majorBidi" w:hAnsiTheme="majorBidi" w:cstheme="majorBidi"/>
          <w:sz w:val="22"/>
          <w:szCs w:val="22"/>
          <w:lang w:val="it-IT"/>
        </w:rPr>
        <w:t>Econometrica 72, 1899–1925. https://doi.org/10.1111/j.1468-0262.2004.00558.x</w:t>
      </w:r>
    </w:p>
    <w:p w14:paraId="66032637"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lang w:val="it-IT"/>
        </w:rPr>
        <w:t xml:space="preserve">LeSage, J., Pace, R.K., 2009. </w:t>
      </w:r>
      <w:r w:rsidRPr="007E3420">
        <w:rPr>
          <w:rFonts w:asciiTheme="majorBidi" w:hAnsiTheme="majorBidi" w:cstheme="majorBidi"/>
          <w:sz w:val="22"/>
          <w:szCs w:val="22"/>
        </w:rPr>
        <w:t>Introduction to Spatial Econometrics. Chapman and Hall/CRC. https://doi.org/10.1201/9781420064254</w:t>
      </w:r>
    </w:p>
    <w:p w14:paraId="21DDEAC4"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Liu, W.-M., Ngo, P.T.H., 2014. Elections, Political Competition and Bank Failure. Journal of Financial Economics 112, 251–268. https://doi.org/10.1016/j.jfineco.2014.02.005</w:t>
      </w:r>
    </w:p>
    <w:p w14:paraId="5984326D"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Manski, C.F., 1993. Identification of Endogenous Social Effects: The Reflection Problem. The Review of Economic Studies 60, 531–542. https://doi.org/10.2307/2298123</w:t>
      </w:r>
    </w:p>
    <w:p w14:paraId="3F8F558A"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Matousek, R., Tzeremes, N.G., 2016. CEO Compensation and Bank Efficiency: An Application of Conditional Nonparametric Frontiers. European Journal of Operational Research 251, 264–273. https://doi.org/10.1016/j.ejor.2015.10.035</w:t>
      </w:r>
    </w:p>
    <w:p w14:paraId="78D17615"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Matthews, K., Thompson, J.L., 2014. The Economics of Banking. John Wiley &amp; Sons, Hoboken.</w:t>
      </w:r>
    </w:p>
    <w:p w14:paraId="16ABF380"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lang w:val="pt-PT"/>
        </w:rPr>
        <w:t xml:space="preserve">MaudosJ., Fernández de Guevara, J., 2004. </w:t>
      </w:r>
      <w:r w:rsidRPr="007E3420">
        <w:rPr>
          <w:rFonts w:asciiTheme="majorBidi" w:hAnsiTheme="majorBidi" w:cstheme="majorBidi"/>
          <w:sz w:val="22"/>
          <w:szCs w:val="22"/>
        </w:rPr>
        <w:t>Factors Explaining the Interest Margin in the Banking Sectors of the European Union. Journal of Banking &amp; Finance 28, 2259–2281. https://doi.org/10.1016/j.jbankfin.2003.09.004</w:t>
      </w:r>
    </w:p>
    <w:p w14:paraId="5DA93051"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Meeusen, W., Van Den Broeck, J., 1977. Efficiency Estimation from Cobb-Douglas Production Functions with Composed Error. International Economic Review 18, 435–444. https://doi.org/10.2307/2525757</w:t>
      </w:r>
    </w:p>
    <w:p w14:paraId="3EAF83D2"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Miller, S.M., Noulas, A.G., 1996. The Technical Efficiency of Large Bank Production. Journal of Banking &amp; Finance 20, 495–509. https://doi.org/10.1016/0378-4266(95)00017-8</w:t>
      </w:r>
    </w:p>
    <w:p w14:paraId="6E60D472"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Ord, K., 1975. Estimation Methods for Models of Spatial Interaction. Journal of the American Statistical Association 70, 120–126. https://doi.org/10.1080/01621459.1975.10480272</w:t>
      </w:r>
    </w:p>
    <w:p w14:paraId="13C30C5B"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Papadimitri, P., Pasiouras, F., Pescetto, G., Wohlschlegel, A., 2021. Does Political Influence Distort Banking Regulation? Evidence from the US. Journal of Financial Stability 53, 100835. https://doi.org/10.1016/j.jfs.2020.100835</w:t>
      </w:r>
    </w:p>
    <w:p w14:paraId="3CBDCB1D"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Peltzman, S., 1976. Toward a More General Theory of Regulation. The Journal of Law and Economics 19, 211–240. https://doi.org/10.1086/466865</w:t>
      </w:r>
    </w:p>
    <w:p w14:paraId="5825D905"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lang w:val="fi-FI"/>
        </w:rPr>
        <w:t xml:space="preserve">Peltzman, S., Levine, M.E., Noll, R.G., 1989. </w:t>
      </w:r>
      <w:r w:rsidRPr="007E3420">
        <w:rPr>
          <w:rFonts w:asciiTheme="majorBidi" w:hAnsiTheme="majorBidi" w:cstheme="majorBidi"/>
          <w:sz w:val="22"/>
          <w:szCs w:val="22"/>
        </w:rPr>
        <w:t>The Economic Theory of Regulation After a Decade of Deregulation. Brookings Papers on Economic Activity. Microeconomics 1989, 1–59. https://doi.org/10.2307/2534719</w:t>
      </w:r>
    </w:p>
    <w:p w14:paraId="3F038B94"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Qu, X., Lee, L., 2012. LM Tests for Spatial Correlation in Spatial Models with Limited Dependent Variables. Regional Science and Urban Economics 42, 430–445. https://doi.org/10.1016/j.regsciurbeco.2011.11.001</w:t>
      </w:r>
    </w:p>
    <w:p w14:paraId="060E82CA"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Regmi, M., Featherstone, A.M., Cowley, C.A., Taylor, M.R., 2020. Big Banks versus Agricultural Banks: Has Too‐Big‐To‐Fail Regulation Affected Efficiency and Scale Economies Measures? American Journal of Agricultural Economics 103, 1164–1178. https://doi.org/10.1111/ajae.12143</w:t>
      </w:r>
    </w:p>
    <w:p w14:paraId="75BC2093"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Reinhard, S., Knox Lovell, C.A., Thijssen, G.J., 2000. Environmental Efficiency with Multiple Environmentally Detrimental Variables; Estimated with SFA and DEA. European Journal of Operational Research 121, 287–303. https://doi.org/10.1016/s0377-2217(99)00218-0</w:t>
      </w:r>
    </w:p>
    <w:p w14:paraId="4D3A9326"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Riley, W.B., Luksetich, W.A., 1980. The Market Prefers Republicans: Myth or Reality. The Journal of Financial and Quantitative Analysis 15, 541–560. https://doi.org/10.2307/2330399</w:t>
      </w:r>
    </w:p>
    <w:p w14:paraId="5B2BFA6F"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Rivlin, A.M., 1991. Distinguished Lecture on Economics in Government: Strengthening the Economy by Rethinking the Role of Federal and State Governments. Journal of Economic Perspectives 5, 3–14. https://doi.org/10.1257/jep.5.2.3</w:t>
      </w:r>
    </w:p>
    <w:p w14:paraId="4133682A"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Sealey, C.W., Lindley, J.T., 1977. Inputs, Outputs and a Theory of Production and Cost at Depository Financial Institutions. The Journal of Finance 32, 1251–1266. https://doi.org/10.1111/j.1540-6261.1977.tb03324.x</w:t>
      </w:r>
    </w:p>
    <w:p w14:paraId="6C2FE60D"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Simar, L., Wilson, P.W., 2007. Estimation and Inference in Two-stage, Semi-parametric Models of Production Processes. Journal of Econometrics 136, 31–64. https://doi.org/10.1016/j.jeconom.2005.07.009</w:t>
      </w:r>
    </w:p>
    <w:p w14:paraId="049975EA"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Simar, L., Wilson, P.W., 1998. Sensitivity Analysis of Efficiency Scores: How to Bootstrap in Nonparametric Frontier Models. Management Science 44, 49–61. https://doi.org/10.1287/mnsc.44.1.49</w:t>
      </w:r>
    </w:p>
    <w:p w14:paraId="0E4D48C9"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Stigler, G.J., 1984. The Theory of Economic Regulation, in: The Political Economy: Readings in the Politics and Economics of American Public Policy. Routledge, New York, pp. 3–21.</w:t>
      </w:r>
    </w:p>
    <w:p w14:paraId="45EDF207"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Tao, J., Yu, J., 2012. The Spatial Time Lag in Panel Data Models. Economics Letters 117, 544–547. https://doi.org/10.1016/j.econlet.2012.07.025</w:t>
      </w:r>
    </w:p>
    <w:p w14:paraId="546ADA6C"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Tsionas, E.G., Malikov, E., Kumbhakar, S.C., 2018. An Internally Consistent Approach to the Estimation of Market Power and Cost Efficiency with an Application to U.S. Banking. European Journal of Operational Research 270, 747–760. https://doi.org/10.1016/j.ejor.2018.04.012</w:t>
      </w:r>
    </w:p>
    <w:p w14:paraId="224A3FF2"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Wanke, P., Barros, C.P., Emrouznejad, A., 2016. Assessing Productive Efficiency of Banks using Integrated Fuzzy-DEA and Bootstrapping: A Case of Mozambican Banks. European Journal of Operational Research 249, 378–389. https://doi.org/10.1016/j.ejor.2015.10.018</w:t>
      </w:r>
    </w:p>
    <w:p w14:paraId="1583F12C" w14:textId="77777777" w:rsidR="007E3420" w:rsidRPr="007E3420" w:rsidRDefault="007E3420" w:rsidP="007E3420">
      <w:pPr>
        <w:pStyle w:val="NormalWeb"/>
        <w:spacing w:before="0" w:beforeAutospacing="0" w:after="0" w:afterAutospacing="0" w:line="360" w:lineRule="auto"/>
        <w:ind w:left="720" w:hanging="720"/>
        <w:jc w:val="both"/>
        <w:rPr>
          <w:rFonts w:asciiTheme="majorBidi" w:hAnsiTheme="majorBidi" w:cstheme="majorBidi"/>
          <w:sz w:val="22"/>
          <w:szCs w:val="22"/>
        </w:rPr>
      </w:pPr>
      <w:r w:rsidRPr="007E3420">
        <w:rPr>
          <w:rFonts w:asciiTheme="majorBidi" w:hAnsiTheme="majorBidi" w:cstheme="majorBidi"/>
          <w:sz w:val="22"/>
          <w:szCs w:val="22"/>
        </w:rPr>
        <w:t>Yu, J., Baatenburg, R.J., Lee, L., 2008. Quasi-maximum Likelihood Estimators for Spatial Dynamic Panel Data with Fixed Effects When Both n and T are Large. Journal of Econometrics 146, 118–134. https://doi.org/10.1016/j.jeconom.2008.08.002</w:t>
      </w:r>
    </w:p>
    <w:p w14:paraId="11CC50B7" w14:textId="77777777" w:rsidR="00C63EC0" w:rsidRDefault="00C63EC0" w:rsidP="000F4729">
      <w:pPr>
        <w:rPr>
          <w:sz w:val="22"/>
          <w:szCs w:val="22"/>
        </w:rPr>
      </w:pPr>
    </w:p>
    <w:p w14:paraId="4AB452FC" w14:textId="77777777" w:rsidR="007E3420" w:rsidRDefault="007E3420" w:rsidP="000F4729">
      <w:pPr>
        <w:rPr>
          <w:sz w:val="22"/>
          <w:szCs w:val="22"/>
        </w:rPr>
      </w:pPr>
    </w:p>
    <w:p w14:paraId="76BCE931" w14:textId="77777777" w:rsidR="007E3420" w:rsidRDefault="007E3420" w:rsidP="000F4729">
      <w:pPr>
        <w:rPr>
          <w:sz w:val="22"/>
          <w:szCs w:val="22"/>
        </w:rPr>
      </w:pPr>
    </w:p>
    <w:p w14:paraId="00B08E6B" w14:textId="77777777" w:rsidR="007E3420" w:rsidRDefault="007E3420" w:rsidP="000F4729">
      <w:pPr>
        <w:rPr>
          <w:sz w:val="22"/>
          <w:szCs w:val="22"/>
        </w:rPr>
      </w:pPr>
    </w:p>
    <w:p w14:paraId="0D32DA28" w14:textId="77777777" w:rsidR="007E3420" w:rsidRDefault="007E3420" w:rsidP="000F4729">
      <w:pPr>
        <w:rPr>
          <w:sz w:val="22"/>
          <w:szCs w:val="22"/>
        </w:rPr>
      </w:pPr>
    </w:p>
    <w:p w14:paraId="4574DEB6" w14:textId="77777777" w:rsidR="007E3420" w:rsidRDefault="007E3420" w:rsidP="000F4729">
      <w:pPr>
        <w:rPr>
          <w:sz w:val="22"/>
          <w:szCs w:val="22"/>
        </w:rPr>
      </w:pPr>
    </w:p>
    <w:p w14:paraId="627F7D39" w14:textId="77777777" w:rsidR="007E3420" w:rsidRDefault="007E3420" w:rsidP="000F4729">
      <w:pPr>
        <w:rPr>
          <w:sz w:val="22"/>
          <w:szCs w:val="22"/>
        </w:rPr>
      </w:pPr>
    </w:p>
    <w:p w14:paraId="0F1AA394" w14:textId="77777777" w:rsidR="00E17D40" w:rsidRDefault="00E17D40" w:rsidP="000F4729">
      <w:pPr>
        <w:rPr>
          <w:sz w:val="22"/>
          <w:szCs w:val="22"/>
        </w:rPr>
      </w:pPr>
    </w:p>
    <w:p w14:paraId="4990BB5D" w14:textId="77777777" w:rsidR="00E17D40" w:rsidRDefault="00E17D40" w:rsidP="000F4729">
      <w:pPr>
        <w:rPr>
          <w:sz w:val="22"/>
          <w:szCs w:val="22"/>
        </w:rPr>
      </w:pPr>
    </w:p>
    <w:p w14:paraId="2DD6233D" w14:textId="77777777" w:rsidR="00E17D40" w:rsidRDefault="00E17D40" w:rsidP="000F4729">
      <w:pPr>
        <w:rPr>
          <w:sz w:val="22"/>
          <w:szCs w:val="22"/>
        </w:rPr>
      </w:pPr>
    </w:p>
    <w:p w14:paraId="7977C858" w14:textId="77777777" w:rsidR="00E17D40" w:rsidRDefault="00E17D40" w:rsidP="000F4729">
      <w:pPr>
        <w:rPr>
          <w:sz w:val="22"/>
          <w:szCs w:val="22"/>
        </w:rPr>
      </w:pPr>
    </w:p>
    <w:p w14:paraId="078C6FF6" w14:textId="77777777" w:rsidR="00E17D40" w:rsidRDefault="00E17D40" w:rsidP="000F4729">
      <w:pPr>
        <w:rPr>
          <w:sz w:val="22"/>
          <w:szCs w:val="22"/>
        </w:rPr>
      </w:pPr>
    </w:p>
    <w:p w14:paraId="2DFDE3C2" w14:textId="77777777" w:rsidR="00E17D40" w:rsidRDefault="00E17D40" w:rsidP="000F4729">
      <w:pPr>
        <w:rPr>
          <w:sz w:val="22"/>
          <w:szCs w:val="22"/>
        </w:rPr>
      </w:pPr>
    </w:p>
    <w:p w14:paraId="50EB031B" w14:textId="77777777" w:rsidR="00E17D40" w:rsidRDefault="00E17D40" w:rsidP="000F4729">
      <w:pPr>
        <w:rPr>
          <w:sz w:val="22"/>
          <w:szCs w:val="22"/>
        </w:rPr>
      </w:pPr>
    </w:p>
    <w:p w14:paraId="5C7C0727" w14:textId="14DFA555" w:rsidR="00B3500A" w:rsidRDefault="00B3500A" w:rsidP="00B3500A">
      <w:pPr>
        <w:jc w:val="both"/>
        <w:rPr>
          <w:b/>
          <w:bCs/>
          <w:color w:val="000000" w:themeColor="text1"/>
          <w:sz w:val="22"/>
          <w:szCs w:val="22"/>
        </w:rPr>
      </w:pPr>
      <w:bookmarkStart w:id="24" w:name="_Hlk146915807"/>
      <w:r w:rsidRPr="00CE1CE2">
        <w:rPr>
          <w:b/>
          <w:bCs/>
          <w:color w:val="000000" w:themeColor="text1"/>
          <w:sz w:val="22"/>
          <w:szCs w:val="22"/>
        </w:rPr>
        <w:t>T</w:t>
      </w:r>
      <w:r w:rsidR="00FA7ADA">
        <w:rPr>
          <w:b/>
          <w:bCs/>
          <w:color w:val="000000" w:themeColor="text1"/>
          <w:sz w:val="22"/>
          <w:szCs w:val="22"/>
        </w:rPr>
        <w:t>ABLE</w:t>
      </w:r>
      <w:r w:rsidRPr="00CE1CE2">
        <w:rPr>
          <w:b/>
          <w:bCs/>
          <w:color w:val="000000" w:themeColor="text1"/>
          <w:sz w:val="22"/>
          <w:szCs w:val="22"/>
        </w:rPr>
        <w:t xml:space="preserve"> 1</w:t>
      </w:r>
    </w:p>
    <w:p w14:paraId="1D2B41E1" w14:textId="77777777" w:rsidR="00B3500A" w:rsidRPr="000940A7" w:rsidRDefault="00B3500A" w:rsidP="00B3500A">
      <w:pPr>
        <w:jc w:val="both"/>
        <w:rPr>
          <w:color w:val="000000" w:themeColor="text1"/>
          <w:sz w:val="22"/>
          <w:szCs w:val="22"/>
        </w:rPr>
      </w:pPr>
      <w:r w:rsidRPr="000940A7">
        <w:rPr>
          <w:color w:val="000000" w:themeColor="text1"/>
          <w:sz w:val="22"/>
          <w:szCs w:val="22"/>
        </w:rPr>
        <w:t>U.S. presidential elections results from 1972 to 2020 at the state and federal levels.</w:t>
      </w:r>
    </w:p>
    <w:tbl>
      <w:tblPr>
        <w:tblW w:w="9811" w:type="dxa"/>
        <w:tblInd w:w="-270" w:type="dxa"/>
        <w:tblLook w:val="04A0" w:firstRow="1" w:lastRow="0" w:firstColumn="1" w:lastColumn="0" w:noHBand="0" w:noVBand="1"/>
      </w:tblPr>
      <w:tblGrid>
        <w:gridCol w:w="2050"/>
        <w:gridCol w:w="576"/>
        <w:gridCol w:w="576"/>
        <w:gridCol w:w="576"/>
        <w:gridCol w:w="576"/>
        <w:gridCol w:w="576"/>
        <w:gridCol w:w="576"/>
        <w:gridCol w:w="576"/>
        <w:gridCol w:w="576"/>
        <w:gridCol w:w="576"/>
        <w:gridCol w:w="576"/>
        <w:gridCol w:w="576"/>
        <w:gridCol w:w="849"/>
        <w:gridCol w:w="576"/>
      </w:tblGrid>
      <w:tr w:rsidR="00B3500A" w:rsidRPr="00BA7E3C" w14:paraId="66B559D1" w14:textId="77777777" w:rsidTr="00D62AD1">
        <w:trPr>
          <w:trHeight w:val="240"/>
        </w:trPr>
        <w:tc>
          <w:tcPr>
            <w:tcW w:w="2050" w:type="dxa"/>
            <w:vMerge w:val="restart"/>
            <w:tcBorders>
              <w:top w:val="single" w:sz="8" w:space="0" w:color="auto"/>
              <w:left w:val="nil"/>
              <w:bottom w:val="single" w:sz="8" w:space="0" w:color="000000"/>
              <w:right w:val="single" w:sz="8" w:space="0" w:color="auto"/>
            </w:tcBorders>
            <w:noWrap/>
            <w:vAlign w:val="center"/>
            <w:hideMark/>
          </w:tcPr>
          <w:p w14:paraId="1F8B1EFF"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State</w:t>
            </w:r>
          </w:p>
        </w:tc>
        <w:tc>
          <w:tcPr>
            <w:tcW w:w="7761" w:type="dxa"/>
            <w:gridSpan w:val="13"/>
            <w:tcBorders>
              <w:top w:val="single" w:sz="8" w:space="0" w:color="auto"/>
              <w:left w:val="nil"/>
              <w:bottom w:val="single" w:sz="8" w:space="0" w:color="auto"/>
            </w:tcBorders>
            <w:noWrap/>
            <w:vAlign w:val="center"/>
            <w:hideMark/>
          </w:tcPr>
          <w:p w14:paraId="3730D057"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Years</w:t>
            </w:r>
          </w:p>
        </w:tc>
      </w:tr>
      <w:tr w:rsidR="00B3500A" w:rsidRPr="00BA7E3C" w14:paraId="5BD033C8" w14:textId="77777777" w:rsidTr="00D62AD1">
        <w:trPr>
          <w:trHeight w:val="240"/>
        </w:trPr>
        <w:tc>
          <w:tcPr>
            <w:tcW w:w="2050" w:type="dxa"/>
            <w:vMerge/>
            <w:tcBorders>
              <w:top w:val="single" w:sz="8" w:space="0" w:color="auto"/>
              <w:left w:val="nil"/>
              <w:bottom w:val="single" w:sz="8" w:space="0" w:color="000000"/>
              <w:right w:val="single" w:sz="8" w:space="0" w:color="auto"/>
            </w:tcBorders>
            <w:vAlign w:val="center"/>
            <w:hideMark/>
          </w:tcPr>
          <w:p w14:paraId="56439A50" w14:textId="77777777" w:rsidR="00B3500A" w:rsidRPr="00BA7E3C" w:rsidRDefault="00B3500A" w:rsidP="00D62AD1">
            <w:pPr>
              <w:rPr>
                <w:b/>
                <w:bCs/>
                <w:color w:val="000000"/>
                <w:sz w:val="16"/>
                <w:szCs w:val="16"/>
                <w:lang w:val="en-US"/>
              </w:rPr>
            </w:pPr>
          </w:p>
        </w:tc>
        <w:tc>
          <w:tcPr>
            <w:tcW w:w="576" w:type="dxa"/>
            <w:tcBorders>
              <w:top w:val="nil"/>
              <w:left w:val="nil"/>
              <w:bottom w:val="single" w:sz="8" w:space="0" w:color="auto"/>
              <w:right w:val="nil"/>
            </w:tcBorders>
            <w:noWrap/>
            <w:vAlign w:val="center"/>
            <w:hideMark/>
          </w:tcPr>
          <w:p w14:paraId="7A83E4C6"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1972</w:t>
            </w:r>
          </w:p>
        </w:tc>
        <w:tc>
          <w:tcPr>
            <w:tcW w:w="576" w:type="dxa"/>
            <w:tcBorders>
              <w:top w:val="nil"/>
              <w:left w:val="nil"/>
              <w:bottom w:val="single" w:sz="8" w:space="0" w:color="auto"/>
              <w:right w:val="nil"/>
            </w:tcBorders>
            <w:noWrap/>
            <w:vAlign w:val="center"/>
            <w:hideMark/>
          </w:tcPr>
          <w:p w14:paraId="30EC677B"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1976</w:t>
            </w:r>
          </w:p>
        </w:tc>
        <w:tc>
          <w:tcPr>
            <w:tcW w:w="576" w:type="dxa"/>
            <w:tcBorders>
              <w:top w:val="nil"/>
              <w:left w:val="nil"/>
              <w:bottom w:val="single" w:sz="8" w:space="0" w:color="auto"/>
              <w:right w:val="nil"/>
            </w:tcBorders>
            <w:noWrap/>
            <w:vAlign w:val="center"/>
            <w:hideMark/>
          </w:tcPr>
          <w:p w14:paraId="784AB4B8"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1980</w:t>
            </w:r>
          </w:p>
        </w:tc>
        <w:tc>
          <w:tcPr>
            <w:tcW w:w="576" w:type="dxa"/>
            <w:tcBorders>
              <w:top w:val="nil"/>
              <w:left w:val="nil"/>
              <w:bottom w:val="single" w:sz="8" w:space="0" w:color="auto"/>
              <w:right w:val="nil"/>
            </w:tcBorders>
            <w:noWrap/>
            <w:vAlign w:val="center"/>
            <w:hideMark/>
          </w:tcPr>
          <w:p w14:paraId="6503EB48"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1984</w:t>
            </w:r>
          </w:p>
        </w:tc>
        <w:tc>
          <w:tcPr>
            <w:tcW w:w="576" w:type="dxa"/>
            <w:tcBorders>
              <w:top w:val="nil"/>
              <w:left w:val="nil"/>
              <w:bottom w:val="single" w:sz="8" w:space="0" w:color="auto"/>
              <w:right w:val="nil"/>
            </w:tcBorders>
            <w:noWrap/>
            <w:vAlign w:val="center"/>
            <w:hideMark/>
          </w:tcPr>
          <w:p w14:paraId="62660D7C"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1988</w:t>
            </w:r>
          </w:p>
        </w:tc>
        <w:tc>
          <w:tcPr>
            <w:tcW w:w="576" w:type="dxa"/>
            <w:tcBorders>
              <w:top w:val="nil"/>
              <w:left w:val="nil"/>
              <w:bottom w:val="single" w:sz="8" w:space="0" w:color="auto"/>
              <w:right w:val="nil"/>
            </w:tcBorders>
            <w:noWrap/>
            <w:vAlign w:val="center"/>
            <w:hideMark/>
          </w:tcPr>
          <w:p w14:paraId="00203035"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1992</w:t>
            </w:r>
          </w:p>
        </w:tc>
        <w:tc>
          <w:tcPr>
            <w:tcW w:w="576" w:type="dxa"/>
            <w:tcBorders>
              <w:top w:val="nil"/>
              <w:left w:val="nil"/>
              <w:bottom w:val="single" w:sz="8" w:space="0" w:color="auto"/>
              <w:right w:val="nil"/>
            </w:tcBorders>
            <w:noWrap/>
            <w:vAlign w:val="center"/>
            <w:hideMark/>
          </w:tcPr>
          <w:p w14:paraId="6DE612C7"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1996</w:t>
            </w:r>
          </w:p>
        </w:tc>
        <w:tc>
          <w:tcPr>
            <w:tcW w:w="576" w:type="dxa"/>
            <w:tcBorders>
              <w:top w:val="nil"/>
              <w:left w:val="nil"/>
              <w:bottom w:val="single" w:sz="8" w:space="0" w:color="auto"/>
              <w:right w:val="nil"/>
            </w:tcBorders>
            <w:noWrap/>
            <w:vAlign w:val="center"/>
            <w:hideMark/>
          </w:tcPr>
          <w:p w14:paraId="2E6B5EF9"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2000</w:t>
            </w:r>
          </w:p>
        </w:tc>
        <w:tc>
          <w:tcPr>
            <w:tcW w:w="576" w:type="dxa"/>
            <w:tcBorders>
              <w:top w:val="nil"/>
              <w:left w:val="nil"/>
              <w:bottom w:val="single" w:sz="8" w:space="0" w:color="auto"/>
              <w:right w:val="nil"/>
            </w:tcBorders>
            <w:noWrap/>
            <w:vAlign w:val="center"/>
            <w:hideMark/>
          </w:tcPr>
          <w:p w14:paraId="68272FED"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2004</w:t>
            </w:r>
          </w:p>
        </w:tc>
        <w:tc>
          <w:tcPr>
            <w:tcW w:w="576" w:type="dxa"/>
            <w:tcBorders>
              <w:top w:val="nil"/>
              <w:left w:val="nil"/>
              <w:bottom w:val="single" w:sz="8" w:space="0" w:color="auto"/>
              <w:right w:val="nil"/>
            </w:tcBorders>
            <w:noWrap/>
            <w:vAlign w:val="center"/>
            <w:hideMark/>
          </w:tcPr>
          <w:p w14:paraId="42667D26"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2008</w:t>
            </w:r>
          </w:p>
        </w:tc>
        <w:tc>
          <w:tcPr>
            <w:tcW w:w="576" w:type="dxa"/>
            <w:tcBorders>
              <w:top w:val="nil"/>
              <w:left w:val="nil"/>
              <w:bottom w:val="single" w:sz="8" w:space="0" w:color="auto"/>
              <w:right w:val="nil"/>
            </w:tcBorders>
            <w:noWrap/>
            <w:vAlign w:val="center"/>
            <w:hideMark/>
          </w:tcPr>
          <w:p w14:paraId="70DC03C7"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2012</w:t>
            </w:r>
          </w:p>
        </w:tc>
        <w:tc>
          <w:tcPr>
            <w:tcW w:w="849" w:type="dxa"/>
            <w:tcBorders>
              <w:top w:val="nil"/>
              <w:left w:val="nil"/>
              <w:bottom w:val="single" w:sz="8" w:space="0" w:color="auto"/>
              <w:right w:val="nil"/>
            </w:tcBorders>
            <w:noWrap/>
            <w:vAlign w:val="center"/>
            <w:hideMark/>
          </w:tcPr>
          <w:p w14:paraId="4389D57D"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2016</w:t>
            </w:r>
          </w:p>
        </w:tc>
        <w:tc>
          <w:tcPr>
            <w:tcW w:w="576" w:type="dxa"/>
            <w:tcBorders>
              <w:top w:val="single" w:sz="8" w:space="0" w:color="auto"/>
              <w:left w:val="nil"/>
              <w:bottom w:val="single" w:sz="8" w:space="0" w:color="auto"/>
              <w:right w:val="nil"/>
            </w:tcBorders>
            <w:noWrap/>
            <w:vAlign w:val="center"/>
            <w:hideMark/>
          </w:tcPr>
          <w:p w14:paraId="19D00157"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2020</w:t>
            </w:r>
          </w:p>
        </w:tc>
      </w:tr>
      <w:tr w:rsidR="00B3500A" w:rsidRPr="00BA7E3C" w14:paraId="68B698DE" w14:textId="77777777" w:rsidTr="00D62AD1">
        <w:trPr>
          <w:trHeight w:val="225"/>
        </w:trPr>
        <w:tc>
          <w:tcPr>
            <w:tcW w:w="2050" w:type="dxa"/>
            <w:tcBorders>
              <w:top w:val="nil"/>
              <w:left w:val="nil"/>
              <w:bottom w:val="nil"/>
              <w:right w:val="single" w:sz="8" w:space="0" w:color="auto"/>
            </w:tcBorders>
            <w:noWrap/>
            <w:vAlign w:val="center"/>
            <w:hideMark/>
          </w:tcPr>
          <w:p w14:paraId="5D5F5CF1" w14:textId="77777777" w:rsidR="00B3500A" w:rsidRPr="00BA7E3C" w:rsidRDefault="00B3500A" w:rsidP="00D62AD1">
            <w:pPr>
              <w:rPr>
                <w:color w:val="000000"/>
                <w:sz w:val="16"/>
                <w:szCs w:val="16"/>
                <w:lang w:val="en-US"/>
              </w:rPr>
            </w:pPr>
            <w:r w:rsidRPr="00BA7E3C">
              <w:rPr>
                <w:color w:val="000000"/>
                <w:sz w:val="16"/>
                <w:szCs w:val="16"/>
                <w:lang w:val="en-US"/>
              </w:rPr>
              <w:t> </w:t>
            </w:r>
          </w:p>
        </w:tc>
        <w:tc>
          <w:tcPr>
            <w:tcW w:w="576" w:type="dxa"/>
            <w:tcBorders>
              <w:top w:val="nil"/>
              <w:left w:val="nil"/>
              <w:bottom w:val="nil"/>
              <w:right w:val="nil"/>
            </w:tcBorders>
            <w:noWrap/>
            <w:vAlign w:val="center"/>
            <w:hideMark/>
          </w:tcPr>
          <w:p w14:paraId="2E7D68DC" w14:textId="77777777" w:rsidR="00B3500A" w:rsidRPr="00BA7E3C" w:rsidRDefault="00B3500A" w:rsidP="00D62AD1">
            <w:pPr>
              <w:rPr>
                <w:color w:val="000000"/>
                <w:sz w:val="16"/>
                <w:szCs w:val="16"/>
                <w:lang w:val="en-US"/>
              </w:rPr>
            </w:pPr>
          </w:p>
        </w:tc>
        <w:tc>
          <w:tcPr>
            <w:tcW w:w="576" w:type="dxa"/>
            <w:tcBorders>
              <w:top w:val="nil"/>
              <w:left w:val="nil"/>
              <w:bottom w:val="nil"/>
              <w:right w:val="nil"/>
            </w:tcBorders>
            <w:noWrap/>
            <w:vAlign w:val="center"/>
            <w:hideMark/>
          </w:tcPr>
          <w:p w14:paraId="1C2C9B90" w14:textId="77777777" w:rsidR="00B3500A" w:rsidRPr="00BA7E3C" w:rsidRDefault="00B3500A" w:rsidP="00D62AD1">
            <w:pPr>
              <w:rPr>
                <w:sz w:val="16"/>
                <w:szCs w:val="16"/>
                <w:lang w:val="en-US"/>
              </w:rPr>
            </w:pPr>
          </w:p>
        </w:tc>
        <w:tc>
          <w:tcPr>
            <w:tcW w:w="576" w:type="dxa"/>
            <w:tcBorders>
              <w:top w:val="nil"/>
              <w:left w:val="nil"/>
              <w:bottom w:val="nil"/>
              <w:right w:val="nil"/>
            </w:tcBorders>
            <w:noWrap/>
            <w:vAlign w:val="center"/>
            <w:hideMark/>
          </w:tcPr>
          <w:p w14:paraId="76589C68" w14:textId="77777777" w:rsidR="00B3500A" w:rsidRPr="00BA7E3C" w:rsidRDefault="00B3500A" w:rsidP="00D62AD1">
            <w:pPr>
              <w:rPr>
                <w:sz w:val="16"/>
                <w:szCs w:val="16"/>
                <w:lang w:val="en-US"/>
              </w:rPr>
            </w:pPr>
          </w:p>
        </w:tc>
        <w:tc>
          <w:tcPr>
            <w:tcW w:w="576" w:type="dxa"/>
            <w:tcBorders>
              <w:top w:val="nil"/>
              <w:left w:val="nil"/>
              <w:bottom w:val="nil"/>
              <w:right w:val="nil"/>
            </w:tcBorders>
            <w:noWrap/>
            <w:vAlign w:val="center"/>
            <w:hideMark/>
          </w:tcPr>
          <w:p w14:paraId="40752B5B" w14:textId="77777777" w:rsidR="00B3500A" w:rsidRPr="00BA7E3C" w:rsidRDefault="00B3500A" w:rsidP="00D62AD1">
            <w:pPr>
              <w:rPr>
                <w:sz w:val="16"/>
                <w:szCs w:val="16"/>
                <w:lang w:val="en-US"/>
              </w:rPr>
            </w:pPr>
          </w:p>
        </w:tc>
        <w:tc>
          <w:tcPr>
            <w:tcW w:w="576" w:type="dxa"/>
            <w:tcBorders>
              <w:top w:val="nil"/>
              <w:left w:val="nil"/>
              <w:bottom w:val="nil"/>
              <w:right w:val="nil"/>
            </w:tcBorders>
            <w:noWrap/>
            <w:vAlign w:val="center"/>
            <w:hideMark/>
          </w:tcPr>
          <w:p w14:paraId="6A0D1959" w14:textId="77777777" w:rsidR="00B3500A" w:rsidRPr="00BA7E3C" w:rsidRDefault="00B3500A" w:rsidP="00D62AD1">
            <w:pPr>
              <w:rPr>
                <w:sz w:val="16"/>
                <w:szCs w:val="16"/>
                <w:lang w:val="en-US"/>
              </w:rPr>
            </w:pPr>
          </w:p>
        </w:tc>
        <w:tc>
          <w:tcPr>
            <w:tcW w:w="576" w:type="dxa"/>
            <w:tcBorders>
              <w:top w:val="nil"/>
              <w:left w:val="nil"/>
              <w:bottom w:val="nil"/>
              <w:right w:val="nil"/>
            </w:tcBorders>
            <w:noWrap/>
            <w:vAlign w:val="center"/>
            <w:hideMark/>
          </w:tcPr>
          <w:p w14:paraId="13925CA0" w14:textId="77777777" w:rsidR="00B3500A" w:rsidRPr="00BA7E3C" w:rsidRDefault="00B3500A" w:rsidP="00D62AD1">
            <w:pPr>
              <w:rPr>
                <w:sz w:val="16"/>
                <w:szCs w:val="16"/>
                <w:lang w:val="en-US"/>
              </w:rPr>
            </w:pPr>
          </w:p>
        </w:tc>
        <w:tc>
          <w:tcPr>
            <w:tcW w:w="576" w:type="dxa"/>
            <w:tcBorders>
              <w:top w:val="nil"/>
              <w:left w:val="nil"/>
              <w:bottom w:val="nil"/>
              <w:right w:val="nil"/>
            </w:tcBorders>
            <w:noWrap/>
            <w:vAlign w:val="center"/>
            <w:hideMark/>
          </w:tcPr>
          <w:p w14:paraId="70F8322D" w14:textId="77777777" w:rsidR="00B3500A" w:rsidRPr="00BA7E3C" w:rsidRDefault="00B3500A" w:rsidP="00D62AD1">
            <w:pPr>
              <w:rPr>
                <w:sz w:val="16"/>
                <w:szCs w:val="16"/>
                <w:lang w:val="en-US"/>
              </w:rPr>
            </w:pPr>
          </w:p>
        </w:tc>
        <w:tc>
          <w:tcPr>
            <w:tcW w:w="576" w:type="dxa"/>
            <w:tcBorders>
              <w:top w:val="nil"/>
              <w:left w:val="nil"/>
              <w:bottom w:val="nil"/>
              <w:right w:val="nil"/>
            </w:tcBorders>
            <w:noWrap/>
            <w:vAlign w:val="center"/>
            <w:hideMark/>
          </w:tcPr>
          <w:p w14:paraId="7CA9D032" w14:textId="77777777" w:rsidR="00B3500A" w:rsidRPr="00BA7E3C" w:rsidRDefault="00B3500A" w:rsidP="00D62AD1">
            <w:pPr>
              <w:rPr>
                <w:sz w:val="16"/>
                <w:szCs w:val="16"/>
                <w:lang w:val="en-US"/>
              </w:rPr>
            </w:pPr>
          </w:p>
        </w:tc>
        <w:tc>
          <w:tcPr>
            <w:tcW w:w="576" w:type="dxa"/>
            <w:tcBorders>
              <w:top w:val="nil"/>
              <w:left w:val="nil"/>
              <w:bottom w:val="nil"/>
              <w:right w:val="nil"/>
            </w:tcBorders>
            <w:noWrap/>
            <w:vAlign w:val="center"/>
            <w:hideMark/>
          </w:tcPr>
          <w:p w14:paraId="19A50514" w14:textId="77777777" w:rsidR="00B3500A" w:rsidRPr="00BA7E3C" w:rsidRDefault="00B3500A" w:rsidP="00D62AD1">
            <w:pPr>
              <w:rPr>
                <w:sz w:val="16"/>
                <w:szCs w:val="16"/>
                <w:lang w:val="en-US"/>
              </w:rPr>
            </w:pPr>
          </w:p>
        </w:tc>
        <w:tc>
          <w:tcPr>
            <w:tcW w:w="576" w:type="dxa"/>
            <w:tcBorders>
              <w:top w:val="nil"/>
              <w:left w:val="nil"/>
              <w:bottom w:val="nil"/>
              <w:right w:val="nil"/>
            </w:tcBorders>
            <w:noWrap/>
            <w:vAlign w:val="center"/>
            <w:hideMark/>
          </w:tcPr>
          <w:p w14:paraId="6AC08DEE" w14:textId="77777777" w:rsidR="00B3500A" w:rsidRPr="00BA7E3C" w:rsidRDefault="00B3500A" w:rsidP="00D62AD1">
            <w:pPr>
              <w:rPr>
                <w:sz w:val="16"/>
                <w:szCs w:val="16"/>
                <w:lang w:val="en-US"/>
              </w:rPr>
            </w:pPr>
          </w:p>
        </w:tc>
        <w:tc>
          <w:tcPr>
            <w:tcW w:w="576" w:type="dxa"/>
            <w:tcBorders>
              <w:top w:val="nil"/>
              <w:left w:val="nil"/>
              <w:bottom w:val="nil"/>
              <w:right w:val="nil"/>
            </w:tcBorders>
            <w:noWrap/>
            <w:vAlign w:val="center"/>
            <w:hideMark/>
          </w:tcPr>
          <w:p w14:paraId="7811D01B" w14:textId="77777777" w:rsidR="00B3500A" w:rsidRPr="00BA7E3C" w:rsidRDefault="00B3500A" w:rsidP="00D62AD1">
            <w:pPr>
              <w:rPr>
                <w:sz w:val="16"/>
                <w:szCs w:val="16"/>
                <w:lang w:val="en-US"/>
              </w:rPr>
            </w:pPr>
          </w:p>
        </w:tc>
        <w:tc>
          <w:tcPr>
            <w:tcW w:w="849" w:type="dxa"/>
            <w:tcBorders>
              <w:top w:val="nil"/>
              <w:left w:val="nil"/>
              <w:bottom w:val="nil"/>
              <w:right w:val="nil"/>
            </w:tcBorders>
            <w:noWrap/>
            <w:vAlign w:val="center"/>
            <w:hideMark/>
          </w:tcPr>
          <w:p w14:paraId="5E69842F" w14:textId="77777777" w:rsidR="00B3500A" w:rsidRPr="00BA7E3C" w:rsidRDefault="00B3500A" w:rsidP="00D62AD1">
            <w:pPr>
              <w:rPr>
                <w:sz w:val="16"/>
                <w:szCs w:val="16"/>
                <w:lang w:val="en-US"/>
              </w:rPr>
            </w:pPr>
          </w:p>
        </w:tc>
        <w:tc>
          <w:tcPr>
            <w:tcW w:w="576" w:type="dxa"/>
            <w:tcBorders>
              <w:top w:val="nil"/>
              <w:left w:val="nil"/>
              <w:bottom w:val="nil"/>
              <w:right w:val="nil"/>
            </w:tcBorders>
            <w:noWrap/>
            <w:vAlign w:val="center"/>
            <w:hideMark/>
          </w:tcPr>
          <w:p w14:paraId="1100D9F7" w14:textId="77777777" w:rsidR="00B3500A" w:rsidRPr="00BA7E3C" w:rsidRDefault="00B3500A" w:rsidP="00D62AD1">
            <w:pPr>
              <w:rPr>
                <w:sz w:val="16"/>
                <w:szCs w:val="16"/>
                <w:lang w:val="en-US"/>
              </w:rPr>
            </w:pPr>
          </w:p>
        </w:tc>
      </w:tr>
      <w:tr w:rsidR="00B3500A" w:rsidRPr="00BA7E3C" w14:paraId="31DD3ABF" w14:textId="77777777" w:rsidTr="00D62AD1">
        <w:trPr>
          <w:trHeight w:val="225"/>
        </w:trPr>
        <w:tc>
          <w:tcPr>
            <w:tcW w:w="2050" w:type="dxa"/>
            <w:tcBorders>
              <w:top w:val="nil"/>
              <w:left w:val="nil"/>
              <w:bottom w:val="nil"/>
              <w:right w:val="single" w:sz="8" w:space="0" w:color="auto"/>
            </w:tcBorders>
            <w:noWrap/>
            <w:vAlign w:val="center"/>
            <w:hideMark/>
          </w:tcPr>
          <w:p w14:paraId="40136912" w14:textId="77777777" w:rsidR="00B3500A" w:rsidRPr="00BA7E3C" w:rsidRDefault="00B3500A" w:rsidP="00D62AD1">
            <w:pPr>
              <w:rPr>
                <w:color w:val="000000"/>
                <w:sz w:val="16"/>
                <w:szCs w:val="16"/>
                <w:lang w:val="en-US"/>
              </w:rPr>
            </w:pPr>
            <w:r w:rsidRPr="00BA7E3C">
              <w:rPr>
                <w:color w:val="000000"/>
                <w:sz w:val="16"/>
                <w:szCs w:val="16"/>
                <w:lang w:val="en-US"/>
              </w:rPr>
              <w:t>Alabama (R)</w:t>
            </w:r>
          </w:p>
        </w:tc>
        <w:tc>
          <w:tcPr>
            <w:tcW w:w="576" w:type="dxa"/>
            <w:tcBorders>
              <w:top w:val="nil"/>
              <w:left w:val="nil"/>
              <w:bottom w:val="nil"/>
              <w:right w:val="nil"/>
            </w:tcBorders>
            <w:shd w:val="clear" w:color="000000" w:fill="FFC7CE"/>
            <w:noWrap/>
            <w:vAlign w:val="center"/>
            <w:hideMark/>
          </w:tcPr>
          <w:p w14:paraId="43B2AB0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385752E7"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0914465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9DAD94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BCDA38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B0730C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DE65D9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9A13EE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9F6DD9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EA0A4A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3D8911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0643596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0C99EC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607AFD4B" w14:textId="77777777" w:rsidTr="00D62AD1">
        <w:trPr>
          <w:trHeight w:val="225"/>
        </w:trPr>
        <w:tc>
          <w:tcPr>
            <w:tcW w:w="2050" w:type="dxa"/>
            <w:tcBorders>
              <w:top w:val="nil"/>
              <w:left w:val="nil"/>
              <w:bottom w:val="nil"/>
              <w:right w:val="single" w:sz="8" w:space="0" w:color="auto"/>
            </w:tcBorders>
            <w:noWrap/>
            <w:vAlign w:val="center"/>
            <w:hideMark/>
          </w:tcPr>
          <w:p w14:paraId="0F236DEF" w14:textId="77777777" w:rsidR="00B3500A" w:rsidRPr="00BA7E3C" w:rsidRDefault="00B3500A" w:rsidP="00D62AD1">
            <w:pPr>
              <w:rPr>
                <w:color w:val="000000"/>
                <w:sz w:val="16"/>
                <w:szCs w:val="16"/>
                <w:lang w:val="en-US"/>
              </w:rPr>
            </w:pPr>
            <w:r w:rsidRPr="00BA7E3C">
              <w:rPr>
                <w:color w:val="000000"/>
                <w:sz w:val="16"/>
                <w:szCs w:val="16"/>
                <w:lang w:val="en-US"/>
              </w:rPr>
              <w:t>Alaska (R)</w:t>
            </w:r>
          </w:p>
        </w:tc>
        <w:tc>
          <w:tcPr>
            <w:tcW w:w="576" w:type="dxa"/>
            <w:tcBorders>
              <w:top w:val="nil"/>
              <w:left w:val="nil"/>
              <w:bottom w:val="nil"/>
              <w:right w:val="nil"/>
            </w:tcBorders>
            <w:shd w:val="clear" w:color="000000" w:fill="FFC7CE"/>
            <w:noWrap/>
            <w:vAlign w:val="center"/>
            <w:hideMark/>
          </w:tcPr>
          <w:p w14:paraId="5D3D144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B40F42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5E3C47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DF45DC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2BE414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7DB448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1E0623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82548F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96C721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062823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E2AADA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3655D86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65BF2B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55A3E65E" w14:textId="77777777" w:rsidTr="00D62AD1">
        <w:trPr>
          <w:trHeight w:val="225"/>
        </w:trPr>
        <w:tc>
          <w:tcPr>
            <w:tcW w:w="2050" w:type="dxa"/>
            <w:tcBorders>
              <w:top w:val="nil"/>
              <w:left w:val="nil"/>
              <w:bottom w:val="nil"/>
              <w:right w:val="single" w:sz="8" w:space="0" w:color="auto"/>
            </w:tcBorders>
            <w:noWrap/>
            <w:vAlign w:val="center"/>
            <w:hideMark/>
          </w:tcPr>
          <w:p w14:paraId="69540388" w14:textId="77777777" w:rsidR="00B3500A" w:rsidRPr="00BA7E3C" w:rsidRDefault="00B3500A" w:rsidP="00D62AD1">
            <w:pPr>
              <w:rPr>
                <w:color w:val="000000"/>
                <w:sz w:val="16"/>
                <w:szCs w:val="16"/>
                <w:lang w:val="en-US"/>
              </w:rPr>
            </w:pPr>
            <w:r w:rsidRPr="00BA7E3C">
              <w:rPr>
                <w:color w:val="000000"/>
                <w:sz w:val="16"/>
                <w:szCs w:val="16"/>
                <w:lang w:val="en-US"/>
              </w:rPr>
              <w:t>Arizona (R)</w:t>
            </w:r>
          </w:p>
        </w:tc>
        <w:tc>
          <w:tcPr>
            <w:tcW w:w="576" w:type="dxa"/>
            <w:tcBorders>
              <w:top w:val="nil"/>
              <w:left w:val="nil"/>
              <w:bottom w:val="nil"/>
              <w:right w:val="nil"/>
            </w:tcBorders>
            <w:shd w:val="clear" w:color="000000" w:fill="FFC7CE"/>
            <w:noWrap/>
            <w:vAlign w:val="center"/>
            <w:hideMark/>
          </w:tcPr>
          <w:p w14:paraId="571857B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BE9E31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6BAD55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897EDA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784371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641717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77AC0BA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1E48ACF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5202D5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E79140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6019F0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273E33D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1856D13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5E0BC674" w14:textId="77777777" w:rsidTr="00D62AD1">
        <w:trPr>
          <w:trHeight w:val="225"/>
        </w:trPr>
        <w:tc>
          <w:tcPr>
            <w:tcW w:w="2050" w:type="dxa"/>
            <w:tcBorders>
              <w:top w:val="nil"/>
              <w:left w:val="nil"/>
              <w:bottom w:val="nil"/>
              <w:right w:val="single" w:sz="8" w:space="0" w:color="auto"/>
            </w:tcBorders>
            <w:noWrap/>
            <w:vAlign w:val="center"/>
            <w:hideMark/>
          </w:tcPr>
          <w:p w14:paraId="0BC98C61" w14:textId="77777777" w:rsidR="00B3500A" w:rsidRPr="00BA7E3C" w:rsidRDefault="00B3500A" w:rsidP="00D62AD1">
            <w:pPr>
              <w:rPr>
                <w:color w:val="000000"/>
                <w:sz w:val="16"/>
                <w:szCs w:val="16"/>
                <w:lang w:val="en-US"/>
              </w:rPr>
            </w:pPr>
            <w:r w:rsidRPr="00BA7E3C">
              <w:rPr>
                <w:color w:val="000000"/>
                <w:sz w:val="16"/>
                <w:szCs w:val="16"/>
                <w:lang w:val="en-US"/>
              </w:rPr>
              <w:t>Arkansas (R)</w:t>
            </w:r>
          </w:p>
        </w:tc>
        <w:tc>
          <w:tcPr>
            <w:tcW w:w="576" w:type="dxa"/>
            <w:tcBorders>
              <w:top w:val="nil"/>
              <w:left w:val="nil"/>
              <w:bottom w:val="nil"/>
              <w:right w:val="nil"/>
            </w:tcBorders>
            <w:shd w:val="clear" w:color="000000" w:fill="FFC7CE"/>
            <w:noWrap/>
            <w:vAlign w:val="center"/>
            <w:hideMark/>
          </w:tcPr>
          <w:p w14:paraId="4E1B0BC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7E9EAC8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284D807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0467C1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B13924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68DF039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E9A477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0FB4B19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20DD66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7E62FF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4CBD43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3A9899D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B51D95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1652E6C1" w14:textId="77777777" w:rsidTr="00D62AD1">
        <w:trPr>
          <w:trHeight w:val="225"/>
        </w:trPr>
        <w:tc>
          <w:tcPr>
            <w:tcW w:w="2050" w:type="dxa"/>
            <w:tcBorders>
              <w:top w:val="nil"/>
              <w:left w:val="nil"/>
              <w:bottom w:val="nil"/>
              <w:right w:val="single" w:sz="8" w:space="0" w:color="auto"/>
            </w:tcBorders>
            <w:noWrap/>
            <w:vAlign w:val="center"/>
            <w:hideMark/>
          </w:tcPr>
          <w:p w14:paraId="04C946E8" w14:textId="77777777" w:rsidR="00B3500A" w:rsidRPr="00BA7E3C" w:rsidRDefault="00B3500A" w:rsidP="00D62AD1">
            <w:pPr>
              <w:rPr>
                <w:color w:val="000000"/>
                <w:sz w:val="16"/>
                <w:szCs w:val="16"/>
                <w:lang w:val="en-US"/>
              </w:rPr>
            </w:pPr>
            <w:r w:rsidRPr="00BA7E3C">
              <w:rPr>
                <w:color w:val="000000"/>
                <w:sz w:val="16"/>
                <w:szCs w:val="16"/>
                <w:lang w:val="en-US"/>
              </w:rPr>
              <w:t>California (D)</w:t>
            </w:r>
          </w:p>
        </w:tc>
        <w:tc>
          <w:tcPr>
            <w:tcW w:w="576" w:type="dxa"/>
            <w:tcBorders>
              <w:top w:val="nil"/>
              <w:left w:val="nil"/>
              <w:bottom w:val="nil"/>
              <w:right w:val="nil"/>
            </w:tcBorders>
            <w:shd w:val="clear" w:color="000000" w:fill="FFC7CE"/>
            <w:noWrap/>
            <w:vAlign w:val="center"/>
            <w:hideMark/>
          </w:tcPr>
          <w:p w14:paraId="38B1E1F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B357BB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DD913C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BD84E0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437085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7E47AD3F"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ECE3A35"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89BC18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A5BE2F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21FA4F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308027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2552DF8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75516A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4EBB5026" w14:textId="77777777" w:rsidTr="00D62AD1">
        <w:trPr>
          <w:trHeight w:val="225"/>
        </w:trPr>
        <w:tc>
          <w:tcPr>
            <w:tcW w:w="2050" w:type="dxa"/>
            <w:tcBorders>
              <w:top w:val="nil"/>
              <w:left w:val="nil"/>
              <w:bottom w:val="nil"/>
              <w:right w:val="single" w:sz="8" w:space="0" w:color="auto"/>
            </w:tcBorders>
            <w:noWrap/>
            <w:vAlign w:val="center"/>
            <w:hideMark/>
          </w:tcPr>
          <w:p w14:paraId="056B24C0" w14:textId="77777777" w:rsidR="00B3500A" w:rsidRPr="00BA7E3C" w:rsidRDefault="00B3500A" w:rsidP="00D62AD1">
            <w:pPr>
              <w:rPr>
                <w:color w:val="000000"/>
                <w:sz w:val="16"/>
                <w:szCs w:val="16"/>
                <w:lang w:val="en-US"/>
              </w:rPr>
            </w:pPr>
            <w:r w:rsidRPr="00BA7E3C">
              <w:rPr>
                <w:color w:val="000000"/>
                <w:sz w:val="16"/>
                <w:szCs w:val="16"/>
                <w:lang w:val="en-US"/>
              </w:rPr>
              <w:t>Colorado (R)</w:t>
            </w:r>
          </w:p>
        </w:tc>
        <w:tc>
          <w:tcPr>
            <w:tcW w:w="576" w:type="dxa"/>
            <w:tcBorders>
              <w:top w:val="nil"/>
              <w:left w:val="nil"/>
              <w:bottom w:val="nil"/>
              <w:right w:val="nil"/>
            </w:tcBorders>
            <w:shd w:val="clear" w:color="000000" w:fill="FFC7CE"/>
            <w:noWrap/>
            <w:vAlign w:val="center"/>
            <w:hideMark/>
          </w:tcPr>
          <w:p w14:paraId="7A6D9AC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9D8045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F2B1FB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46BE24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9D5A0B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1383E9F9"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46B3A63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4FD2F2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006BF7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0DEBF90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0BDF96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0315DF87"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92D0239"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774C98E9" w14:textId="77777777" w:rsidTr="00D62AD1">
        <w:trPr>
          <w:trHeight w:val="225"/>
        </w:trPr>
        <w:tc>
          <w:tcPr>
            <w:tcW w:w="2050" w:type="dxa"/>
            <w:tcBorders>
              <w:top w:val="nil"/>
              <w:left w:val="nil"/>
              <w:bottom w:val="nil"/>
              <w:right w:val="single" w:sz="8" w:space="0" w:color="auto"/>
            </w:tcBorders>
            <w:noWrap/>
            <w:vAlign w:val="center"/>
            <w:hideMark/>
          </w:tcPr>
          <w:p w14:paraId="02FEB3ED" w14:textId="77777777" w:rsidR="00B3500A" w:rsidRPr="00BA7E3C" w:rsidRDefault="00B3500A" w:rsidP="00D62AD1">
            <w:pPr>
              <w:rPr>
                <w:color w:val="000000"/>
                <w:sz w:val="16"/>
                <w:szCs w:val="16"/>
                <w:lang w:val="en-US"/>
              </w:rPr>
            </w:pPr>
            <w:r w:rsidRPr="00BA7E3C">
              <w:rPr>
                <w:color w:val="000000"/>
                <w:sz w:val="16"/>
                <w:szCs w:val="16"/>
                <w:lang w:val="en-US"/>
              </w:rPr>
              <w:t>Connecticut (D)</w:t>
            </w:r>
          </w:p>
        </w:tc>
        <w:tc>
          <w:tcPr>
            <w:tcW w:w="576" w:type="dxa"/>
            <w:tcBorders>
              <w:top w:val="nil"/>
              <w:left w:val="nil"/>
              <w:bottom w:val="nil"/>
              <w:right w:val="nil"/>
            </w:tcBorders>
            <w:shd w:val="clear" w:color="000000" w:fill="FFC7CE"/>
            <w:noWrap/>
            <w:vAlign w:val="center"/>
            <w:hideMark/>
          </w:tcPr>
          <w:p w14:paraId="004930B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2DE970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053C68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8F398A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433612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62232FB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AEB81A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7DA10FA"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3CA25E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D1CFC0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BFCEAEA"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50CCD51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D17DB8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3017534B" w14:textId="77777777" w:rsidTr="00D62AD1">
        <w:trPr>
          <w:trHeight w:val="225"/>
        </w:trPr>
        <w:tc>
          <w:tcPr>
            <w:tcW w:w="2050" w:type="dxa"/>
            <w:tcBorders>
              <w:top w:val="nil"/>
              <w:left w:val="nil"/>
              <w:bottom w:val="nil"/>
              <w:right w:val="single" w:sz="8" w:space="0" w:color="auto"/>
            </w:tcBorders>
            <w:noWrap/>
            <w:vAlign w:val="center"/>
            <w:hideMark/>
          </w:tcPr>
          <w:p w14:paraId="50931390" w14:textId="77777777" w:rsidR="00B3500A" w:rsidRPr="00BA7E3C" w:rsidRDefault="00B3500A" w:rsidP="00D62AD1">
            <w:pPr>
              <w:rPr>
                <w:color w:val="000000"/>
                <w:sz w:val="16"/>
                <w:szCs w:val="16"/>
                <w:lang w:val="en-US"/>
              </w:rPr>
            </w:pPr>
            <w:r w:rsidRPr="00BA7E3C">
              <w:rPr>
                <w:color w:val="000000"/>
                <w:sz w:val="16"/>
                <w:szCs w:val="16"/>
                <w:lang w:val="en-US"/>
              </w:rPr>
              <w:t>Delaware (D)</w:t>
            </w:r>
          </w:p>
        </w:tc>
        <w:tc>
          <w:tcPr>
            <w:tcW w:w="576" w:type="dxa"/>
            <w:tcBorders>
              <w:top w:val="nil"/>
              <w:left w:val="nil"/>
              <w:bottom w:val="nil"/>
              <w:right w:val="nil"/>
            </w:tcBorders>
            <w:shd w:val="clear" w:color="000000" w:fill="FFC7CE"/>
            <w:noWrap/>
            <w:vAlign w:val="center"/>
            <w:hideMark/>
          </w:tcPr>
          <w:p w14:paraId="35624AF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16E29C6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0E97F25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639C1C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0CC1A5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511BE2E9"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5DCD3E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3BABEF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E3C75A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07A476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E1336E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422E23F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F27ACA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39039A11" w14:textId="77777777" w:rsidTr="00D62AD1">
        <w:trPr>
          <w:trHeight w:val="225"/>
        </w:trPr>
        <w:tc>
          <w:tcPr>
            <w:tcW w:w="2050" w:type="dxa"/>
            <w:tcBorders>
              <w:top w:val="nil"/>
              <w:left w:val="nil"/>
              <w:bottom w:val="nil"/>
              <w:right w:val="single" w:sz="8" w:space="0" w:color="auto"/>
            </w:tcBorders>
            <w:noWrap/>
            <w:vAlign w:val="center"/>
            <w:hideMark/>
          </w:tcPr>
          <w:p w14:paraId="09E328CF" w14:textId="77777777" w:rsidR="00B3500A" w:rsidRPr="00BA7E3C" w:rsidRDefault="00B3500A" w:rsidP="00D62AD1">
            <w:pPr>
              <w:rPr>
                <w:color w:val="000000"/>
                <w:sz w:val="16"/>
                <w:szCs w:val="16"/>
                <w:lang w:val="en-US"/>
              </w:rPr>
            </w:pPr>
            <w:r w:rsidRPr="00BA7E3C">
              <w:rPr>
                <w:color w:val="000000"/>
                <w:sz w:val="16"/>
                <w:szCs w:val="16"/>
                <w:lang w:val="en-US"/>
              </w:rPr>
              <w:t>District of Columbia (D)</w:t>
            </w:r>
          </w:p>
        </w:tc>
        <w:tc>
          <w:tcPr>
            <w:tcW w:w="576" w:type="dxa"/>
            <w:tcBorders>
              <w:top w:val="nil"/>
              <w:left w:val="nil"/>
              <w:bottom w:val="nil"/>
              <w:right w:val="nil"/>
            </w:tcBorders>
            <w:shd w:val="clear" w:color="000000" w:fill="00B0F0"/>
            <w:noWrap/>
            <w:vAlign w:val="center"/>
            <w:hideMark/>
          </w:tcPr>
          <w:p w14:paraId="6AA1486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863113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B97A87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425EBD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DD65DF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3DECC8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559390D"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AEE71A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88BDE67"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8DFE61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08BD86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0FFAAB09"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E803F2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2BAC8E45" w14:textId="77777777" w:rsidTr="00D62AD1">
        <w:trPr>
          <w:trHeight w:val="225"/>
        </w:trPr>
        <w:tc>
          <w:tcPr>
            <w:tcW w:w="2050" w:type="dxa"/>
            <w:tcBorders>
              <w:top w:val="nil"/>
              <w:left w:val="nil"/>
              <w:bottom w:val="nil"/>
              <w:right w:val="single" w:sz="8" w:space="0" w:color="auto"/>
            </w:tcBorders>
            <w:noWrap/>
            <w:vAlign w:val="center"/>
            <w:hideMark/>
          </w:tcPr>
          <w:p w14:paraId="5A3A46AB" w14:textId="77777777" w:rsidR="00B3500A" w:rsidRPr="00BA7E3C" w:rsidRDefault="00B3500A" w:rsidP="00D62AD1">
            <w:pPr>
              <w:rPr>
                <w:color w:val="000000"/>
                <w:sz w:val="16"/>
                <w:szCs w:val="16"/>
                <w:lang w:val="en-US"/>
              </w:rPr>
            </w:pPr>
            <w:r w:rsidRPr="00BA7E3C">
              <w:rPr>
                <w:color w:val="000000"/>
                <w:sz w:val="16"/>
                <w:szCs w:val="16"/>
                <w:lang w:val="en-US"/>
              </w:rPr>
              <w:t>Florida (R)</w:t>
            </w:r>
          </w:p>
        </w:tc>
        <w:tc>
          <w:tcPr>
            <w:tcW w:w="576" w:type="dxa"/>
            <w:tcBorders>
              <w:top w:val="nil"/>
              <w:left w:val="nil"/>
              <w:bottom w:val="nil"/>
              <w:right w:val="nil"/>
            </w:tcBorders>
            <w:shd w:val="clear" w:color="000000" w:fill="FFC7CE"/>
            <w:noWrap/>
            <w:vAlign w:val="center"/>
            <w:hideMark/>
          </w:tcPr>
          <w:p w14:paraId="08B5F10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46EC6A6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76BA57C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5C6DBF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8F0744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BA8DB4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77F1CBD9"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12262A7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D38AB3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620C4FF7"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D64966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FFC7CE"/>
            <w:noWrap/>
            <w:vAlign w:val="center"/>
            <w:hideMark/>
          </w:tcPr>
          <w:p w14:paraId="66EB389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8E81CF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2FADD463" w14:textId="77777777" w:rsidTr="00D62AD1">
        <w:trPr>
          <w:trHeight w:val="225"/>
        </w:trPr>
        <w:tc>
          <w:tcPr>
            <w:tcW w:w="2050" w:type="dxa"/>
            <w:tcBorders>
              <w:top w:val="nil"/>
              <w:left w:val="nil"/>
              <w:bottom w:val="nil"/>
              <w:right w:val="single" w:sz="8" w:space="0" w:color="auto"/>
            </w:tcBorders>
            <w:noWrap/>
            <w:vAlign w:val="center"/>
            <w:hideMark/>
          </w:tcPr>
          <w:p w14:paraId="15DAB2AD" w14:textId="77777777" w:rsidR="00B3500A" w:rsidRPr="00BA7E3C" w:rsidRDefault="00B3500A" w:rsidP="00D62AD1">
            <w:pPr>
              <w:rPr>
                <w:color w:val="000000"/>
                <w:sz w:val="16"/>
                <w:szCs w:val="16"/>
                <w:lang w:val="en-US"/>
              </w:rPr>
            </w:pPr>
            <w:r w:rsidRPr="00BA7E3C">
              <w:rPr>
                <w:color w:val="000000"/>
                <w:sz w:val="16"/>
                <w:szCs w:val="16"/>
                <w:lang w:val="en-US"/>
              </w:rPr>
              <w:t>Georgia (R)</w:t>
            </w:r>
          </w:p>
        </w:tc>
        <w:tc>
          <w:tcPr>
            <w:tcW w:w="576" w:type="dxa"/>
            <w:tcBorders>
              <w:top w:val="nil"/>
              <w:left w:val="nil"/>
              <w:bottom w:val="nil"/>
              <w:right w:val="nil"/>
            </w:tcBorders>
            <w:shd w:val="clear" w:color="000000" w:fill="FFC7CE"/>
            <w:noWrap/>
            <w:vAlign w:val="center"/>
            <w:hideMark/>
          </w:tcPr>
          <w:p w14:paraId="020566E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2448528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593C76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1154FB7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440615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34E347A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0E3FE37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405853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2D3C7E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1A7A7C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7DB669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06FC642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1B9B4B8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1E7245CB" w14:textId="77777777" w:rsidTr="00D62AD1">
        <w:trPr>
          <w:trHeight w:val="225"/>
        </w:trPr>
        <w:tc>
          <w:tcPr>
            <w:tcW w:w="2050" w:type="dxa"/>
            <w:tcBorders>
              <w:top w:val="nil"/>
              <w:left w:val="nil"/>
              <w:bottom w:val="nil"/>
              <w:right w:val="single" w:sz="8" w:space="0" w:color="auto"/>
            </w:tcBorders>
            <w:noWrap/>
            <w:vAlign w:val="center"/>
            <w:hideMark/>
          </w:tcPr>
          <w:p w14:paraId="3AB998FB" w14:textId="77777777" w:rsidR="00B3500A" w:rsidRPr="00BA7E3C" w:rsidRDefault="00B3500A" w:rsidP="00D62AD1">
            <w:pPr>
              <w:rPr>
                <w:color w:val="000000"/>
                <w:sz w:val="16"/>
                <w:szCs w:val="16"/>
                <w:lang w:val="en-US"/>
              </w:rPr>
            </w:pPr>
            <w:r w:rsidRPr="00BA7E3C">
              <w:rPr>
                <w:color w:val="000000"/>
                <w:sz w:val="16"/>
                <w:szCs w:val="16"/>
                <w:lang w:val="en-US"/>
              </w:rPr>
              <w:t xml:space="preserve">Hawaii (D) </w:t>
            </w:r>
          </w:p>
        </w:tc>
        <w:tc>
          <w:tcPr>
            <w:tcW w:w="576" w:type="dxa"/>
            <w:tcBorders>
              <w:top w:val="nil"/>
              <w:left w:val="nil"/>
              <w:bottom w:val="nil"/>
              <w:right w:val="nil"/>
            </w:tcBorders>
            <w:shd w:val="clear" w:color="000000" w:fill="FFC7CE"/>
            <w:noWrap/>
            <w:vAlign w:val="center"/>
            <w:hideMark/>
          </w:tcPr>
          <w:p w14:paraId="7D2EA5C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019BBAC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E58861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351DADA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4E9B979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2125C7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572CD79"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0417F4A"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BBCF5AD"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B29C5B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C93BFFA"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1B3884E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24F7CC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1111A2AA" w14:textId="77777777" w:rsidTr="00D62AD1">
        <w:trPr>
          <w:trHeight w:val="225"/>
        </w:trPr>
        <w:tc>
          <w:tcPr>
            <w:tcW w:w="2050" w:type="dxa"/>
            <w:tcBorders>
              <w:top w:val="nil"/>
              <w:left w:val="nil"/>
              <w:bottom w:val="nil"/>
              <w:right w:val="single" w:sz="8" w:space="0" w:color="auto"/>
            </w:tcBorders>
            <w:noWrap/>
            <w:vAlign w:val="center"/>
            <w:hideMark/>
          </w:tcPr>
          <w:p w14:paraId="20EC4760" w14:textId="77777777" w:rsidR="00B3500A" w:rsidRPr="00BA7E3C" w:rsidRDefault="00B3500A" w:rsidP="00D62AD1">
            <w:pPr>
              <w:rPr>
                <w:color w:val="000000"/>
                <w:sz w:val="16"/>
                <w:szCs w:val="16"/>
                <w:lang w:val="en-US"/>
              </w:rPr>
            </w:pPr>
            <w:r w:rsidRPr="00BA7E3C">
              <w:rPr>
                <w:color w:val="000000"/>
                <w:sz w:val="16"/>
                <w:szCs w:val="16"/>
                <w:lang w:val="en-US"/>
              </w:rPr>
              <w:t>Idaho (R)</w:t>
            </w:r>
          </w:p>
        </w:tc>
        <w:tc>
          <w:tcPr>
            <w:tcW w:w="576" w:type="dxa"/>
            <w:tcBorders>
              <w:top w:val="nil"/>
              <w:left w:val="nil"/>
              <w:bottom w:val="nil"/>
              <w:right w:val="nil"/>
            </w:tcBorders>
            <w:shd w:val="clear" w:color="000000" w:fill="FFC7CE"/>
            <w:noWrap/>
            <w:vAlign w:val="center"/>
            <w:hideMark/>
          </w:tcPr>
          <w:p w14:paraId="237B046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1654ED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68E835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452914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E9B37D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3BAFD8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79D727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E3D4F8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1215B3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7B43C9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8856C3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61960B8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445B3D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4B93565D" w14:textId="77777777" w:rsidTr="00D62AD1">
        <w:trPr>
          <w:trHeight w:val="225"/>
        </w:trPr>
        <w:tc>
          <w:tcPr>
            <w:tcW w:w="2050" w:type="dxa"/>
            <w:tcBorders>
              <w:top w:val="nil"/>
              <w:left w:val="nil"/>
              <w:bottom w:val="nil"/>
              <w:right w:val="single" w:sz="8" w:space="0" w:color="auto"/>
            </w:tcBorders>
            <w:noWrap/>
            <w:vAlign w:val="center"/>
            <w:hideMark/>
          </w:tcPr>
          <w:p w14:paraId="6C9A1FE2" w14:textId="77777777" w:rsidR="00B3500A" w:rsidRPr="00BA7E3C" w:rsidRDefault="00B3500A" w:rsidP="00D62AD1">
            <w:pPr>
              <w:rPr>
                <w:color w:val="000000"/>
                <w:sz w:val="16"/>
                <w:szCs w:val="16"/>
                <w:lang w:val="en-US"/>
              </w:rPr>
            </w:pPr>
            <w:r w:rsidRPr="00BA7E3C">
              <w:rPr>
                <w:color w:val="000000"/>
                <w:sz w:val="16"/>
                <w:szCs w:val="16"/>
                <w:lang w:val="en-US"/>
              </w:rPr>
              <w:t>Illinois (D)</w:t>
            </w:r>
          </w:p>
        </w:tc>
        <w:tc>
          <w:tcPr>
            <w:tcW w:w="576" w:type="dxa"/>
            <w:tcBorders>
              <w:top w:val="nil"/>
              <w:left w:val="nil"/>
              <w:bottom w:val="nil"/>
              <w:right w:val="nil"/>
            </w:tcBorders>
            <w:shd w:val="clear" w:color="000000" w:fill="FFC7CE"/>
            <w:noWrap/>
            <w:vAlign w:val="center"/>
            <w:hideMark/>
          </w:tcPr>
          <w:p w14:paraId="6FC60FE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C5D9D1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E60326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B7B6CD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90B6DD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3682977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AFA9F4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BBE47B5"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DD1B27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0B82C3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48406A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5801018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9A35F7F"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37554540" w14:textId="77777777" w:rsidTr="00D62AD1">
        <w:trPr>
          <w:trHeight w:val="225"/>
        </w:trPr>
        <w:tc>
          <w:tcPr>
            <w:tcW w:w="2050" w:type="dxa"/>
            <w:tcBorders>
              <w:top w:val="nil"/>
              <w:left w:val="nil"/>
              <w:bottom w:val="nil"/>
              <w:right w:val="single" w:sz="8" w:space="0" w:color="auto"/>
            </w:tcBorders>
            <w:noWrap/>
            <w:vAlign w:val="center"/>
            <w:hideMark/>
          </w:tcPr>
          <w:p w14:paraId="6E6515B5" w14:textId="77777777" w:rsidR="00B3500A" w:rsidRPr="00BA7E3C" w:rsidRDefault="00B3500A" w:rsidP="00D62AD1">
            <w:pPr>
              <w:rPr>
                <w:color w:val="000000"/>
                <w:sz w:val="16"/>
                <w:szCs w:val="16"/>
                <w:lang w:val="en-US"/>
              </w:rPr>
            </w:pPr>
            <w:r w:rsidRPr="00BA7E3C">
              <w:rPr>
                <w:color w:val="000000"/>
                <w:sz w:val="16"/>
                <w:szCs w:val="16"/>
                <w:lang w:val="en-US"/>
              </w:rPr>
              <w:t>Indiana (R)</w:t>
            </w:r>
          </w:p>
        </w:tc>
        <w:tc>
          <w:tcPr>
            <w:tcW w:w="576" w:type="dxa"/>
            <w:tcBorders>
              <w:top w:val="nil"/>
              <w:left w:val="nil"/>
              <w:bottom w:val="nil"/>
              <w:right w:val="nil"/>
            </w:tcBorders>
            <w:shd w:val="clear" w:color="000000" w:fill="FFC7CE"/>
            <w:noWrap/>
            <w:vAlign w:val="center"/>
            <w:hideMark/>
          </w:tcPr>
          <w:p w14:paraId="36FEBE7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5DE6D1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10C079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58BE57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2EF46F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08192A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5E3B0E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B05D27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96950C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484C4825"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31787E3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768F0ED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9387E6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7065DE73" w14:textId="77777777" w:rsidTr="00D62AD1">
        <w:trPr>
          <w:trHeight w:val="225"/>
        </w:trPr>
        <w:tc>
          <w:tcPr>
            <w:tcW w:w="2050" w:type="dxa"/>
            <w:tcBorders>
              <w:top w:val="nil"/>
              <w:left w:val="nil"/>
              <w:bottom w:val="nil"/>
              <w:right w:val="single" w:sz="8" w:space="0" w:color="auto"/>
            </w:tcBorders>
            <w:noWrap/>
            <w:vAlign w:val="center"/>
            <w:hideMark/>
          </w:tcPr>
          <w:p w14:paraId="5D4E854F" w14:textId="77777777" w:rsidR="00B3500A" w:rsidRPr="00BA7E3C" w:rsidRDefault="00B3500A" w:rsidP="00D62AD1">
            <w:pPr>
              <w:rPr>
                <w:color w:val="000000"/>
                <w:sz w:val="16"/>
                <w:szCs w:val="16"/>
                <w:lang w:val="en-US"/>
              </w:rPr>
            </w:pPr>
            <w:r w:rsidRPr="00BA7E3C">
              <w:rPr>
                <w:color w:val="000000"/>
                <w:sz w:val="16"/>
                <w:szCs w:val="16"/>
                <w:lang w:val="en-US"/>
              </w:rPr>
              <w:t>Iowa (R=D)</w:t>
            </w:r>
          </w:p>
        </w:tc>
        <w:tc>
          <w:tcPr>
            <w:tcW w:w="576" w:type="dxa"/>
            <w:tcBorders>
              <w:top w:val="nil"/>
              <w:left w:val="nil"/>
              <w:bottom w:val="nil"/>
              <w:right w:val="nil"/>
            </w:tcBorders>
            <w:shd w:val="clear" w:color="000000" w:fill="FFC7CE"/>
            <w:noWrap/>
            <w:vAlign w:val="center"/>
            <w:hideMark/>
          </w:tcPr>
          <w:p w14:paraId="285D187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680753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91E36C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727F15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5262854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89FB33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1AADDD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30E001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2B262A8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723B45E7"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6F59139"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FFC7CE"/>
            <w:noWrap/>
            <w:vAlign w:val="center"/>
            <w:hideMark/>
          </w:tcPr>
          <w:p w14:paraId="75D11D8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266E4D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092727C4" w14:textId="77777777" w:rsidTr="00D62AD1">
        <w:trPr>
          <w:trHeight w:val="225"/>
        </w:trPr>
        <w:tc>
          <w:tcPr>
            <w:tcW w:w="2050" w:type="dxa"/>
            <w:tcBorders>
              <w:top w:val="nil"/>
              <w:left w:val="nil"/>
              <w:bottom w:val="nil"/>
              <w:right w:val="single" w:sz="8" w:space="0" w:color="auto"/>
            </w:tcBorders>
            <w:noWrap/>
            <w:vAlign w:val="center"/>
            <w:hideMark/>
          </w:tcPr>
          <w:p w14:paraId="0F13D399" w14:textId="77777777" w:rsidR="00B3500A" w:rsidRPr="00BA7E3C" w:rsidRDefault="00B3500A" w:rsidP="00D62AD1">
            <w:pPr>
              <w:rPr>
                <w:color w:val="000000"/>
                <w:sz w:val="16"/>
                <w:szCs w:val="16"/>
                <w:lang w:val="en-US"/>
              </w:rPr>
            </w:pPr>
            <w:r w:rsidRPr="00BA7E3C">
              <w:rPr>
                <w:color w:val="000000"/>
                <w:sz w:val="16"/>
                <w:szCs w:val="16"/>
                <w:lang w:val="en-US"/>
              </w:rPr>
              <w:t>Kansas (R)</w:t>
            </w:r>
          </w:p>
        </w:tc>
        <w:tc>
          <w:tcPr>
            <w:tcW w:w="576" w:type="dxa"/>
            <w:tcBorders>
              <w:top w:val="nil"/>
              <w:left w:val="nil"/>
              <w:bottom w:val="nil"/>
              <w:right w:val="nil"/>
            </w:tcBorders>
            <w:shd w:val="clear" w:color="000000" w:fill="FFC7CE"/>
            <w:noWrap/>
            <w:vAlign w:val="center"/>
            <w:hideMark/>
          </w:tcPr>
          <w:p w14:paraId="06A944C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6BFBED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508007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F0692F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A4127B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09D2F0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9213B1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AE3BEC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E1A128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945E77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9CE787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20EFF66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0CB7A7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3B125FB0" w14:textId="77777777" w:rsidTr="00D62AD1">
        <w:trPr>
          <w:trHeight w:val="225"/>
        </w:trPr>
        <w:tc>
          <w:tcPr>
            <w:tcW w:w="2050" w:type="dxa"/>
            <w:tcBorders>
              <w:top w:val="nil"/>
              <w:left w:val="nil"/>
              <w:bottom w:val="nil"/>
              <w:right w:val="single" w:sz="8" w:space="0" w:color="auto"/>
            </w:tcBorders>
            <w:noWrap/>
            <w:vAlign w:val="center"/>
            <w:hideMark/>
          </w:tcPr>
          <w:p w14:paraId="3E2D4493" w14:textId="77777777" w:rsidR="00B3500A" w:rsidRPr="00BA7E3C" w:rsidRDefault="00B3500A" w:rsidP="00D62AD1">
            <w:pPr>
              <w:rPr>
                <w:color w:val="000000"/>
                <w:sz w:val="16"/>
                <w:szCs w:val="16"/>
                <w:lang w:val="en-US"/>
              </w:rPr>
            </w:pPr>
            <w:r w:rsidRPr="00BA7E3C">
              <w:rPr>
                <w:color w:val="000000"/>
                <w:sz w:val="16"/>
                <w:szCs w:val="16"/>
                <w:lang w:val="en-US"/>
              </w:rPr>
              <w:t>Kentucky (R)</w:t>
            </w:r>
          </w:p>
        </w:tc>
        <w:tc>
          <w:tcPr>
            <w:tcW w:w="576" w:type="dxa"/>
            <w:tcBorders>
              <w:top w:val="nil"/>
              <w:left w:val="nil"/>
              <w:bottom w:val="nil"/>
              <w:right w:val="nil"/>
            </w:tcBorders>
            <w:shd w:val="clear" w:color="000000" w:fill="FFC7CE"/>
            <w:noWrap/>
            <w:vAlign w:val="center"/>
            <w:hideMark/>
          </w:tcPr>
          <w:p w14:paraId="69AC81F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1A037E6F"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131632A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5A211B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58DE27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6F367C7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851139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7969F44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0CC3E5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681BDE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A5FC08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6668F06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2DC5E1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70889753" w14:textId="77777777" w:rsidTr="00D62AD1">
        <w:trPr>
          <w:trHeight w:val="225"/>
        </w:trPr>
        <w:tc>
          <w:tcPr>
            <w:tcW w:w="2050" w:type="dxa"/>
            <w:tcBorders>
              <w:top w:val="nil"/>
              <w:left w:val="nil"/>
              <w:bottom w:val="nil"/>
              <w:right w:val="single" w:sz="8" w:space="0" w:color="auto"/>
            </w:tcBorders>
            <w:noWrap/>
            <w:vAlign w:val="center"/>
            <w:hideMark/>
          </w:tcPr>
          <w:p w14:paraId="4AEDB9C7" w14:textId="77777777" w:rsidR="00B3500A" w:rsidRPr="00BA7E3C" w:rsidRDefault="00B3500A" w:rsidP="00D62AD1">
            <w:pPr>
              <w:rPr>
                <w:color w:val="000000"/>
                <w:sz w:val="16"/>
                <w:szCs w:val="16"/>
                <w:lang w:val="en-US"/>
              </w:rPr>
            </w:pPr>
            <w:r w:rsidRPr="00BA7E3C">
              <w:rPr>
                <w:color w:val="000000"/>
                <w:sz w:val="16"/>
                <w:szCs w:val="16"/>
                <w:lang w:val="en-US"/>
              </w:rPr>
              <w:t>Louisiana (R)</w:t>
            </w:r>
          </w:p>
        </w:tc>
        <w:tc>
          <w:tcPr>
            <w:tcW w:w="576" w:type="dxa"/>
            <w:tcBorders>
              <w:top w:val="nil"/>
              <w:left w:val="nil"/>
              <w:bottom w:val="nil"/>
              <w:right w:val="nil"/>
            </w:tcBorders>
            <w:shd w:val="clear" w:color="000000" w:fill="FFC7CE"/>
            <w:noWrap/>
            <w:vAlign w:val="center"/>
            <w:hideMark/>
          </w:tcPr>
          <w:p w14:paraId="1CFCF52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2F55247F"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7065DB6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E9DD76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85D690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1294016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30577B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13CDCDD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95F8E3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1DEF81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1E17C9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6274FFE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D89F4F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6985F0BD" w14:textId="77777777" w:rsidTr="00D62AD1">
        <w:trPr>
          <w:trHeight w:val="225"/>
        </w:trPr>
        <w:tc>
          <w:tcPr>
            <w:tcW w:w="2050" w:type="dxa"/>
            <w:tcBorders>
              <w:top w:val="nil"/>
              <w:left w:val="nil"/>
              <w:bottom w:val="nil"/>
              <w:right w:val="single" w:sz="8" w:space="0" w:color="auto"/>
            </w:tcBorders>
            <w:noWrap/>
            <w:vAlign w:val="center"/>
            <w:hideMark/>
          </w:tcPr>
          <w:p w14:paraId="4322504D" w14:textId="77777777" w:rsidR="00B3500A" w:rsidRPr="00BA7E3C" w:rsidRDefault="00B3500A" w:rsidP="00D62AD1">
            <w:pPr>
              <w:rPr>
                <w:color w:val="000000"/>
                <w:sz w:val="16"/>
                <w:szCs w:val="16"/>
                <w:lang w:val="en-US"/>
              </w:rPr>
            </w:pPr>
            <w:r w:rsidRPr="00BA7E3C">
              <w:rPr>
                <w:color w:val="000000"/>
                <w:sz w:val="16"/>
                <w:szCs w:val="16"/>
                <w:lang w:val="en-US"/>
              </w:rPr>
              <w:t>Maine (D)</w:t>
            </w:r>
          </w:p>
        </w:tc>
        <w:tc>
          <w:tcPr>
            <w:tcW w:w="576" w:type="dxa"/>
            <w:tcBorders>
              <w:top w:val="nil"/>
              <w:left w:val="nil"/>
              <w:bottom w:val="nil"/>
              <w:right w:val="nil"/>
            </w:tcBorders>
            <w:shd w:val="clear" w:color="000000" w:fill="FFC7CE"/>
            <w:noWrap/>
            <w:vAlign w:val="center"/>
            <w:hideMark/>
          </w:tcPr>
          <w:p w14:paraId="166F6B4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B7312F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8ABE3A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549478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74AA37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456D213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6A0C5F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0D6DC3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DCBC549"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D5C530A"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9EA987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17E74A5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F1AFDC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4E55FAB8" w14:textId="77777777" w:rsidTr="00D62AD1">
        <w:trPr>
          <w:trHeight w:val="225"/>
        </w:trPr>
        <w:tc>
          <w:tcPr>
            <w:tcW w:w="2050" w:type="dxa"/>
            <w:tcBorders>
              <w:top w:val="nil"/>
              <w:left w:val="nil"/>
              <w:bottom w:val="nil"/>
              <w:right w:val="single" w:sz="8" w:space="0" w:color="auto"/>
            </w:tcBorders>
            <w:noWrap/>
            <w:vAlign w:val="center"/>
            <w:hideMark/>
          </w:tcPr>
          <w:p w14:paraId="527166C3" w14:textId="77777777" w:rsidR="00B3500A" w:rsidRPr="00BA7E3C" w:rsidRDefault="00B3500A" w:rsidP="00D62AD1">
            <w:pPr>
              <w:rPr>
                <w:color w:val="000000"/>
                <w:sz w:val="16"/>
                <w:szCs w:val="16"/>
                <w:lang w:val="en-US"/>
              </w:rPr>
            </w:pPr>
            <w:r w:rsidRPr="00BA7E3C">
              <w:rPr>
                <w:color w:val="000000"/>
                <w:sz w:val="16"/>
                <w:szCs w:val="16"/>
                <w:lang w:val="en-US"/>
              </w:rPr>
              <w:t xml:space="preserve">Maryland (D) </w:t>
            </w:r>
          </w:p>
        </w:tc>
        <w:tc>
          <w:tcPr>
            <w:tcW w:w="576" w:type="dxa"/>
            <w:tcBorders>
              <w:top w:val="nil"/>
              <w:left w:val="nil"/>
              <w:bottom w:val="nil"/>
              <w:right w:val="nil"/>
            </w:tcBorders>
            <w:shd w:val="clear" w:color="000000" w:fill="FFC7CE"/>
            <w:noWrap/>
            <w:vAlign w:val="center"/>
            <w:hideMark/>
          </w:tcPr>
          <w:p w14:paraId="63803A7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494F5865"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3FEF5E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672B94C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DF665B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40A7E5E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42BCE6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F98EB3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884EC4F"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E6A5D2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185765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3818DBA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CAEF0B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0FA7A867" w14:textId="77777777" w:rsidTr="00D62AD1">
        <w:trPr>
          <w:trHeight w:val="225"/>
        </w:trPr>
        <w:tc>
          <w:tcPr>
            <w:tcW w:w="2050" w:type="dxa"/>
            <w:tcBorders>
              <w:top w:val="nil"/>
              <w:left w:val="nil"/>
              <w:bottom w:val="nil"/>
              <w:right w:val="single" w:sz="8" w:space="0" w:color="auto"/>
            </w:tcBorders>
            <w:noWrap/>
            <w:vAlign w:val="center"/>
            <w:hideMark/>
          </w:tcPr>
          <w:p w14:paraId="538034F1" w14:textId="77777777" w:rsidR="00B3500A" w:rsidRPr="00BA7E3C" w:rsidRDefault="00B3500A" w:rsidP="00D62AD1">
            <w:pPr>
              <w:rPr>
                <w:color w:val="000000"/>
                <w:sz w:val="16"/>
                <w:szCs w:val="16"/>
                <w:lang w:val="en-US"/>
              </w:rPr>
            </w:pPr>
            <w:r w:rsidRPr="00BA7E3C">
              <w:rPr>
                <w:color w:val="000000"/>
                <w:sz w:val="16"/>
                <w:szCs w:val="16"/>
                <w:lang w:val="en-US"/>
              </w:rPr>
              <w:t>Massachusetts (D)</w:t>
            </w:r>
          </w:p>
        </w:tc>
        <w:tc>
          <w:tcPr>
            <w:tcW w:w="576" w:type="dxa"/>
            <w:tcBorders>
              <w:top w:val="nil"/>
              <w:left w:val="nil"/>
              <w:bottom w:val="nil"/>
              <w:right w:val="nil"/>
            </w:tcBorders>
            <w:shd w:val="clear" w:color="000000" w:fill="00B0F0"/>
            <w:noWrap/>
            <w:vAlign w:val="center"/>
            <w:hideMark/>
          </w:tcPr>
          <w:p w14:paraId="787BE20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39C317D"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5A2372B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CF5667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0D68F11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DF5137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DF85A2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BA669AD"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A30C27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BA197B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1470A3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2D5F068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189D47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14AA62FF" w14:textId="77777777" w:rsidTr="00D62AD1">
        <w:trPr>
          <w:trHeight w:val="225"/>
        </w:trPr>
        <w:tc>
          <w:tcPr>
            <w:tcW w:w="2050" w:type="dxa"/>
            <w:tcBorders>
              <w:top w:val="nil"/>
              <w:left w:val="nil"/>
              <w:bottom w:val="nil"/>
              <w:right w:val="single" w:sz="8" w:space="0" w:color="auto"/>
            </w:tcBorders>
            <w:noWrap/>
            <w:vAlign w:val="center"/>
            <w:hideMark/>
          </w:tcPr>
          <w:p w14:paraId="2DF4377C" w14:textId="77777777" w:rsidR="00B3500A" w:rsidRPr="00BA7E3C" w:rsidRDefault="00B3500A" w:rsidP="00D62AD1">
            <w:pPr>
              <w:rPr>
                <w:color w:val="000000"/>
                <w:sz w:val="16"/>
                <w:szCs w:val="16"/>
                <w:lang w:val="en-US"/>
              </w:rPr>
            </w:pPr>
            <w:r w:rsidRPr="00BA7E3C">
              <w:rPr>
                <w:color w:val="000000"/>
                <w:sz w:val="16"/>
                <w:szCs w:val="16"/>
                <w:lang w:val="en-US"/>
              </w:rPr>
              <w:t>Michigan (D)</w:t>
            </w:r>
          </w:p>
        </w:tc>
        <w:tc>
          <w:tcPr>
            <w:tcW w:w="576" w:type="dxa"/>
            <w:tcBorders>
              <w:top w:val="nil"/>
              <w:left w:val="nil"/>
              <w:bottom w:val="nil"/>
              <w:right w:val="nil"/>
            </w:tcBorders>
            <w:shd w:val="clear" w:color="000000" w:fill="FFC7CE"/>
            <w:noWrap/>
            <w:vAlign w:val="center"/>
            <w:hideMark/>
          </w:tcPr>
          <w:p w14:paraId="0D014F2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645C94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E489C2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29ACCA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7A9BF4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161C629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9FDEF4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DD0E0C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14CF99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10F8C3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C81FD15"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FFC7CE"/>
            <w:noWrap/>
            <w:vAlign w:val="center"/>
            <w:hideMark/>
          </w:tcPr>
          <w:p w14:paraId="41D6DAD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6A95ECCD"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43AA74B0" w14:textId="77777777" w:rsidTr="00D62AD1">
        <w:trPr>
          <w:trHeight w:val="225"/>
        </w:trPr>
        <w:tc>
          <w:tcPr>
            <w:tcW w:w="2050" w:type="dxa"/>
            <w:tcBorders>
              <w:top w:val="nil"/>
              <w:left w:val="nil"/>
              <w:bottom w:val="nil"/>
              <w:right w:val="single" w:sz="8" w:space="0" w:color="auto"/>
            </w:tcBorders>
            <w:noWrap/>
            <w:vAlign w:val="center"/>
            <w:hideMark/>
          </w:tcPr>
          <w:p w14:paraId="67A4810A" w14:textId="77777777" w:rsidR="00B3500A" w:rsidRPr="00BA7E3C" w:rsidRDefault="00B3500A" w:rsidP="00D62AD1">
            <w:pPr>
              <w:rPr>
                <w:color w:val="000000"/>
                <w:sz w:val="16"/>
                <w:szCs w:val="16"/>
                <w:lang w:val="en-US"/>
              </w:rPr>
            </w:pPr>
            <w:r w:rsidRPr="00BA7E3C">
              <w:rPr>
                <w:color w:val="000000"/>
                <w:sz w:val="16"/>
                <w:szCs w:val="16"/>
                <w:lang w:val="en-US"/>
              </w:rPr>
              <w:t>Minnesota (D)</w:t>
            </w:r>
          </w:p>
        </w:tc>
        <w:tc>
          <w:tcPr>
            <w:tcW w:w="576" w:type="dxa"/>
            <w:tcBorders>
              <w:top w:val="nil"/>
              <w:left w:val="nil"/>
              <w:bottom w:val="nil"/>
              <w:right w:val="nil"/>
            </w:tcBorders>
            <w:shd w:val="clear" w:color="000000" w:fill="FFC7CE"/>
            <w:noWrap/>
            <w:vAlign w:val="center"/>
            <w:hideMark/>
          </w:tcPr>
          <w:p w14:paraId="2CF7438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24E5BB2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C489FD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929573F"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204D8B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EF9B8B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D3144F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62E850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1B22F3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BCA2A85"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5CE0C8D"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7CC46E1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6BF4AEF"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418D3E07" w14:textId="77777777" w:rsidTr="00D62AD1">
        <w:trPr>
          <w:trHeight w:val="225"/>
        </w:trPr>
        <w:tc>
          <w:tcPr>
            <w:tcW w:w="2050" w:type="dxa"/>
            <w:tcBorders>
              <w:top w:val="nil"/>
              <w:left w:val="nil"/>
              <w:bottom w:val="nil"/>
              <w:right w:val="single" w:sz="8" w:space="0" w:color="auto"/>
            </w:tcBorders>
            <w:noWrap/>
            <w:vAlign w:val="center"/>
            <w:hideMark/>
          </w:tcPr>
          <w:p w14:paraId="7D4B50CF" w14:textId="77777777" w:rsidR="00B3500A" w:rsidRPr="00BA7E3C" w:rsidRDefault="00B3500A" w:rsidP="00D62AD1">
            <w:pPr>
              <w:rPr>
                <w:color w:val="000000"/>
                <w:sz w:val="16"/>
                <w:szCs w:val="16"/>
                <w:lang w:val="en-US"/>
              </w:rPr>
            </w:pPr>
            <w:r w:rsidRPr="00BA7E3C">
              <w:rPr>
                <w:color w:val="000000"/>
                <w:sz w:val="16"/>
                <w:szCs w:val="16"/>
                <w:lang w:val="en-US"/>
              </w:rPr>
              <w:t>Mississippi (R)</w:t>
            </w:r>
          </w:p>
        </w:tc>
        <w:tc>
          <w:tcPr>
            <w:tcW w:w="576" w:type="dxa"/>
            <w:tcBorders>
              <w:top w:val="nil"/>
              <w:left w:val="nil"/>
              <w:bottom w:val="nil"/>
              <w:right w:val="nil"/>
            </w:tcBorders>
            <w:shd w:val="clear" w:color="000000" w:fill="FFC7CE"/>
            <w:noWrap/>
            <w:vAlign w:val="center"/>
            <w:hideMark/>
          </w:tcPr>
          <w:p w14:paraId="4D68235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2F208A1D"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0E5F354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58BCE3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F7303A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A5EDD7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4636EA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599EF7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D8565E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1A414E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EC3D48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69BC8E9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1B6169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1E2F254C" w14:textId="77777777" w:rsidTr="00D62AD1">
        <w:trPr>
          <w:trHeight w:val="225"/>
        </w:trPr>
        <w:tc>
          <w:tcPr>
            <w:tcW w:w="2050" w:type="dxa"/>
            <w:tcBorders>
              <w:top w:val="nil"/>
              <w:left w:val="nil"/>
              <w:bottom w:val="nil"/>
              <w:right w:val="single" w:sz="8" w:space="0" w:color="auto"/>
            </w:tcBorders>
            <w:noWrap/>
            <w:vAlign w:val="center"/>
            <w:hideMark/>
          </w:tcPr>
          <w:p w14:paraId="62915B99" w14:textId="77777777" w:rsidR="00B3500A" w:rsidRPr="00BA7E3C" w:rsidRDefault="00B3500A" w:rsidP="00D62AD1">
            <w:pPr>
              <w:rPr>
                <w:color w:val="000000"/>
                <w:sz w:val="16"/>
                <w:szCs w:val="16"/>
                <w:lang w:val="en-US"/>
              </w:rPr>
            </w:pPr>
            <w:r w:rsidRPr="00BA7E3C">
              <w:rPr>
                <w:color w:val="000000"/>
                <w:sz w:val="16"/>
                <w:szCs w:val="16"/>
                <w:lang w:val="en-US"/>
              </w:rPr>
              <w:t>Missouri (R)</w:t>
            </w:r>
          </w:p>
        </w:tc>
        <w:tc>
          <w:tcPr>
            <w:tcW w:w="576" w:type="dxa"/>
            <w:tcBorders>
              <w:top w:val="nil"/>
              <w:left w:val="nil"/>
              <w:bottom w:val="nil"/>
              <w:right w:val="nil"/>
            </w:tcBorders>
            <w:shd w:val="clear" w:color="000000" w:fill="FFC7CE"/>
            <w:noWrap/>
            <w:vAlign w:val="center"/>
            <w:hideMark/>
          </w:tcPr>
          <w:p w14:paraId="7D73F13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63FAD09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2821B88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0B0F44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F98FEF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7B7A577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F7B7017"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5D87EAC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247F9D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E48837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EE9898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004E23E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0C4850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7D9F1288" w14:textId="77777777" w:rsidTr="00D62AD1">
        <w:trPr>
          <w:trHeight w:val="225"/>
        </w:trPr>
        <w:tc>
          <w:tcPr>
            <w:tcW w:w="2050" w:type="dxa"/>
            <w:tcBorders>
              <w:top w:val="nil"/>
              <w:left w:val="nil"/>
              <w:bottom w:val="nil"/>
              <w:right w:val="single" w:sz="8" w:space="0" w:color="auto"/>
            </w:tcBorders>
            <w:noWrap/>
            <w:vAlign w:val="center"/>
            <w:hideMark/>
          </w:tcPr>
          <w:p w14:paraId="11B6A3BD" w14:textId="77777777" w:rsidR="00B3500A" w:rsidRPr="00BA7E3C" w:rsidRDefault="00B3500A" w:rsidP="00D62AD1">
            <w:pPr>
              <w:rPr>
                <w:color w:val="000000"/>
                <w:sz w:val="16"/>
                <w:szCs w:val="16"/>
                <w:lang w:val="en-US"/>
              </w:rPr>
            </w:pPr>
            <w:r w:rsidRPr="00BA7E3C">
              <w:rPr>
                <w:color w:val="000000"/>
                <w:sz w:val="16"/>
                <w:szCs w:val="16"/>
                <w:lang w:val="en-US"/>
              </w:rPr>
              <w:t>Montana (R)</w:t>
            </w:r>
          </w:p>
        </w:tc>
        <w:tc>
          <w:tcPr>
            <w:tcW w:w="576" w:type="dxa"/>
            <w:tcBorders>
              <w:top w:val="nil"/>
              <w:left w:val="nil"/>
              <w:bottom w:val="nil"/>
              <w:right w:val="nil"/>
            </w:tcBorders>
            <w:shd w:val="clear" w:color="000000" w:fill="FFC7CE"/>
            <w:noWrap/>
            <w:vAlign w:val="center"/>
            <w:hideMark/>
          </w:tcPr>
          <w:p w14:paraId="26B435F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A8645C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C30AED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2B0B1D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FA289D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598F2B6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648061D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C3625A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44F92D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BC1492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11F369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557E940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401A18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7C9F0EF4" w14:textId="77777777" w:rsidTr="00D62AD1">
        <w:trPr>
          <w:trHeight w:val="225"/>
        </w:trPr>
        <w:tc>
          <w:tcPr>
            <w:tcW w:w="2050" w:type="dxa"/>
            <w:tcBorders>
              <w:top w:val="nil"/>
              <w:left w:val="nil"/>
              <w:bottom w:val="nil"/>
              <w:right w:val="single" w:sz="8" w:space="0" w:color="auto"/>
            </w:tcBorders>
            <w:noWrap/>
            <w:vAlign w:val="center"/>
            <w:hideMark/>
          </w:tcPr>
          <w:p w14:paraId="5A96DEB8" w14:textId="77777777" w:rsidR="00B3500A" w:rsidRPr="00BA7E3C" w:rsidRDefault="00B3500A" w:rsidP="00D62AD1">
            <w:pPr>
              <w:rPr>
                <w:color w:val="000000"/>
                <w:sz w:val="16"/>
                <w:szCs w:val="16"/>
                <w:lang w:val="en-US"/>
              </w:rPr>
            </w:pPr>
            <w:r w:rsidRPr="00BA7E3C">
              <w:rPr>
                <w:color w:val="000000"/>
                <w:sz w:val="16"/>
                <w:szCs w:val="16"/>
                <w:lang w:val="en-US"/>
              </w:rPr>
              <w:t>Nebraska (R)</w:t>
            </w:r>
          </w:p>
        </w:tc>
        <w:tc>
          <w:tcPr>
            <w:tcW w:w="576" w:type="dxa"/>
            <w:tcBorders>
              <w:top w:val="nil"/>
              <w:left w:val="nil"/>
              <w:bottom w:val="nil"/>
              <w:right w:val="nil"/>
            </w:tcBorders>
            <w:shd w:val="clear" w:color="000000" w:fill="FFC7CE"/>
            <w:noWrap/>
            <w:vAlign w:val="center"/>
            <w:hideMark/>
          </w:tcPr>
          <w:p w14:paraId="68EB27A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05D710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BC63CA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F1209C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20E87E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27FF2D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193369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7A1D94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71A63C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A716B2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C27BB8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3B525BD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19A6EF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5A93A1A7" w14:textId="77777777" w:rsidTr="00D62AD1">
        <w:trPr>
          <w:trHeight w:val="225"/>
        </w:trPr>
        <w:tc>
          <w:tcPr>
            <w:tcW w:w="2050" w:type="dxa"/>
            <w:tcBorders>
              <w:top w:val="nil"/>
              <w:left w:val="nil"/>
              <w:bottom w:val="nil"/>
              <w:right w:val="single" w:sz="8" w:space="0" w:color="auto"/>
            </w:tcBorders>
            <w:noWrap/>
            <w:vAlign w:val="center"/>
            <w:hideMark/>
          </w:tcPr>
          <w:p w14:paraId="7D0DAD0F" w14:textId="77777777" w:rsidR="00B3500A" w:rsidRPr="00BA7E3C" w:rsidRDefault="00B3500A" w:rsidP="00D62AD1">
            <w:pPr>
              <w:rPr>
                <w:color w:val="000000"/>
                <w:sz w:val="16"/>
                <w:szCs w:val="16"/>
                <w:lang w:val="en-US"/>
              </w:rPr>
            </w:pPr>
            <w:r w:rsidRPr="00BA7E3C">
              <w:rPr>
                <w:color w:val="000000"/>
                <w:sz w:val="16"/>
                <w:szCs w:val="16"/>
                <w:lang w:val="en-US"/>
              </w:rPr>
              <w:t>Nevada (R)</w:t>
            </w:r>
          </w:p>
        </w:tc>
        <w:tc>
          <w:tcPr>
            <w:tcW w:w="576" w:type="dxa"/>
            <w:tcBorders>
              <w:top w:val="nil"/>
              <w:left w:val="nil"/>
              <w:bottom w:val="nil"/>
              <w:right w:val="nil"/>
            </w:tcBorders>
            <w:shd w:val="clear" w:color="000000" w:fill="FFC7CE"/>
            <w:noWrap/>
            <w:vAlign w:val="center"/>
            <w:hideMark/>
          </w:tcPr>
          <w:p w14:paraId="10B5138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DBC193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41FF24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89F4AF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20BBB2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47177D57"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B30590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38D46D5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8743A2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2DE82BA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EDEBF8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0266FB3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3C0E81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19B1BD2E" w14:textId="77777777" w:rsidTr="00D62AD1">
        <w:trPr>
          <w:trHeight w:val="225"/>
        </w:trPr>
        <w:tc>
          <w:tcPr>
            <w:tcW w:w="2050" w:type="dxa"/>
            <w:tcBorders>
              <w:top w:val="nil"/>
              <w:left w:val="nil"/>
              <w:bottom w:val="nil"/>
              <w:right w:val="single" w:sz="8" w:space="0" w:color="auto"/>
            </w:tcBorders>
            <w:noWrap/>
            <w:vAlign w:val="center"/>
            <w:hideMark/>
          </w:tcPr>
          <w:p w14:paraId="6CAD6D77" w14:textId="77777777" w:rsidR="00B3500A" w:rsidRPr="00BA7E3C" w:rsidRDefault="00B3500A" w:rsidP="00D62AD1">
            <w:pPr>
              <w:rPr>
                <w:color w:val="000000"/>
                <w:sz w:val="16"/>
                <w:szCs w:val="16"/>
                <w:lang w:val="en-US"/>
              </w:rPr>
            </w:pPr>
            <w:r w:rsidRPr="00BA7E3C">
              <w:rPr>
                <w:color w:val="000000"/>
                <w:sz w:val="16"/>
                <w:szCs w:val="16"/>
                <w:lang w:val="en-US"/>
              </w:rPr>
              <w:t>New Hampshire (R=D)</w:t>
            </w:r>
          </w:p>
        </w:tc>
        <w:tc>
          <w:tcPr>
            <w:tcW w:w="576" w:type="dxa"/>
            <w:tcBorders>
              <w:top w:val="nil"/>
              <w:left w:val="nil"/>
              <w:bottom w:val="nil"/>
              <w:right w:val="nil"/>
            </w:tcBorders>
            <w:shd w:val="clear" w:color="000000" w:fill="FFC7CE"/>
            <w:noWrap/>
            <w:vAlign w:val="center"/>
            <w:hideMark/>
          </w:tcPr>
          <w:p w14:paraId="544D5A5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6900CB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F453A3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DD68F5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B44F9A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4029823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3751A9A"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0E8A364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6750FB5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8C6FF4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53B923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09644E6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81F73F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6B666ED5" w14:textId="77777777" w:rsidTr="00D62AD1">
        <w:trPr>
          <w:trHeight w:val="225"/>
        </w:trPr>
        <w:tc>
          <w:tcPr>
            <w:tcW w:w="2050" w:type="dxa"/>
            <w:tcBorders>
              <w:top w:val="nil"/>
              <w:left w:val="nil"/>
              <w:bottom w:val="nil"/>
              <w:right w:val="single" w:sz="8" w:space="0" w:color="auto"/>
            </w:tcBorders>
            <w:noWrap/>
            <w:vAlign w:val="center"/>
            <w:hideMark/>
          </w:tcPr>
          <w:p w14:paraId="52B34262" w14:textId="77777777" w:rsidR="00B3500A" w:rsidRPr="00BA7E3C" w:rsidRDefault="00B3500A" w:rsidP="00D62AD1">
            <w:pPr>
              <w:rPr>
                <w:color w:val="000000"/>
                <w:sz w:val="16"/>
                <w:szCs w:val="16"/>
                <w:lang w:val="en-US"/>
              </w:rPr>
            </w:pPr>
            <w:r w:rsidRPr="00BA7E3C">
              <w:rPr>
                <w:color w:val="000000"/>
                <w:sz w:val="16"/>
                <w:szCs w:val="16"/>
                <w:lang w:val="en-US"/>
              </w:rPr>
              <w:t>New Jersey (D)</w:t>
            </w:r>
          </w:p>
        </w:tc>
        <w:tc>
          <w:tcPr>
            <w:tcW w:w="576" w:type="dxa"/>
            <w:tcBorders>
              <w:top w:val="nil"/>
              <w:left w:val="nil"/>
              <w:bottom w:val="nil"/>
              <w:right w:val="nil"/>
            </w:tcBorders>
            <w:shd w:val="clear" w:color="000000" w:fill="FFC7CE"/>
            <w:noWrap/>
            <w:vAlign w:val="center"/>
            <w:hideMark/>
          </w:tcPr>
          <w:p w14:paraId="42069E0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2E9C9D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DF004C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BF44CC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632BCF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3387688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CC2E4DA"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BD27429"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3BF113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403B63A"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D72D41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493E79E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CD751B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6AC7DDCB" w14:textId="77777777" w:rsidTr="00D62AD1">
        <w:trPr>
          <w:trHeight w:val="225"/>
        </w:trPr>
        <w:tc>
          <w:tcPr>
            <w:tcW w:w="2050" w:type="dxa"/>
            <w:tcBorders>
              <w:top w:val="nil"/>
              <w:left w:val="nil"/>
              <w:bottom w:val="nil"/>
              <w:right w:val="single" w:sz="8" w:space="0" w:color="auto"/>
            </w:tcBorders>
            <w:noWrap/>
            <w:vAlign w:val="center"/>
            <w:hideMark/>
          </w:tcPr>
          <w:p w14:paraId="53B6D8BD" w14:textId="77777777" w:rsidR="00B3500A" w:rsidRPr="00BA7E3C" w:rsidRDefault="00B3500A" w:rsidP="00D62AD1">
            <w:pPr>
              <w:rPr>
                <w:color w:val="000000"/>
                <w:sz w:val="16"/>
                <w:szCs w:val="16"/>
                <w:lang w:val="en-US"/>
              </w:rPr>
            </w:pPr>
            <w:r w:rsidRPr="00BA7E3C">
              <w:rPr>
                <w:color w:val="000000"/>
                <w:sz w:val="16"/>
                <w:szCs w:val="16"/>
                <w:lang w:val="en-US"/>
              </w:rPr>
              <w:t>New Mexico (R=D)</w:t>
            </w:r>
          </w:p>
        </w:tc>
        <w:tc>
          <w:tcPr>
            <w:tcW w:w="576" w:type="dxa"/>
            <w:tcBorders>
              <w:top w:val="nil"/>
              <w:left w:val="nil"/>
              <w:bottom w:val="nil"/>
              <w:right w:val="nil"/>
            </w:tcBorders>
            <w:shd w:val="clear" w:color="000000" w:fill="FFC7CE"/>
            <w:noWrap/>
            <w:vAlign w:val="center"/>
            <w:hideMark/>
          </w:tcPr>
          <w:p w14:paraId="28A5B22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7AFBCA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BE47D7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7AE771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B1B183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597D3A8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43AC4E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D9FA6E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00D3E55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5C11C4C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0B7949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0DCB1E1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44D768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1A3669D3" w14:textId="77777777" w:rsidTr="00D62AD1">
        <w:trPr>
          <w:trHeight w:val="225"/>
        </w:trPr>
        <w:tc>
          <w:tcPr>
            <w:tcW w:w="2050" w:type="dxa"/>
            <w:tcBorders>
              <w:top w:val="nil"/>
              <w:left w:val="nil"/>
              <w:bottom w:val="nil"/>
              <w:right w:val="single" w:sz="8" w:space="0" w:color="auto"/>
            </w:tcBorders>
            <w:noWrap/>
            <w:vAlign w:val="center"/>
            <w:hideMark/>
          </w:tcPr>
          <w:p w14:paraId="1094B806" w14:textId="77777777" w:rsidR="00B3500A" w:rsidRPr="00BA7E3C" w:rsidRDefault="00B3500A" w:rsidP="00D62AD1">
            <w:pPr>
              <w:rPr>
                <w:color w:val="000000"/>
                <w:sz w:val="16"/>
                <w:szCs w:val="16"/>
                <w:lang w:val="en-US"/>
              </w:rPr>
            </w:pPr>
            <w:r w:rsidRPr="00BA7E3C">
              <w:rPr>
                <w:color w:val="000000"/>
                <w:sz w:val="16"/>
                <w:szCs w:val="16"/>
                <w:lang w:val="en-US"/>
              </w:rPr>
              <w:t>New York (D)</w:t>
            </w:r>
          </w:p>
        </w:tc>
        <w:tc>
          <w:tcPr>
            <w:tcW w:w="576" w:type="dxa"/>
            <w:tcBorders>
              <w:top w:val="nil"/>
              <w:left w:val="nil"/>
              <w:bottom w:val="nil"/>
              <w:right w:val="nil"/>
            </w:tcBorders>
            <w:shd w:val="clear" w:color="000000" w:fill="FFC7CE"/>
            <w:noWrap/>
            <w:vAlign w:val="center"/>
            <w:hideMark/>
          </w:tcPr>
          <w:p w14:paraId="34647AA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0DC1FC3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65F474A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E2C4C3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3474A52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9EFEA6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3FF941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EDFD0FF"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B61C6C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113180F"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48EBC9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22E6794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EC6584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11CE72CE" w14:textId="77777777" w:rsidTr="00D62AD1">
        <w:trPr>
          <w:trHeight w:val="225"/>
        </w:trPr>
        <w:tc>
          <w:tcPr>
            <w:tcW w:w="2050" w:type="dxa"/>
            <w:tcBorders>
              <w:top w:val="nil"/>
              <w:left w:val="nil"/>
              <w:bottom w:val="nil"/>
              <w:right w:val="single" w:sz="8" w:space="0" w:color="auto"/>
            </w:tcBorders>
            <w:noWrap/>
            <w:vAlign w:val="center"/>
            <w:hideMark/>
          </w:tcPr>
          <w:p w14:paraId="34869434" w14:textId="77777777" w:rsidR="00B3500A" w:rsidRPr="00BA7E3C" w:rsidRDefault="00B3500A" w:rsidP="00D62AD1">
            <w:pPr>
              <w:rPr>
                <w:color w:val="000000"/>
                <w:sz w:val="16"/>
                <w:szCs w:val="16"/>
                <w:lang w:val="en-US"/>
              </w:rPr>
            </w:pPr>
            <w:r w:rsidRPr="00BA7E3C">
              <w:rPr>
                <w:color w:val="000000"/>
                <w:sz w:val="16"/>
                <w:szCs w:val="16"/>
                <w:lang w:val="en-US"/>
              </w:rPr>
              <w:t>North Carolina (R)</w:t>
            </w:r>
          </w:p>
        </w:tc>
        <w:tc>
          <w:tcPr>
            <w:tcW w:w="576" w:type="dxa"/>
            <w:tcBorders>
              <w:top w:val="nil"/>
              <w:left w:val="nil"/>
              <w:bottom w:val="nil"/>
              <w:right w:val="nil"/>
            </w:tcBorders>
            <w:shd w:val="clear" w:color="000000" w:fill="FFC7CE"/>
            <w:noWrap/>
            <w:vAlign w:val="center"/>
            <w:hideMark/>
          </w:tcPr>
          <w:p w14:paraId="29F04C7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02B2F05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25BBE5E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47042D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1BFF94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CCA2EB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36E34B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5E8FFF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6B1468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19EB9D09"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7EF41CA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75FB862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D56B0E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134242DF" w14:textId="77777777" w:rsidTr="00D62AD1">
        <w:trPr>
          <w:trHeight w:val="225"/>
        </w:trPr>
        <w:tc>
          <w:tcPr>
            <w:tcW w:w="2050" w:type="dxa"/>
            <w:tcBorders>
              <w:top w:val="nil"/>
              <w:left w:val="nil"/>
              <w:bottom w:val="nil"/>
              <w:right w:val="single" w:sz="8" w:space="0" w:color="auto"/>
            </w:tcBorders>
            <w:noWrap/>
            <w:vAlign w:val="center"/>
            <w:hideMark/>
          </w:tcPr>
          <w:p w14:paraId="3817023B" w14:textId="77777777" w:rsidR="00B3500A" w:rsidRPr="00BA7E3C" w:rsidRDefault="00B3500A" w:rsidP="00D62AD1">
            <w:pPr>
              <w:rPr>
                <w:color w:val="000000"/>
                <w:sz w:val="16"/>
                <w:szCs w:val="16"/>
                <w:lang w:val="en-US"/>
              </w:rPr>
            </w:pPr>
            <w:r w:rsidRPr="00BA7E3C">
              <w:rPr>
                <w:color w:val="000000"/>
                <w:sz w:val="16"/>
                <w:szCs w:val="16"/>
                <w:lang w:val="en-US"/>
              </w:rPr>
              <w:t>North Dakota (R)</w:t>
            </w:r>
          </w:p>
        </w:tc>
        <w:tc>
          <w:tcPr>
            <w:tcW w:w="576" w:type="dxa"/>
            <w:tcBorders>
              <w:top w:val="nil"/>
              <w:left w:val="nil"/>
              <w:bottom w:val="nil"/>
              <w:right w:val="nil"/>
            </w:tcBorders>
            <w:shd w:val="clear" w:color="000000" w:fill="FFC7CE"/>
            <w:noWrap/>
            <w:vAlign w:val="center"/>
            <w:hideMark/>
          </w:tcPr>
          <w:p w14:paraId="65BD708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F92650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E3B692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83EF22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1DCF0A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409F84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D85ECE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5DDDCC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B6B214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7E92F2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7C212F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4B5EE2A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22AE93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53BC887C" w14:textId="77777777" w:rsidTr="00D62AD1">
        <w:trPr>
          <w:trHeight w:val="225"/>
        </w:trPr>
        <w:tc>
          <w:tcPr>
            <w:tcW w:w="2050" w:type="dxa"/>
            <w:tcBorders>
              <w:top w:val="nil"/>
              <w:left w:val="nil"/>
              <w:bottom w:val="nil"/>
              <w:right w:val="single" w:sz="8" w:space="0" w:color="auto"/>
            </w:tcBorders>
            <w:noWrap/>
            <w:vAlign w:val="center"/>
            <w:hideMark/>
          </w:tcPr>
          <w:p w14:paraId="700C0E98" w14:textId="77777777" w:rsidR="00B3500A" w:rsidRPr="00BA7E3C" w:rsidRDefault="00B3500A" w:rsidP="00D62AD1">
            <w:pPr>
              <w:rPr>
                <w:color w:val="000000"/>
                <w:sz w:val="16"/>
                <w:szCs w:val="16"/>
                <w:lang w:val="en-US"/>
              </w:rPr>
            </w:pPr>
            <w:r w:rsidRPr="00BA7E3C">
              <w:rPr>
                <w:color w:val="000000"/>
                <w:sz w:val="16"/>
                <w:szCs w:val="16"/>
                <w:lang w:val="en-US"/>
              </w:rPr>
              <w:t>Ohio (R=D)</w:t>
            </w:r>
          </w:p>
        </w:tc>
        <w:tc>
          <w:tcPr>
            <w:tcW w:w="576" w:type="dxa"/>
            <w:tcBorders>
              <w:top w:val="nil"/>
              <w:left w:val="nil"/>
              <w:bottom w:val="nil"/>
              <w:right w:val="nil"/>
            </w:tcBorders>
            <w:shd w:val="clear" w:color="000000" w:fill="FFC7CE"/>
            <w:noWrap/>
            <w:vAlign w:val="center"/>
            <w:hideMark/>
          </w:tcPr>
          <w:p w14:paraId="1998D62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175C769A"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513EC30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FCC5ED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E5E8D7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5C6696CD"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6B41E9F"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2707A60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B796CC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2C4FE3E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FE67F9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FFC7CE"/>
            <w:noWrap/>
            <w:vAlign w:val="center"/>
            <w:hideMark/>
          </w:tcPr>
          <w:p w14:paraId="18B89A1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CFB677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6CE827B9" w14:textId="77777777" w:rsidTr="00D62AD1">
        <w:trPr>
          <w:trHeight w:val="225"/>
        </w:trPr>
        <w:tc>
          <w:tcPr>
            <w:tcW w:w="2050" w:type="dxa"/>
            <w:tcBorders>
              <w:top w:val="nil"/>
              <w:left w:val="nil"/>
              <w:bottom w:val="nil"/>
              <w:right w:val="single" w:sz="8" w:space="0" w:color="auto"/>
            </w:tcBorders>
            <w:noWrap/>
            <w:vAlign w:val="center"/>
            <w:hideMark/>
          </w:tcPr>
          <w:p w14:paraId="02CCD17F" w14:textId="77777777" w:rsidR="00B3500A" w:rsidRPr="00BA7E3C" w:rsidRDefault="00B3500A" w:rsidP="00D62AD1">
            <w:pPr>
              <w:rPr>
                <w:color w:val="000000"/>
                <w:sz w:val="16"/>
                <w:szCs w:val="16"/>
                <w:lang w:val="en-US"/>
              </w:rPr>
            </w:pPr>
            <w:r w:rsidRPr="00BA7E3C">
              <w:rPr>
                <w:color w:val="000000"/>
                <w:sz w:val="16"/>
                <w:szCs w:val="16"/>
                <w:lang w:val="en-US"/>
              </w:rPr>
              <w:t>Oklahoma (R)</w:t>
            </w:r>
          </w:p>
        </w:tc>
        <w:tc>
          <w:tcPr>
            <w:tcW w:w="576" w:type="dxa"/>
            <w:tcBorders>
              <w:top w:val="nil"/>
              <w:left w:val="nil"/>
              <w:bottom w:val="nil"/>
              <w:right w:val="nil"/>
            </w:tcBorders>
            <w:shd w:val="clear" w:color="000000" w:fill="FFC7CE"/>
            <w:noWrap/>
            <w:vAlign w:val="center"/>
            <w:hideMark/>
          </w:tcPr>
          <w:p w14:paraId="068D9D7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1DE13F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FB14E6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01A9CC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7FD0E1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212E1C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96D2D9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C7AFC0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5229FC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C57B6C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C0CFB2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690C5D8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A6D447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63B96284" w14:textId="77777777" w:rsidTr="00D62AD1">
        <w:trPr>
          <w:trHeight w:val="225"/>
        </w:trPr>
        <w:tc>
          <w:tcPr>
            <w:tcW w:w="2050" w:type="dxa"/>
            <w:tcBorders>
              <w:top w:val="nil"/>
              <w:left w:val="nil"/>
              <w:bottom w:val="nil"/>
              <w:right w:val="single" w:sz="8" w:space="0" w:color="auto"/>
            </w:tcBorders>
            <w:noWrap/>
            <w:vAlign w:val="center"/>
            <w:hideMark/>
          </w:tcPr>
          <w:p w14:paraId="2148E1A4" w14:textId="77777777" w:rsidR="00B3500A" w:rsidRPr="00BA7E3C" w:rsidRDefault="00B3500A" w:rsidP="00D62AD1">
            <w:pPr>
              <w:rPr>
                <w:color w:val="000000"/>
                <w:sz w:val="16"/>
                <w:szCs w:val="16"/>
                <w:lang w:val="en-US"/>
              </w:rPr>
            </w:pPr>
            <w:r w:rsidRPr="00BA7E3C">
              <w:rPr>
                <w:color w:val="000000"/>
                <w:sz w:val="16"/>
                <w:szCs w:val="16"/>
                <w:lang w:val="en-US"/>
              </w:rPr>
              <w:t>Oregon (D)</w:t>
            </w:r>
          </w:p>
        </w:tc>
        <w:tc>
          <w:tcPr>
            <w:tcW w:w="576" w:type="dxa"/>
            <w:tcBorders>
              <w:top w:val="nil"/>
              <w:left w:val="nil"/>
              <w:bottom w:val="nil"/>
              <w:right w:val="nil"/>
            </w:tcBorders>
            <w:shd w:val="clear" w:color="000000" w:fill="FFC7CE"/>
            <w:noWrap/>
            <w:vAlign w:val="center"/>
            <w:hideMark/>
          </w:tcPr>
          <w:p w14:paraId="040506C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FE0DA1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01BF5E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BB6872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346C896A"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2E074F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7F4BA5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29D90C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1C898E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79DE77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FC5F0D5"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67B5208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AADAC57"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4918580A" w14:textId="77777777" w:rsidTr="00D62AD1">
        <w:trPr>
          <w:trHeight w:val="225"/>
        </w:trPr>
        <w:tc>
          <w:tcPr>
            <w:tcW w:w="2050" w:type="dxa"/>
            <w:tcBorders>
              <w:top w:val="nil"/>
              <w:left w:val="nil"/>
              <w:bottom w:val="nil"/>
              <w:right w:val="single" w:sz="8" w:space="0" w:color="auto"/>
            </w:tcBorders>
            <w:noWrap/>
            <w:vAlign w:val="center"/>
            <w:hideMark/>
          </w:tcPr>
          <w:p w14:paraId="5A0544C8" w14:textId="77777777" w:rsidR="00B3500A" w:rsidRPr="00BA7E3C" w:rsidRDefault="00B3500A" w:rsidP="00D62AD1">
            <w:pPr>
              <w:rPr>
                <w:color w:val="000000"/>
                <w:sz w:val="16"/>
                <w:szCs w:val="16"/>
                <w:lang w:val="en-US"/>
              </w:rPr>
            </w:pPr>
            <w:r w:rsidRPr="00BA7E3C">
              <w:rPr>
                <w:color w:val="000000"/>
                <w:sz w:val="16"/>
                <w:szCs w:val="16"/>
                <w:lang w:val="en-US"/>
              </w:rPr>
              <w:t xml:space="preserve">Pennsylvania (D) </w:t>
            </w:r>
          </w:p>
        </w:tc>
        <w:tc>
          <w:tcPr>
            <w:tcW w:w="576" w:type="dxa"/>
            <w:tcBorders>
              <w:top w:val="nil"/>
              <w:left w:val="nil"/>
              <w:bottom w:val="nil"/>
              <w:right w:val="nil"/>
            </w:tcBorders>
            <w:shd w:val="clear" w:color="000000" w:fill="FFC7CE"/>
            <w:noWrap/>
            <w:vAlign w:val="center"/>
            <w:hideMark/>
          </w:tcPr>
          <w:p w14:paraId="172C9CE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258C012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071496E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BEDC0B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B06C0B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3D1BE19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1AAC8D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FE75ED5"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A2DE7E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E271AB5"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D3860A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FFC7CE"/>
            <w:noWrap/>
            <w:vAlign w:val="center"/>
            <w:hideMark/>
          </w:tcPr>
          <w:p w14:paraId="76E0CAC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28CFDB2F"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04FEC9B6" w14:textId="77777777" w:rsidTr="00D62AD1">
        <w:trPr>
          <w:trHeight w:val="225"/>
        </w:trPr>
        <w:tc>
          <w:tcPr>
            <w:tcW w:w="2050" w:type="dxa"/>
            <w:tcBorders>
              <w:top w:val="nil"/>
              <w:left w:val="nil"/>
              <w:bottom w:val="nil"/>
              <w:right w:val="single" w:sz="8" w:space="0" w:color="auto"/>
            </w:tcBorders>
            <w:noWrap/>
            <w:vAlign w:val="center"/>
            <w:hideMark/>
          </w:tcPr>
          <w:p w14:paraId="45F659CA" w14:textId="77777777" w:rsidR="00B3500A" w:rsidRPr="00BA7E3C" w:rsidRDefault="00B3500A" w:rsidP="00D62AD1">
            <w:pPr>
              <w:rPr>
                <w:color w:val="000000"/>
                <w:sz w:val="16"/>
                <w:szCs w:val="16"/>
                <w:lang w:val="en-US"/>
              </w:rPr>
            </w:pPr>
            <w:r w:rsidRPr="00BA7E3C">
              <w:rPr>
                <w:color w:val="000000"/>
                <w:sz w:val="16"/>
                <w:szCs w:val="16"/>
                <w:lang w:val="en-US"/>
              </w:rPr>
              <w:t>Rhode Island (D)</w:t>
            </w:r>
          </w:p>
        </w:tc>
        <w:tc>
          <w:tcPr>
            <w:tcW w:w="576" w:type="dxa"/>
            <w:tcBorders>
              <w:top w:val="nil"/>
              <w:left w:val="nil"/>
              <w:bottom w:val="nil"/>
              <w:right w:val="nil"/>
            </w:tcBorders>
            <w:shd w:val="clear" w:color="000000" w:fill="FFC7CE"/>
            <w:noWrap/>
            <w:vAlign w:val="center"/>
            <w:hideMark/>
          </w:tcPr>
          <w:p w14:paraId="16DF724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152FC3BF"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475217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7C91E37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03CF40A5"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0EF9E4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3980DA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B5126F9"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3350EDB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2BCFF8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7A349F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7E59487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23EF9B7"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57039331" w14:textId="77777777" w:rsidTr="00D62AD1">
        <w:trPr>
          <w:trHeight w:val="225"/>
        </w:trPr>
        <w:tc>
          <w:tcPr>
            <w:tcW w:w="2050" w:type="dxa"/>
            <w:tcBorders>
              <w:top w:val="nil"/>
              <w:left w:val="nil"/>
              <w:bottom w:val="nil"/>
              <w:right w:val="single" w:sz="8" w:space="0" w:color="auto"/>
            </w:tcBorders>
            <w:noWrap/>
            <w:vAlign w:val="center"/>
            <w:hideMark/>
          </w:tcPr>
          <w:p w14:paraId="3D8CF1A1" w14:textId="77777777" w:rsidR="00B3500A" w:rsidRPr="00BA7E3C" w:rsidRDefault="00B3500A" w:rsidP="00D62AD1">
            <w:pPr>
              <w:rPr>
                <w:color w:val="000000"/>
                <w:sz w:val="16"/>
                <w:szCs w:val="16"/>
                <w:lang w:val="en-US"/>
              </w:rPr>
            </w:pPr>
            <w:r w:rsidRPr="00BA7E3C">
              <w:rPr>
                <w:color w:val="000000"/>
                <w:sz w:val="16"/>
                <w:szCs w:val="16"/>
                <w:lang w:val="en-US"/>
              </w:rPr>
              <w:t>South Carolina (R)</w:t>
            </w:r>
          </w:p>
        </w:tc>
        <w:tc>
          <w:tcPr>
            <w:tcW w:w="576" w:type="dxa"/>
            <w:tcBorders>
              <w:top w:val="nil"/>
              <w:left w:val="nil"/>
              <w:bottom w:val="nil"/>
              <w:right w:val="nil"/>
            </w:tcBorders>
            <w:shd w:val="clear" w:color="000000" w:fill="FFC7CE"/>
            <w:noWrap/>
            <w:vAlign w:val="center"/>
            <w:hideMark/>
          </w:tcPr>
          <w:p w14:paraId="631E954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27511B2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6D8AC17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F2DC5F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A10111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56B4A2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009CFD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376E17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2B3755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9A90A1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4F4970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5653D33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8DBE59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3D690C08" w14:textId="77777777" w:rsidTr="00D62AD1">
        <w:trPr>
          <w:trHeight w:val="225"/>
        </w:trPr>
        <w:tc>
          <w:tcPr>
            <w:tcW w:w="2050" w:type="dxa"/>
            <w:tcBorders>
              <w:top w:val="nil"/>
              <w:left w:val="nil"/>
              <w:bottom w:val="nil"/>
              <w:right w:val="single" w:sz="8" w:space="0" w:color="auto"/>
            </w:tcBorders>
            <w:noWrap/>
            <w:vAlign w:val="center"/>
            <w:hideMark/>
          </w:tcPr>
          <w:p w14:paraId="3F32A7A0" w14:textId="77777777" w:rsidR="00B3500A" w:rsidRPr="00BA7E3C" w:rsidRDefault="00B3500A" w:rsidP="00D62AD1">
            <w:pPr>
              <w:rPr>
                <w:color w:val="000000"/>
                <w:sz w:val="16"/>
                <w:szCs w:val="16"/>
                <w:lang w:val="en-US"/>
              </w:rPr>
            </w:pPr>
            <w:r w:rsidRPr="00BA7E3C">
              <w:rPr>
                <w:color w:val="000000"/>
                <w:sz w:val="16"/>
                <w:szCs w:val="16"/>
                <w:lang w:val="en-US"/>
              </w:rPr>
              <w:t>South Dakota (R)</w:t>
            </w:r>
          </w:p>
        </w:tc>
        <w:tc>
          <w:tcPr>
            <w:tcW w:w="576" w:type="dxa"/>
            <w:tcBorders>
              <w:top w:val="nil"/>
              <w:left w:val="nil"/>
              <w:bottom w:val="nil"/>
              <w:right w:val="nil"/>
            </w:tcBorders>
            <w:shd w:val="clear" w:color="000000" w:fill="FFC7CE"/>
            <w:noWrap/>
            <w:vAlign w:val="center"/>
            <w:hideMark/>
          </w:tcPr>
          <w:p w14:paraId="1555836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C9E33C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C34FF5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8352A6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AA7FA1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9334F2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070678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3418B0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47E65B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0116B8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7572DE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7687D2A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3AA0AB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6E239C02" w14:textId="77777777" w:rsidTr="00D62AD1">
        <w:trPr>
          <w:trHeight w:val="225"/>
        </w:trPr>
        <w:tc>
          <w:tcPr>
            <w:tcW w:w="2050" w:type="dxa"/>
            <w:tcBorders>
              <w:top w:val="nil"/>
              <w:left w:val="nil"/>
              <w:bottom w:val="nil"/>
              <w:right w:val="single" w:sz="8" w:space="0" w:color="auto"/>
            </w:tcBorders>
            <w:noWrap/>
            <w:vAlign w:val="center"/>
            <w:hideMark/>
          </w:tcPr>
          <w:p w14:paraId="01FF5FAF" w14:textId="77777777" w:rsidR="00B3500A" w:rsidRPr="00BA7E3C" w:rsidRDefault="00B3500A" w:rsidP="00D62AD1">
            <w:pPr>
              <w:rPr>
                <w:color w:val="000000"/>
                <w:sz w:val="16"/>
                <w:szCs w:val="16"/>
                <w:lang w:val="en-US"/>
              </w:rPr>
            </w:pPr>
            <w:r w:rsidRPr="00BA7E3C">
              <w:rPr>
                <w:color w:val="000000"/>
                <w:sz w:val="16"/>
                <w:szCs w:val="16"/>
                <w:lang w:val="en-US"/>
              </w:rPr>
              <w:t>Tennessee (R)</w:t>
            </w:r>
          </w:p>
        </w:tc>
        <w:tc>
          <w:tcPr>
            <w:tcW w:w="576" w:type="dxa"/>
            <w:tcBorders>
              <w:top w:val="nil"/>
              <w:left w:val="nil"/>
              <w:bottom w:val="nil"/>
              <w:right w:val="nil"/>
            </w:tcBorders>
            <w:shd w:val="clear" w:color="000000" w:fill="FFC7CE"/>
            <w:noWrap/>
            <w:vAlign w:val="center"/>
            <w:hideMark/>
          </w:tcPr>
          <w:p w14:paraId="3D0668B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39EBC11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245AADC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5CA584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EA98E9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49CFCE75"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43040BC"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0A304B2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9C015B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90E2C0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FBBEFD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37EE03F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11C1A2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2AB7F98D" w14:textId="77777777" w:rsidTr="00D62AD1">
        <w:trPr>
          <w:trHeight w:val="225"/>
        </w:trPr>
        <w:tc>
          <w:tcPr>
            <w:tcW w:w="2050" w:type="dxa"/>
            <w:tcBorders>
              <w:top w:val="nil"/>
              <w:left w:val="nil"/>
              <w:bottom w:val="nil"/>
              <w:right w:val="single" w:sz="8" w:space="0" w:color="auto"/>
            </w:tcBorders>
            <w:noWrap/>
            <w:vAlign w:val="center"/>
            <w:hideMark/>
          </w:tcPr>
          <w:p w14:paraId="6724FD1F" w14:textId="77777777" w:rsidR="00B3500A" w:rsidRPr="00BA7E3C" w:rsidRDefault="00B3500A" w:rsidP="00D62AD1">
            <w:pPr>
              <w:rPr>
                <w:color w:val="000000"/>
                <w:sz w:val="16"/>
                <w:szCs w:val="16"/>
                <w:lang w:val="en-US"/>
              </w:rPr>
            </w:pPr>
            <w:r w:rsidRPr="00BA7E3C">
              <w:rPr>
                <w:color w:val="000000"/>
                <w:sz w:val="16"/>
                <w:szCs w:val="16"/>
                <w:lang w:val="en-US"/>
              </w:rPr>
              <w:t>Texas (R)</w:t>
            </w:r>
          </w:p>
        </w:tc>
        <w:tc>
          <w:tcPr>
            <w:tcW w:w="576" w:type="dxa"/>
            <w:tcBorders>
              <w:top w:val="nil"/>
              <w:left w:val="nil"/>
              <w:bottom w:val="nil"/>
              <w:right w:val="nil"/>
            </w:tcBorders>
            <w:shd w:val="clear" w:color="000000" w:fill="FFC7CE"/>
            <w:noWrap/>
            <w:vAlign w:val="center"/>
            <w:hideMark/>
          </w:tcPr>
          <w:p w14:paraId="110F8CF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1C9FBF7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3781FD7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0E6B7D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E28AB7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947030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44C9EE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A79D38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EB484F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E5D9DB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878793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50CEA62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2C9972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06C17D4B" w14:textId="77777777" w:rsidTr="00D62AD1">
        <w:trPr>
          <w:trHeight w:val="225"/>
        </w:trPr>
        <w:tc>
          <w:tcPr>
            <w:tcW w:w="2050" w:type="dxa"/>
            <w:tcBorders>
              <w:top w:val="nil"/>
              <w:left w:val="nil"/>
              <w:bottom w:val="nil"/>
              <w:right w:val="single" w:sz="8" w:space="0" w:color="auto"/>
            </w:tcBorders>
            <w:noWrap/>
            <w:vAlign w:val="center"/>
            <w:hideMark/>
          </w:tcPr>
          <w:p w14:paraId="6EED55E9" w14:textId="77777777" w:rsidR="00B3500A" w:rsidRPr="00BA7E3C" w:rsidRDefault="00B3500A" w:rsidP="00D62AD1">
            <w:pPr>
              <w:rPr>
                <w:color w:val="000000"/>
                <w:sz w:val="16"/>
                <w:szCs w:val="16"/>
                <w:lang w:val="en-US"/>
              </w:rPr>
            </w:pPr>
            <w:r w:rsidRPr="00BA7E3C">
              <w:rPr>
                <w:color w:val="000000"/>
                <w:sz w:val="16"/>
                <w:szCs w:val="16"/>
                <w:lang w:val="en-US"/>
              </w:rPr>
              <w:t>Utah (R)</w:t>
            </w:r>
          </w:p>
        </w:tc>
        <w:tc>
          <w:tcPr>
            <w:tcW w:w="576" w:type="dxa"/>
            <w:tcBorders>
              <w:top w:val="nil"/>
              <w:left w:val="nil"/>
              <w:bottom w:val="nil"/>
              <w:right w:val="nil"/>
            </w:tcBorders>
            <w:shd w:val="clear" w:color="000000" w:fill="FFC7CE"/>
            <w:noWrap/>
            <w:vAlign w:val="center"/>
            <w:hideMark/>
          </w:tcPr>
          <w:p w14:paraId="2205B49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FEEFDA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E86750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74409E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83B8DA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FB6DB4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506D38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1EE171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5F7E16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18E504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2BA9BDC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29E2784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02CEE5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5F88D816" w14:textId="77777777" w:rsidTr="00D62AD1">
        <w:trPr>
          <w:trHeight w:val="225"/>
        </w:trPr>
        <w:tc>
          <w:tcPr>
            <w:tcW w:w="2050" w:type="dxa"/>
            <w:tcBorders>
              <w:top w:val="nil"/>
              <w:left w:val="nil"/>
              <w:bottom w:val="nil"/>
              <w:right w:val="single" w:sz="8" w:space="0" w:color="auto"/>
            </w:tcBorders>
            <w:noWrap/>
            <w:vAlign w:val="center"/>
            <w:hideMark/>
          </w:tcPr>
          <w:p w14:paraId="47F06483" w14:textId="77777777" w:rsidR="00B3500A" w:rsidRPr="00BA7E3C" w:rsidRDefault="00B3500A" w:rsidP="00D62AD1">
            <w:pPr>
              <w:rPr>
                <w:color w:val="000000"/>
                <w:sz w:val="16"/>
                <w:szCs w:val="16"/>
                <w:lang w:val="en-US"/>
              </w:rPr>
            </w:pPr>
            <w:r w:rsidRPr="00BA7E3C">
              <w:rPr>
                <w:color w:val="000000"/>
                <w:sz w:val="16"/>
                <w:szCs w:val="16"/>
                <w:lang w:val="en-US"/>
              </w:rPr>
              <w:t>Vermont (D)</w:t>
            </w:r>
          </w:p>
        </w:tc>
        <w:tc>
          <w:tcPr>
            <w:tcW w:w="576" w:type="dxa"/>
            <w:tcBorders>
              <w:top w:val="nil"/>
              <w:left w:val="nil"/>
              <w:bottom w:val="nil"/>
              <w:right w:val="nil"/>
            </w:tcBorders>
            <w:shd w:val="clear" w:color="000000" w:fill="FFC7CE"/>
            <w:noWrap/>
            <w:vAlign w:val="center"/>
            <w:hideMark/>
          </w:tcPr>
          <w:p w14:paraId="6C4CCD41"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96B246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E5FA17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35C302B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54CEDB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434781C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949BCE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CDFCF9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12AC0A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02C7085"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3E5999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3A4179FD"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CF1B3BA"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2812153C" w14:textId="77777777" w:rsidTr="00D62AD1">
        <w:trPr>
          <w:trHeight w:val="225"/>
        </w:trPr>
        <w:tc>
          <w:tcPr>
            <w:tcW w:w="2050" w:type="dxa"/>
            <w:tcBorders>
              <w:top w:val="nil"/>
              <w:left w:val="nil"/>
              <w:bottom w:val="nil"/>
              <w:right w:val="single" w:sz="8" w:space="0" w:color="auto"/>
            </w:tcBorders>
            <w:noWrap/>
            <w:vAlign w:val="center"/>
            <w:hideMark/>
          </w:tcPr>
          <w:p w14:paraId="1FD6A507" w14:textId="77777777" w:rsidR="00B3500A" w:rsidRPr="00BA7E3C" w:rsidRDefault="00B3500A" w:rsidP="00D62AD1">
            <w:pPr>
              <w:rPr>
                <w:color w:val="000000"/>
                <w:sz w:val="16"/>
                <w:szCs w:val="16"/>
                <w:lang w:val="en-US"/>
              </w:rPr>
            </w:pPr>
            <w:r w:rsidRPr="00BA7E3C">
              <w:rPr>
                <w:color w:val="000000"/>
                <w:sz w:val="16"/>
                <w:szCs w:val="16"/>
                <w:lang w:val="en-US"/>
              </w:rPr>
              <w:t>Virginia (R)</w:t>
            </w:r>
          </w:p>
        </w:tc>
        <w:tc>
          <w:tcPr>
            <w:tcW w:w="576" w:type="dxa"/>
            <w:tcBorders>
              <w:top w:val="nil"/>
              <w:left w:val="nil"/>
              <w:bottom w:val="nil"/>
              <w:right w:val="nil"/>
            </w:tcBorders>
            <w:shd w:val="clear" w:color="000000" w:fill="FFC7CE"/>
            <w:noWrap/>
            <w:vAlign w:val="center"/>
            <w:hideMark/>
          </w:tcPr>
          <w:p w14:paraId="0885B9A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D2F6F9F"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FD9CC3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17CA005"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513964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B7970C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CE71D8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964FBE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1221367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1F337A1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14E00F7D"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72BEF24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26216D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22298AAF" w14:textId="77777777" w:rsidTr="00D62AD1">
        <w:trPr>
          <w:trHeight w:val="225"/>
        </w:trPr>
        <w:tc>
          <w:tcPr>
            <w:tcW w:w="2050" w:type="dxa"/>
            <w:tcBorders>
              <w:top w:val="nil"/>
              <w:left w:val="nil"/>
              <w:bottom w:val="nil"/>
              <w:right w:val="single" w:sz="8" w:space="0" w:color="auto"/>
            </w:tcBorders>
            <w:noWrap/>
            <w:vAlign w:val="center"/>
            <w:hideMark/>
          </w:tcPr>
          <w:p w14:paraId="58C5794F" w14:textId="77777777" w:rsidR="00B3500A" w:rsidRPr="00BA7E3C" w:rsidRDefault="00B3500A" w:rsidP="00D62AD1">
            <w:pPr>
              <w:rPr>
                <w:color w:val="000000"/>
                <w:sz w:val="16"/>
                <w:szCs w:val="16"/>
                <w:lang w:val="en-US"/>
              </w:rPr>
            </w:pPr>
            <w:r w:rsidRPr="00BA7E3C">
              <w:rPr>
                <w:color w:val="000000"/>
                <w:sz w:val="16"/>
                <w:szCs w:val="16"/>
                <w:lang w:val="en-US"/>
              </w:rPr>
              <w:t>Washington (D)</w:t>
            </w:r>
          </w:p>
        </w:tc>
        <w:tc>
          <w:tcPr>
            <w:tcW w:w="576" w:type="dxa"/>
            <w:tcBorders>
              <w:top w:val="nil"/>
              <w:left w:val="nil"/>
              <w:bottom w:val="nil"/>
              <w:right w:val="nil"/>
            </w:tcBorders>
            <w:shd w:val="clear" w:color="000000" w:fill="FFC7CE"/>
            <w:noWrap/>
            <w:vAlign w:val="center"/>
            <w:hideMark/>
          </w:tcPr>
          <w:p w14:paraId="2ACBB5B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640754D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084FC09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69CF31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7E26B21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D8A01A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226D540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73D88E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6EB8EEA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47A7C752"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A96620B"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bottom w:val="nil"/>
              <w:right w:val="nil"/>
            </w:tcBorders>
            <w:shd w:val="clear" w:color="000000" w:fill="00B0F0"/>
            <w:noWrap/>
            <w:vAlign w:val="center"/>
            <w:hideMark/>
          </w:tcPr>
          <w:p w14:paraId="463BFDE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687C8A8"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28CEAECD" w14:textId="77777777" w:rsidTr="00D62AD1">
        <w:trPr>
          <w:trHeight w:val="225"/>
        </w:trPr>
        <w:tc>
          <w:tcPr>
            <w:tcW w:w="2050" w:type="dxa"/>
            <w:tcBorders>
              <w:top w:val="nil"/>
              <w:left w:val="nil"/>
              <w:bottom w:val="nil"/>
              <w:right w:val="single" w:sz="8" w:space="0" w:color="auto"/>
            </w:tcBorders>
            <w:noWrap/>
            <w:vAlign w:val="center"/>
            <w:hideMark/>
          </w:tcPr>
          <w:p w14:paraId="2EBA1126" w14:textId="77777777" w:rsidR="00B3500A" w:rsidRPr="00BA7E3C" w:rsidRDefault="00B3500A" w:rsidP="00D62AD1">
            <w:pPr>
              <w:rPr>
                <w:color w:val="000000"/>
                <w:sz w:val="16"/>
                <w:szCs w:val="16"/>
                <w:lang w:val="en-US"/>
              </w:rPr>
            </w:pPr>
            <w:r w:rsidRPr="00BA7E3C">
              <w:rPr>
                <w:color w:val="000000"/>
                <w:sz w:val="16"/>
                <w:szCs w:val="16"/>
                <w:lang w:val="en-US"/>
              </w:rPr>
              <w:t>West Virginia (R)</w:t>
            </w:r>
          </w:p>
        </w:tc>
        <w:tc>
          <w:tcPr>
            <w:tcW w:w="576" w:type="dxa"/>
            <w:tcBorders>
              <w:top w:val="nil"/>
              <w:left w:val="nil"/>
              <w:bottom w:val="nil"/>
              <w:right w:val="nil"/>
            </w:tcBorders>
            <w:shd w:val="clear" w:color="000000" w:fill="FFC7CE"/>
            <w:noWrap/>
            <w:vAlign w:val="center"/>
            <w:hideMark/>
          </w:tcPr>
          <w:p w14:paraId="3330B3C6"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6E6D8C0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7BA17487"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7C0061A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00B0F0"/>
            <w:noWrap/>
            <w:vAlign w:val="center"/>
            <w:hideMark/>
          </w:tcPr>
          <w:p w14:paraId="35AEC17F"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0C41F4CA"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00B0F0"/>
            <w:noWrap/>
            <w:vAlign w:val="center"/>
            <w:hideMark/>
          </w:tcPr>
          <w:p w14:paraId="5958A01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bottom w:val="nil"/>
              <w:right w:val="nil"/>
            </w:tcBorders>
            <w:shd w:val="clear" w:color="000000" w:fill="FFC7CE"/>
            <w:noWrap/>
            <w:vAlign w:val="center"/>
            <w:hideMark/>
          </w:tcPr>
          <w:p w14:paraId="3802100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422DEAE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699A49D"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7F4D0F2C"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nil"/>
              <w:right w:val="nil"/>
            </w:tcBorders>
            <w:shd w:val="clear" w:color="000000" w:fill="FFC7CE"/>
            <w:noWrap/>
            <w:vAlign w:val="center"/>
            <w:hideMark/>
          </w:tcPr>
          <w:p w14:paraId="4A4BF9C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nil"/>
              <w:right w:val="nil"/>
            </w:tcBorders>
            <w:shd w:val="clear" w:color="000000" w:fill="FFC7CE"/>
            <w:noWrap/>
            <w:vAlign w:val="center"/>
            <w:hideMark/>
          </w:tcPr>
          <w:p w14:paraId="5FBB2030"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03E1225A" w14:textId="77777777" w:rsidTr="00D62AD1">
        <w:trPr>
          <w:trHeight w:val="225"/>
        </w:trPr>
        <w:tc>
          <w:tcPr>
            <w:tcW w:w="2050" w:type="dxa"/>
            <w:tcBorders>
              <w:top w:val="nil"/>
              <w:left w:val="nil"/>
              <w:right w:val="single" w:sz="8" w:space="0" w:color="auto"/>
            </w:tcBorders>
            <w:noWrap/>
            <w:vAlign w:val="center"/>
            <w:hideMark/>
          </w:tcPr>
          <w:p w14:paraId="1C14AE64" w14:textId="77777777" w:rsidR="00B3500A" w:rsidRPr="00BA7E3C" w:rsidRDefault="00B3500A" w:rsidP="00D62AD1">
            <w:pPr>
              <w:rPr>
                <w:color w:val="000000"/>
                <w:sz w:val="16"/>
                <w:szCs w:val="16"/>
                <w:lang w:val="en-US"/>
              </w:rPr>
            </w:pPr>
            <w:r w:rsidRPr="00BA7E3C">
              <w:rPr>
                <w:color w:val="000000"/>
                <w:sz w:val="16"/>
                <w:szCs w:val="16"/>
                <w:lang w:val="en-US"/>
              </w:rPr>
              <w:t>Wisconsin (D)</w:t>
            </w:r>
          </w:p>
        </w:tc>
        <w:tc>
          <w:tcPr>
            <w:tcW w:w="576" w:type="dxa"/>
            <w:tcBorders>
              <w:top w:val="nil"/>
              <w:left w:val="nil"/>
              <w:right w:val="nil"/>
            </w:tcBorders>
            <w:shd w:val="clear" w:color="000000" w:fill="FFC7CE"/>
            <w:noWrap/>
            <w:vAlign w:val="center"/>
            <w:hideMark/>
          </w:tcPr>
          <w:p w14:paraId="6072E37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right w:val="nil"/>
            </w:tcBorders>
            <w:shd w:val="clear" w:color="000000" w:fill="00B0F0"/>
            <w:noWrap/>
            <w:vAlign w:val="center"/>
            <w:hideMark/>
          </w:tcPr>
          <w:p w14:paraId="328DC585"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right w:val="nil"/>
            </w:tcBorders>
            <w:shd w:val="clear" w:color="000000" w:fill="FFC7CE"/>
            <w:noWrap/>
            <w:vAlign w:val="center"/>
            <w:hideMark/>
          </w:tcPr>
          <w:p w14:paraId="03DF3F02"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right w:val="nil"/>
            </w:tcBorders>
            <w:shd w:val="clear" w:color="000000" w:fill="FFC7CE"/>
            <w:noWrap/>
            <w:vAlign w:val="center"/>
            <w:hideMark/>
          </w:tcPr>
          <w:p w14:paraId="2680F25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right w:val="nil"/>
            </w:tcBorders>
            <w:shd w:val="clear" w:color="000000" w:fill="00B0F0"/>
            <w:noWrap/>
            <w:vAlign w:val="center"/>
            <w:hideMark/>
          </w:tcPr>
          <w:p w14:paraId="3BDDB970"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right w:val="nil"/>
            </w:tcBorders>
            <w:shd w:val="clear" w:color="000000" w:fill="00B0F0"/>
            <w:noWrap/>
            <w:vAlign w:val="center"/>
            <w:hideMark/>
          </w:tcPr>
          <w:p w14:paraId="441FE29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right w:val="nil"/>
            </w:tcBorders>
            <w:shd w:val="clear" w:color="000000" w:fill="00B0F0"/>
            <w:noWrap/>
            <w:vAlign w:val="center"/>
            <w:hideMark/>
          </w:tcPr>
          <w:p w14:paraId="16459494"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right w:val="nil"/>
            </w:tcBorders>
            <w:shd w:val="clear" w:color="000000" w:fill="00B0F0"/>
            <w:noWrap/>
            <w:vAlign w:val="center"/>
            <w:hideMark/>
          </w:tcPr>
          <w:p w14:paraId="0661A8B1"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right w:val="nil"/>
            </w:tcBorders>
            <w:shd w:val="clear" w:color="000000" w:fill="00B0F0"/>
            <w:noWrap/>
            <w:vAlign w:val="center"/>
            <w:hideMark/>
          </w:tcPr>
          <w:p w14:paraId="6B91473E"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right w:val="nil"/>
            </w:tcBorders>
            <w:shd w:val="clear" w:color="000000" w:fill="00B0F0"/>
            <w:noWrap/>
            <w:vAlign w:val="center"/>
            <w:hideMark/>
          </w:tcPr>
          <w:p w14:paraId="3F67178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576" w:type="dxa"/>
            <w:tcBorders>
              <w:top w:val="nil"/>
              <w:left w:val="nil"/>
              <w:right w:val="nil"/>
            </w:tcBorders>
            <w:shd w:val="clear" w:color="000000" w:fill="00B0F0"/>
            <w:noWrap/>
            <w:vAlign w:val="center"/>
            <w:hideMark/>
          </w:tcPr>
          <w:p w14:paraId="70FE4F36"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c>
          <w:tcPr>
            <w:tcW w:w="849" w:type="dxa"/>
            <w:tcBorders>
              <w:top w:val="nil"/>
              <w:left w:val="nil"/>
              <w:right w:val="nil"/>
            </w:tcBorders>
            <w:shd w:val="clear" w:color="000000" w:fill="FFC7CE"/>
            <w:noWrap/>
            <w:vAlign w:val="center"/>
            <w:hideMark/>
          </w:tcPr>
          <w:p w14:paraId="6731BB2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right w:val="nil"/>
            </w:tcBorders>
            <w:shd w:val="clear" w:color="000000" w:fill="00B0F0"/>
            <w:noWrap/>
            <w:vAlign w:val="center"/>
            <w:hideMark/>
          </w:tcPr>
          <w:p w14:paraId="79E5E723" w14:textId="77777777" w:rsidR="00B3500A" w:rsidRPr="00BA7E3C" w:rsidRDefault="00B3500A" w:rsidP="00D62AD1">
            <w:pPr>
              <w:jc w:val="center"/>
              <w:rPr>
                <w:color w:val="000000"/>
                <w:sz w:val="16"/>
                <w:szCs w:val="16"/>
                <w:lang w:val="en-US"/>
              </w:rPr>
            </w:pPr>
            <w:r w:rsidRPr="00BA7E3C">
              <w:rPr>
                <w:color w:val="000000"/>
                <w:sz w:val="16"/>
                <w:szCs w:val="16"/>
                <w:lang w:val="en-US"/>
              </w:rPr>
              <w:t>D</w:t>
            </w:r>
          </w:p>
        </w:tc>
      </w:tr>
      <w:tr w:rsidR="00B3500A" w:rsidRPr="00BA7E3C" w14:paraId="3F2170D9" w14:textId="77777777" w:rsidTr="00D62AD1">
        <w:trPr>
          <w:trHeight w:val="225"/>
        </w:trPr>
        <w:tc>
          <w:tcPr>
            <w:tcW w:w="2050" w:type="dxa"/>
            <w:tcBorders>
              <w:top w:val="nil"/>
              <w:left w:val="nil"/>
              <w:bottom w:val="single" w:sz="4" w:space="0" w:color="auto"/>
              <w:right w:val="single" w:sz="8" w:space="0" w:color="auto"/>
            </w:tcBorders>
            <w:noWrap/>
            <w:vAlign w:val="center"/>
            <w:hideMark/>
          </w:tcPr>
          <w:p w14:paraId="6EEF9B41" w14:textId="77777777" w:rsidR="00B3500A" w:rsidRPr="00BA7E3C" w:rsidRDefault="00B3500A" w:rsidP="00D62AD1">
            <w:pPr>
              <w:rPr>
                <w:color w:val="000000"/>
                <w:sz w:val="16"/>
                <w:szCs w:val="16"/>
                <w:lang w:val="en-US"/>
              </w:rPr>
            </w:pPr>
            <w:r w:rsidRPr="00BA7E3C">
              <w:rPr>
                <w:color w:val="000000"/>
                <w:sz w:val="16"/>
                <w:szCs w:val="16"/>
                <w:lang w:val="en-US"/>
              </w:rPr>
              <w:t>Wyoming (R)</w:t>
            </w:r>
          </w:p>
        </w:tc>
        <w:tc>
          <w:tcPr>
            <w:tcW w:w="576" w:type="dxa"/>
            <w:tcBorders>
              <w:top w:val="nil"/>
              <w:left w:val="nil"/>
              <w:bottom w:val="single" w:sz="4" w:space="0" w:color="auto"/>
              <w:right w:val="nil"/>
            </w:tcBorders>
            <w:shd w:val="clear" w:color="000000" w:fill="FFC7CE"/>
            <w:noWrap/>
            <w:vAlign w:val="center"/>
            <w:hideMark/>
          </w:tcPr>
          <w:p w14:paraId="7923EE2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single" w:sz="4" w:space="0" w:color="auto"/>
              <w:right w:val="nil"/>
            </w:tcBorders>
            <w:shd w:val="clear" w:color="000000" w:fill="FFC7CE"/>
            <w:noWrap/>
            <w:vAlign w:val="center"/>
            <w:hideMark/>
          </w:tcPr>
          <w:p w14:paraId="7274D4A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single" w:sz="4" w:space="0" w:color="auto"/>
              <w:right w:val="nil"/>
            </w:tcBorders>
            <w:shd w:val="clear" w:color="000000" w:fill="FFC7CE"/>
            <w:noWrap/>
            <w:vAlign w:val="center"/>
            <w:hideMark/>
          </w:tcPr>
          <w:p w14:paraId="070E7C83"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single" w:sz="4" w:space="0" w:color="auto"/>
              <w:right w:val="nil"/>
            </w:tcBorders>
            <w:shd w:val="clear" w:color="000000" w:fill="FFC7CE"/>
            <w:noWrap/>
            <w:vAlign w:val="center"/>
            <w:hideMark/>
          </w:tcPr>
          <w:p w14:paraId="51CB547A"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single" w:sz="4" w:space="0" w:color="auto"/>
              <w:right w:val="nil"/>
            </w:tcBorders>
            <w:shd w:val="clear" w:color="000000" w:fill="FFC7CE"/>
            <w:noWrap/>
            <w:vAlign w:val="center"/>
            <w:hideMark/>
          </w:tcPr>
          <w:p w14:paraId="0074B094"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single" w:sz="4" w:space="0" w:color="auto"/>
              <w:right w:val="nil"/>
            </w:tcBorders>
            <w:shd w:val="clear" w:color="000000" w:fill="FFC7CE"/>
            <w:noWrap/>
            <w:vAlign w:val="center"/>
            <w:hideMark/>
          </w:tcPr>
          <w:p w14:paraId="17A6D298"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single" w:sz="4" w:space="0" w:color="auto"/>
              <w:right w:val="nil"/>
            </w:tcBorders>
            <w:shd w:val="clear" w:color="000000" w:fill="FFC7CE"/>
            <w:noWrap/>
            <w:vAlign w:val="center"/>
            <w:hideMark/>
          </w:tcPr>
          <w:p w14:paraId="75E9C6D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single" w:sz="4" w:space="0" w:color="auto"/>
              <w:right w:val="nil"/>
            </w:tcBorders>
            <w:shd w:val="clear" w:color="000000" w:fill="FFC7CE"/>
            <w:noWrap/>
            <w:vAlign w:val="center"/>
            <w:hideMark/>
          </w:tcPr>
          <w:p w14:paraId="247F1A1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single" w:sz="4" w:space="0" w:color="auto"/>
              <w:right w:val="nil"/>
            </w:tcBorders>
            <w:shd w:val="clear" w:color="000000" w:fill="FFC7CE"/>
            <w:noWrap/>
            <w:vAlign w:val="center"/>
            <w:hideMark/>
          </w:tcPr>
          <w:p w14:paraId="3B18A1B9"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single" w:sz="4" w:space="0" w:color="auto"/>
              <w:right w:val="nil"/>
            </w:tcBorders>
            <w:shd w:val="clear" w:color="000000" w:fill="FFC7CE"/>
            <w:noWrap/>
            <w:vAlign w:val="center"/>
            <w:hideMark/>
          </w:tcPr>
          <w:p w14:paraId="3B0106FB"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single" w:sz="4" w:space="0" w:color="auto"/>
              <w:right w:val="nil"/>
            </w:tcBorders>
            <w:shd w:val="clear" w:color="000000" w:fill="FFC7CE"/>
            <w:noWrap/>
            <w:vAlign w:val="center"/>
            <w:hideMark/>
          </w:tcPr>
          <w:p w14:paraId="31759DA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849" w:type="dxa"/>
            <w:tcBorders>
              <w:top w:val="nil"/>
              <w:left w:val="nil"/>
              <w:bottom w:val="single" w:sz="4" w:space="0" w:color="auto"/>
              <w:right w:val="nil"/>
            </w:tcBorders>
            <w:shd w:val="clear" w:color="000000" w:fill="FFC7CE"/>
            <w:noWrap/>
            <w:vAlign w:val="center"/>
            <w:hideMark/>
          </w:tcPr>
          <w:p w14:paraId="082EF587"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c>
          <w:tcPr>
            <w:tcW w:w="576" w:type="dxa"/>
            <w:tcBorders>
              <w:top w:val="nil"/>
              <w:left w:val="nil"/>
              <w:bottom w:val="single" w:sz="4" w:space="0" w:color="auto"/>
              <w:right w:val="nil"/>
            </w:tcBorders>
            <w:shd w:val="clear" w:color="000000" w:fill="FFC7CE"/>
            <w:noWrap/>
            <w:vAlign w:val="center"/>
            <w:hideMark/>
          </w:tcPr>
          <w:p w14:paraId="0C8E034E" w14:textId="77777777" w:rsidR="00B3500A" w:rsidRPr="00BA7E3C" w:rsidRDefault="00B3500A" w:rsidP="00D62AD1">
            <w:pPr>
              <w:jc w:val="center"/>
              <w:rPr>
                <w:color w:val="9C0006"/>
                <w:sz w:val="16"/>
                <w:szCs w:val="16"/>
                <w:lang w:val="en-US"/>
              </w:rPr>
            </w:pPr>
            <w:r w:rsidRPr="00BA7E3C">
              <w:rPr>
                <w:color w:val="9C0006"/>
                <w:sz w:val="16"/>
                <w:szCs w:val="16"/>
                <w:lang w:val="en-US"/>
              </w:rPr>
              <w:t>R</w:t>
            </w:r>
          </w:p>
        </w:tc>
      </w:tr>
      <w:tr w:rsidR="00B3500A" w:rsidRPr="00BA7E3C" w14:paraId="49065B13" w14:textId="77777777" w:rsidTr="00D62AD1">
        <w:trPr>
          <w:trHeight w:val="240"/>
        </w:trPr>
        <w:tc>
          <w:tcPr>
            <w:tcW w:w="2050" w:type="dxa"/>
            <w:tcBorders>
              <w:top w:val="single" w:sz="4" w:space="0" w:color="auto"/>
              <w:left w:val="nil"/>
              <w:bottom w:val="single" w:sz="8" w:space="0" w:color="auto"/>
              <w:right w:val="single" w:sz="8" w:space="0" w:color="auto"/>
            </w:tcBorders>
            <w:noWrap/>
            <w:vAlign w:val="center"/>
            <w:hideMark/>
          </w:tcPr>
          <w:p w14:paraId="00F30070" w14:textId="77777777" w:rsidR="00B3500A" w:rsidRPr="00BA7E3C" w:rsidRDefault="00B3500A" w:rsidP="00D62AD1">
            <w:pPr>
              <w:rPr>
                <w:b/>
                <w:bCs/>
                <w:color w:val="000000"/>
                <w:sz w:val="16"/>
                <w:szCs w:val="16"/>
                <w:lang w:val="en-US"/>
              </w:rPr>
            </w:pPr>
            <w:r w:rsidRPr="00BA7E3C">
              <w:rPr>
                <w:b/>
                <w:bCs/>
                <w:color w:val="000000"/>
                <w:sz w:val="16"/>
                <w:szCs w:val="16"/>
                <w:lang w:val="en-US"/>
              </w:rPr>
              <w:t>National results (R)</w:t>
            </w:r>
          </w:p>
        </w:tc>
        <w:tc>
          <w:tcPr>
            <w:tcW w:w="576" w:type="dxa"/>
            <w:tcBorders>
              <w:top w:val="single" w:sz="4" w:space="0" w:color="auto"/>
              <w:left w:val="nil"/>
              <w:bottom w:val="single" w:sz="8" w:space="0" w:color="auto"/>
              <w:right w:val="nil"/>
            </w:tcBorders>
            <w:shd w:val="clear" w:color="000000" w:fill="FFC7CE"/>
            <w:noWrap/>
            <w:vAlign w:val="center"/>
            <w:hideMark/>
          </w:tcPr>
          <w:p w14:paraId="056486BB" w14:textId="77777777" w:rsidR="00B3500A" w:rsidRPr="00BA7E3C" w:rsidRDefault="00B3500A" w:rsidP="00D62AD1">
            <w:pPr>
              <w:jc w:val="center"/>
              <w:rPr>
                <w:b/>
                <w:bCs/>
                <w:color w:val="9C0006"/>
                <w:sz w:val="16"/>
                <w:szCs w:val="16"/>
                <w:lang w:val="en-US"/>
              </w:rPr>
            </w:pPr>
            <w:r w:rsidRPr="00BA7E3C">
              <w:rPr>
                <w:b/>
                <w:bCs/>
                <w:color w:val="9C0006"/>
                <w:sz w:val="16"/>
                <w:szCs w:val="16"/>
                <w:lang w:val="en-US"/>
              </w:rPr>
              <w:t>R</w:t>
            </w:r>
          </w:p>
        </w:tc>
        <w:tc>
          <w:tcPr>
            <w:tcW w:w="576" w:type="dxa"/>
            <w:tcBorders>
              <w:top w:val="single" w:sz="4" w:space="0" w:color="auto"/>
              <w:left w:val="nil"/>
              <w:bottom w:val="single" w:sz="8" w:space="0" w:color="auto"/>
              <w:right w:val="nil"/>
            </w:tcBorders>
            <w:shd w:val="clear" w:color="000000" w:fill="00B0F0"/>
            <w:noWrap/>
            <w:vAlign w:val="center"/>
            <w:hideMark/>
          </w:tcPr>
          <w:p w14:paraId="7C9176B1"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D</w:t>
            </w:r>
          </w:p>
        </w:tc>
        <w:tc>
          <w:tcPr>
            <w:tcW w:w="576" w:type="dxa"/>
            <w:tcBorders>
              <w:top w:val="single" w:sz="4" w:space="0" w:color="auto"/>
              <w:left w:val="nil"/>
              <w:bottom w:val="single" w:sz="8" w:space="0" w:color="auto"/>
              <w:right w:val="nil"/>
            </w:tcBorders>
            <w:shd w:val="clear" w:color="000000" w:fill="FFC7CE"/>
            <w:noWrap/>
            <w:vAlign w:val="center"/>
            <w:hideMark/>
          </w:tcPr>
          <w:p w14:paraId="738369EE" w14:textId="77777777" w:rsidR="00B3500A" w:rsidRPr="00BA7E3C" w:rsidRDefault="00B3500A" w:rsidP="00D62AD1">
            <w:pPr>
              <w:jc w:val="center"/>
              <w:rPr>
                <w:b/>
                <w:bCs/>
                <w:color w:val="9C0006"/>
                <w:sz w:val="16"/>
                <w:szCs w:val="16"/>
                <w:lang w:val="en-US"/>
              </w:rPr>
            </w:pPr>
            <w:r w:rsidRPr="00BA7E3C">
              <w:rPr>
                <w:b/>
                <w:bCs/>
                <w:color w:val="9C0006"/>
                <w:sz w:val="16"/>
                <w:szCs w:val="16"/>
                <w:lang w:val="en-US"/>
              </w:rPr>
              <w:t>R</w:t>
            </w:r>
          </w:p>
        </w:tc>
        <w:tc>
          <w:tcPr>
            <w:tcW w:w="576" w:type="dxa"/>
            <w:tcBorders>
              <w:top w:val="single" w:sz="4" w:space="0" w:color="auto"/>
              <w:left w:val="nil"/>
              <w:bottom w:val="single" w:sz="8" w:space="0" w:color="auto"/>
              <w:right w:val="nil"/>
            </w:tcBorders>
            <w:shd w:val="clear" w:color="000000" w:fill="FFC7CE"/>
            <w:noWrap/>
            <w:vAlign w:val="center"/>
            <w:hideMark/>
          </w:tcPr>
          <w:p w14:paraId="1383B332" w14:textId="77777777" w:rsidR="00B3500A" w:rsidRPr="00BA7E3C" w:rsidRDefault="00B3500A" w:rsidP="00D62AD1">
            <w:pPr>
              <w:jc w:val="center"/>
              <w:rPr>
                <w:b/>
                <w:bCs/>
                <w:color w:val="9C0006"/>
                <w:sz w:val="16"/>
                <w:szCs w:val="16"/>
                <w:lang w:val="en-US"/>
              </w:rPr>
            </w:pPr>
            <w:r w:rsidRPr="00BA7E3C">
              <w:rPr>
                <w:b/>
                <w:bCs/>
                <w:color w:val="9C0006"/>
                <w:sz w:val="16"/>
                <w:szCs w:val="16"/>
                <w:lang w:val="en-US"/>
              </w:rPr>
              <w:t>R</w:t>
            </w:r>
          </w:p>
        </w:tc>
        <w:tc>
          <w:tcPr>
            <w:tcW w:w="576" w:type="dxa"/>
            <w:tcBorders>
              <w:top w:val="single" w:sz="4" w:space="0" w:color="auto"/>
              <w:left w:val="nil"/>
              <w:bottom w:val="single" w:sz="8" w:space="0" w:color="auto"/>
              <w:right w:val="nil"/>
            </w:tcBorders>
            <w:shd w:val="clear" w:color="000000" w:fill="FFC7CE"/>
            <w:noWrap/>
            <w:vAlign w:val="center"/>
            <w:hideMark/>
          </w:tcPr>
          <w:p w14:paraId="3E7E2FA6" w14:textId="77777777" w:rsidR="00B3500A" w:rsidRPr="00BA7E3C" w:rsidRDefault="00B3500A" w:rsidP="00D62AD1">
            <w:pPr>
              <w:jc w:val="center"/>
              <w:rPr>
                <w:b/>
                <w:bCs/>
                <w:color w:val="9C0006"/>
                <w:sz w:val="16"/>
                <w:szCs w:val="16"/>
                <w:lang w:val="en-US"/>
              </w:rPr>
            </w:pPr>
            <w:r w:rsidRPr="00BA7E3C">
              <w:rPr>
                <w:b/>
                <w:bCs/>
                <w:color w:val="9C0006"/>
                <w:sz w:val="16"/>
                <w:szCs w:val="16"/>
                <w:lang w:val="en-US"/>
              </w:rPr>
              <w:t>R</w:t>
            </w:r>
          </w:p>
        </w:tc>
        <w:tc>
          <w:tcPr>
            <w:tcW w:w="576" w:type="dxa"/>
            <w:tcBorders>
              <w:top w:val="single" w:sz="4" w:space="0" w:color="auto"/>
              <w:left w:val="nil"/>
              <w:bottom w:val="single" w:sz="8" w:space="0" w:color="auto"/>
              <w:right w:val="nil"/>
            </w:tcBorders>
            <w:shd w:val="clear" w:color="000000" w:fill="00B0F0"/>
            <w:noWrap/>
            <w:vAlign w:val="center"/>
            <w:hideMark/>
          </w:tcPr>
          <w:p w14:paraId="09F6CCC6"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D</w:t>
            </w:r>
          </w:p>
        </w:tc>
        <w:tc>
          <w:tcPr>
            <w:tcW w:w="576" w:type="dxa"/>
            <w:tcBorders>
              <w:top w:val="single" w:sz="4" w:space="0" w:color="auto"/>
              <w:left w:val="nil"/>
              <w:bottom w:val="single" w:sz="8" w:space="0" w:color="auto"/>
              <w:right w:val="nil"/>
            </w:tcBorders>
            <w:shd w:val="clear" w:color="000000" w:fill="00B0F0"/>
            <w:noWrap/>
            <w:vAlign w:val="center"/>
            <w:hideMark/>
          </w:tcPr>
          <w:p w14:paraId="5C1A76C2"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D</w:t>
            </w:r>
          </w:p>
        </w:tc>
        <w:tc>
          <w:tcPr>
            <w:tcW w:w="576" w:type="dxa"/>
            <w:tcBorders>
              <w:top w:val="single" w:sz="4" w:space="0" w:color="auto"/>
              <w:left w:val="nil"/>
              <w:bottom w:val="single" w:sz="8" w:space="0" w:color="auto"/>
              <w:right w:val="nil"/>
            </w:tcBorders>
            <w:shd w:val="clear" w:color="000000" w:fill="FFC7CE"/>
            <w:noWrap/>
            <w:vAlign w:val="center"/>
            <w:hideMark/>
          </w:tcPr>
          <w:p w14:paraId="7E4ADE78" w14:textId="77777777" w:rsidR="00B3500A" w:rsidRPr="00BA7E3C" w:rsidRDefault="00B3500A" w:rsidP="00D62AD1">
            <w:pPr>
              <w:jc w:val="center"/>
              <w:rPr>
                <w:b/>
                <w:bCs/>
                <w:color w:val="9C0006"/>
                <w:sz w:val="16"/>
                <w:szCs w:val="16"/>
                <w:lang w:val="en-US"/>
              </w:rPr>
            </w:pPr>
            <w:r w:rsidRPr="00BA7E3C">
              <w:rPr>
                <w:b/>
                <w:bCs/>
                <w:color w:val="9C0006"/>
                <w:sz w:val="16"/>
                <w:szCs w:val="16"/>
                <w:lang w:val="en-US"/>
              </w:rPr>
              <w:t>R</w:t>
            </w:r>
          </w:p>
        </w:tc>
        <w:tc>
          <w:tcPr>
            <w:tcW w:w="576" w:type="dxa"/>
            <w:tcBorders>
              <w:top w:val="single" w:sz="4" w:space="0" w:color="auto"/>
              <w:left w:val="nil"/>
              <w:bottom w:val="single" w:sz="8" w:space="0" w:color="auto"/>
              <w:right w:val="nil"/>
            </w:tcBorders>
            <w:shd w:val="clear" w:color="000000" w:fill="FFC7CE"/>
            <w:noWrap/>
            <w:vAlign w:val="center"/>
            <w:hideMark/>
          </w:tcPr>
          <w:p w14:paraId="19459450" w14:textId="77777777" w:rsidR="00B3500A" w:rsidRPr="00BA7E3C" w:rsidRDefault="00B3500A" w:rsidP="00D62AD1">
            <w:pPr>
              <w:jc w:val="center"/>
              <w:rPr>
                <w:b/>
                <w:bCs/>
                <w:color w:val="9C0006"/>
                <w:sz w:val="16"/>
                <w:szCs w:val="16"/>
                <w:lang w:val="en-US"/>
              </w:rPr>
            </w:pPr>
            <w:r w:rsidRPr="00BA7E3C">
              <w:rPr>
                <w:b/>
                <w:bCs/>
                <w:color w:val="9C0006"/>
                <w:sz w:val="16"/>
                <w:szCs w:val="16"/>
                <w:lang w:val="en-US"/>
              </w:rPr>
              <w:t>R</w:t>
            </w:r>
          </w:p>
        </w:tc>
        <w:tc>
          <w:tcPr>
            <w:tcW w:w="576" w:type="dxa"/>
            <w:tcBorders>
              <w:top w:val="single" w:sz="4" w:space="0" w:color="auto"/>
              <w:left w:val="nil"/>
              <w:bottom w:val="single" w:sz="8" w:space="0" w:color="auto"/>
              <w:right w:val="nil"/>
            </w:tcBorders>
            <w:shd w:val="clear" w:color="000000" w:fill="00B0F0"/>
            <w:noWrap/>
            <w:vAlign w:val="center"/>
            <w:hideMark/>
          </w:tcPr>
          <w:p w14:paraId="1D577823"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D</w:t>
            </w:r>
          </w:p>
        </w:tc>
        <w:tc>
          <w:tcPr>
            <w:tcW w:w="576" w:type="dxa"/>
            <w:tcBorders>
              <w:top w:val="single" w:sz="4" w:space="0" w:color="auto"/>
              <w:left w:val="nil"/>
              <w:bottom w:val="single" w:sz="8" w:space="0" w:color="auto"/>
              <w:right w:val="nil"/>
            </w:tcBorders>
            <w:shd w:val="clear" w:color="000000" w:fill="00B0F0"/>
            <w:noWrap/>
            <w:vAlign w:val="center"/>
            <w:hideMark/>
          </w:tcPr>
          <w:p w14:paraId="3FA89D99"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D</w:t>
            </w:r>
          </w:p>
        </w:tc>
        <w:tc>
          <w:tcPr>
            <w:tcW w:w="849" w:type="dxa"/>
            <w:tcBorders>
              <w:top w:val="single" w:sz="4" w:space="0" w:color="auto"/>
              <w:left w:val="nil"/>
              <w:bottom w:val="single" w:sz="8" w:space="0" w:color="auto"/>
              <w:right w:val="nil"/>
            </w:tcBorders>
            <w:shd w:val="clear" w:color="000000" w:fill="FFC7CE"/>
            <w:noWrap/>
            <w:vAlign w:val="center"/>
            <w:hideMark/>
          </w:tcPr>
          <w:p w14:paraId="42B2C9FA" w14:textId="77777777" w:rsidR="00B3500A" w:rsidRPr="00BA7E3C" w:rsidRDefault="00B3500A" w:rsidP="00D62AD1">
            <w:pPr>
              <w:jc w:val="center"/>
              <w:rPr>
                <w:b/>
                <w:bCs/>
                <w:color w:val="9C0006"/>
                <w:sz w:val="16"/>
                <w:szCs w:val="16"/>
                <w:lang w:val="en-US"/>
              </w:rPr>
            </w:pPr>
            <w:r w:rsidRPr="00BA7E3C">
              <w:rPr>
                <w:b/>
                <w:bCs/>
                <w:color w:val="9C0006"/>
                <w:sz w:val="16"/>
                <w:szCs w:val="16"/>
                <w:lang w:val="en-US"/>
              </w:rPr>
              <w:t>R</w:t>
            </w:r>
          </w:p>
        </w:tc>
        <w:tc>
          <w:tcPr>
            <w:tcW w:w="576" w:type="dxa"/>
            <w:tcBorders>
              <w:top w:val="single" w:sz="4" w:space="0" w:color="auto"/>
              <w:left w:val="nil"/>
              <w:bottom w:val="single" w:sz="8" w:space="0" w:color="auto"/>
              <w:right w:val="nil"/>
            </w:tcBorders>
            <w:shd w:val="clear" w:color="000000" w:fill="00B0F0"/>
            <w:noWrap/>
            <w:vAlign w:val="center"/>
            <w:hideMark/>
          </w:tcPr>
          <w:p w14:paraId="5FFB5C07" w14:textId="77777777" w:rsidR="00B3500A" w:rsidRPr="00BA7E3C" w:rsidRDefault="00B3500A" w:rsidP="00D62AD1">
            <w:pPr>
              <w:jc w:val="center"/>
              <w:rPr>
                <w:b/>
                <w:bCs/>
                <w:color w:val="000000"/>
                <w:sz w:val="16"/>
                <w:szCs w:val="16"/>
                <w:lang w:val="en-US"/>
              </w:rPr>
            </w:pPr>
            <w:r w:rsidRPr="00BA7E3C">
              <w:rPr>
                <w:b/>
                <w:bCs/>
                <w:color w:val="000000"/>
                <w:sz w:val="16"/>
                <w:szCs w:val="16"/>
                <w:lang w:val="en-US"/>
              </w:rPr>
              <w:t>D</w:t>
            </w:r>
          </w:p>
        </w:tc>
      </w:tr>
    </w:tbl>
    <w:p w14:paraId="13E0BC46" w14:textId="5F9F6026" w:rsidR="00B3500A" w:rsidRPr="00591939" w:rsidRDefault="00B3500A" w:rsidP="00B3500A">
      <w:pPr>
        <w:jc w:val="both"/>
        <w:rPr>
          <w:sz w:val="16"/>
          <w:szCs w:val="16"/>
        </w:rPr>
      </w:pPr>
      <w:r w:rsidRPr="00591939">
        <w:rPr>
          <w:i/>
          <w:iCs/>
          <w:color w:val="000000" w:themeColor="text1"/>
          <w:sz w:val="16"/>
          <w:szCs w:val="16"/>
        </w:rPr>
        <w:t>Note</w:t>
      </w:r>
      <w:r w:rsidRPr="00591939">
        <w:rPr>
          <w:color w:val="000000" w:themeColor="text1"/>
          <w:sz w:val="16"/>
          <w:szCs w:val="16"/>
        </w:rPr>
        <w:t xml:space="preserve">: D: Democratic party; R: </w:t>
      </w:r>
      <w:r w:rsidRPr="00591939">
        <w:rPr>
          <w:sz w:val="16"/>
          <w:szCs w:val="16"/>
        </w:rPr>
        <w:t>Republican party; (round brackets): party that received more votes by states from 1972 to 2020. Source: MIT.</w:t>
      </w:r>
      <w:r w:rsidRPr="00591939">
        <w:rPr>
          <w:i/>
          <w:iCs/>
          <w:sz w:val="16"/>
          <w:szCs w:val="16"/>
        </w:rPr>
        <w:t xml:space="preserve"> </w:t>
      </w:r>
    </w:p>
    <w:p w14:paraId="3103BF09" w14:textId="77777777" w:rsidR="00B3500A" w:rsidRDefault="00B3500A" w:rsidP="00B3500A">
      <w:pPr>
        <w:jc w:val="both"/>
        <w:rPr>
          <w:b/>
          <w:bCs/>
          <w:color w:val="000000" w:themeColor="text1"/>
          <w:sz w:val="22"/>
          <w:szCs w:val="22"/>
        </w:rPr>
      </w:pPr>
    </w:p>
    <w:p w14:paraId="77C49582" w14:textId="77777777" w:rsidR="00B3500A" w:rsidRDefault="00B3500A" w:rsidP="00B3500A">
      <w:pPr>
        <w:jc w:val="both"/>
        <w:rPr>
          <w:b/>
          <w:bCs/>
          <w:color w:val="000000" w:themeColor="text1"/>
          <w:sz w:val="22"/>
          <w:szCs w:val="22"/>
        </w:rPr>
        <w:sectPr w:rsidR="00B3500A" w:rsidSect="00D62AD1">
          <w:footerReference w:type="default" r:id="rId10"/>
          <w:pgSz w:w="11906" w:h="16838"/>
          <w:pgMar w:top="1440" w:right="1440" w:bottom="1440" w:left="1440" w:header="709" w:footer="709" w:gutter="0"/>
          <w:pgNumType w:start="1"/>
          <w:cols w:space="708"/>
          <w:titlePg/>
          <w:docGrid w:linePitch="360"/>
        </w:sectPr>
      </w:pPr>
    </w:p>
    <w:p w14:paraId="4BA882E1" w14:textId="40C797AA" w:rsidR="00B3500A" w:rsidRPr="008550C6" w:rsidRDefault="00B3500A" w:rsidP="00B3500A">
      <w:pPr>
        <w:jc w:val="both"/>
        <w:rPr>
          <w:b/>
          <w:bCs/>
          <w:sz w:val="22"/>
          <w:szCs w:val="22"/>
        </w:rPr>
      </w:pPr>
      <w:r w:rsidRPr="008550C6">
        <w:rPr>
          <w:b/>
          <w:bCs/>
          <w:sz w:val="22"/>
          <w:szCs w:val="22"/>
        </w:rPr>
        <w:t>T</w:t>
      </w:r>
      <w:r w:rsidR="008550C6" w:rsidRPr="008550C6">
        <w:rPr>
          <w:b/>
          <w:bCs/>
          <w:sz w:val="22"/>
          <w:szCs w:val="22"/>
        </w:rPr>
        <w:t>ABLE</w:t>
      </w:r>
      <w:r w:rsidRPr="008550C6">
        <w:rPr>
          <w:b/>
          <w:bCs/>
          <w:sz w:val="22"/>
          <w:szCs w:val="22"/>
        </w:rPr>
        <w:t xml:space="preserve"> 2</w:t>
      </w:r>
    </w:p>
    <w:p w14:paraId="1AB1C5E3" w14:textId="099A459F" w:rsidR="00B3500A" w:rsidRPr="008550C6" w:rsidRDefault="00B3500A" w:rsidP="00B3500A">
      <w:pPr>
        <w:jc w:val="both"/>
        <w:rPr>
          <w:i/>
          <w:iCs/>
          <w:sz w:val="22"/>
          <w:szCs w:val="22"/>
        </w:rPr>
      </w:pPr>
      <w:r w:rsidRPr="008550C6">
        <w:rPr>
          <w:sz w:val="22"/>
          <w:szCs w:val="22"/>
        </w:rPr>
        <w:t>Description of variables.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10156"/>
        <w:gridCol w:w="1937"/>
      </w:tblGrid>
      <w:tr w:rsidR="008550C6" w:rsidRPr="008550C6" w14:paraId="19B24023" w14:textId="77777777" w:rsidTr="005B41A3">
        <w:tc>
          <w:tcPr>
            <w:tcW w:w="668" w:type="pct"/>
            <w:tcBorders>
              <w:top w:val="single" w:sz="4" w:space="0" w:color="auto"/>
              <w:bottom w:val="single" w:sz="4" w:space="0" w:color="auto"/>
            </w:tcBorders>
          </w:tcPr>
          <w:p w14:paraId="31014844" w14:textId="77777777" w:rsidR="00BF5C5B" w:rsidRPr="008550C6" w:rsidRDefault="00BF5C5B" w:rsidP="00D62AD1">
            <w:pPr>
              <w:jc w:val="center"/>
              <w:rPr>
                <w:b/>
                <w:bCs/>
                <w:sz w:val="18"/>
                <w:szCs w:val="18"/>
              </w:rPr>
            </w:pPr>
            <w:r w:rsidRPr="008550C6">
              <w:rPr>
                <w:b/>
                <w:bCs/>
                <w:sz w:val="18"/>
                <w:szCs w:val="18"/>
              </w:rPr>
              <w:t>Variables</w:t>
            </w:r>
          </w:p>
        </w:tc>
        <w:tc>
          <w:tcPr>
            <w:tcW w:w="3638" w:type="pct"/>
            <w:tcBorders>
              <w:top w:val="single" w:sz="4" w:space="0" w:color="auto"/>
              <w:bottom w:val="single" w:sz="4" w:space="0" w:color="auto"/>
            </w:tcBorders>
          </w:tcPr>
          <w:p w14:paraId="193E3864" w14:textId="77777777" w:rsidR="00BF5C5B" w:rsidRPr="008550C6" w:rsidRDefault="00BF5C5B" w:rsidP="00D62AD1">
            <w:pPr>
              <w:jc w:val="center"/>
              <w:rPr>
                <w:b/>
                <w:bCs/>
                <w:sz w:val="18"/>
                <w:szCs w:val="18"/>
              </w:rPr>
            </w:pPr>
            <w:r w:rsidRPr="008550C6">
              <w:rPr>
                <w:b/>
                <w:bCs/>
                <w:sz w:val="18"/>
                <w:szCs w:val="18"/>
              </w:rPr>
              <w:t>Description</w:t>
            </w:r>
          </w:p>
        </w:tc>
        <w:tc>
          <w:tcPr>
            <w:tcW w:w="694" w:type="pct"/>
            <w:tcBorders>
              <w:top w:val="single" w:sz="4" w:space="0" w:color="auto"/>
              <w:bottom w:val="single" w:sz="4" w:space="0" w:color="auto"/>
            </w:tcBorders>
          </w:tcPr>
          <w:p w14:paraId="03060616" w14:textId="77777777" w:rsidR="00BF5C5B" w:rsidRPr="008550C6" w:rsidRDefault="00BF5C5B" w:rsidP="00D62AD1">
            <w:pPr>
              <w:jc w:val="center"/>
              <w:rPr>
                <w:b/>
                <w:bCs/>
                <w:sz w:val="18"/>
                <w:szCs w:val="18"/>
              </w:rPr>
            </w:pPr>
            <w:r w:rsidRPr="008550C6">
              <w:rPr>
                <w:b/>
                <w:bCs/>
                <w:sz w:val="18"/>
                <w:szCs w:val="18"/>
              </w:rPr>
              <w:t>Source</w:t>
            </w:r>
          </w:p>
        </w:tc>
      </w:tr>
      <w:tr w:rsidR="008550C6" w:rsidRPr="008550C6" w14:paraId="30F2E136" w14:textId="77777777" w:rsidTr="005B41A3">
        <w:tc>
          <w:tcPr>
            <w:tcW w:w="4306" w:type="pct"/>
            <w:gridSpan w:val="2"/>
          </w:tcPr>
          <w:p w14:paraId="5A49877F" w14:textId="1A5191FE" w:rsidR="00BF5C5B" w:rsidRPr="008550C6" w:rsidRDefault="00BF5C5B" w:rsidP="003E0E5D">
            <w:pPr>
              <w:rPr>
                <w:sz w:val="18"/>
                <w:szCs w:val="18"/>
              </w:rPr>
            </w:pPr>
            <w:r w:rsidRPr="008550C6">
              <w:rPr>
                <w:b/>
                <w:bCs/>
                <w:sz w:val="18"/>
                <w:szCs w:val="18"/>
              </w:rPr>
              <w:t>Efficiency indicators</w:t>
            </w:r>
          </w:p>
        </w:tc>
        <w:tc>
          <w:tcPr>
            <w:tcW w:w="694" w:type="pct"/>
          </w:tcPr>
          <w:p w14:paraId="51DFEA34" w14:textId="77777777" w:rsidR="00BF5C5B" w:rsidRPr="008550C6" w:rsidRDefault="00BF5C5B" w:rsidP="003E0E5D">
            <w:pPr>
              <w:jc w:val="center"/>
              <w:rPr>
                <w:sz w:val="18"/>
                <w:szCs w:val="18"/>
              </w:rPr>
            </w:pPr>
          </w:p>
        </w:tc>
      </w:tr>
      <w:tr w:rsidR="008550C6" w:rsidRPr="008550C6" w14:paraId="5551E3DD" w14:textId="77777777" w:rsidTr="005B41A3">
        <w:tc>
          <w:tcPr>
            <w:tcW w:w="668" w:type="pct"/>
          </w:tcPr>
          <w:p w14:paraId="179D3FBE" w14:textId="77777777" w:rsidR="00BF5C5B" w:rsidRPr="008550C6" w:rsidRDefault="00BF5C5B" w:rsidP="003E0E5D">
            <w:pPr>
              <w:rPr>
                <w:sz w:val="18"/>
                <w:szCs w:val="18"/>
              </w:rPr>
            </w:pPr>
            <w:r w:rsidRPr="008550C6">
              <w:rPr>
                <w:sz w:val="18"/>
                <w:szCs w:val="18"/>
              </w:rPr>
              <w:t>VRS</w:t>
            </w:r>
          </w:p>
        </w:tc>
        <w:tc>
          <w:tcPr>
            <w:tcW w:w="3638" w:type="pct"/>
          </w:tcPr>
          <w:p w14:paraId="06A31965" w14:textId="77777777" w:rsidR="00BF5C5B" w:rsidRPr="008550C6" w:rsidRDefault="00BF5C5B" w:rsidP="003E0E5D">
            <w:pPr>
              <w:rPr>
                <w:sz w:val="18"/>
                <w:szCs w:val="18"/>
              </w:rPr>
            </w:pPr>
            <w:r w:rsidRPr="008550C6">
              <w:rPr>
                <w:sz w:val="18"/>
                <w:szCs w:val="18"/>
              </w:rPr>
              <w:t>Bootstrap variable return to scale efficiency score (technical efficiency score)</w:t>
            </w:r>
          </w:p>
        </w:tc>
        <w:tc>
          <w:tcPr>
            <w:tcW w:w="694" w:type="pct"/>
          </w:tcPr>
          <w:p w14:paraId="3A11E21A" w14:textId="5E65AECC" w:rsidR="00BF5C5B" w:rsidRPr="008550C6" w:rsidRDefault="00BF5C5B" w:rsidP="003E0E5D">
            <w:pPr>
              <w:jc w:val="center"/>
              <w:rPr>
                <w:sz w:val="18"/>
                <w:szCs w:val="18"/>
              </w:rPr>
            </w:pPr>
            <w:r w:rsidRPr="008550C6">
              <w:rPr>
                <w:sz w:val="18"/>
                <w:szCs w:val="18"/>
              </w:rPr>
              <w:t>Author’s estimation</w:t>
            </w:r>
          </w:p>
        </w:tc>
      </w:tr>
      <w:tr w:rsidR="008550C6" w:rsidRPr="008550C6" w14:paraId="0F66444D" w14:textId="77777777" w:rsidTr="005B41A3">
        <w:tc>
          <w:tcPr>
            <w:tcW w:w="668" w:type="pct"/>
          </w:tcPr>
          <w:p w14:paraId="1A78CE82" w14:textId="77777777" w:rsidR="00BF5C5B" w:rsidRPr="008550C6" w:rsidRDefault="00BF5C5B" w:rsidP="00D62AD1">
            <w:pPr>
              <w:rPr>
                <w:sz w:val="18"/>
                <w:szCs w:val="18"/>
              </w:rPr>
            </w:pPr>
            <w:r w:rsidRPr="008550C6">
              <w:rPr>
                <w:sz w:val="18"/>
                <w:szCs w:val="18"/>
              </w:rPr>
              <w:t>CRS</w:t>
            </w:r>
          </w:p>
        </w:tc>
        <w:tc>
          <w:tcPr>
            <w:tcW w:w="3638" w:type="pct"/>
          </w:tcPr>
          <w:p w14:paraId="279722AD" w14:textId="77777777" w:rsidR="00BF5C5B" w:rsidRPr="008550C6" w:rsidRDefault="00BF5C5B" w:rsidP="00D62AD1">
            <w:pPr>
              <w:rPr>
                <w:sz w:val="18"/>
                <w:szCs w:val="18"/>
              </w:rPr>
            </w:pPr>
            <w:r w:rsidRPr="008550C6">
              <w:rPr>
                <w:sz w:val="18"/>
                <w:szCs w:val="18"/>
              </w:rPr>
              <w:t>Bootstrap constant return to scale efficiency score (overall efficiency score)</w:t>
            </w:r>
          </w:p>
        </w:tc>
        <w:tc>
          <w:tcPr>
            <w:tcW w:w="694" w:type="pct"/>
          </w:tcPr>
          <w:p w14:paraId="6C1A0B54" w14:textId="7DEFA7B7" w:rsidR="00BF5C5B" w:rsidRPr="008550C6" w:rsidRDefault="00BF5C5B" w:rsidP="00D62AD1">
            <w:pPr>
              <w:jc w:val="center"/>
              <w:rPr>
                <w:sz w:val="18"/>
                <w:szCs w:val="18"/>
              </w:rPr>
            </w:pPr>
            <w:r w:rsidRPr="008550C6">
              <w:rPr>
                <w:sz w:val="18"/>
                <w:szCs w:val="18"/>
              </w:rPr>
              <w:t>Author’s estimation</w:t>
            </w:r>
          </w:p>
        </w:tc>
      </w:tr>
      <w:tr w:rsidR="008550C6" w:rsidRPr="008550C6" w14:paraId="6AD597F0" w14:textId="77777777" w:rsidTr="005B41A3">
        <w:tc>
          <w:tcPr>
            <w:tcW w:w="668" w:type="pct"/>
          </w:tcPr>
          <w:p w14:paraId="6BB08CCF" w14:textId="03D41B2B" w:rsidR="00BF5C5B" w:rsidRPr="008550C6" w:rsidRDefault="00BF5C5B" w:rsidP="00D62AD1">
            <w:pPr>
              <w:rPr>
                <w:sz w:val="18"/>
                <w:szCs w:val="18"/>
              </w:rPr>
            </w:pPr>
            <w:r w:rsidRPr="008550C6">
              <w:rPr>
                <w:sz w:val="18"/>
                <w:szCs w:val="18"/>
              </w:rPr>
              <w:t>SFA</w:t>
            </w:r>
          </w:p>
        </w:tc>
        <w:tc>
          <w:tcPr>
            <w:tcW w:w="3638" w:type="pct"/>
          </w:tcPr>
          <w:p w14:paraId="6F16D33D" w14:textId="34D6874A" w:rsidR="00BF5C5B" w:rsidRPr="008550C6" w:rsidRDefault="00BF5C5B" w:rsidP="00D62AD1">
            <w:pPr>
              <w:rPr>
                <w:sz w:val="18"/>
                <w:szCs w:val="18"/>
              </w:rPr>
            </w:pPr>
            <w:r w:rsidRPr="008550C6">
              <w:rPr>
                <w:sz w:val="18"/>
                <w:szCs w:val="18"/>
              </w:rPr>
              <w:t>Stochastic Frontier Analysis technical efficiency score</w:t>
            </w:r>
          </w:p>
        </w:tc>
        <w:tc>
          <w:tcPr>
            <w:tcW w:w="694" w:type="pct"/>
          </w:tcPr>
          <w:p w14:paraId="59B2B6AE" w14:textId="6E020EFD" w:rsidR="00BF5C5B" w:rsidRPr="008550C6" w:rsidRDefault="00BF5C5B" w:rsidP="00D62AD1">
            <w:pPr>
              <w:jc w:val="center"/>
              <w:rPr>
                <w:sz w:val="18"/>
                <w:szCs w:val="18"/>
              </w:rPr>
            </w:pPr>
            <w:r w:rsidRPr="008550C6">
              <w:rPr>
                <w:sz w:val="18"/>
                <w:szCs w:val="18"/>
              </w:rPr>
              <w:t>Author’s estimation</w:t>
            </w:r>
          </w:p>
        </w:tc>
      </w:tr>
      <w:tr w:rsidR="008550C6" w:rsidRPr="008550C6" w14:paraId="0FD85916" w14:textId="77777777" w:rsidTr="005B41A3">
        <w:tc>
          <w:tcPr>
            <w:tcW w:w="4306" w:type="pct"/>
            <w:gridSpan w:val="2"/>
          </w:tcPr>
          <w:p w14:paraId="7EE99EC1" w14:textId="77777777" w:rsidR="00BF5C5B" w:rsidRPr="008550C6" w:rsidRDefault="00BF5C5B" w:rsidP="00D62AD1">
            <w:pPr>
              <w:rPr>
                <w:sz w:val="18"/>
                <w:szCs w:val="18"/>
              </w:rPr>
            </w:pPr>
          </w:p>
        </w:tc>
        <w:tc>
          <w:tcPr>
            <w:tcW w:w="694" w:type="pct"/>
          </w:tcPr>
          <w:p w14:paraId="637C3DEF" w14:textId="77777777" w:rsidR="00BF5C5B" w:rsidRPr="008550C6" w:rsidRDefault="00BF5C5B" w:rsidP="00D62AD1">
            <w:pPr>
              <w:jc w:val="center"/>
              <w:rPr>
                <w:sz w:val="18"/>
                <w:szCs w:val="18"/>
              </w:rPr>
            </w:pPr>
          </w:p>
        </w:tc>
      </w:tr>
      <w:tr w:rsidR="008550C6" w:rsidRPr="008550C6" w14:paraId="723D1D9F" w14:textId="77777777" w:rsidTr="005B41A3">
        <w:tc>
          <w:tcPr>
            <w:tcW w:w="4306" w:type="pct"/>
            <w:gridSpan w:val="2"/>
          </w:tcPr>
          <w:p w14:paraId="75C1F7E1" w14:textId="0E9D87AD" w:rsidR="00BF5C5B" w:rsidRPr="008550C6" w:rsidRDefault="00BF5C5B" w:rsidP="00D62AD1">
            <w:pPr>
              <w:rPr>
                <w:sz w:val="18"/>
                <w:szCs w:val="18"/>
              </w:rPr>
            </w:pPr>
            <w:r w:rsidRPr="008550C6">
              <w:rPr>
                <w:b/>
                <w:bCs/>
                <w:sz w:val="18"/>
                <w:szCs w:val="18"/>
              </w:rPr>
              <w:t>Independent variables</w:t>
            </w:r>
          </w:p>
        </w:tc>
        <w:tc>
          <w:tcPr>
            <w:tcW w:w="694" w:type="pct"/>
          </w:tcPr>
          <w:p w14:paraId="2D4F727E" w14:textId="77777777" w:rsidR="00BF5C5B" w:rsidRPr="008550C6" w:rsidRDefault="00BF5C5B" w:rsidP="00D62AD1">
            <w:pPr>
              <w:jc w:val="center"/>
              <w:rPr>
                <w:sz w:val="18"/>
                <w:szCs w:val="18"/>
              </w:rPr>
            </w:pPr>
          </w:p>
        </w:tc>
      </w:tr>
      <w:tr w:rsidR="008550C6" w:rsidRPr="008550C6" w14:paraId="60C142B6" w14:textId="77777777" w:rsidTr="005B41A3">
        <w:tc>
          <w:tcPr>
            <w:tcW w:w="668" w:type="pct"/>
          </w:tcPr>
          <w:p w14:paraId="61EF66CF" w14:textId="77777777" w:rsidR="00BF5C5B" w:rsidRPr="008550C6" w:rsidRDefault="00BF5C5B" w:rsidP="00D62AD1">
            <w:pPr>
              <w:rPr>
                <w:b/>
                <w:bCs/>
                <w:sz w:val="18"/>
                <w:szCs w:val="18"/>
              </w:rPr>
            </w:pPr>
            <w:r w:rsidRPr="008550C6">
              <w:rPr>
                <w:sz w:val="18"/>
                <w:szCs w:val="18"/>
              </w:rPr>
              <w:t>SVOTE</w:t>
            </w:r>
          </w:p>
        </w:tc>
        <w:tc>
          <w:tcPr>
            <w:tcW w:w="3638" w:type="pct"/>
          </w:tcPr>
          <w:p w14:paraId="3847FB0D" w14:textId="77777777" w:rsidR="00BF5C5B" w:rsidRPr="008550C6" w:rsidRDefault="00BF5C5B" w:rsidP="00D62AD1">
            <w:pPr>
              <w:rPr>
                <w:sz w:val="18"/>
                <w:szCs w:val="18"/>
              </w:rPr>
            </w:pPr>
            <w:r w:rsidRPr="008550C6">
              <w:rPr>
                <w:sz w:val="18"/>
                <w:szCs w:val="18"/>
              </w:rPr>
              <w:t xml:space="preserve">Dummy variable equals 1 if state votes for the Democratic party and 0 if state votes for Republican </w:t>
            </w:r>
          </w:p>
        </w:tc>
        <w:tc>
          <w:tcPr>
            <w:tcW w:w="694" w:type="pct"/>
          </w:tcPr>
          <w:p w14:paraId="3C76F21F" w14:textId="77777777" w:rsidR="00BF5C5B" w:rsidRPr="008550C6" w:rsidRDefault="00BF5C5B" w:rsidP="00D62AD1">
            <w:pPr>
              <w:jc w:val="center"/>
              <w:rPr>
                <w:sz w:val="18"/>
                <w:szCs w:val="18"/>
              </w:rPr>
            </w:pPr>
            <w:r w:rsidRPr="008550C6">
              <w:rPr>
                <w:sz w:val="18"/>
                <w:szCs w:val="18"/>
              </w:rPr>
              <w:t>MIT</w:t>
            </w:r>
          </w:p>
        </w:tc>
      </w:tr>
      <w:tr w:rsidR="008550C6" w:rsidRPr="008550C6" w14:paraId="5BE38DCC" w14:textId="77777777" w:rsidTr="005B41A3">
        <w:tc>
          <w:tcPr>
            <w:tcW w:w="668" w:type="pct"/>
          </w:tcPr>
          <w:p w14:paraId="71292BDD" w14:textId="77777777" w:rsidR="00BF5C5B" w:rsidRPr="008550C6" w:rsidRDefault="00BF5C5B" w:rsidP="00D62AD1">
            <w:pPr>
              <w:rPr>
                <w:sz w:val="18"/>
                <w:szCs w:val="18"/>
              </w:rPr>
            </w:pPr>
            <w:r w:rsidRPr="008550C6">
              <w:rPr>
                <w:sz w:val="18"/>
                <w:szCs w:val="18"/>
              </w:rPr>
              <w:t>NVOTE</w:t>
            </w:r>
          </w:p>
        </w:tc>
        <w:tc>
          <w:tcPr>
            <w:tcW w:w="3638" w:type="pct"/>
          </w:tcPr>
          <w:p w14:paraId="53849EC4" w14:textId="77777777" w:rsidR="00BF5C5B" w:rsidRPr="008550C6" w:rsidRDefault="00BF5C5B" w:rsidP="00D62AD1">
            <w:pPr>
              <w:rPr>
                <w:sz w:val="18"/>
                <w:szCs w:val="18"/>
              </w:rPr>
            </w:pPr>
            <w:r w:rsidRPr="008550C6">
              <w:rPr>
                <w:sz w:val="18"/>
                <w:szCs w:val="18"/>
              </w:rPr>
              <w:t>Dummy variable equals 1 if the Democratic party wins the general election and 0 otherwise</w:t>
            </w:r>
          </w:p>
        </w:tc>
        <w:tc>
          <w:tcPr>
            <w:tcW w:w="694" w:type="pct"/>
          </w:tcPr>
          <w:p w14:paraId="21CBAB2F" w14:textId="77777777" w:rsidR="00BF5C5B" w:rsidRPr="008550C6" w:rsidRDefault="00BF5C5B" w:rsidP="00D62AD1">
            <w:pPr>
              <w:jc w:val="center"/>
              <w:rPr>
                <w:sz w:val="18"/>
                <w:szCs w:val="18"/>
              </w:rPr>
            </w:pPr>
            <w:r w:rsidRPr="008550C6">
              <w:rPr>
                <w:sz w:val="18"/>
                <w:szCs w:val="18"/>
              </w:rPr>
              <w:t>MIT</w:t>
            </w:r>
          </w:p>
        </w:tc>
      </w:tr>
      <w:tr w:rsidR="008550C6" w:rsidRPr="008550C6" w14:paraId="31C71958" w14:textId="77777777" w:rsidTr="005B41A3">
        <w:tc>
          <w:tcPr>
            <w:tcW w:w="4306" w:type="pct"/>
            <w:gridSpan w:val="2"/>
          </w:tcPr>
          <w:p w14:paraId="43C3AFAA" w14:textId="77777777" w:rsidR="00BF5C5B" w:rsidRPr="008550C6" w:rsidRDefault="00BF5C5B" w:rsidP="00D62AD1">
            <w:pPr>
              <w:rPr>
                <w:sz w:val="18"/>
                <w:szCs w:val="18"/>
              </w:rPr>
            </w:pPr>
          </w:p>
        </w:tc>
        <w:tc>
          <w:tcPr>
            <w:tcW w:w="694" w:type="pct"/>
          </w:tcPr>
          <w:p w14:paraId="4536DD75" w14:textId="77777777" w:rsidR="00BF5C5B" w:rsidRPr="008550C6" w:rsidRDefault="00BF5C5B" w:rsidP="00D62AD1">
            <w:pPr>
              <w:jc w:val="center"/>
              <w:rPr>
                <w:sz w:val="18"/>
                <w:szCs w:val="18"/>
              </w:rPr>
            </w:pPr>
          </w:p>
        </w:tc>
      </w:tr>
      <w:tr w:rsidR="008550C6" w:rsidRPr="008550C6" w14:paraId="28D9C8E6" w14:textId="77777777" w:rsidTr="005B41A3">
        <w:tc>
          <w:tcPr>
            <w:tcW w:w="4306" w:type="pct"/>
            <w:gridSpan w:val="2"/>
          </w:tcPr>
          <w:p w14:paraId="03CEF896" w14:textId="1B5CE0F1" w:rsidR="00BF5C5B" w:rsidRPr="008550C6" w:rsidRDefault="00BF5C5B" w:rsidP="00D62AD1">
            <w:pPr>
              <w:rPr>
                <w:sz w:val="18"/>
                <w:szCs w:val="18"/>
              </w:rPr>
            </w:pPr>
            <w:r w:rsidRPr="008550C6">
              <w:rPr>
                <w:b/>
                <w:bCs/>
                <w:sz w:val="18"/>
                <w:szCs w:val="18"/>
              </w:rPr>
              <w:t>Bank specific control variables</w:t>
            </w:r>
          </w:p>
        </w:tc>
        <w:tc>
          <w:tcPr>
            <w:tcW w:w="694" w:type="pct"/>
          </w:tcPr>
          <w:p w14:paraId="36235794" w14:textId="77777777" w:rsidR="00BF5C5B" w:rsidRPr="008550C6" w:rsidRDefault="00BF5C5B" w:rsidP="00D62AD1">
            <w:pPr>
              <w:jc w:val="center"/>
              <w:rPr>
                <w:sz w:val="18"/>
                <w:szCs w:val="18"/>
              </w:rPr>
            </w:pPr>
          </w:p>
        </w:tc>
      </w:tr>
      <w:tr w:rsidR="008550C6" w:rsidRPr="008550C6" w14:paraId="686B5362" w14:textId="77777777" w:rsidTr="005B41A3">
        <w:tc>
          <w:tcPr>
            <w:tcW w:w="668" w:type="pct"/>
          </w:tcPr>
          <w:p w14:paraId="56C9EA10" w14:textId="77777777" w:rsidR="00BF5C5B" w:rsidRPr="008550C6" w:rsidRDefault="00BF5C5B" w:rsidP="00D62AD1">
            <w:pPr>
              <w:rPr>
                <w:sz w:val="18"/>
                <w:szCs w:val="18"/>
              </w:rPr>
            </w:pPr>
            <w:r w:rsidRPr="008550C6">
              <w:rPr>
                <w:sz w:val="18"/>
                <w:szCs w:val="18"/>
              </w:rPr>
              <w:t>LNTA</w:t>
            </w:r>
          </w:p>
        </w:tc>
        <w:tc>
          <w:tcPr>
            <w:tcW w:w="3638" w:type="pct"/>
          </w:tcPr>
          <w:p w14:paraId="1B254A59" w14:textId="7F576ED0" w:rsidR="00BF5C5B" w:rsidRPr="008550C6" w:rsidRDefault="00BF5C5B" w:rsidP="00D62AD1">
            <w:pPr>
              <w:rPr>
                <w:sz w:val="18"/>
                <w:szCs w:val="18"/>
              </w:rPr>
            </w:pPr>
            <w:r w:rsidRPr="008550C6">
              <w:rPr>
                <w:sz w:val="18"/>
                <w:szCs w:val="18"/>
              </w:rPr>
              <w:t>Bank size: Natural logarithm of total assets</w:t>
            </w:r>
            <w:r w:rsidR="004A0505" w:rsidRPr="008550C6">
              <w:rPr>
                <w:sz w:val="18"/>
                <w:szCs w:val="18"/>
              </w:rPr>
              <w:t xml:space="preserve"> from the state/bank levels</w:t>
            </w:r>
          </w:p>
        </w:tc>
        <w:tc>
          <w:tcPr>
            <w:tcW w:w="694" w:type="pct"/>
          </w:tcPr>
          <w:p w14:paraId="00A1E658" w14:textId="517961A5" w:rsidR="00BF5C5B" w:rsidRPr="008550C6" w:rsidRDefault="00BF5C5B" w:rsidP="00D62AD1">
            <w:pPr>
              <w:jc w:val="center"/>
              <w:rPr>
                <w:sz w:val="18"/>
                <w:szCs w:val="18"/>
              </w:rPr>
            </w:pPr>
            <w:r w:rsidRPr="008550C6">
              <w:rPr>
                <w:sz w:val="18"/>
                <w:szCs w:val="18"/>
              </w:rPr>
              <w:t>FDIC/Compustat</w:t>
            </w:r>
          </w:p>
        </w:tc>
      </w:tr>
      <w:tr w:rsidR="008550C6" w:rsidRPr="008550C6" w14:paraId="6A6C387F" w14:textId="77777777" w:rsidTr="005B41A3">
        <w:tc>
          <w:tcPr>
            <w:tcW w:w="668" w:type="pct"/>
          </w:tcPr>
          <w:p w14:paraId="786ABB4D" w14:textId="77777777" w:rsidR="00BF5C5B" w:rsidRPr="008550C6" w:rsidRDefault="00BF5C5B" w:rsidP="00D62AD1">
            <w:pPr>
              <w:rPr>
                <w:sz w:val="18"/>
                <w:szCs w:val="18"/>
              </w:rPr>
            </w:pPr>
            <w:r w:rsidRPr="008550C6">
              <w:rPr>
                <w:sz w:val="18"/>
                <w:szCs w:val="18"/>
              </w:rPr>
              <w:t>NPLTL</w:t>
            </w:r>
          </w:p>
        </w:tc>
        <w:tc>
          <w:tcPr>
            <w:tcW w:w="3638" w:type="pct"/>
          </w:tcPr>
          <w:p w14:paraId="31A07DF9" w14:textId="69084A39" w:rsidR="00BF5C5B" w:rsidRPr="008550C6" w:rsidRDefault="00BF5C5B" w:rsidP="00D62AD1">
            <w:pPr>
              <w:rPr>
                <w:sz w:val="18"/>
                <w:szCs w:val="18"/>
              </w:rPr>
            </w:pPr>
            <w:r w:rsidRPr="008550C6">
              <w:rPr>
                <w:sz w:val="18"/>
                <w:szCs w:val="18"/>
              </w:rPr>
              <w:t xml:space="preserve">Bank credit risk: </w:t>
            </w:r>
            <w:r w:rsidR="005B41A3">
              <w:rPr>
                <w:sz w:val="18"/>
                <w:szCs w:val="18"/>
              </w:rPr>
              <w:t>N</w:t>
            </w:r>
            <w:r w:rsidRPr="008550C6">
              <w:rPr>
                <w:sz w:val="18"/>
                <w:szCs w:val="18"/>
              </w:rPr>
              <w:t>on-performing loans/Total loans and leases</w:t>
            </w:r>
            <w:r w:rsidR="004A0505" w:rsidRPr="008550C6">
              <w:rPr>
                <w:sz w:val="18"/>
                <w:szCs w:val="18"/>
              </w:rPr>
              <w:t xml:space="preserve"> from the state/bank levels</w:t>
            </w:r>
          </w:p>
        </w:tc>
        <w:tc>
          <w:tcPr>
            <w:tcW w:w="694" w:type="pct"/>
          </w:tcPr>
          <w:p w14:paraId="750D7CD1" w14:textId="07BBFA2E" w:rsidR="00BF5C5B" w:rsidRPr="008550C6" w:rsidRDefault="00BF5C5B" w:rsidP="00D62AD1">
            <w:pPr>
              <w:jc w:val="center"/>
              <w:rPr>
                <w:sz w:val="18"/>
                <w:szCs w:val="18"/>
              </w:rPr>
            </w:pPr>
            <w:r w:rsidRPr="008550C6">
              <w:rPr>
                <w:sz w:val="18"/>
                <w:szCs w:val="18"/>
              </w:rPr>
              <w:t>FDIC/Compustat</w:t>
            </w:r>
          </w:p>
        </w:tc>
      </w:tr>
      <w:tr w:rsidR="008550C6" w:rsidRPr="008550C6" w14:paraId="10EF9786" w14:textId="77777777" w:rsidTr="005B41A3">
        <w:tc>
          <w:tcPr>
            <w:tcW w:w="668" w:type="pct"/>
          </w:tcPr>
          <w:p w14:paraId="54C03EFF" w14:textId="19F6D057" w:rsidR="00BF5C5B" w:rsidRPr="008550C6" w:rsidRDefault="00BF5C5B" w:rsidP="00D62AD1">
            <w:pPr>
              <w:rPr>
                <w:b/>
                <w:sz w:val="18"/>
                <w:szCs w:val="18"/>
              </w:rPr>
            </w:pPr>
            <w:r w:rsidRPr="008550C6">
              <w:rPr>
                <w:sz w:val="18"/>
                <w:szCs w:val="18"/>
              </w:rPr>
              <w:t>DOA</w:t>
            </w:r>
          </w:p>
        </w:tc>
        <w:tc>
          <w:tcPr>
            <w:tcW w:w="3638" w:type="pct"/>
          </w:tcPr>
          <w:p w14:paraId="6E3D94D3" w14:textId="3B48BA18" w:rsidR="00BF5C5B" w:rsidRPr="008550C6" w:rsidRDefault="00BF5C5B" w:rsidP="00D62AD1">
            <w:pPr>
              <w:rPr>
                <w:sz w:val="18"/>
                <w:szCs w:val="18"/>
              </w:rPr>
            </w:pPr>
            <w:r w:rsidRPr="008550C6">
              <w:rPr>
                <w:sz w:val="18"/>
                <w:szCs w:val="18"/>
              </w:rPr>
              <w:t>Bank deposits: Total deposits/Total assets</w:t>
            </w:r>
            <w:r w:rsidR="004A0505" w:rsidRPr="008550C6">
              <w:rPr>
                <w:sz w:val="18"/>
                <w:szCs w:val="18"/>
              </w:rPr>
              <w:t xml:space="preserve"> from the state/bank levels</w:t>
            </w:r>
          </w:p>
        </w:tc>
        <w:tc>
          <w:tcPr>
            <w:tcW w:w="694" w:type="pct"/>
          </w:tcPr>
          <w:p w14:paraId="4B835AD6" w14:textId="1FE169C0" w:rsidR="00BF5C5B" w:rsidRPr="008550C6" w:rsidRDefault="00BF5C5B" w:rsidP="00D62AD1">
            <w:pPr>
              <w:jc w:val="center"/>
              <w:rPr>
                <w:sz w:val="18"/>
                <w:szCs w:val="18"/>
              </w:rPr>
            </w:pPr>
            <w:r w:rsidRPr="008550C6">
              <w:rPr>
                <w:sz w:val="18"/>
                <w:szCs w:val="18"/>
              </w:rPr>
              <w:t>FDIC/Compustat</w:t>
            </w:r>
          </w:p>
        </w:tc>
      </w:tr>
      <w:tr w:rsidR="008550C6" w:rsidRPr="008550C6" w14:paraId="4BB356C3" w14:textId="77777777" w:rsidTr="005B41A3">
        <w:trPr>
          <w:gridAfter w:val="1"/>
          <w:wAfter w:w="694" w:type="pct"/>
        </w:trPr>
        <w:tc>
          <w:tcPr>
            <w:tcW w:w="668" w:type="pct"/>
          </w:tcPr>
          <w:p w14:paraId="5294BC2E" w14:textId="77777777" w:rsidR="00BF5C5B" w:rsidRPr="008550C6" w:rsidRDefault="00BF5C5B" w:rsidP="00D62AD1">
            <w:pPr>
              <w:jc w:val="center"/>
              <w:rPr>
                <w:b/>
                <w:bCs/>
                <w:sz w:val="18"/>
                <w:szCs w:val="18"/>
              </w:rPr>
            </w:pPr>
          </w:p>
        </w:tc>
        <w:tc>
          <w:tcPr>
            <w:tcW w:w="3638" w:type="pct"/>
          </w:tcPr>
          <w:p w14:paraId="2F041C02" w14:textId="77777777" w:rsidR="00BF5C5B" w:rsidRPr="008550C6" w:rsidRDefault="00BF5C5B" w:rsidP="00D62AD1">
            <w:pPr>
              <w:jc w:val="center"/>
              <w:rPr>
                <w:b/>
                <w:bCs/>
                <w:sz w:val="18"/>
                <w:szCs w:val="18"/>
              </w:rPr>
            </w:pPr>
          </w:p>
        </w:tc>
      </w:tr>
      <w:tr w:rsidR="008550C6" w:rsidRPr="008550C6" w14:paraId="77B9AC9B" w14:textId="77777777" w:rsidTr="005B41A3">
        <w:tc>
          <w:tcPr>
            <w:tcW w:w="4306" w:type="pct"/>
            <w:gridSpan w:val="2"/>
          </w:tcPr>
          <w:p w14:paraId="20F0F591" w14:textId="60989165" w:rsidR="00BF5C5B" w:rsidRPr="008550C6" w:rsidRDefault="00BF5C5B" w:rsidP="00D62AD1">
            <w:pPr>
              <w:rPr>
                <w:sz w:val="18"/>
                <w:szCs w:val="18"/>
              </w:rPr>
            </w:pPr>
            <w:r w:rsidRPr="008550C6">
              <w:rPr>
                <w:b/>
                <w:bCs/>
                <w:sz w:val="18"/>
                <w:szCs w:val="18"/>
              </w:rPr>
              <w:t>External risk control variable</w:t>
            </w:r>
          </w:p>
        </w:tc>
        <w:tc>
          <w:tcPr>
            <w:tcW w:w="694" w:type="pct"/>
          </w:tcPr>
          <w:p w14:paraId="570973DF" w14:textId="77777777" w:rsidR="00BF5C5B" w:rsidRPr="008550C6" w:rsidRDefault="00BF5C5B" w:rsidP="00D62AD1">
            <w:pPr>
              <w:jc w:val="center"/>
              <w:rPr>
                <w:sz w:val="18"/>
                <w:szCs w:val="18"/>
              </w:rPr>
            </w:pPr>
          </w:p>
        </w:tc>
      </w:tr>
      <w:tr w:rsidR="008550C6" w:rsidRPr="008550C6" w14:paraId="4154EFE3" w14:textId="77777777" w:rsidTr="005B41A3">
        <w:tc>
          <w:tcPr>
            <w:tcW w:w="668" w:type="pct"/>
          </w:tcPr>
          <w:p w14:paraId="7B63ABC9" w14:textId="190A267E" w:rsidR="00BF5C5B" w:rsidRPr="008550C6" w:rsidRDefault="00BF5C5B" w:rsidP="00D62AD1">
            <w:pPr>
              <w:rPr>
                <w:sz w:val="18"/>
                <w:szCs w:val="18"/>
              </w:rPr>
            </w:pPr>
            <w:r w:rsidRPr="008550C6">
              <w:rPr>
                <w:sz w:val="18"/>
                <w:szCs w:val="18"/>
              </w:rPr>
              <w:t>C</w:t>
            </w:r>
            <w:r w:rsidR="00783103">
              <w:rPr>
                <w:sz w:val="18"/>
                <w:szCs w:val="18"/>
              </w:rPr>
              <w:t>OVID</w:t>
            </w:r>
            <w:r w:rsidRPr="008550C6">
              <w:rPr>
                <w:sz w:val="18"/>
                <w:szCs w:val="18"/>
              </w:rPr>
              <w:t>-19</w:t>
            </w:r>
          </w:p>
        </w:tc>
        <w:tc>
          <w:tcPr>
            <w:tcW w:w="3638" w:type="pct"/>
          </w:tcPr>
          <w:p w14:paraId="39C22ABE" w14:textId="77777777" w:rsidR="00BF5C5B" w:rsidRPr="008550C6" w:rsidRDefault="00BF5C5B" w:rsidP="00D62AD1">
            <w:pPr>
              <w:rPr>
                <w:sz w:val="18"/>
                <w:szCs w:val="18"/>
              </w:rPr>
            </w:pPr>
            <w:r w:rsidRPr="008550C6">
              <w:rPr>
                <w:sz w:val="18"/>
                <w:szCs w:val="18"/>
              </w:rPr>
              <w:t>Dummy variable equal 1 if the year is in 2020 and 0 otherwise</w:t>
            </w:r>
          </w:p>
        </w:tc>
        <w:tc>
          <w:tcPr>
            <w:tcW w:w="694" w:type="pct"/>
          </w:tcPr>
          <w:p w14:paraId="68EE8414" w14:textId="77777777" w:rsidR="00BF5C5B" w:rsidRPr="008550C6" w:rsidRDefault="00BF5C5B" w:rsidP="00D62AD1">
            <w:pPr>
              <w:jc w:val="center"/>
              <w:rPr>
                <w:sz w:val="18"/>
                <w:szCs w:val="18"/>
              </w:rPr>
            </w:pPr>
            <w:r w:rsidRPr="008550C6">
              <w:rPr>
                <w:sz w:val="18"/>
                <w:szCs w:val="18"/>
              </w:rPr>
              <w:t>Author’s estimation</w:t>
            </w:r>
          </w:p>
        </w:tc>
      </w:tr>
      <w:tr w:rsidR="008550C6" w:rsidRPr="008550C6" w14:paraId="4D53CAE9" w14:textId="77777777" w:rsidTr="005B41A3">
        <w:tc>
          <w:tcPr>
            <w:tcW w:w="4306" w:type="pct"/>
            <w:gridSpan w:val="2"/>
          </w:tcPr>
          <w:p w14:paraId="462FF412" w14:textId="77777777" w:rsidR="00BF5C5B" w:rsidRPr="008550C6" w:rsidRDefault="00BF5C5B" w:rsidP="00D62AD1">
            <w:pPr>
              <w:rPr>
                <w:b/>
                <w:bCs/>
                <w:sz w:val="18"/>
                <w:szCs w:val="18"/>
              </w:rPr>
            </w:pPr>
          </w:p>
        </w:tc>
        <w:tc>
          <w:tcPr>
            <w:tcW w:w="694" w:type="pct"/>
          </w:tcPr>
          <w:p w14:paraId="38B33061" w14:textId="77777777" w:rsidR="00BF5C5B" w:rsidRPr="008550C6" w:rsidRDefault="00BF5C5B" w:rsidP="00D62AD1">
            <w:pPr>
              <w:jc w:val="center"/>
              <w:rPr>
                <w:sz w:val="18"/>
                <w:szCs w:val="18"/>
              </w:rPr>
            </w:pPr>
          </w:p>
        </w:tc>
      </w:tr>
      <w:tr w:rsidR="008550C6" w:rsidRPr="008550C6" w14:paraId="377C8216" w14:textId="77777777" w:rsidTr="005B41A3">
        <w:tc>
          <w:tcPr>
            <w:tcW w:w="4306" w:type="pct"/>
            <w:gridSpan w:val="2"/>
          </w:tcPr>
          <w:p w14:paraId="2981B1A7" w14:textId="77777777" w:rsidR="00BF5C5B" w:rsidRPr="008550C6" w:rsidRDefault="00BF5C5B" w:rsidP="00D62AD1">
            <w:pPr>
              <w:rPr>
                <w:b/>
                <w:bCs/>
                <w:sz w:val="18"/>
                <w:szCs w:val="18"/>
              </w:rPr>
            </w:pPr>
            <w:r w:rsidRPr="008550C6">
              <w:rPr>
                <w:b/>
                <w:bCs/>
                <w:sz w:val="18"/>
                <w:szCs w:val="18"/>
              </w:rPr>
              <w:t>Additional variables</w:t>
            </w:r>
          </w:p>
        </w:tc>
        <w:tc>
          <w:tcPr>
            <w:tcW w:w="694" w:type="pct"/>
          </w:tcPr>
          <w:p w14:paraId="6F8918E6" w14:textId="77777777" w:rsidR="00BF5C5B" w:rsidRPr="008550C6" w:rsidRDefault="00BF5C5B" w:rsidP="00D62AD1">
            <w:pPr>
              <w:jc w:val="center"/>
              <w:rPr>
                <w:sz w:val="18"/>
                <w:szCs w:val="18"/>
              </w:rPr>
            </w:pPr>
          </w:p>
        </w:tc>
      </w:tr>
      <w:tr w:rsidR="008550C6" w:rsidRPr="008550C6" w14:paraId="156C5F7F" w14:textId="77777777" w:rsidTr="005B41A3">
        <w:tc>
          <w:tcPr>
            <w:tcW w:w="668" w:type="pct"/>
          </w:tcPr>
          <w:p w14:paraId="3E976753" w14:textId="77777777" w:rsidR="00BF5C5B" w:rsidRPr="008550C6" w:rsidRDefault="00BF5C5B" w:rsidP="00D62AD1">
            <w:pPr>
              <w:rPr>
                <w:sz w:val="18"/>
                <w:szCs w:val="18"/>
              </w:rPr>
            </w:pPr>
            <w:r w:rsidRPr="008550C6">
              <w:rPr>
                <w:sz w:val="18"/>
                <w:szCs w:val="18"/>
              </w:rPr>
              <w:t>LNPREDem</w:t>
            </w:r>
          </w:p>
        </w:tc>
        <w:tc>
          <w:tcPr>
            <w:tcW w:w="3638" w:type="pct"/>
          </w:tcPr>
          <w:p w14:paraId="5163B31E" w14:textId="77777777" w:rsidR="00BF5C5B" w:rsidRPr="008550C6" w:rsidRDefault="00BF5C5B" w:rsidP="00D62AD1">
            <w:pPr>
              <w:rPr>
                <w:sz w:val="18"/>
                <w:szCs w:val="18"/>
              </w:rPr>
            </w:pPr>
            <w:r w:rsidRPr="008550C6">
              <w:rPr>
                <w:sz w:val="18"/>
                <w:szCs w:val="18"/>
              </w:rPr>
              <w:t>Logarithm of the number of votes for the Democratic party in each state</w:t>
            </w:r>
          </w:p>
        </w:tc>
        <w:tc>
          <w:tcPr>
            <w:tcW w:w="694" w:type="pct"/>
          </w:tcPr>
          <w:p w14:paraId="78DB692D" w14:textId="77777777" w:rsidR="00BF5C5B" w:rsidRPr="008550C6" w:rsidRDefault="00BF5C5B" w:rsidP="00D62AD1">
            <w:pPr>
              <w:jc w:val="center"/>
              <w:rPr>
                <w:sz w:val="18"/>
                <w:szCs w:val="18"/>
              </w:rPr>
            </w:pPr>
            <w:r w:rsidRPr="008550C6">
              <w:rPr>
                <w:sz w:val="18"/>
                <w:szCs w:val="18"/>
              </w:rPr>
              <w:t>MIT</w:t>
            </w:r>
          </w:p>
        </w:tc>
      </w:tr>
      <w:tr w:rsidR="008550C6" w:rsidRPr="008550C6" w14:paraId="79F7E11C" w14:textId="77777777" w:rsidTr="005B41A3">
        <w:tc>
          <w:tcPr>
            <w:tcW w:w="668" w:type="pct"/>
          </w:tcPr>
          <w:p w14:paraId="79983BD6" w14:textId="77777777" w:rsidR="00BF5C5B" w:rsidRPr="008550C6" w:rsidRDefault="00BF5C5B" w:rsidP="00D62AD1">
            <w:pPr>
              <w:rPr>
                <w:sz w:val="18"/>
                <w:szCs w:val="18"/>
              </w:rPr>
            </w:pPr>
            <w:r w:rsidRPr="008550C6">
              <w:rPr>
                <w:sz w:val="18"/>
                <w:szCs w:val="18"/>
              </w:rPr>
              <w:t>PREDemRep:</w:t>
            </w:r>
          </w:p>
        </w:tc>
        <w:tc>
          <w:tcPr>
            <w:tcW w:w="3638" w:type="pct"/>
          </w:tcPr>
          <w:p w14:paraId="603C837E" w14:textId="77777777" w:rsidR="00BF5C5B" w:rsidRPr="008550C6" w:rsidRDefault="00BF5C5B" w:rsidP="00D62AD1">
            <w:pPr>
              <w:rPr>
                <w:sz w:val="18"/>
                <w:szCs w:val="18"/>
              </w:rPr>
            </w:pPr>
            <w:r w:rsidRPr="008550C6">
              <w:rPr>
                <w:sz w:val="18"/>
                <w:szCs w:val="18"/>
              </w:rPr>
              <w:t>Number of votes for the Democratic party over the number of votes for the Republican party</w:t>
            </w:r>
          </w:p>
        </w:tc>
        <w:tc>
          <w:tcPr>
            <w:tcW w:w="694" w:type="pct"/>
          </w:tcPr>
          <w:p w14:paraId="0C8D5144" w14:textId="77777777" w:rsidR="00BF5C5B" w:rsidRPr="008550C6" w:rsidRDefault="00BF5C5B" w:rsidP="00D62AD1">
            <w:pPr>
              <w:jc w:val="center"/>
              <w:rPr>
                <w:sz w:val="18"/>
                <w:szCs w:val="18"/>
              </w:rPr>
            </w:pPr>
            <w:r w:rsidRPr="008550C6">
              <w:rPr>
                <w:sz w:val="18"/>
                <w:szCs w:val="18"/>
              </w:rPr>
              <w:t>MIT</w:t>
            </w:r>
          </w:p>
        </w:tc>
      </w:tr>
      <w:tr w:rsidR="008550C6" w:rsidRPr="008550C6" w14:paraId="362A51AC" w14:textId="77777777" w:rsidTr="005B41A3">
        <w:tc>
          <w:tcPr>
            <w:tcW w:w="668" w:type="pct"/>
          </w:tcPr>
          <w:p w14:paraId="22EEB78B" w14:textId="77777777" w:rsidR="00BF5C5B" w:rsidRPr="008550C6" w:rsidRDefault="00BF5C5B" w:rsidP="00D62AD1">
            <w:pPr>
              <w:rPr>
                <w:sz w:val="18"/>
                <w:szCs w:val="18"/>
              </w:rPr>
            </w:pPr>
            <w:r w:rsidRPr="008550C6">
              <w:rPr>
                <w:sz w:val="18"/>
                <w:szCs w:val="18"/>
              </w:rPr>
              <w:t>SChange</w:t>
            </w:r>
          </w:p>
        </w:tc>
        <w:tc>
          <w:tcPr>
            <w:tcW w:w="3638" w:type="pct"/>
          </w:tcPr>
          <w:p w14:paraId="3B040898" w14:textId="77777777" w:rsidR="00BF5C5B" w:rsidRPr="008550C6" w:rsidRDefault="00BF5C5B" w:rsidP="00D62AD1">
            <w:pPr>
              <w:rPr>
                <w:sz w:val="18"/>
                <w:szCs w:val="18"/>
              </w:rPr>
            </w:pPr>
            <w:r w:rsidRPr="008550C6">
              <w:rPr>
                <w:sz w:val="18"/>
                <w:szCs w:val="18"/>
              </w:rPr>
              <w:t>Dummy variable equals 1 if there is a change of party selection from the voters at the state level between this and last year and 0 otherwise</w:t>
            </w:r>
          </w:p>
        </w:tc>
        <w:tc>
          <w:tcPr>
            <w:tcW w:w="694" w:type="pct"/>
          </w:tcPr>
          <w:p w14:paraId="24CA726E" w14:textId="77777777" w:rsidR="00BF5C5B" w:rsidRPr="008550C6" w:rsidRDefault="00BF5C5B" w:rsidP="00D62AD1">
            <w:pPr>
              <w:jc w:val="center"/>
              <w:rPr>
                <w:sz w:val="18"/>
                <w:szCs w:val="18"/>
              </w:rPr>
            </w:pPr>
            <w:r w:rsidRPr="008550C6">
              <w:rPr>
                <w:sz w:val="18"/>
                <w:szCs w:val="18"/>
              </w:rPr>
              <w:t>MIT</w:t>
            </w:r>
          </w:p>
        </w:tc>
      </w:tr>
      <w:tr w:rsidR="008550C6" w:rsidRPr="008550C6" w14:paraId="6D25C33F" w14:textId="77777777" w:rsidTr="005B41A3">
        <w:tc>
          <w:tcPr>
            <w:tcW w:w="668" w:type="pct"/>
          </w:tcPr>
          <w:p w14:paraId="31A2DB0F" w14:textId="77777777" w:rsidR="00BF5C5B" w:rsidRPr="008550C6" w:rsidRDefault="00BF5C5B" w:rsidP="00686D8E">
            <w:pPr>
              <w:rPr>
                <w:sz w:val="18"/>
                <w:szCs w:val="18"/>
              </w:rPr>
            </w:pPr>
            <w:r w:rsidRPr="008550C6">
              <w:rPr>
                <w:sz w:val="18"/>
                <w:szCs w:val="18"/>
              </w:rPr>
              <w:t>NChange</w:t>
            </w:r>
          </w:p>
          <w:p w14:paraId="212253FB" w14:textId="77777777" w:rsidR="00BF5C5B" w:rsidRPr="008550C6" w:rsidRDefault="00BF5C5B" w:rsidP="00D62AD1">
            <w:pPr>
              <w:rPr>
                <w:sz w:val="18"/>
                <w:szCs w:val="18"/>
              </w:rPr>
            </w:pPr>
          </w:p>
        </w:tc>
        <w:tc>
          <w:tcPr>
            <w:tcW w:w="3638" w:type="pct"/>
          </w:tcPr>
          <w:p w14:paraId="3CFC8107" w14:textId="05303FED" w:rsidR="00BF5C5B" w:rsidRPr="008550C6" w:rsidRDefault="00BF5C5B" w:rsidP="00D62AD1">
            <w:pPr>
              <w:rPr>
                <w:sz w:val="18"/>
                <w:szCs w:val="18"/>
              </w:rPr>
            </w:pPr>
            <w:r w:rsidRPr="008550C6">
              <w:rPr>
                <w:sz w:val="18"/>
                <w:szCs w:val="18"/>
              </w:rPr>
              <w:t>Dummy variable equals 1 if there is a change of party selection from the voters at national level between this and last year and 0 otherwise.</w:t>
            </w:r>
          </w:p>
        </w:tc>
        <w:tc>
          <w:tcPr>
            <w:tcW w:w="694" w:type="pct"/>
          </w:tcPr>
          <w:p w14:paraId="3DEEAFE7" w14:textId="57B5D4E3" w:rsidR="00BF5C5B" w:rsidRPr="008550C6" w:rsidRDefault="00BF5C5B" w:rsidP="00D62AD1">
            <w:pPr>
              <w:jc w:val="center"/>
              <w:rPr>
                <w:sz w:val="18"/>
                <w:szCs w:val="18"/>
              </w:rPr>
            </w:pPr>
            <w:r w:rsidRPr="008550C6">
              <w:rPr>
                <w:sz w:val="18"/>
                <w:szCs w:val="18"/>
              </w:rPr>
              <w:t>MIT</w:t>
            </w:r>
          </w:p>
        </w:tc>
      </w:tr>
      <w:tr w:rsidR="008550C6" w:rsidRPr="008550C6" w14:paraId="40DB0DDC" w14:textId="77777777" w:rsidTr="005B41A3">
        <w:tc>
          <w:tcPr>
            <w:tcW w:w="668" w:type="pct"/>
          </w:tcPr>
          <w:p w14:paraId="108C03A9" w14:textId="26B4F10E" w:rsidR="00BF5C5B" w:rsidRPr="008550C6" w:rsidRDefault="00BF5C5B" w:rsidP="00D62AD1">
            <w:pPr>
              <w:rPr>
                <w:sz w:val="18"/>
                <w:szCs w:val="18"/>
              </w:rPr>
            </w:pPr>
            <w:r w:rsidRPr="008550C6">
              <w:rPr>
                <w:sz w:val="18"/>
                <w:szCs w:val="18"/>
              </w:rPr>
              <w:t>Coincident</w:t>
            </w:r>
          </w:p>
        </w:tc>
        <w:tc>
          <w:tcPr>
            <w:tcW w:w="3638" w:type="pct"/>
          </w:tcPr>
          <w:p w14:paraId="66752B81" w14:textId="3CE57C96" w:rsidR="00BF5C5B" w:rsidRPr="008550C6" w:rsidRDefault="00BF5C5B" w:rsidP="00BF5C5B">
            <w:pPr>
              <w:rPr>
                <w:sz w:val="18"/>
                <w:szCs w:val="18"/>
              </w:rPr>
            </w:pPr>
            <w:r w:rsidRPr="008550C6">
              <w:rPr>
                <w:sz w:val="18"/>
                <w:szCs w:val="18"/>
              </w:rPr>
              <w:t>This index includes four state-level variables in each coincident index are nonfarm payroll employment, average hours worked in manufacturing by production workers, the unemployment rate, and wage and salary disbursements deflated by the consumer price index (U.S. city average)</w:t>
            </w:r>
          </w:p>
        </w:tc>
        <w:tc>
          <w:tcPr>
            <w:tcW w:w="694" w:type="pct"/>
          </w:tcPr>
          <w:p w14:paraId="52DB0582" w14:textId="7FA3C827" w:rsidR="00BF5C5B" w:rsidRPr="008550C6" w:rsidRDefault="00BF5C5B" w:rsidP="00D62AD1">
            <w:pPr>
              <w:jc w:val="center"/>
              <w:rPr>
                <w:sz w:val="18"/>
                <w:szCs w:val="18"/>
              </w:rPr>
            </w:pPr>
            <w:r w:rsidRPr="008550C6">
              <w:rPr>
                <w:sz w:val="18"/>
                <w:szCs w:val="18"/>
              </w:rPr>
              <w:t>MIT</w:t>
            </w:r>
          </w:p>
          <w:p w14:paraId="516078E6" w14:textId="77777777" w:rsidR="00BF5C5B" w:rsidRPr="008550C6" w:rsidRDefault="00BF5C5B" w:rsidP="00D62AD1">
            <w:pPr>
              <w:jc w:val="center"/>
              <w:rPr>
                <w:sz w:val="18"/>
                <w:szCs w:val="18"/>
              </w:rPr>
            </w:pPr>
          </w:p>
          <w:p w14:paraId="3812EE26" w14:textId="1FDD24D0" w:rsidR="00BF5C5B" w:rsidRPr="008550C6" w:rsidRDefault="00BF5C5B" w:rsidP="00D62AD1">
            <w:pPr>
              <w:jc w:val="center"/>
              <w:rPr>
                <w:sz w:val="18"/>
                <w:szCs w:val="18"/>
              </w:rPr>
            </w:pPr>
            <w:r w:rsidRPr="008550C6">
              <w:rPr>
                <w:sz w:val="18"/>
                <w:szCs w:val="18"/>
              </w:rPr>
              <w:t>FRBP</w:t>
            </w:r>
          </w:p>
        </w:tc>
      </w:tr>
      <w:tr w:rsidR="008550C6" w:rsidRPr="008550C6" w14:paraId="05BEF12F" w14:textId="77777777" w:rsidTr="005B41A3">
        <w:tc>
          <w:tcPr>
            <w:tcW w:w="668" w:type="pct"/>
          </w:tcPr>
          <w:p w14:paraId="29E92C41" w14:textId="36CBD182" w:rsidR="00BF5C5B" w:rsidRPr="008550C6" w:rsidRDefault="00BF5C5B" w:rsidP="00157A84">
            <w:pPr>
              <w:rPr>
                <w:sz w:val="18"/>
                <w:szCs w:val="18"/>
              </w:rPr>
            </w:pPr>
            <w:r w:rsidRPr="008550C6">
              <w:rPr>
                <w:sz w:val="18"/>
                <w:szCs w:val="18"/>
              </w:rPr>
              <w:t>House-Dem-Seats</w:t>
            </w:r>
          </w:p>
        </w:tc>
        <w:tc>
          <w:tcPr>
            <w:tcW w:w="3638" w:type="pct"/>
          </w:tcPr>
          <w:p w14:paraId="71537794" w14:textId="07B55CB3" w:rsidR="00BF5C5B" w:rsidRPr="008550C6" w:rsidRDefault="00BF5C5B" w:rsidP="00157A84">
            <w:pPr>
              <w:rPr>
                <w:sz w:val="18"/>
                <w:szCs w:val="18"/>
              </w:rPr>
            </w:pPr>
            <w:r w:rsidRPr="008550C6">
              <w:rPr>
                <w:sz w:val="18"/>
                <w:szCs w:val="18"/>
              </w:rPr>
              <w:t>Logarithm of the number of Democrat seats in the House of Representative</w:t>
            </w:r>
          </w:p>
        </w:tc>
        <w:tc>
          <w:tcPr>
            <w:tcW w:w="694" w:type="pct"/>
          </w:tcPr>
          <w:p w14:paraId="2A1F4AEC" w14:textId="5323B3BD" w:rsidR="00BF5C5B" w:rsidRPr="008550C6" w:rsidRDefault="00BF5C5B" w:rsidP="00157A84">
            <w:pPr>
              <w:jc w:val="center"/>
              <w:rPr>
                <w:sz w:val="18"/>
                <w:szCs w:val="18"/>
              </w:rPr>
            </w:pPr>
            <w:r w:rsidRPr="008550C6">
              <w:rPr>
                <w:sz w:val="18"/>
                <w:szCs w:val="18"/>
              </w:rPr>
              <w:t>MIT</w:t>
            </w:r>
          </w:p>
        </w:tc>
      </w:tr>
      <w:tr w:rsidR="008550C6" w:rsidRPr="008550C6" w14:paraId="3C42F4F5" w14:textId="77777777" w:rsidTr="005B41A3">
        <w:tc>
          <w:tcPr>
            <w:tcW w:w="668" w:type="pct"/>
          </w:tcPr>
          <w:p w14:paraId="56C7105A" w14:textId="1C434D97" w:rsidR="00BF5C5B" w:rsidRPr="008550C6" w:rsidRDefault="00BF5C5B" w:rsidP="00157A84">
            <w:pPr>
              <w:rPr>
                <w:sz w:val="18"/>
                <w:szCs w:val="18"/>
              </w:rPr>
            </w:pPr>
            <w:r w:rsidRPr="008550C6">
              <w:rPr>
                <w:sz w:val="18"/>
                <w:szCs w:val="18"/>
              </w:rPr>
              <w:t>Senate-Dem-Senators</w:t>
            </w:r>
          </w:p>
        </w:tc>
        <w:tc>
          <w:tcPr>
            <w:tcW w:w="3638" w:type="pct"/>
          </w:tcPr>
          <w:p w14:paraId="2DCB3E70" w14:textId="3D733902" w:rsidR="00BF5C5B" w:rsidRPr="008550C6" w:rsidRDefault="00BF5C5B" w:rsidP="00157A84">
            <w:pPr>
              <w:rPr>
                <w:sz w:val="18"/>
                <w:szCs w:val="18"/>
              </w:rPr>
            </w:pPr>
            <w:r w:rsidRPr="008550C6">
              <w:rPr>
                <w:sz w:val="18"/>
                <w:szCs w:val="18"/>
              </w:rPr>
              <w:t>Logarithm of the number of Democrat Senators in the Senate</w:t>
            </w:r>
          </w:p>
        </w:tc>
        <w:tc>
          <w:tcPr>
            <w:tcW w:w="694" w:type="pct"/>
          </w:tcPr>
          <w:p w14:paraId="69271E2F" w14:textId="1BB3348D" w:rsidR="00BF5C5B" w:rsidRPr="008550C6" w:rsidRDefault="00BF5C5B" w:rsidP="00157A84">
            <w:pPr>
              <w:jc w:val="center"/>
              <w:rPr>
                <w:sz w:val="18"/>
                <w:szCs w:val="18"/>
              </w:rPr>
            </w:pPr>
            <w:r w:rsidRPr="008550C6">
              <w:rPr>
                <w:sz w:val="18"/>
                <w:szCs w:val="18"/>
              </w:rPr>
              <w:t>MIT</w:t>
            </w:r>
          </w:p>
        </w:tc>
      </w:tr>
      <w:tr w:rsidR="008550C6" w:rsidRPr="008550C6" w14:paraId="744B74B3" w14:textId="77777777" w:rsidTr="005B41A3">
        <w:tc>
          <w:tcPr>
            <w:tcW w:w="668" w:type="pct"/>
          </w:tcPr>
          <w:p w14:paraId="4D1D864E" w14:textId="527F2ADA" w:rsidR="00BF5C5B" w:rsidRPr="008550C6" w:rsidRDefault="00BF5C5B" w:rsidP="00157A84">
            <w:pPr>
              <w:rPr>
                <w:sz w:val="18"/>
                <w:szCs w:val="18"/>
              </w:rPr>
            </w:pPr>
            <w:r w:rsidRPr="008550C6">
              <w:rPr>
                <w:sz w:val="18"/>
                <w:szCs w:val="18"/>
              </w:rPr>
              <w:t>New bank charters</w:t>
            </w:r>
          </w:p>
        </w:tc>
        <w:tc>
          <w:tcPr>
            <w:tcW w:w="3638" w:type="pct"/>
          </w:tcPr>
          <w:p w14:paraId="00B648AA" w14:textId="67A896A9" w:rsidR="00BF5C5B" w:rsidRPr="008550C6" w:rsidRDefault="00BF5C5B" w:rsidP="00157A84">
            <w:pPr>
              <w:rPr>
                <w:sz w:val="18"/>
                <w:szCs w:val="18"/>
              </w:rPr>
            </w:pPr>
            <w:r w:rsidRPr="008550C6">
              <w:rPr>
                <w:sz w:val="18"/>
                <w:szCs w:val="18"/>
              </w:rPr>
              <w:t>Total number of new bank charters at the state level</w:t>
            </w:r>
          </w:p>
        </w:tc>
        <w:tc>
          <w:tcPr>
            <w:tcW w:w="694" w:type="pct"/>
          </w:tcPr>
          <w:p w14:paraId="6C0E4B91" w14:textId="3D5D67A0" w:rsidR="00BF5C5B" w:rsidRPr="008550C6" w:rsidRDefault="00BF5C5B" w:rsidP="00157A84">
            <w:pPr>
              <w:jc w:val="center"/>
              <w:rPr>
                <w:sz w:val="18"/>
                <w:szCs w:val="18"/>
              </w:rPr>
            </w:pPr>
            <w:r w:rsidRPr="008550C6">
              <w:rPr>
                <w:sz w:val="18"/>
                <w:szCs w:val="18"/>
              </w:rPr>
              <w:t>FDIC</w:t>
            </w:r>
          </w:p>
        </w:tc>
      </w:tr>
      <w:tr w:rsidR="008550C6" w:rsidRPr="008550C6" w14:paraId="1805F8FC" w14:textId="77777777" w:rsidTr="005B41A3">
        <w:tc>
          <w:tcPr>
            <w:tcW w:w="668" w:type="pct"/>
            <w:tcBorders>
              <w:bottom w:val="single" w:sz="4" w:space="0" w:color="auto"/>
            </w:tcBorders>
          </w:tcPr>
          <w:p w14:paraId="1683F3E6" w14:textId="77777777" w:rsidR="00BF5C5B" w:rsidRPr="008550C6" w:rsidRDefault="00BF5C5B" w:rsidP="00D62AD1">
            <w:pPr>
              <w:rPr>
                <w:sz w:val="18"/>
                <w:szCs w:val="18"/>
              </w:rPr>
            </w:pPr>
          </w:p>
        </w:tc>
        <w:tc>
          <w:tcPr>
            <w:tcW w:w="3638" w:type="pct"/>
            <w:tcBorders>
              <w:bottom w:val="single" w:sz="4" w:space="0" w:color="auto"/>
            </w:tcBorders>
          </w:tcPr>
          <w:p w14:paraId="5F306D4F" w14:textId="77777777" w:rsidR="00BF5C5B" w:rsidRPr="008550C6" w:rsidRDefault="00BF5C5B" w:rsidP="00577498">
            <w:pPr>
              <w:rPr>
                <w:sz w:val="18"/>
                <w:szCs w:val="18"/>
              </w:rPr>
            </w:pPr>
          </w:p>
        </w:tc>
        <w:tc>
          <w:tcPr>
            <w:tcW w:w="694" w:type="pct"/>
            <w:tcBorders>
              <w:bottom w:val="single" w:sz="4" w:space="0" w:color="auto"/>
            </w:tcBorders>
          </w:tcPr>
          <w:p w14:paraId="5FDE56B9" w14:textId="77777777" w:rsidR="00BF5C5B" w:rsidRPr="008550C6" w:rsidRDefault="00BF5C5B" w:rsidP="00D62AD1">
            <w:pPr>
              <w:jc w:val="center"/>
              <w:rPr>
                <w:sz w:val="18"/>
                <w:szCs w:val="18"/>
              </w:rPr>
            </w:pPr>
          </w:p>
        </w:tc>
      </w:tr>
    </w:tbl>
    <w:p w14:paraId="2EAF87EA" w14:textId="5655A5C9" w:rsidR="00B3500A" w:rsidRPr="005B41A3" w:rsidRDefault="00B3500A" w:rsidP="00B3500A">
      <w:pPr>
        <w:jc w:val="both"/>
        <w:rPr>
          <w:i/>
          <w:iCs/>
          <w:sz w:val="18"/>
          <w:szCs w:val="18"/>
        </w:rPr>
      </w:pPr>
      <w:r w:rsidRPr="005B41A3">
        <w:rPr>
          <w:i/>
          <w:iCs/>
          <w:sz w:val="18"/>
          <w:szCs w:val="18"/>
        </w:rPr>
        <w:t xml:space="preserve">Note:  </w:t>
      </w:r>
      <w:r w:rsidRPr="00591939">
        <w:rPr>
          <w:sz w:val="18"/>
          <w:szCs w:val="18"/>
        </w:rPr>
        <w:t>MIT: Massachusetts Institute of Technology Election Data – Science Lab; FDIC: Federal Deposit Insurance Corporation</w:t>
      </w:r>
      <w:r w:rsidR="0026438C" w:rsidRPr="00591939">
        <w:rPr>
          <w:sz w:val="18"/>
          <w:szCs w:val="18"/>
        </w:rPr>
        <w:t>; FRBP: The Federal Reserve Bank of Philadelphia</w:t>
      </w:r>
    </w:p>
    <w:p w14:paraId="1EFDF16E" w14:textId="77777777" w:rsidR="00B3500A" w:rsidRPr="005B41A3" w:rsidRDefault="00B3500A" w:rsidP="00B3500A">
      <w:pPr>
        <w:jc w:val="both"/>
        <w:rPr>
          <w:i/>
          <w:iCs/>
          <w:sz w:val="18"/>
          <w:szCs w:val="18"/>
        </w:rPr>
        <w:sectPr w:rsidR="00B3500A" w:rsidRPr="005B41A3" w:rsidSect="00D62AD1">
          <w:pgSz w:w="16838" w:h="11906" w:orient="landscape"/>
          <w:pgMar w:top="1440" w:right="1440" w:bottom="1440" w:left="1440" w:header="706" w:footer="706" w:gutter="0"/>
          <w:pgNumType w:start="1"/>
          <w:cols w:space="708"/>
          <w:titlePg/>
          <w:docGrid w:linePitch="360"/>
        </w:sectPr>
      </w:pPr>
    </w:p>
    <w:p w14:paraId="6359E0F9" w14:textId="77777777" w:rsidR="00B2281A" w:rsidRDefault="00B2281A" w:rsidP="00B3500A">
      <w:pPr>
        <w:rPr>
          <w:b/>
          <w:bCs/>
          <w:color w:val="000000" w:themeColor="text1"/>
          <w:sz w:val="22"/>
          <w:szCs w:val="22"/>
        </w:rPr>
      </w:pPr>
    </w:p>
    <w:p w14:paraId="6ECE259E" w14:textId="77777777" w:rsidR="00B2281A" w:rsidRDefault="00B2281A" w:rsidP="00B3500A">
      <w:pPr>
        <w:rPr>
          <w:b/>
          <w:bCs/>
          <w:color w:val="000000" w:themeColor="text1"/>
          <w:sz w:val="22"/>
          <w:szCs w:val="22"/>
        </w:rPr>
      </w:pPr>
    </w:p>
    <w:p w14:paraId="33CF9D06" w14:textId="77777777" w:rsidR="00B2281A" w:rsidRDefault="00B2281A" w:rsidP="00B3500A">
      <w:pPr>
        <w:rPr>
          <w:b/>
          <w:bCs/>
          <w:color w:val="000000" w:themeColor="text1"/>
          <w:sz w:val="22"/>
          <w:szCs w:val="22"/>
        </w:rPr>
      </w:pPr>
    </w:p>
    <w:p w14:paraId="0EF97334" w14:textId="77777777" w:rsidR="00B2281A" w:rsidRDefault="00B2281A" w:rsidP="00B3500A">
      <w:pPr>
        <w:rPr>
          <w:b/>
          <w:bCs/>
          <w:color w:val="000000" w:themeColor="text1"/>
          <w:sz w:val="22"/>
          <w:szCs w:val="22"/>
        </w:rPr>
      </w:pPr>
    </w:p>
    <w:p w14:paraId="341183AF" w14:textId="77777777" w:rsidR="00B2281A" w:rsidRDefault="00B2281A" w:rsidP="00B3500A">
      <w:pPr>
        <w:rPr>
          <w:b/>
          <w:bCs/>
          <w:color w:val="000000" w:themeColor="text1"/>
          <w:sz w:val="22"/>
          <w:szCs w:val="22"/>
        </w:rPr>
      </w:pPr>
    </w:p>
    <w:p w14:paraId="0F23BF23" w14:textId="56228E3E" w:rsidR="00B3500A" w:rsidRPr="007E4ED2" w:rsidRDefault="008550C6" w:rsidP="00B3500A">
      <w:pPr>
        <w:rPr>
          <w:b/>
          <w:bCs/>
          <w:color w:val="000000" w:themeColor="text1"/>
          <w:sz w:val="20"/>
          <w:szCs w:val="20"/>
        </w:rPr>
      </w:pPr>
      <w:r w:rsidRPr="007E4ED2">
        <w:rPr>
          <w:b/>
          <w:bCs/>
          <w:color w:val="000000" w:themeColor="text1"/>
          <w:sz w:val="20"/>
          <w:szCs w:val="20"/>
        </w:rPr>
        <w:t>TABLE</w:t>
      </w:r>
      <w:r w:rsidR="00B3500A" w:rsidRPr="007E4ED2">
        <w:rPr>
          <w:b/>
          <w:bCs/>
          <w:color w:val="000000" w:themeColor="text1"/>
          <w:sz w:val="20"/>
          <w:szCs w:val="20"/>
        </w:rPr>
        <w:t xml:space="preserve"> 3</w:t>
      </w:r>
    </w:p>
    <w:p w14:paraId="696861B4" w14:textId="06FB38A8" w:rsidR="00B3500A" w:rsidRPr="007E4ED2" w:rsidRDefault="00B3500A" w:rsidP="00B3500A">
      <w:pPr>
        <w:rPr>
          <w:color w:val="000000" w:themeColor="text1"/>
          <w:sz w:val="20"/>
          <w:szCs w:val="20"/>
        </w:rPr>
      </w:pPr>
      <w:r w:rsidRPr="007E4ED2">
        <w:rPr>
          <w:color w:val="000000" w:themeColor="text1"/>
          <w:sz w:val="20"/>
          <w:szCs w:val="20"/>
        </w:rPr>
        <w:t>Descriptive statistics.</w:t>
      </w:r>
    </w:p>
    <w:tbl>
      <w:tblPr>
        <w:tblW w:w="5000" w:type="pct"/>
        <w:tblLook w:val="04A0" w:firstRow="1" w:lastRow="0" w:firstColumn="1" w:lastColumn="0" w:noHBand="0" w:noVBand="1"/>
      </w:tblPr>
      <w:tblGrid>
        <w:gridCol w:w="1403"/>
        <w:gridCol w:w="1145"/>
        <w:gridCol w:w="1510"/>
        <w:gridCol w:w="1249"/>
        <w:gridCol w:w="1452"/>
        <w:gridCol w:w="1204"/>
        <w:gridCol w:w="1063"/>
      </w:tblGrid>
      <w:tr w:rsidR="00B3500A" w:rsidRPr="00064325" w14:paraId="322C987B" w14:textId="77777777" w:rsidTr="00D62AD1">
        <w:trPr>
          <w:trHeight w:val="513"/>
        </w:trPr>
        <w:tc>
          <w:tcPr>
            <w:tcW w:w="839" w:type="pct"/>
            <w:tcBorders>
              <w:top w:val="single" w:sz="4" w:space="0" w:color="auto"/>
              <w:left w:val="nil"/>
              <w:bottom w:val="single" w:sz="4" w:space="0" w:color="auto"/>
              <w:right w:val="single" w:sz="4" w:space="0" w:color="auto"/>
            </w:tcBorders>
            <w:noWrap/>
            <w:vAlign w:val="bottom"/>
            <w:hideMark/>
          </w:tcPr>
          <w:p w14:paraId="647914E0" w14:textId="77777777" w:rsidR="00B3500A" w:rsidRPr="00064325" w:rsidRDefault="00B3500A" w:rsidP="00D62AD1">
            <w:pPr>
              <w:rPr>
                <w:b/>
                <w:bCs/>
                <w:sz w:val="16"/>
                <w:szCs w:val="16"/>
                <w:lang w:val="en-US" w:eastAsia="en-US"/>
              </w:rPr>
            </w:pPr>
          </w:p>
        </w:tc>
        <w:tc>
          <w:tcPr>
            <w:tcW w:w="493" w:type="pct"/>
            <w:tcBorders>
              <w:top w:val="single" w:sz="4" w:space="0" w:color="auto"/>
              <w:left w:val="single" w:sz="4" w:space="0" w:color="auto"/>
              <w:bottom w:val="single" w:sz="4" w:space="0" w:color="auto"/>
              <w:right w:val="nil"/>
            </w:tcBorders>
            <w:noWrap/>
            <w:vAlign w:val="bottom"/>
            <w:hideMark/>
          </w:tcPr>
          <w:p w14:paraId="1422B117" w14:textId="77777777" w:rsidR="00B3500A" w:rsidRPr="00064325" w:rsidRDefault="00B3500A" w:rsidP="00D62AD1">
            <w:pPr>
              <w:jc w:val="center"/>
              <w:rPr>
                <w:b/>
                <w:bCs/>
                <w:color w:val="000000"/>
                <w:sz w:val="16"/>
                <w:szCs w:val="16"/>
                <w:lang w:val="en-US" w:eastAsia="en-US"/>
              </w:rPr>
            </w:pPr>
            <w:r w:rsidRPr="00064325">
              <w:rPr>
                <w:b/>
                <w:bCs/>
                <w:color w:val="000000"/>
                <w:sz w:val="16"/>
                <w:szCs w:val="16"/>
                <w:lang w:val="en-US" w:eastAsia="en-US"/>
              </w:rPr>
              <w:t>Staff (People)</w:t>
            </w:r>
          </w:p>
        </w:tc>
        <w:tc>
          <w:tcPr>
            <w:tcW w:w="799" w:type="pct"/>
            <w:tcBorders>
              <w:top w:val="single" w:sz="4" w:space="0" w:color="auto"/>
              <w:left w:val="nil"/>
              <w:bottom w:val="single" w:sz="4" w:space="0" w:color="auto"/>
              <w:right w:val="nil"/>
            </w:tcBorders>
            <w:noWrap/>
            <w:vAlign w:val="bottom"/>
            <w:hideMark/>
          </w:tcPr>
          <w:p w14:paraId="11F07F6C" w14:textId="77777777" w:rsidR="00B3500A" w:rsidRPr="00064325" w:rsidRDefault="00B3500A" w:rsidP="00D62AD1">
            <w:pPr>
              <w:jc w:val="center"/>
              <w:rPr>
                <w:b/>
                <w:bCs/>
                <w:color w:val="000000"/>
                <w:sz w:val="16"/>
                <w:szCs w:val="16"/>
                <w:lang w:val="en-US" w:eastAsia="en-US"/>
              </w:rPr>
            </w:pPr>
            <w:r w:rsidRPr="00064325">
              <w:rPr>
                <w:b/>
                <w:bCs/>
                <w:color w:val="000000"/>
                <w:sz w:val="16"/>
                <w:szCs w:val="16"/>
                <w:lang w:val="en-US" w:eastAsia="en-US"/>
              </w:rPr>
              <w:t>Customer Deposits</w:t>
            </w:r>
          </w:p>
        </w:tc>
        <w:tc>
          <w:tcPr>
            <w:tcW w:w="754" w:type="pct"/>
            <w:tcBorders>
              <w:top w:val="single" w:sz="4" w:space="0" w:color="auto"/>
              <w:left w:val="nil"/>
              <w:bottom w:val="single" w:sz="4" w:space="0" w:color="auto"/>
              <w:right w:val="nil"/>
            </w:tcBorders>
            <w:noWrap/>
            <w:vAlign w:val="bottom"/>
            <w:hideMark/>
          </w:tcPr>
          <w:p w14:paraId="52551153" w14:textId="77777777" w:rsidR="00B3500A" w:rsidRPr="00064325" w:rsidRDefault="00B3500A" w:rsidP="00D62AD1">
            <w:pPr>
              <w:jc w:val="center"/>
              <w:rPr>
                <w:b/>
                <w:bCs/>
                <w:color w:val="000000"/>
                <w:sz w:val="16"/>
                <w:szCs w:val="16"/>
                <w:lang w:val="en-US" w:eastAsia="en-US"/>
              </w:rPr>
            </w:pPr>
            <w:r w:rsidRPr="00064325">
              <w:rPr>
                <w:b/>
                <w:bCs/>
                <w:color w:val="000000"/>
                <w:sz w:val="16"/>
                <w:szCs w:val="16"/>
                <w:lang w:val="en-US" w:eastAsia="en-US"/>
              </w:rPr>
              <w:t>Other Deposits</w:t>
            </w:r>
          </w:p>
        </w:tc>
        <w:tc>
          <w:tcPr>
            <w:tcW w:w="735" w:type="pct"/>
            <w:tcBorders>
              <w:top w:val="single" w:sz="4" w:space="0" w:color="auto"/>
              <w:left w:val="nil"/>
              <w:bottom w:val="single" w:sz="4" w:space="0" w:color="auto"/>
              <w:right w:val="nil"/>
            </w:tcBorders>
            <w:noWrap/>
            <w:vAlign w:val="bottom"/>
            <w:hideMark/>
          </w:tcPr>
          <w:p w14:paraId="248674BF" w14:textId="77777777" w:rsidR="00B3500A" w:rsidRPr="00064325" w:rsidRDefault="00B3500A" w:rsidP="00D62AD1">
            <w:pPr>
              <w:jc w:val="center"/>
              <w:rPr>
                <w:b/>
                <w:bCs/>
                <w:color w:val="000000"/>
                <w:sz w:val="16"/>
                <w:szCs w:val="16"/>
                <w:lang w:val="en-US" w:eastAsia="en-US"/>
              </w:rPr>
            </w:pPr>
            <w:r w:rsidRPr="00064325">
              <w:rPr>
                <w:b/>
                <w:bCs/>
                <w:color w:val="000000"/>
                <w:sz w:val="16"/>
                <w:szCs w:val="16"/>
                <w:lang w:val="en-US" w:eastAsia="en-US"/>
              </w:rPr>
              <w:t>Real Estate Loans</w:t>
            </w:r>
          </w:p>
        </w:tc>
        <w:tc>
          <w:tcPr>
            <w:tcW w:w="729" w:type="pct"/>
            <w:tcBorders>
              <w:top w:val="single" w:sz="4" w:space="0" w:color="auto"/>
              <w:left w:val="nil"/>
              <w:bottom w:val="single" w:sz="4" w:space="0" w:color="auto"/>
              <w:right w:val="nil"/>
            </w:tcBorders>
            <w:noWrap/>
            <w:vAlign w:val="bottom"/>
            <w:hideMark/>
          </w:tcPr>
          <w:p w14:paraId="553983D3" w14:textId="77777777" w:rsidR="00B3500A" w:rsidRPr="00064325" w:rsidRDefault="00B3500A" w:rsidP="00D62AD1">
            <w:pPr>
              <w:jc w:val="center"/>
              <w:rPr>
                <w:b/>
                <w:bCs/>
                <w:color w:val="000000"/>
                <w:sz w:val="16"/>
                <w:szCs w:val="16"/>
                <w:lang w:val="en-US" w:eastAsia="en-US"/>
              </w:rPr>
            </w:pPr>
            <w:r w:rsidRPr="00064325">
              <w:rPr>
                <w:b/>
                <w:bCs/>
                <w:color w:val="000000"/>
                <w:sz w:val="16"/>
                <w:szCs w:val="16"/>
                <w:lang w:val="en-US" w:eastAsia="en-US"/>
              </w:rPr>
              <w:t>Other Loans</w:t>
            </w:r>
          </w:p>
        </w:tc>
        <w:tc>
          <w:tcPr>
            <w:tcW w:w="651" w:type="pct"/>
            <w:tcBorders>
              <w:top w:val="single" w:sz="4" w:space="0" w:color="auto"/>
              <w:left w:val="nil"/>
              <w:bottom w:val="single" w:sz="4" w:space="0" w:color="auto"/>
              <w:right w:val="nil"/>
            </w:tcBorders>
            <w:noWrap/>
            <w:vAlign w:val="bottom"/>
            <w:hideMark/>
          </w:tcPr>
          <w:p w14:paraId="1A831796" w14:textId="77777777" w:rsidR="00B3500A" w:rsidRPr="00064325" w:rsidRDefault="00B3500A" w:rsidP="00D62AD1">
            <w:pPr>
              <w:jc w:val="center"/>
              <w:rPr>
                <w:b/>
                <w:bCs/>
                <w:color w:val="000000"/>
                <w:sz w:val="16"/>
                <w:szCs w:val="16"/>
                <w:lang w:val="en-US" w:eastAsia="en-US"/>
              </w:rPr>
            </w:pPr>
            <w:r w:rsidRPr="00064325">
              <w:rPr>
                <w:b/>
                <w:bCs/>
                <w:color w:val="000000"/>
                <w:sz w:val="16"/>
                <w:szCs w:val="16"/>
                <w:lang w:val="en-US" w:eastAsia="en-US"/>
              </w:rPr>
              <w:t>Securities</w:t>
            </w:r>
          </w:p>
        </w:tc>
      </w:tr>
      <w:tr w:rsidR="00B3500A" w:rsidRPr="00064325" w14:paraId="68F3F88B" w14:textId="77777777" w:rsidTr="00D62AD1">
        <w:trPr>
          <w:trHeight w:val="300"/>
        </w:trPr>
        <w:tc>
          <w:tcPr>
            <w:tcW w:w="839" w:type="pct"/>
            <w:tcBorders>
              <w:top w:val="single" w:sz="4" w:space="0" w:color="auto"/>
              <w:left w:val="nil"/>
              <w:bottom w:val="nil"/>
              <w:right w:val="single" w:sz="4" w:space="0" w:color="auto"/>
            </w:tcBorders>
            <w:noWrap/>
            <w:vAlign w:val="bottom"/>
            <w:hideMark/>
          </w:tcPr>
          <w:p w14:paraId="73E268FE" w14:textId="77777777" w:rsidR="00B3500A" w:rsidRPr="00591939" w:rsidRDefault="00B3500A" w:rsidP="00D62AD1">
            <w:pPr>
              <w:rPr>
                <w:color w:val="000000"/>
                <w:sz w:val="16"/>
                <w:szCs w:val="16"/>
                <w:lang w:val="en-US" w:eastAsia="en-US"/>
              </w:rPr>
            </w:pPr>
            <w:r w:rsidRPr="00591939">
              <w:rPr>
                <w:color w:val="000000"/>
                <w:sz w:val="16"/>
                <w:szCs w:val="16"/>
                <w:lang w:val="en-US" w:eastAsia="en-US"/>
              </w:rPr>
              <w:t>Mean</w:t>
            </w:r>
          </w:p>
        </w:tc>
        <w:tc>
          <w:tcPr>
            <w:tcW w:w="493" w:type="pct"/>
            <w:tcBorders>
              <w:top w:val="single" w:sz="4" w:space="0" w:color="auto"/>
              <w:left w:val="single" w:sz="4" w:space="0" w:color="auto"/>
              <w:bottom w:val="nil"/>
              <w:right w:val="nil"/>
            </w:tcBorders>
            <w:noWrap/>
            <w:vAlign w:val="bottom"/>
            <w:hideMark/>
          </w:tcPr>
          <w:p w14:paraId="4FE2CEF6"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31,692</w:t>
            </w:r>
          </w:p>
        </w:tc>
        <w:tc>
          <w:tcPr>
            <w:tcW w:w="799" w:type="pct"/>
            <w:tcBorders>
              <w:top w:val="single" w:sz="4" w:space="0" w:color="auto"/>
              <w:left w:val="nil"/>
              <w:bottom w:val="nil"/>
              <w:right w:val="nil"/>
            </w:tcBorders>
            <w:noWrap/>
            <w:vAlign w:val="bottom"/>
            <w:hideMark/>
          </w:tcPr>
          <w:p w14:paraId="4B2A826B"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71,757,588</w:t>
            </w:r>
          </w:p>
        </w:tc>
        <w:tc>
          <w:tcPr>
            <w:tcW w:w="754" w:type="pct"/>
            <w:tcBorders>
              <w:top w:val="single" w:sz="4" w:space="0" w:color="auto"/>
              <w:left w:val="nil"/>
              <w:bottom w:val="nil"/>
              <w:right w:val="nil"/>
            </w:tcBorders>
            <w:noWrap/>
            <w:vAlign w:val="bottom"/>
            <w:hideMark/>
          </w:tcPr>
          <w:p w14:paraId="38DA0E8D"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29,885,844</w:t>
            </w:r>
          </w:p>
        </w:tc>
        <w:tc>
          <w:tcPr>
            <w:tcW w:w="735" w:type="pct"/>
            <w:tcBorders>
              <w:top w:val="single" w:sz="4" w:space="0" w:color="auto"/>
              <w:left w:val="nil"/>
              <w:bottom w:val="nil"/>
              <w:right w:val="nil"/>
            </w:tcBorders>
            <w:noWrap/>
            <w:vAlign w:val="bottom"/>
            <w:hideMark/>
          </w:tcPr>
          <w:p w14:paraId="206CFC3C"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35,339,641</w:t>
            </w:r>
          </w:p>
        </w:tc>
        <w:tc>
          <w:tcPr>
            <w:tcW w:w="729" w:type="pct"/>
            <w:tcBorders>
              <w:top w:val="single" w:sz="4" w:space="0" w:color="auto"/>
              <w:left w:val="nil"/>
              <w:bottom w:val="nil"/>
              <w:right w:val="nil"/>
            </w:tcBorders>
            <w:noWrap/>
            <w:vAlign w:val="bottom"/>
            <w:hideMark/>
          </w:tcPr>
          <w:p w14:paraId="10154871"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38,305,049</w:t>
            </w:r>
          </w:p>
        </w:tc>
        <w:tc>
          <w:tcPr>
            <w:tcW w:w="651" w:type="pct"/>
            <w:tcBorders>
              <w:top w:val="single" w:sz="4" w:space="0" w:color="auto"/>
              <w:left w:val="nil"/>
              <w:bottom w:val="nil"/>
              <w:right w:val="nil"/>
            </w:tcBorders>
            <w:noWrap/>
            <w:vAlign w:val="bottom"/>
            <w:hideMark/>
          </w:tcPr>
          <w:p w14:paraId="1B88C4D6"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25,433,469</w:t>
            </w:r>
          </w:p>
        </w:tc>
      </w:tr>
      <w:tr w:rsidR="00B3500A" w:rsidRPr="00064325" w14:paraId="5AF5AC89" w14:textId="77777777" w:rsidTr="00D62AD1">
        <w:trPr>
          <w:trHeight w:val="300"/>
        </w:trPr>
        <w:tc>
          <w:tcPr>
            <w:tcW w:w="839" w:type="pct"/>
            <w:tcBorders>
              <w:top w:val="nil"/>
              <w:left w:val="nil"/>
              <w:bottom w:val="nil"/>
              <w:right w:val="single" w:sz="4" w:space="0" w:color="auto"/>
            </w:tcBorders>
            <w:noWrap/>
            <w:vAlign w:val="bottom"/>
            <w:hideMark/>
          </w:tcPr>
          <w:p w14:paraId="7292CC2D" w14:textId="77777777" w:rsidR="00B3500A" w:rsidRPr="00591939" w:rsidRDefault="00B3500A" w:rsidP="00D62AD1">
            <w:pPr>
              <w:rPr>
                <w:color w:val="000000"/>
                <w:sz w:val="16"/>
                <w:szCs w:val="16"/>
                <w:lang w:val="en-US" w:eastAsia="en-US"/>
              </w:rPr>
            </w:pPr>
            <w:r w:rsidRPr="00591939">
              <w:rPr>
                <w:color w:val="000000"/>
                <w:sz w:val="16"/>
                <w:szCs w:val="16"/>
                <w:lang w:val="en-US" w:eastAsia="en-US"/>
              </w:rPr>
              <w:t>Median</w:t>
            </w:r>
          </w:p>
        </w:tc>
        <w:tc>
          <w:tcPr>
            <w:tcW w:w="493" w:type="pct"/>
            <w:tcBorders>
              <w:top w:val="nil"/>
              <w:left w:val="single" w:sz="4" w:space="0" w:color="auto"/>
              <w:bottom w:val="nil"/>
              <w:right w:val="nil"/>
            </w:tcBorders>
            <w:noWrap/>
            <w:vAlign w:val="bottom"/>
            <w:hideMark/>
          </w:tcPr>
          <w:p w14:paraId="04AFD8D5"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15,109</w:t>
            </w:r>
          </w:p>
        </w:tc>
        <w:tc>
          <w:tcPr>
            <w:tcW w:w="799" w:type="pct"/>
            <w:tcBorders>
              <w:top w:val="nil"/>
              <w:left w:val="nil"/>
              <w:bottom w:val="nil"/>
              <w:right w:val="nil"/>
            </w:tcBorders>
            <w:noWrap/>
            <w:vAlign w:val="bottom"/>
            <w:hideMark/>
          </w:tcPr>
          <w:p w14:paraId="691E07DE"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19,971,401</w:t>
            </w:r>
          </w:p>
        </w:tc>
        <w:tc>
          <w:tcPr>
            <w:tcW w:w="754" w:type="pct"/>
            <w:tcBorders>
              <w:top w:val="nil"/>
              <w:left w:val="nil"/>
              <w:bottom w:val="nil"/>
              <w:right w:val="nil"/>
            </w:tcBorders>
            <w:noWrap/>
            <w:vAlign w:val="bottom"/>
            <w:hideMark/>
          </w:tcPr>
          <w:p w14:paraId="4020BB19"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4,369,072</w:t>
            </w:r>
          </w:p>
        </w:tc>
        <w:tc>
          <w:tcPr>
            <w:tcW w:w="735" w:type="pct"/>
            <w:tcBorders>
              <w:top w:val="nil"/>
              <w:left w:val="nil"/>
              <w:bottom w:val="nil"/>
              <w:right w:val="nil"/>
            </w:tcBorders>
            <w:noWrap/>
            <w:vAlign w:val="bottom"/>
            <w:hideMark/>
          </w:tcPr>
          <w:p w14:paraId="42B673B1"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9,822,137</w:t>
            </w:r>
          </w:p>
        </w:tc>
        <w:tc>
          <w:tcPr>
            <w:tcW w:w="729" w:type="pct"/>
            <w:tcBorders>
              <w:top w:val="nil"/>
              <w:left w:val="nil"/>
              <w:bottom w:val="nil"/>
              <w:right w:val="nil"/>
            </w:tcBorders>
            <w:noWrap/>
            <w:vAlign w:val="bottom"/>
            <w:hideMark/>
          </w:tcPr>
          <w:p w14:paraId="6C811D52"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9,377,604</w:t>
            </w:r>
          </w:p>
        </w:tc>
        <w:tc>
          <w:tcPr>
            <w:tcW w:w="651" w:type="pct"/>
            <w:tcBorders>
              <w:top w:val="nil"/>
              <w:left w:val="nil"/>
              <w:bottom w:val="nil"/>
              <w:right w:val="nil"/>
            </w:tcBorders>
            <w:noWrap/>
            <w:vAlign w:val="bottom"/>
            <w:hideMark/>
          </w:tcPr>
          <w:p w14:paraId="304ED2B1"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7,818,015</w:t>
            </w:r>
          </w:p>
        </w:tc>
      </w:tr>
      <w:tr w:rsidR="00B3500A" w:rsidRPr="00064325" w14:paraId="7839DE98" w14:textId="77777777" w:rsidTr="00D62AD1">
        <w:trPr>
          <w:trHeight w:val="300"/>
        </w:trPr>
        <w:tc>
          <w:tcPr>
            <w:tcW w:w="839" w:type="pct"/>
            <w:tcBorders>
              <w:top w:val="nil"/>
              <w:left w:val="nil"/>
              <w:bottom w:val="nil"/>
              <w:right w:val="single" w:sz="4" w:space="0" w:color="auto"/>
            </w:tcBorders>
            <w:noWrap/>
            <w:vAlign w:val="bottom"/>
            <w:hideMark/>
          </w:tcPr>
          <w:p w14:paraId="1DE8F49D" w14:textId="77777777" w:rsidR="00B3500A" w:rsidRPr="00591939" w:rsidRDefault="00B3500A" w:rsidP="00D62AD1">
            <w:pPr>
              <w:rPr>
                <w:color w:val="000000"/>
                <w:sz w:val="16"/>
                <w:szCs w:val="16"/>
                <w:lang w:val="en-US" w:eastAsia="en-US"/>
              </w:rPr>
            </w:pPr>
            <w:r w:rsidRPr="00591939">
              <w:rPr>
                <w:color w:val="000000"/>
                <w:sz w:val="16"/>
                <w:szCs w:val="16"/>
                <w:lang w:val="en-US" w:eastAsia="en-US"/>
              </w:rPr>
              <w:t>Std Deviation</w:t>
            </w:r>
          </w:p>
        </w:tc>
        <w:tc>
          <w:tcPr>
            <w:tcW w:w="493" w:type="pct"/>
            <w:tcBorders>
              <w:top w:val="nil"/>
              <w:left w:val="single" w:sz="4" w:space="0" w:color="auto"/>
              <w:bottom w:val="nil"/>
              <w:right w:val="nil"/>
            </w:tcBorders>
            <w:noWrap/>
            <w:vAlign w:val="bottom"/>
            <w:hideMark/>
          </w:tcPr>
          <w:p w14:paraId="0CFCF3A5"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52,945</w:t>
            </w:r>
          </w:p>
        </w:tc>
        <w:tc>
          <w:tcPr>
            <w:tcW w:w="799" w:type="pct"/>
            <w:tcBorders>
              <w:top w:val="nil"/>
              <w:left w:val="nil"/>
              <w:bottom w:val="nil"/>
              <w:right w:val="nil"/>
            </w:tcBorders>
            <w:noWrap/>
            <w:vAlign w:val="bottom"/>
            <w:hideMark/>
          </w:tcPr>
          <w:p w14:paraId="5F1BB4CA"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232,866,764</w:t>
            </w:r>
          </w:p>
        </w:tc>
        <w:tc>
          <w:tcPr>
            <w:tcW w:w="754" w:type="pct"/>
            <w:tcBorders>
              <w:top w:val="nil"/>
              <w:left w:val="nil"/>
              <w:bottom w:val="nil"/>
              <w:right w:val="nil"/>
            </w:tcBorders>
            <w:noWrap/>
            <w:vAlign w:val="bottom"/>
            <w:hideMark/>
          </w:tcPr>
          <w:p w14:paraId="44F39DE5"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270,187,619</w:t>
            </w:r>
          </w:p>
        </w:tc>
        <w:tc>
          <w:tcPr>
            <w:tcW w:w="735" w:type="pct"/>
            <w:tcBorders>
              <w:top w:val="nil"/>
              <w:left w:val="nil"/>
              <w:bottom w:val="nil"/>
              <w:right w:val="nil"/>
            </w:tcBorders>
            <w:noWrap/>
            <w:vAlign w:val="bottom"/>
            <w:hideMark/>
          </w:tcPr>
          <w:p w14:paraId="50FD4557"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84,513,593</w:t>
            </w:r>
          </w:p>
        </w:tc>
        <w:tc>
          <w:tcPr>
            <w:tcW w:w="729" w:type="pct"/>
            <w:tcBorders>
              <w:top w:val="nil"/>
              <w:left w:val="nil"/>
              <w:bottom w:val="nil"/>
              <w:right w:val="nil"/>
            </w:tcBorders>
            <w:noWrap/>
            <w:vAlign w:val="bottom"/>
            <w:hideMark/>
          </w:tcPr>
          <w:p w14:paraId="1F59EAB5"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101,192,707</w:t>
            </w:r>
          </w:p>
        </w:tc>
        <w:tc>
          <w:tcPr>
            <w:tcW w:w="651" w:type="pct"/>
            <w:tcBorders>
              <w:top w:val="nil"/>
              <w:left w:val="nil"/>
              <w:bottom w:val="nil"/>
              <w:right w:val="nil"/>
            </w:tcBorders>
            <w:noWrap/>
            <w:vAlign w:val="bottom"/>
            <w:hideMark/>
          </w:tcPr>
          <w:p w14:paraId="578DDBE6"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70,799,471</w:t>
            </w:r>
          </w:p>
        </w:tc>
      </w:tr>
      <w:tr w:rsidR="00B3500A" w:rsidRPr="00064325" w14:paraId="4B57111B" w14:textId="77777777" w:rsidTr="00D62AD1">
        <w:trPr>
          <w:trHeight w:val="300"/>
        </w:trPr>
        <w:tc>
          <w:tcPr>
            <w:tcW w:w="839" w:type="pct"/>
            <w:tcBorders>
              <w:top w:val="nil"/>
              <w:left w:val="nil"/>
              <w:bottom w:val="nil"/>
              <w:right w:val="single" w:sz="4" w:space="0" w:color="auto"/>
            </w:tcBorders>
            <w:noWrap/>
            <w:vAlign w:val="bottom"/>
            <w:hideMark/>
          </w:tcPr>
          <w:p w14:paraId="5F1D5777" w14:textId="77777777" w:rsidR="00B3500A" w:rsidRPr="00591939" w:rsidRDefault="00B3500A" w:rsidP="00D62AD1">
            <w:pPr>
              <w:rPr>
                <w:color w:val="000000"/>
                <w:sz w:val="16"/>
                <w:szCs w:val="16"/>
                <w:lang w:val="en-US" w:eastAsia="en-US"/>
              </w:rPr>
            </w:pPr>
            <w:r w:rsidRPr="00591939">
              <w:rPr>
                <w:color w:val="000000"/>
                <w:sz w:val="16"/>
                <w:szCs w:val="16"/>
                <w:lang w:val="en-US" w:eastAsia="en-US"/>
              </w:rPr>
              <w:t>Minimum</w:t>
            </w:r>
          </w:p>
        </w:tc>
        <w:tc>
          <w:tcPr>
            <w:tcW w:w="493" w:type="pct"/>
            <w:tcBorders>
              <w:top w:val="nil"/>
              <w:left w:val="single" w:sz="4" w:space="0" w:color="auto"/>
              <w:bottom w:val="nil"/>
              <w:right w:val="nil"/>
            </w:tcBorders>
            <w:noWrap/>
            <w:vAlign w:val="bottom"/>
            <w:hideMark/>
          </w:tcPr>
          <w:p w14:paraId="03B15FF4"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136</w:t>
            </w:r>
          </w:p>
        </w:tc>
        <w:tc>
          <w:tcPr>
            <w:tcW w:w="799" w:type="pct"/>
            <w:tcBorders>
              <w:top w:val="nil"/>
              <w:left w:val="nil"/>
              <w:bottom w:val="nil"/>
              <w:right w:val="nil"/>
            </w:tcBorders>
            <w:noWrap/>
            <w:vAlign w:val="bottom"/>
            <w:hideMark/>
          </w:tcPr>
          <w:p w14:paraId="46BAC073"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(2,100,860,720)</w:t>
            </w:r>
          </w:p>
        </w:tc>
        <w:tc>
          <w:tcPr>
            <w:tcW w:w="754" w:type="pct"/>
            <w:tcBorders>
              <w:top w:val="nil"/>
              <w:left w:val="nil"/>
              <w:bottom w:val="nil"/>
              <w:right w:val="nil"/>
            </w:tcBorders>
            <w:noWrap/>
            <w:vAlign w:val="bottom"/>
            <w:hideMark/>
          </w:tcPr>
          <w:p w14:paraId="0575C716"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21,086</w:t>
            </w:r>
          </w:p>
        </w:tc>
        <w:tc>
          <w:tcPr>
            <w:tcW w:w="735" w:type="pct"/>
            <w:tcBorders>
              <w:top w:val="nil"/>
              <w:left w:val="nil"/>
              <w:bottom w:val="nil"/>
              <w:right w:val="nil"/>
            </w:tcBorders>
            <w:noWrap/>
            <w:vAlign w:val="bottom"/>
            <w:hideMark/>
          </w:tcPr>
          <w:p w14:paraId="1263392A"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138,114</w:t>
            </w:r>
          </w:p>
        </w:tc>
        <w:tc>
          <w:tcPr>
            <w:tcW w:w="729" w:type="pct"/>
            <w:tcBorders>
              <w:top w:val="nil"/>
              <w:left w:val="nil"/>
              <w:bottom w:val="nil"/>
              <w:right w:val="nil"/>
            </w:tcBorders>
            <w:noWrap/>
            <w:vAlign w:val="bottom"/>
            <w:hideMark/>
          </w:tcPr>
          <w:p w14:paraId="0394AD25"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73,081</w:t>
            </w:r>
          </w:p>
        </w:tc>
        <w:tc>
          <w:tcPr>
            <w:tcW w:w="651" w:type="pct"/>
            <w:tcBorders>
              <w:top w:val="nil"/>
              <w:left w:val="nil"/>
              <w:bottom w:val="nil"/>
              <w:right w:val="nil"/>
            </w:tcBorders>
            <w:noWrap/>
            <w:vAlign w:val="bottom"/>
            <w:hideMark/>
          </w:tcPr>
          <w:p w14:paraId="79C31059"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60,998</w:t>
            </w:r>
          </w:p>
        </w:tc>
      </w:tr>
      <w:tr w:rsidR="00B3500A" w:rsidRPr="00064325" w14:paraId="68458B54" w14:textId="77777777" w:rsidTr="00D62AD1">
        <w:trPr>
          <w:trHeight w:val="300"/>
        </w:trPr>
        <w:tc>
          <w:tcPr>
            <w:tcW w:w="839" w:type="pct"/>
            <w:tcBorders>
              <w:top w:val="nil"/>
              <w:left w:val="nil"/>
              <w:right w:val="single" w:sz="4" w:space="0" w:color="auto"/>
            </w:tcBorders>
            <w:noWrap/>
            <w:vAlign w:val="bottom"/>
            <w:hideMark/>
          </w:tcPr>
          <w:p w14:paraId="66380C80" w14:textId="77777777" w:rsidR="00B3500A" w:rsidRPr="00591939" w:rsidRDefault="00B3500A" w:rsidP="00D62AD1">
            <w:pPr>
              <w:rPr>
                <w:color w:val="000000"/>
                <w:sz w:val="16"/>
                <w:szCs w:val="16"/>
                <w:lang w:val="en-US" w:eastAsia="en-US"/>
              </w:rPr>
            </w:pPr>
            <w:r w:rsidRPr="00591939">
              <w:rPr>
                <w:color w:val="000000"/>
                <w:sz w:val="16"/>
                <w:szCs w:val="16"/>
                <w:lang w:val="en-US" w:eastAsia="en-US"/>
              </w:rPr>
              <w:t>Maximum</w:t>
            </w:r>
          </w:p>
        </w:tc>
        <w:tc>
          <w:tcPr>
            <w:tcW w:w="493" w:type="pct"/>
            <w:tcBorders>
              <w:top w:val="nil"/>
              <w:left w:val="single" w:sz="4" w:space="0" w:color="auto"/>
              <w:right w:val="nil"/>
            </w:tcBorders>
            <w:noWrap/>
            <w:vAlign w:val="bottom"/>
            <w:hideMark/>
          </w:tcPr>
          <w:p w14:paraId="0F448696"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436,691</w:t>
            </w:r>
          </w:p>
        </w:tc>
        <w:tc>
          <w:tcPr>
            <w:tcW w:w="799" w:type="pct"/>
            <w:tcBorders>
              <w:top w:val="nil"/>
              <w:left w:val="nil"/>
              <w:right w:val="nil"/>
            </w:tcBorders>
            <w:noWrap/>
            <w:vAlign w:val="bottom"/>
            <w:hideMark/>
          </w:tcPr>
          <w:p w14:paraId="52EBD42D"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2,130,182,787</w:t>
            </w:r>
          </w:p>
        </w:tc>
        <w:tc>
          <w:tcPr>
            <w:tcW w:w="754" w:type="pct"/>
            <w:tcBorders>
              <w:top w:val="nil"/>
              <w:left w:val="nil"/>
              <w:right w:val="nil"/>
            </w:tcBorders>
            <w:noWrap/>
            <w:vAlign w:val="bottom"/>
            <w:hideMark/>
          </w:tcPr>
          <w:p w14:paraId="3C379837"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4,543,571,450</w:t>
            </w:r>
          </w:p>
        </w:tc>
        <w:tc>
          <w:tcPr>
            <w:tcW w:w="735" w:type="pct"/>
            <w:tcBorders>
              <w:top w:val="nil"/>
              <w:left w:val="nil"/>
              <w:right w:val="nil"/>
            </w:tcBorders>
            <w:noWrap/>
            <w:vAlign w:val="bottom"/>
            <w:hideMark/>
          </w:tcPr>
          <w:p w14:paraId="3BD755F7"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793,126,891</w:t>
            </w:r>
          </w:p>
        </w:tc>
        <w:tc>
          <w:tcPr>
            <w:tcW w:w="729" w:type="pct"/>
            <w:tcBorders>
              <w:top w:val="nil"/>
              <w:left w:val="nil"/>
              <w:right w:val="nil"/>
            </w:tcBorders>
            <w:noWrap/>
            <w:vAlign w:val="bottom"/>
            <w:hideMark/>
          </w:tcPr>
          <w:p w14:paraId="4F09B25B"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1,012,603,547</w:t>
            </w:r>
          </w:p>
        </w:tc>
        <w:tc>
          <w:tcPr>
            <w:tcW w:w="651" w:type="pct"/>
            <w:tcBorders>
              <w:top w:val="nil"/>
              <w:left w:val="nil"/>
              <w:right w:val="nil"/>
            </w:tcBorders>
            <w:noWrap/>
            <w:vAlign w:val="bottom"/>
            <w:hideMark/>
          </w:tcPr>
          <w:p w14:paraId="420C2DCB"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840,111,254</w:t>
            </w:r>
          </w:p>
        </w:tc>
      </w:tr>
      <w:tr w:rsidR="00B3500A" w:rsidRPr="00064325" w14:paraId="16855EB9" w14:textId="77777777" w:rsidTr="00D62AD1">
        <w:trPr>
          <w:trHeight w:val="300"/>
        </w:trPr>
        <w:tc>
          <w:tcPr>
            <w:tcW w:w="839" w:type="pct"/>
            <w:tcBorders>
              <w:top w:val="nil"/>
              <w:left w:val="nil"/>
              <w:bottom w:val="single" w:sz="4" w:space="0" w:color="auto"/>
              <w:right w:val="single" w:sz="4" w:space="0" w:color="auto"/>
            </w:tcBorders>
            <w:noWrap/>
            <w:vAlign w:val="bottom"/>
          </w:tcPr>
          <w:p w14:paraId="4EFEF366" w14:textId="77777777" w:rsidR="00B3500A" w:rsidRPr="00591939" w:rsidRDefault="00B3500A" w:rsidP="00D62AD1">
            <w:pPr>
              <w:rPr>
                <w:color w:val="000000"/>
                <w:sz w:val="16"/>
                <w:szCs w:val="16"/>
                <w:lang w:val="en-US" w:eastAsia="en-US"/>
              </w:rPr>
            </w:pPr>
            <w:r w:rsidRPr="00591939">
              <w:rPr>
                <w:color w:val="000000"/>
                <w:sz w:val="16"/>
                <w:szCs w:val="16"/>
                <w:lang w:val="en-US" w:eastAsia="en-US"/>
              </w:rPr>
              <w:t>Observations</w:t>
            </w:r>
          </w:p>
        </w:tc>
        <w:tc>
          <w:tcPr>
            <w:tcW w:w="493" w:type="pct"/>
            <w:tcBorders>
              <w:top w:val="nil"/>
              <w:left w:val="single" w:sz="4" w:space="0" w:color="auto"/>
              <w:bottom w:val="single" w:sz="4" w:space="0" w:color="auto"/>
              <w:right w:val="nil"/>
            </w:tcBorders>
            <w:noWrap/>
            <w:vAlign w:val="bottom"/>
          </w:tcPr>
          <w:p w14:paraId="25CC80C0"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2,499</w:t>
            </w:r>
          </w:p>
        </w:tc>
        <w:tc>
          <w:tcPr>
            <w:tcW w:w="799" w:type="pct"/>
            <w:tcBorders>
              <w:top w:val="nil"/>
              <w:left w:val="nil"/>
              <w:bottom w:val="single" w:sz="4" w:space="0" w:color="auto"/>
              <w:right w:val="nil"/>
            </w:tcBorders>
            <w:noWrap/>
            <w:vAlign w:val="bottom"/>
          </w:tcPr>
          <w:p w14:paraId="3174006C"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2,499</w:t>
            </w:r>
          </w:p>
        </w:tc>
        <w:tc>
          <w:tcPr>
            <w:tcW w:w="754" w:type="pct"/>
            <w:tcBorders>
              <w:top w:val="nil"/>
              <w:left w:val="nil"/>
              <w:bottom w:val="single" w:sz="4" w:space="0" w:color="auto"/>
              <w:right w:val="nil"/>
            </w:tcBorders>
            <w:noWrap/>
            <w:vAlign w:val="bottom"/>
          </w:tcPr>
          <w:p w14:paraId="4A40EB54"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2,499</w:t>
            </w:r>
          </w:p>
        </w:tc>
        <w:tc>
          <w:tcPr>
            <w:tcW w:w="735" w:type="pct"/>
            <w:tcBorders>
              <w:top w:val="nil"/>
              <w:left w:val="nil"/>
              <w:bottom w:val="single" w:sz="4" w:space="0" w:color="auto"/>
              <w:right w:val="nil"/>
            </w:tcBorders>
            <w:noWrap/>
            <w:vAlign w:val="bottom"/>
          </w:tcPr>
          <w:p w14:paraId="3790C2EB"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2,499</w:t>
            </w:r>
          </w:p>
        </w:tc>
        <w:tc>
          <w:tcPr>
            <w:tcW w:w="729" w:type="pct"/>
            <w:tcBorders>
              <w:top w:val="nil"/>
              <w:left w:val="nil"/>
              <w:bottom w:val="single" w:sz="4" w:space="0" w:color="auto"/>
              <w:right w:val="nil"/>
            </w:tcBorders>
            <w:noWrap/>
            <w:vAlign w:val="bottom"/>
          </w:tcPr>
          <w:p w14:paraId="47927D33"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2,499</w:t>
            </w:r>
          </w:p>
        </w:tc>
        <w:tc>
          <w:tcPr>
            <w:tcW w:w="651" w:type="pct"/>
            <w:tcBorders>
              <w:top w:val="nil"/>
              <w:left w:val="nil"/>
              <w:bottom w:val="single" w:sz="4" w:space="0" w:color="auto"/>
              <w:right w:val="nil"/>
            </w:tcBorders>
            <w:noWrap/>
            <w:vAlign w:val="bottom"/>
          </w:tcPr>
          <w:p w14:paraId="59D9E079" w14:textId="77777777" w:rsidR="00B3500A" w:rsidRPr="00064325" w:rsidRDefault="00B3500A" w:rsidP="00D62AD1">
            <w:pPr>
              <w:jc w:val="center"/>
              <w:rPr>
                <w:color w:val="000000"/>
                <w:sz w:val="16"/>
                <w:szCs w:val="16"/>
                <w:lang w:val="en-US" w:eastAsia="en-US"/>
              </w:rPr>
            </w:pPr>
            <w:r w:rsidRPr="00064325">
              <w:rPr>
                <w:color w:val="000000"/>
                <w:sz w:val="16"/>
                <w:szCs w:val="16"/>
                <w:lang w:val="en-US" w:eastAsia="en-US"/>
              </w:rPr>
              <w:t>2,499</w:t>
            </w:r>
          </w:p>
        </w:tc>
      </w:tr>
    </w:tbl>
    <w:p w14:paraId="158F8DBE" w14:textId="73A11A6B" w:rsidR="00B3500A" w:rsidRPr="00591939" w:rsidRDefault="00591939" w:rsidP="00591939">
      <w:pPr>
        <w:rPr>
          <w:color w:val="000000" w:themeColor="text1"/>
          <w:sz w:val="16"/>
          <w:szCs w:val="16"/>
        </w:rPr>
      </w:pPr>
      <w:r w:rsidRPr="00591939">
        <w:rPr>
          <w:i/>
          <w:iCs/>
          <w:color w:val="000000" w:themeColor="text1"/>
          <w:sz w:val="16"/>
          <w:szCs w:val="16"/>
        </w:rPr>
        <w:t>Note:</w:t>
      </w:r>
      <w:r w:rsidRPr="00591939">
        <w:rPr>
          <w:color w:val="000000" w:themeColor="text1"/>
          <w:sz w:val="16"/>
          <w:szCs w:val="16"/>
        </w:rPr>
        <w:t xml:space="preserve"> This table reports descriptive statistics of inputs and outputs (units: 1,000 USD).</w:t>
      </w:r>
    </w:p>
    <w:p w14:paraId="3F3D5DC8" w14:textId="77777777" w:rsidR="00B3500A" w:rsidRDefault="00B3500A" w:rsidP="00B3500A">
      <w:pPr>
        <w:rPr>
          <w:sz w:val="22"/>
          <w:szCs w:val="22"/>
        </w:rPr>
      </w:pPr>
    </w:p>
    <w:p w14:paraId="078F9FBD" w14:textId="77777777" w:rsidR="0008065E" w:rsidRDefault="0008065E" w:rsidP="00B3500A">
      <w:pPr>
        <w:rPr>
          <w:sz w:val="22"/>
          <w:szCs w:val="22"/>
        </w:rPr>
      </w:pPr>
    </w:p>
    <w:p w14:paraId="2B6590F7" w14:textId="77777777" w:rsidR="0008065E" w:rsidRDefault="0008065E" w:rsidP="00B3500A">
      <w:pPr>
        <w:rPr>
          <w:sz w:val="22"/>
          <w:szCs w:val="22"/>
        </w:rPr>
      </w:pPr>
    </w:p>
    <w:p w14:paraId="7E5B75D6" w14:textId="77777777" w:rsidR="0008065E" w:rsidRDefault="0008065E" w:rsidP="00B3500A">
      <w:pPr>
        <w:rPr>
          <w:sz w:val="22"/>
          <w:szCs w:val="22"/>
        </w:rPr>
      </w:pPr>
    </w:p>
    <w:p w14:paraId="6FD9BFEF" w14:textId="77777777" w:rsidR="00FD6351" w:rsidRDefault="00FD6351" w:rsidP="00B3500A">
      <w:pPr>
        <w:rPr>
          <w:sz w:val="22"/>
          <w:szCs w:val="22"/>
        </w:rPr>
      </w:pPr>
    </w:p>
    <w:p w14:paraId="2F57B5E8" w14:textId="77777777" w:rsidR="0008065E" w:rsidRDefault="0008065E" w:rsidP="00B3500A">
      <w:pPr>
        <w:rPr>
          <w:sz w:val="22"/>
          <w:szCs w:val="22"/>
        </w:rPr>
      </w:pPr>
    </w:p>
    <w:p w14:paraId="0247B158" w14:textId="77777777" w:rsidR="0008065E" w:rsidRDefault="0008065E" w:rsidP="00B3500A">
      <w:pPr>
        <w:rPr>
          <w:sz w:val="22"/>
          <w:szCs w:val="22"/>
        </w:rPr>
      </w:pPr>
    </w:p>
    <w:p w14:paraId="14A99A83" w14:textId="77777777" w:rsidR="0008065E" w:rsidRDefault="0008065E" w:rsidP="00B3500A">
      <w:pPr>
        <w:rPr>
          <w:sz w:val="22"/>
          <w:szCs w:val="22"/>
        </w:rPr>
      </w:pPr>
    </w:p>
    <w:p w14:paraId="16395D41" w14:textId="77777777" w:rsidR="004304ED" w:rsidRDefault="004304ED" w:rsidP="00B3500A">
      <w:pPr>
        <w:rPr>
          <w:sz w:val="22"/>
          <w:szCs w:val="22"/>
        </w:rPr>
      </w:pPr>
    </w:p>
    <w:p w14:paraId="1767F2F0" w14:textId="77777777" w:rsidR="0008065E" w:rsidRDefault="0008065E" w:rsidP="00B3500A">
      <w:pPr>
        <w:rPr>
          <w:sz w:val="22"/>
          <w:szCs w:val="22"/>
        </w:rPr>
      </w:pPr>
    </w:p>
    <w:p w14:paraId="3410EDBA" w14:textId="77777777" w:rsidR="00043F8E" w:rsidRDefault="00043F8E" w:rsidP="00B3500A">
      <w:pPr>
        <w:rPr>
          <w:sz w:val="22"/>
          <w:szCs w:val="22"/>
        </w:rPr>
      </w:pPr>
    </w:p>
    <w:p w14:paraId="35567233" w14:textId="77777777" w:rsidR="00043F8E" w:rsidRDefault="00043F8E" w:rsidP="00B3500A">
      <w:pPr>
        <w:rPr>
          <w:sz w:val="22"/>
          <w:szCs w:val="22"/>
        </w:rPr>
      </w:pPr>
    </w:p>
    <w:p w14:paraId="3CBA7649" w14:textId="77777777" w:rsidR="00043F8E" w:rsidRDefault="00043F8E" w:rsidP="00B3500A">
      <w:pPr>
        <w:rPr>
          <w:sz w:val="22"/>
          <w:szCs w:val="22"/>
        </w:rPr>
      </w:pPr>
    </w:p>
    <w:p w14:paraId="6373771D" w14:textId="77777777" w:rsidR="0008065E" w:rsidRDefault="0008065E" w:rsidP="00B3500A">
      <w:pPr>
        <w:rPr>
          <w:sz w:val="22"/>
          <w:szCs w:val="22"/>
        </w:rPr>
      </w:pPr>
    </w:p>
    <w:p w14:paraId="1FD8D90B" w14:textId="77777777" w:rsidR="0008065E" w:rsidRDefault="0008065E" w:rsidP="00B3500A">
      <w:pPr>
        <w:rPr>
          <w:sz w:val="22"/>
          <w:szCs w:val="22"/>
        </w:rPr>
      </w:pPr>
    </w:p>
    <w:p w14:paraId="132A90CD" w14:textId="77777777" w:rsidR="0008065E" w:rsidRDefault="0008065E" w:rsidP="00B3500A">
      <w:pPr>
        <w:rPr>
          <w:sz w:val="22"/>
          <w:szCs w:val="22"/>
        </w:rPr>
      </w:pPr>
    </w:p>
    <w:p w14:paraId="56AAD2E5" w14:textId="77777777" w:rsidR="0008065E" w:rsidRDefault="0008065E" w:rsidP="00B3500A">
      <w:pPr>
        <w:rPr>
          <w:sz w:val="22"/>
          <w:szCs w:val="22"/>
        </w:rPr>
      </w:pPr>
    </w:p>
    <w:p w14:paraId="52C7050F" w14:textId="77777777" w:rsidR="0008065E" w:rsidRDefault="0008065E" w:rsidP="00B3500A">
      <w:pPr>
        <w:rPr>
          <w:sz w:val="22"/>
          <w:szCs w:val="22"/>
        </w:rPr>
      </w:pPr>
    </w:p>
    <w:p w14:paraId="5879C54F" w14:textId="77777777" w:rsidR="0008065E" w:rsidRDefault="0008065E" w:rsidP="00B3500A">
      <w:pPr>
        <w:rPr>
          <w:sz w:val="22"/>
          <w:szCs w:val="22"/>
        </w:rPr>
      </w:pPr>
    </w:p>
    <w:p w14:paraId="7690D970" w14:textId="77777777" w:rsidR="0008065E" w:rsidRDefault="0008065E" w:rsidP="00B3500A">
      <w:pPr>
        <w:rPr>
          <w:sz w:val="22"/>
          <w:szCs w:val="22"/>
        </w:rPr>
      </w:pPr>
    </w:p>
    <w:p w14:paraId="50BF78A4" w14:textId="77777777" w:rsidR="0008065E" w:rsidRDefault="0008065E" w:rsidP="00B3500A">
      <w:pPr>
        <w:rPr>
          <w:sz w:val="22"/>
          <w:szCs w:val="22"/>
        </w:rPr>
      </w:pPr>
    </w:p>
    <w:p w14:paraId="52462F38" w14:textId="77777777" w:rsidR="0008065E" w:rsidRDefault="0008065E" w:rsidP="00B3500A">
      <w:pPr>
        <w:rPr>
          <w:sz w:val="22"/>
          <w:szCs w:val="22"/>
        </w:rPr>
      </w:pPr>
    </w:p>
    <w:p w14:paraId="16768B19" w14:textId="77777777" w:rsidR="0008065E" w:rsidRDefault="0008065E" w:rsidP="00B3500A">
      <w:pPr>
        <w:rPr>
          <w:sz w:val="22"/>
          <w:szCs w:val="22"/>
        </w:rPr>
      </w:pPr>
    </w:p>
    <w:p w14:paraId="40C4C993" w14:textId="77777777" w:rsidR="0008065E" w:rsidRDefault="0008065E" w:rsidP="00B3500A">
      <w:pPr>
        <w:rPr>
          <w:sz w:val="22"/>
          <w:szCs w:val="22"/>
        </w:rPr>
      </w:pPr>
    </w:p>
    <w:p w14:paraId="3D599258" w14:textId="77777777" w:rsidR="0008065E" w:rsidRDefault="0008065E" w:rsidP="00B3500A">
      <w:pPr>
        <w:rPr>
          <w:sz w:val="22"/>
          <w:szCs w:val="22"/>
        </w:rPr>
      </w:pPr>
    </w:p>
    <w:p w14:paraId="09AD6E0A" w14:textId="77777777" w:rsidR="0008065E" w:rsidRDefault="0008065E" w:rsidP="00B3500A">
      <w:pPr>
        <w:rPr>
          <w:sz w:val="22"/>
          <w:szCs w:val="22"/>
        </w:rPr>
      </w:pPr>
    </w:p>
    <w:p w14:paraId="42912D4C" w14:textId="77777777" w:rsidR="0008065E" w:rsidRDefault="0008065E" w:rsidP="00B3500A">
      <w:pPr>
        <w:rPr>
          <w:sz w:val="22"/>
          <w:szCs w:val="22"/>
        </w:rPr>
      </w:pPr>
    </w:p>
    <w:p w14:paraId="11CDA457" w14:textId="77777777" w:rsidR="0008065E" w:rsidRDefault="0008065E" w:rsidP="00B3500A">
      <w:pPr>
        <w:rPr>
          <w:sz w:val="22"/>
          <w:szCs w:val="22"/>
        </w:rPr>
      </w:pPr>
    </w:p>
    <w:p w14:paraId="6E773EFF" w14:textId="77777777" w:rsidR="0008065E" w:rsidRDefault="0008065E" w:rsidP="00B3500A">
      <w:pPr>
        <w:rPr>
          <w:sz w:val="22"/>
          <w:szCs w:val="22"/>
        </w:rPr>
      </w:pPr>
    </w:p>
    <w:p w14:paraId="1ACD117A" w14:textId="77777777" w:rsidR="0008065E" w:rsidRDefault="0008065E" w:rsidP="00B3500A">
      <w:pPr>
        <w:rPr>
          <w:sz w:val="22"/>
          <w:szCs w:val="22"/>
        </w:rPr>
      </w:pPr>
    </w:p>
    <w:p w14:paraId="2F96DC43" w14:textId="77777777" w:rsidR="0008065E" w:rsidRDefault="0008065E" w:rsidP="00B3500A">
      <w:pPr>
        <w:rPr>
          <w:sz w:val="22"/>
          <w:szCs w:val="22"/>
        </w:rPr>
      </w:pPr>
    </w:p>
    <w:p w14:paraId="3AAAFFEB" w14:textId="77777777" w:rsidR="0008065E" w:rsidRDefault="0008065E" w:rsidP="00B3500A">
      <w:pPr>
        <w:rPr>
          <w:sz w:val="22"/>
          <w:szCs w:val="22"/>
        </w:rPr>
      </w:pPr>
    </w:p>
    <w:p w14:paraId="2B62E6A3" w14:textId="77777777" w:rsidR="0008065E" w:rsidRDefault="0008065E" w:rsidP="00B3500A">
      <w:pPr>
        <w:rPr>
          <w:sz w:val="22"/>
          <w:szCs w:val="22"/>
        </w:rPr>
      </w:pPr>
    </w:p>
    <w:p w14:paraId="30A854C2" w14:textId="77777777" w:rsidR="00591939" w:rsidRDefault="00591939" w:rsidP="00B3500A">
      <w:pPr>
        <w:rPr>
          <w:sz w:val="22"/>
          <w:szCs w:val="22"/>
        </w:rPr>
      </w:pPr>
    </w:p>
    <w:p w14:paraId="2ED788EA" w14:textId="77777777" w:rsidR="0008065E" w:rsidRDefault="0008065E" w:rsidP="00B3500A">
      <w:pPr>
        <w:rPr>
          <w:sz w:val="22"/>
          <w:szCs w:val="22"/>
        </w:rPr>
      </w:pPr>
    </w:p>
    <w:p w14:paraId="74CB3955" w14:textId="77777777" w:rsidR="0008065E" w:rsidRDefault="0008065E" w:rsidP="00B3500A">
      <w:pPr>
        <w:rPr>
          <w:sz w:val="22"/>
          <w:szCs w:val="22"/>
        </w:rPr>
      </w:pPr>
    </w:p>
    <w:p w14:paraId="06E33AFC" w14:textId="77777777" w:rsidR="0008065E" w:rsidRDefault="0008065E" w:rsidP="00B3500A">
      <w:pPr>
        <w:rPr>
          <w:sz w:val="22"/>
          <w:szCs w:val="22"/>
        </w:rPr>
      </w:pPr>
    </w:p>
    <w:p w14:paraId="6CCE3FC0" w14:textId="77777777" w:rsidR="0008065E" w:rsidRDefault="0008065E" w:rsidP="00B3500A">
      <w:pPr>
        <w:rPr>
          <w:sz w:val="22"/>
          <w:szCs w:val="22"/>
        </w:rPr>
      </w:pPr>
    </w:p>
    <w:p w14:paraId="2D2423A3" w14:textId="08F7D4F7" w:rsidR="00B3500A" w:rsidRDefault="00B3500A" w:rsidP="00B3500A">
      <w:pPr>
        <w:jc w:val="both"/>
        <w:rPr>
          <w:b/>
          <w:bCs/>
          <w:sz w:val="22"/>
          <w:szCs w:val="22"/>
        </w:rPr>
      </w:pPr>
      <w:r w:rsidRPr="00CE1CE2">
        <w:rPr>
          <w:b/>
          <w:bCs/>
          <w:sz w:val="22"/>
          <w:szCs w:val="22"/>
        </w:rPr>
        <w:t>T</w:t>
      </w:r>
      <w:r w:rsidR="008550C6">
        <w:rPr>
          <w:b/>
          <w:bCs/>
          <w:sz w:val="22"/>
          <w:szCs w:val="22"/>
        </w:rPr>
        <w:t>ABLE</w:t>
      </w:r>
      <w:r w:rsidRPr="00CE1CE2">
        <w:rPr>
          <w:b/>
          <w:bCs/>
          <w:sz w:val="22"/>
          <w:szCs w:val="22"/>
        </w:rPr>
        <w:t xml:space="preserve"> 4 </w:t>
      </w:r>
    </w:p>
    <w:p w14:paraId="5E77F237" w14:textId="47E24D2A" w:rsidR="00B3500A" w:rsidRPr="007107F2" w:rsidRDefault="00B3500A" w:rsidP="00326B3D">
      <w:pPr>
        <w:jc w:val="both"/>
        <w:rPr>
          <w:sz w:val="18"/>
          <w:szCs w:val="18"/>
        </w:rPr>
      </w:pPr>
      <w:r w:rsidRPr="00D65C76">
        <w:rPr>
          <w:sz w:val="18"/>
          <w:szCs w:val="18"/>
        </w:rPr>
        <w:t>Average bootstrap bank efficiency scores of 50 U.S. states and District of Columbia from 1972 to 2020</w:t>
      </w:r>
      <w:r w:rsidR="00326B3D" w:rsidRPr="00D65C76">
        <w:rPr>
          <w:sz w:val="18"/>
          <w:szCs w:val="18"/>
        </w:rPr>
        <w:t xml:space="preserve"> </w:t>
      </w:r>
      <w:r w:rsidR="00326B3D" w:rsidRPr="007107F2">
        <w:rPr>
          <w:sz w:val="18"/>
          <w:szCs w:val="18"/>
        </w:rPr>
        <w:t>following the non-parametric Data Envelopment Analysis (DEA).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
        <w:gridCol w:w="1576"/>
        <w:gridCol w:w="740"/>
        <w:gridCol w:w="946"/>
        <w:gridCol w:w="639"/>
        <w:gridCol w:w="665"/>
        <w:gridCol w:w="751"/>
        <w:gridCol w:w="946"/>
        <w:gridCol w:w="696"/>
        <w:gridCol w:w="696"/>
        <w:gridCol w:w="943"/>
      </w:tblGrid>
      <w:tr w:rsidR="00B3500A" w:rsidRPr="006F4CD1" w14:paraId="670150C7" w14:textId="77777777" w:rsidTr="00326B3D">
        <w:trPr>
          <w:trHeight w:val="476"/>
        </w:trPr>
        <w:tc>
          <w:tcPr>
            <w:tcW w:w="246" w:type="pct"/>
            <w:tcBorders>
              <w:left w:val="double" w:sz="4" w:space="0" w:color="000000"/>
            </w:tcBorders>
          </w:tcPr>
          <w:p w14:paraId="3A940531" w14:textId="77777777" w:rsidR="00B3500A" w:rsidRPr="007E3420" w:rsidRDefault="00B3500A" w:rsidP="00D62AD1">
            <w:pPr>
              <w:pStyle w:val="TableParagraph"/>
              <w:spacing w:line="210" w:lineRule="exact"/>
              <w:ind w:left="119" w:right="92"/>
              <w:rPr>
                <w:b/>
                <w:bCs/>
                <w:sz w:val="16"/>
                <w:szCs w:val="16"/>
              </w:rPr>
            </w:pPr>
            <w:r w:rsidRPr="007E3420">
              <w:rPr>
                <w:b/>
                <w:bCs/>
                <w:spacing w:val="-5"/>
                <w:w w:val="105"/>
                <w:sz w:val="16"/>
                <w:szCs w:val="16"/>
              </w:rPr>
              <w:t>ID</w:t>
            </w:r>
          </w:p>
        </w:tc>
        <w:tc>
          <w:tcPr>
            <w:tcW w:w="910" w:type="pct"/>
          </w:tcPr>
          <w:p w14:paraId="5B980124" w14:textId="77777777" w:rsidR="00B3500A" w:rsidRPr="007E3420" w:rsidRDefault="00B3500A" w:rsidP="00D62AD1">
            <w:pPr>
              <w:pStyle w:val="TableParagraph"/>
              <w:spacing w:line="210" w:lineRule="exact"/>
              <w:ind w:left="118"/>
              <w:jc w:val="left"/>
              <w:rPr>
                <w:b/>
                <w:bCs/>
                <w:sz w:val="16"/>
                <w:szCs w:val="16"/>
              </w:rPr>
            </w:pPr>
            <w:r w:rsidRPr="007E3420">
              <w:rPr>
                <w:b/>
                <w:bCs/>
                <w:spacing w:val="-2"/>
                <w:w w:val="115"/>
                <w:sz w:val="16"/>
                <w:szCs w:val="16"/>
              </w:rPr>
              <w:t>State</w:t>
            </w:r>
          </w:p>
        </w:tc>
        <w:tc>
          <w:tcPr>
            <w:tcW w:w="312" w:type="pct"/>
          </w:tcPr>
          <w:p w14:paraId="7170A1D5" w14:textId="75AE9BEE" w:rsidR="00B3500A" w:rsidRPr="007E3420" w:rsidRDefault="00B3500A" w:rsidP="00D62AD1">
            <w:pPr>
              <w:pStyle w:val="TableParagraph"/>
              <w:spacing w:line="210" w:lineRule="exact"/>
              <w:ind w:left="97" w:right="89"/>
              <w:rPr>
                <w:b/>
                <w:bCs/>
                <w:sz w:val="16"/>
                <w:szCs w:val="16"/>
              </w:rPr>
            </w:pPr>
            <w:r w:rsidRPr="007E3420">
              <w:rPr>
                <w:b/>
                <w:bCs/>
                <w:spacing w:val="-2"/>
                <w:w w:val="105"/>
                <w:sz w:val="16"/>
                <w:szCs w:val="16"/>
              </w:rPr>
              <w:t>CRS</w:t>
            </w:r>
            <w:r w:rsidR="00326B3D" w:rsidRPr="007E3420">
              <w:rPr>
                <w:b/>
                <w:bCs/>
                <w:spacing w:val="-2"/>
                <w:w w:val="105"/>
                <w:sz w:val="16"/>
                <w:szCs w:val="16"/>
              </w:rPr>
              <w:t xml:space="preserve"> original</w:t>
            </w:r>
          </w:p>
        </w:tc>
        <w:tc>
          <w:tcPr>
            <w:tcW w:w="550" w:type="pct"/>
          </w:tcPr>
          <w:p w14:paraId="08FD6DD4" w14:textId="77777777" w:rsidR="00B3500A" w:rsidRPr="007E3420" w:rsidRDefault="00B3500A" w:rsidP="00D62AD1">
            <w:pPr>
              <w:pStyle w:val="TableParagraph"/>
              <w:spacing w:line="210" w:lineRule="exact"/>
              <w:ind w:left="118" w:right="109"/>
              <w:rPr>
                <w:b/>
                <w:bCs/>
                <w:sz w:val="16"/>
                <w:szCs w:val="16"/>
              </w:rPr>
            </w:pPr>
            <w:r w:rsidRPr="007E3420">
              <w:rPr>
                <w:b/>
                <w:bCs/>
                <w:spacing w:val="-2"/>
                <w:w w:val="105"/>
                <w:sz w:val="16"/>
                <w:szCs w:val="16"/>
              </w:rPr>
              <w:t>CRS</w:t>
            </w:r>
          </w:p>
          <w:p w14:paraId="7D6B24D2" w14:textId="77777777" w:rsidR="00B3500A" w:rsidRPr="007E3420" w:rsidRDefault="00B3500A" w:rsidP="00D62AD1">
            <w:pPr>
              <w:pStyle w:val="TableParagraph"/>
              <w:spacing w:before="9" w:line="240" w:lineRule="auto"/>
              <w:ind w:left="118" w:right="109"/>
              <w:rPr>
                <w:b/>
                <w:bCs/>
                <w:sz w:val="16"/>
                <w:szCs w:val="16"/>
              </w:rPr>
            </w:pPr>
            <w:r w:rsidRPr="007E3420">
              <w:rPr>
                <w:b/>
                <w:bCs/>
                <w:w w:val="105"/>
                <w:sz w:val="16"/>
                <w:szCs w:val="16"/>
              </w:rPr>
              <w:t>Bootstrap</w:t>
            </w:r>
          </w:p>
        </w:tc>
        <w:tc>
          <w:tcPr>
            <w:tcW w:w="367" w:type="pct"/>
          </w:tcPr>
          <w:p w14:paraId="12707F15" w14:textId="77777777" w:rsidR="00B3500A" w:rsidRPr="007E3420" w:rsidRDefault="00B3500A" w:rsidP="00D62AD1">
            <w:pPr>
              <w:pStyle w:val="TableParagraph"/>
              <w:spacing w:line="210" w:lineRule="exact"/>
              <w:ind w:left="98" w:right="89"/>
              <w:rPr>
                <w:b/>
                <w:bCs/>
                <w:sz w:val="16"/>
                <w:szCs w:val="16"/>
              </w:rPr>
            </w:pPr>
            <w:r w:rsidRPr="007E3420">
              <w:rPr>
                <w:b/>
                <w:bCs/>
                <w:spacing w:val="-2"/>
                <w:w w:val="105"/>
                <w:sz w:val="16"/>
                <w:szCs w:val="16"/>
              </w:rPr>
              <w:t>CRS</w:t>
            </w:r>
          </w:p>
          <w:p w14:paraId="00C80699" w14:textId="77777777" w:rsidR="00B3500A" w:rsidRPr="007E3420" w:rsidRDefault="00B3500A" w:rsidP="00D62AD1">
            <w:pPr>
              <w:pStyle w:val="TableParagraph"/>
              <w:spacing w:before="9" w:line="240" w:lineRule="auto"/>
              <w:ind w:left="98" w:right="89"/>
              <w:rPr>
                <w:b/>
                <w:bCs/>
                <w:sz w:val="16"/>
                <w:szCs w:val="16"/>
              </w:rPr>
            </w:pPr>
            <w:r w:rsidRPr="007E3420">
              <w:rPr>
                <w:b/>
                <w:bCs/>
                <w:spacing w:val="-5"/>
                <w:w w:val="105"/>
                <w:sz w:val="16"/>
                <w:szCs w:val="16"/>
              </w:rPr>
              <w:t>Lower bound</w:t>
            </w:r>
          </w:p>
        </w:tc>
        <w:tc>
          <w:tcPr>
            <w:tcW w:w="413" w:type="pct"/>
            <w:tcBorders>
              <w:right w:val="double" w:sz="4" w:space="0" w:color="000000"/>
            </w:tcBorders>
          </w:tcPr>
          <w:p w14:paraId="14B1D761" w14:textId="77777777" w:rsidR="00B3500A" w:rsidRPr="007E3420" w:rsidRDefault="00B3500A" w:rsidP="00D62AD1">
            <w:pPr>
              <w:pStyle w:val="TableParagraph"/>
              <w:spacing w:line="210" w:lineRule="exact"/>
              <w:ind w:left="98" w:right="89"/>
              <w:rPr>
                <w:b/>
                <w:bCs/>
                <w:sz w:val="16"/>
                <w:szCs w:val="16"/>
              </w:rPr>
            </w:pPr>
            <w:r w:rsidRPr="007E3420">
              <w:rPr>
                <w:b/>
                <w:bCs/>
                <w:spacing w:val="-2"/>
                <w:w w:val="105"/>
                <w:sz w:val="16"/>
                <w:szCs w:val="16"/>
              </w:rPr>
              <w:t>CRS</w:t>
            </w:r>
          </w:p>
          <w:p w14:paraId="05A055C5" w14:textId="77777777" w:rsidR="00B3500A" w:rsidRPr="007E3420" w:rsidRDefault="00B3500A" w:rsidP="00D62AD1">
            <w:pPr>
              <w:pStyle w:val="TableParagraph"/>
              <w:spacing w:before="9" w:line="240" w:lineRule="auto"/>
              <w:ind w:left="98" w:right="89"/>
              <w:rPr>
                <w:b/>
                <w:bCs/>
                <w:sz w:val="16"/>
                <w:szCs w:val="16"/>
              </w:rPr>
            </w:pPr>
            <w:r w:rsidRPr="007E3420">
              <w:rPr>
                <w:b/>
                <w:bCs/>
                <w:spacing w:val="-5"/>
                <w:w w:val="110"/>
                <w:sz w:val="16"/>
                <w:szCs w:val="16"/>
              </w:rPr>
              <w:t>Upper bound</w:t>
            </w:r>
          </w:p>
        </w:tc>
        <w:tc>
          <w:tcPr>
            <w:tcW w:w="321" w:type="pct"/>
            <w:tcBorders>
              <w:left w:val="double" w:sz="4" w:space="0" w:color="000000"/>
            </w:tcBorders>
          </w:tcPr>
          <w:p w14:paraId="73072803" w14:textId="2AF3E916" w:rsidR="00B3500A" w:rsidRPr="007E3420" w:rsidRDefault="00B3500A" w:rsidP="00D62AD1">
            <w:pPr>
              <w:pStyle w:val="TableParagraph"/>
              <w:spacing w:line="210" w:lineRule="exact"/>
              <w:ind w:right="102"/>
              <w:rPr>
                <w:b/>
                <w:bCs/>
                <w:sz w:val="16"/>
                <w:szCs w:val="16"/>
              </w:rPr>
            </w:pPr>
            <w:r w:rsidRPr="007E3420">
              <w:rPr>
                <w:b/>
                <w:bCs/>
                <w:spacing w:val="-2"/>
                <w:sz w:val="16"/>
                <w:szCs w:val="16"/>
              </w:rPr>
              <w:t>VRS</w:t>
            </w:r>
            <w:r w:rsidR="00326B3D" w:rsidRPr="007E3420">
              <w:rPr>
                <w:b/>
                <w:bCs/>
                <w:spacing w:val="-2"/>
                <w:sz w:val="16"/>
                <w:szCs w:val="16"/>
              </w:rPr>
              <w:t xml:space="preserve"> original</w:t>
            </w:r>
          </w:p>
        </w:tc>
        <w:tc>
          <w:tcPr>
            <w:tcW w:w="505" w:type="pct"/>
          </w:tcPr>
          <w:p w14:paraId="7497018C" w14:textId="77777777" w:rsidR="00B3500A" w:rsidRPr="007E3420" w:rsidRDefault="00B3500A" w:rsidP="00D62AD1">
            <w:pPr>
              <w:pStyle w:val="TableParagraph"/>
              <w:spacing w:line="210" w:lineRule="exact"/>
              <w:ind w:left="118" w:right="109"/>
              <w:rPr>
                <w:b/>
                <w:bCs/>
                <w:sz w:val="16"/>
                <w:szCs w:val="16"/>
              </w:rPr>
            </w:pPr>
            <w:r w:rsidRPr="007E3420">
              <w:rPr>
                <w:b/>
                <w:bCs/>
                <w:spacing w:val="-2"/>
                <w:sz w:val="16"/>
                <w:szCs w:val="16"/>
              </w:rPr>
              <w:t>VRS</w:t>
            </w:r>
          </w:p>
          <w:p w14:paraId="6023433B" w14:textId="77777777" w:rsidR="00B3500A" w:rsidRPr="007E3420" w:rsidRDefault="00B3500A" w:rsidP="00D62AD1">
            <w:pPr>
              <w:pStyle w:val="TableParagraph"/>
              <w:spacing w:before="9" w:line="240" w:lineRule="auto"/>
              <w:ind w:left="118" w:right="109"/>
              <w:rPr>
                <w:b/>
                <w:bCs/>
                <w:sz w:val="16"/>
                <w:szCs w:val="16"/>
              </w:rPr>
            </w:pPr>
            <w:r w:rsidRPr="007E3420">
              <w:rPr>
                <w:b/>
                <w:bCs/>
                <w:w w:val="105"/>
                <w:sz w:val="16"/>
                <w:szCs w:val="16"/>
              </w:rPr>
              <w:t>Bootstrap</w:t>
            </w:r>
          </w:p>
        </w:tc>
        <w:tc>
          <w:tcPr>
            <w:tcW w:w="413" w:type="pct"/>
          </w:tcPr>
          <w:p w14:paraId="43D71383" w14:textId="77777777" w:rsidR="00B3500A" w:rsidRPr="007E3420" w:rsidRDefault="00B3500A" w:rsidP="00D62AD1">
            <w:pPr>
              <w:pStyle w:val="TableParagraph"/>
              <w:spacing w:line="210" w:lineRule="exact"/>
              <w:ind w:right="103"/>
              <w:rPr>
                <w:b/>
                <w:bCs/>
                <w:sz w:val="16"/>
                <w:szCs w:val="16"/>
              </w:rPr>
            </w:pPr>
            <w:r w:rsidRPr="007E3420">
              <w:rPr>
                <w:b/>
                <w:bCs/>
                <w:spacing w:val="-2"/>
                <w:sz w:val="16"/>
                <w:szCs w:val="16"/>
              </w:rPr>
              <w:t>VRS</w:t>
            </w:r>
          </w:p>
          <w:p w14:paraId="2D1463B4" w14:textId="77777777" w:rsidR="00B3500A" w:rsidRPr="007E3420" w:rsidRDefault="00B3500A" w:rsidP="00D62AD1">
            <w:pPr>
              <w:pStyle w:val="TableParagraph"/>
              <w:spacing w:before="9" w:line="240" w:lineRule="auto"/>
              <w:ind w:right="102"/>
              <w:rPr>
                <w:b/>
                <w:bCs/>
                <w:sz w:val="16"/>
                <w:szCs w:val="16"/>
              </w:rPr>
            </w:pPr>
            <w:r w:rsidRPr="007E3420">
              <w:rPr>
                <w:b/>
                <w:bCs/>
                <w:spacing w:val="-5"/>
                <w:w w:val="105"/>
                <w:sz w:val="16"/>
                <w:szCs w:val="16"/>
              </w:rPr>
              <w:t>Lower bound</w:t>
            </w:r>
          </w:p>
        </w:tc>
        <w:tc>
          <w:tcPr>
            <w:tcW w:w="413" w:type="pct"/>
          </w:tcPr>
          <w:p w14:paraId="0241C570" w14:textId="77777777" w:rsidR="00B3500A" w:rsidRPr="007E3420" w:rsidRDefault="00B3500A" w:rsidP="00D62AD1">
            <w:pPr>
              <w:pStyle w:val="TableParagraph"/>
              <w:spacing w:line="210" w:lineRule="exact"/>
              <w:ind w:right="103"/>
              <w:rPr>
                <w:b/>
                <w:bCs/>
                <w:sz w:val="16"/>
                <w:szCs w:val="16"/>
              </w:rPr>
            </w:pPr>
            <w:r w:rsidRPr="007E3420">
              <w:rPr>
                <w:b/>
                <w:bCs/>
                <w:spacing w:val="-2"/>
                <w:sz w:val="16"/>
                <w:szCs w:val="16"/>
              </w:rPr>
              <w:t>VRS</w:t>
            </w:r>
          </w:p>
          <w:p w14:paraId="30401362" w14:textId="77777777" w:rsidR="00B3500A" w:rsidRPr="007E3420" w:rsidRDefault="00B3500A" w:rsidP="00D62AD1">
            <w:pPr>
              <w:pStyle w:val="TableParagraph"/>
              <w:spacing w:before="9" w:line="240" w:lineRule="auto"/>
              <w:ind w:right="103"/>
              <w:rPr>
                <w:b/>
                <w:bCs/>
                <w:sz w:val="16"/>
                <w:szCs w:val="16"/>
              </w:rPr>
            </w:pPr>
            <w:r w:rsidRPr="007E3420">
              <w:rPr>
                <w:b/>
                <w:bCs/>
                <w:spacing w:val="-5"/>
                <w:w w:val="110"/>
                <w:sz w:val="16"/>
                <w:szCs w:val="16"/>
              </w:rPr>
              <w:t>Upper bound</w:t>
            </w:r>
          </w:p>
        </w:tc>
        <w:tc>
          <w:tcPr>
            <w:tcW w:w="550" w:type="pct"/>
          </w:tcPr>
          <w:p w14:paraId="25346B33" w14:textId="77777777" w:rsidR="00B3500A" w:rsidRPr="007E3420" w:rsidRDefault="00B3500A" w:rsidP="00D62AD1">
            <w:pPr>
              <w:pStyle w:val="TableParagraph"/>
              <w:spacing w:line="210" w:lineRule="exact"/>
              <w:ind w:left="109" w:right="102"/>
              <w:rPr>
                <w:b/>
                <w:bCs/>
                <w:sz w:val="16"/>
                <w:szCs w:val="16"/>
              </w:rPr>
            </w:pPr>
            <w:r w:rsidRPr="007E3420">
              <w:rPr>
                <w:b/>
                <w:bCs/>
                <w:spacing w:val="-2"/>
                <w:w w:val="105"/>
                <w:sz w:val="16"/>
                <w:szCs w:val="16"/>
              </w:rPr>
              <w:t>Region</w:t>
            </w:r>
          </w:p>
        </w:tc>
      </w:tr>
      <w:tr w:rsidR="00B3500A" w:rsidRPr="006F4CD1" w14:paraId="00D0515F" w14:textId="77777777" w:rsidTr="00326B3D">
        <w:trPr>
          <w:trHeight w:val="236"/>
        </w:trPr>
        <w:tc>
          <w:tcPr>
            <w:tcW w:w="246" w:type="pct"/>
            <w:tcBorders>
              <w:left w:val="double" w:sz="4" w:space="0" w:color="000000"/>
              <w:bottom w:val="nil"/>
            </w:tcBorders>
          </w:tcPr>
          <w:p w14:paraId="3884C68C" w14:textId="77777777" w:rsidR="00B3500A" w:rsidRPr="006F4CD1" w:rsidRDefault="00B3500A" w:rsidP="00D62AD1">
            <w:pPr>
              <w:pStyle w:val="TableParagraph"/>
              <w:spacing w:line="210" w:lineRule="exact"/>
              <w:ind w:left="28"/>
              <w:rPr>
                <w:sz w:val="16"/>
                <w:szCs w:val="16"/>
              </w:rPr>
            </w:pPr>
            <w:r w:rsidRPr="006F4CD1">
              <w:rPr>
                <w:w w:val="99"/>
                <w:sz w:val="16"/>
                <w:szCs w:val="16"/>
              </w:rPr>
              <w:t>1</w:t>
            </w:r>
          </w:p>
        </w:tc>
        <w:tc>
          <w:tcPr>
            <w:tcW w:w="910" w:type="pct"/>
            <w:tcBorders>
              <w:bottom w:val="nil"/>
            </w:tcBorders>
          </w:tcPr>
          <w:p w14:paraId="58C1C40C" w14:textId="77777777" w:rsidR="00B3500A" w:rsidRPr="006F4CD1" w:rsidRDefault="00B3500A" w:rsidP="00D62AD1">
            <w:pPr>
              <w:pStyle w:val="TableParagraph"/>
              <w:spacing w:line="210" w:lineRule="exact"/>
              <w:ind w:left="118"/>
              <w:jc w:val="left"/>
              <w:rPr>
                <w:sz w:val="16"/>
                <w:szCs w:val="16"/>
              </w:rPr>
            </w:pPr>
            <w:r w:rsidRPr="006F4CD1">
              <w:rPr>
                <w:spacing w:val="-2"/>
                <w:w w:val="110"/>
                <w:sz w:val="16"/>
                <w:szCs w:val="16"/>
              </w:rPr>
              <w:t>Alabama</w:t>
            </w:r>
          </w:p>
        </w:tc>
        <w:tc>
          <w:tcPr>
            <w:tcW w:w="312" w:type="pct"/>
            <w:tcBorders>
              <w:bottom w:val="nil"/>
            </w:tcBorders>
          </w:tcPr>
          <w:p w14:paraId="1C8ADC60" w14:textId="77777777" w:rsidR="00B3500A" w:rsidRPr="006F4CD1" w:rsidRDefault="00B3500A" w:rsidP="00D62AD1">
            <w:pPr>
              <w:pStyle w:val="TableParagraph"/>
              <w:spacing w:line="210" w:lineRule="exact"/>
              <w:ind w:left="97" w:right="89"/>
              <w:rPr>
                <w:sz w:val="16"/>
                <w:szCs w:val="16"/>
              </w:rPr>
            </w:pPr>
            <w:r w:rsidRPr="006F4CD1">
              <w:rPr>
                <w:spacing w:val="-4"/>
                <w:sz w:val="16"/>
                <w:szCs w:val="16"/>
              </w:rPr>
              <w:t>0.51</w:t>
            </w:r>
          </w:p>
        </w:tc>
        <w:tc>
          <w:tcPr>
            <w:tcW w:w="550" w:type="pct"/>
            <w:tcBorders>
              <w:bottom w:val="nil"/>
            </w:tcBorders>
          </w:tcPr>
          <w:p w14:paraId="16350474" w14:textId="77777777" w:rsidR="00B3500A" w:rsidRPr="006F4CD1" w:rsidRDefault="00B3500A" w:rsidP="00D62AD1">
            <w:pPr>
              <w:pStyle w:val="TableParagraph"/>
              <w:spacing w:line="210" w:lineRule="exact"/>
              <w:ind w:left="118" w:right="109"/>
              <w:rPr>
                <w:sz w:val="16"/>
                <w:szCs w:val="16"/>
              </w:rPr>
            </w:pPr>
            <w:r w:rsidRPr="006F4CD1">
              <w:rPr>
                <w:spacing w:val="-4"/>
                <w:sz w:val="16"/>
                <w:szCs w:val="16"/>
              </w:rPr>
              <w:t>0.49</w:t>
            </w:r>
          </w:p>
        </w:tc>
        <w:tc>
          <w:tcPr>
            <w:tcW w:w="367" w:type="pct"/>
            <w:tcBorders>
              <w:bottom w:val="nil"/>
            </w:tcBorders>
          </w:tcPr>
          <w:p w14:paraId="0AF884C0" w14:textId="77777777" w:rsidR="00B3500A" w:rsidRPr="006F4CD1" w:rsidRDefault="00B3500A" w:rsidP="00D62AD1">
            <w:pPr>
              <w:pStyle w:val="TableParagraph"/>
              <w:spacing w:line="210" w:lineRule="exact"/>
              <w:ind w:left="98" w:right="89"/>
              <w:rPr>
                <w:sz w:val="16"/>
                <w:szCs w:val="16"/>
              </w:rPr>
            </w:pPr>
            <w:r w:rsidRPr="006F4CD1">
              <w:rPr>
                <w:spacing w:val="-4"/>
                <w:sz w:val="16"/>
                <w:szCs w:val="16"/>
              </w:rPr>
              <w:t>0.46</w:t>
            </w:r>
          </w:p>
        </w:tc>
        <w:tc>
          <w:tcPr>
            <w:tcW w:w="413" w:type="pct"/>
            <w:tcBorders>
              <w:bottom w:val="nil"/>
              <w:right w:val="double" w:sz="4" w:space="0" w:color="000000"/>
            </w:tcBorders>
          </w:tcPr>
          <w:p w14:paraId="7B096C79" w14:textId="77777777" w:rsidR="00B3500A" w:rsidRPr="006F4CD1" w:rsidRDefault="00B3500A" w:rsidP="00D62AD1">
            <w:pPr>
              <w:pStyle w:val="TableParagraph"/>
              <w:spacing w:line="210" w:lineRule="exact"/>
              <w:ind w:left="98" w:right="89"/>
              <w:rPr>
                <w:sz w:val="16"/>
                <w:szCs w:val="16"/>
              </w:rPr>
            </w:pPr>
            <w:r w:rsidRPr="006F4CD1">
              <w:rPr>
                <w:spacing w:val="-4"/>
                <w:sz w:val="16"/>
                <w:szCs w:val="16"/>
              </w:rPr>
              <w:t>0.50</w:t>
            </w:r>
          </w:p>
        </w:tc>
        <w:tc>
          <w:tcPr>
            <w:tcW w:w="321" w:type="pct"/>
            <w:tcBorders>
              <w:left w:val="double" w:sz="4" w:space="0" w:color="000000"/>
              <w:bottom w:val="nil"/>
            </w:tcBorders>
          </w:tcPr>
          <w:p w14:paraId="33935D09" w14:textId="77777777" w:rsidR="00B3500A" w:rsidRPr="006F4CD1" w:rsidRDefault="00B3500A" w:rsidP="00D62AD1">
            <w:pPr>
              <w:pStyle w:val="TableParagraph"/>
              <w:spacing w:line="210" w:lineRule="exact"/>
              <w:ind w:right="102"/>
              <w:rPr>
                <w:sz w:val="16"/>
                <w:szCs w:val="16"/>
              </w:rPr>
            </w:pPr>
            <w:r w:rsidRPr="006F4CD1">
              <w:rPr>
                <w:spacing w:val="-4"/>
                <w:sz w:val="16"/>
                <w:szCs w:val="16"/>
              </w:rPr>
              <w:t>0.69</w:t>
            </w:r>
          </w:p>
        </w:tc>
        <w:tc>
          <w:tcPr>
            <w:tcW w:w="505" w:type="pct"/>
            <w:tcBorders>
              <w:bottom w:val="nil"/>
            </w:tcBorders>
          </w:tcPr>
          <w:p w14:paraId="3764FE82"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0.65</w:t>
            </w:r>
          </w:p>
        </w:tc>
        <w:tc>
          <w:tcPr>
            <w:tcW w:w="413" w:type="pct"/>
            <w:tcBorders>
              <w:bottom w:val="nil"/>
            </w:tcBorders>
          </w:tcPr>
          <w:p w14:paraId="38848BB5" w14:textId="77777777" w:rsidR="00B3500A" w:rsidRPr="006F4CD1" w:rsidRDefault="00B3500A" w:rsidP="00D62AD1">
            <w:pPr>
              <w:pStyle w:val="TableParagraph"/>
              <w:spacing w:line="210" w:lineRule="exact"/>
              <w:ind w:left="271"/>
              <w:jc w:val="left"/>
              <w:rPr>
                <w:sz w:val="16"/>
                <w:szCs w:val="16"/>
              </w:rPr>
            </w:pPr>
            <w:r w:rsidRPr="006F4CD1">
              <w:rPr>
                <w:spacing w:val="-4"/>
                <w:sz w:val="16"/>
                <w:szCs w:val="16"/>
              </w:rPr>
              <w:t>0.64</w:t>
            </w:r>
          </w:p>
        </w:tc>
        <w:tc>
          <w:tcPr>
            <w:tcW w:w="413" w:type="pct"/>
            <w:tcBorders>
              <w:bottom w:val="nil"/>
            </w:tcBorders>
          </w:tcPr>
          <w:p w14:paraId="4FF0675C" w14:textId="77777777" w:rsidR="00B3500A" w:rsidRPr="006F4CD1" w:rsidRDefault="00B3500A" w:rsidP="00D62AD1">
            <w:pPr>
              <w:pStyle w:val="TableParagraph"/>
              <w:spacing w:line="210" w:lineRule="exact"/>
              <w:ind w:right="103"/>
              <w:rPr>
                <w:sz w:val="16"/>
                <w:szCs w:val="16"/>
              </w:rPr>
            </w:pPr>
            <w:r w:rsidRPr="006F4CD1">
              <w:rPr>
                <w:spacing w:val="-4"/>
                <w:sz w:val="16"/>
                <w:szCs w:val="16"/>
              </w:rPr>
              <w:t>0.68</w:t>
            </w:r>
          </w:p>
        </w:tc>
        <w:tc>
          <w:tcPr>
            <w:tcW w:w="550" w:type="pct"/>
            <w:tcBorders>
              <w:bottom w:val="nil"/>
            </w:tcBorders>
          </w:tcPr>
          <w:p w14:paraId="54BA0EA2" w14:textId="77777777" w:rsidR="00B3500A" w:rsidRPr="006F4CD1" w:rsidRDefault="00B3500A" w:rsidP="00D62AD1">
            <w:pPr>
              <w:pStyle w:val="TableParagraph"/>
              <w:spacing w:line="210" w:lineRule="exact"/>
              <w:ind w:left="109" w:right="101"/>
              <w:rPr>
                <w:sz w:val="16"/>
                <w:szCs w:val="16"/>
              </w:rPr>
            </w:pPr>
            <w:r w:rsidRPr="006F4CD1">
              <w:rPr>
                <w:spacing w:val="-2"/>
                <w:w w:val="110"/>
                <w:sz w:val="16"/>
                <w:szCs w:val="16"/>
              </w:rPr>
              <w:t>South</w:t>
            </w:r>
          </w:p>
        </w:tc>
      </w:tr>
      <w:tr w:rsidR="00B3500A" w:rsidRPr="006F4CD1" w14:paraId="5777ED80" w14:textId="77777777" w:rsidTr="00326B3D">
        <w:trPr>
          <w:trHeight w:val="239"/>
        </w:trPr>
        <w:tc>
          <w:tcPr>
            <w:tcW w:w="246" w:type="pct"/>
            <w:tcBorders>
              <w:top w:val="nil"/>
              <w:left w:val="double" w:sz="4" w:space="0" w:color="000000"/>
              <w:bottom w:val="nil"/>
            </w:tcBorders>
          </w:tcPr>
          <w:p w14:paraId="52CE47EF" w14:textId="77777777" w:rsidR="00B3500A" w:rsidRPr="006F4CD1" w:rsidRDefault="00B3500A" w:rsidP="00D62AD1">
            <w:pPr>
              <w:pStyle w:val="TableParagraph"/>
              <w:ind w:left="28"/>
              <w:rPr>
                <w:sz w:val="16"/>
                <w:szCs w:val="16"/>
              </w:rPr>
            </w:pPr>
            <w:r w:rsidRPr="006F4CD1">
              <w:rPr>
                <w:w w:val="99"/>
                <w:sz w:val="16"/>
                <w:szCs w:val="16"/>
              </w:rPr>
              <w:t>2</w:t>
            </w:r>
          </w:p>
        </w:tc>
        <w:tc>
          <w:tcPr>
            <w:tcW w:w="910" w:type="pct"/>
            <w:tcBorders>
              <w:top w:val="nil"/>
              <w:bottom w:val="nil"/>
            </w:tcBorders>
          </w:tcPr>
          <w:p w14:paraId="4EAA6BEC" w14:textId="77777777" w:rsidR="00B3500A" w:rsidRPr="006F4CD1" w:rsidRDefault="00B3500A" w:rsidP="00D62AD1">
            <w:pPr>
              <w:pStyle w:val="TableParagraph"/>
              <w:ind w:left="118"/>
              <w:jc w:val="left"/>
              <w:rPr>
                <w:sz w:val="16"/>
                <w:szCs w:val="16"/>
              </w:rPr>
            </w:pPr>
            <w:r w:rsidRPr="006F4CD1">
              <w:rPr>
                <w:spacing w:val="-2"/>
                <w:w w:val="105"/>
                <w:sz w:val="16"/>
                <w:szCs w:val="16"/>
              </w:rPr>
              <w:t>Alaska</w:t>
            </w:r>
          </w:p>
        </w:tc>
        <w:tc>
          <w:tcPr>
            <w:tcW w:w="312" w:type="pct"/>
            <w:tcBorders>
              <w:top w:val="nil"/>
              <w:bottom w:val="nil"/>
            </w:tcBorders>
          </w:tcPr>
          <w:p w14:paraId="7AFB28B4" w14:textId="77777777" w:rsidR="00B3500A" w:rsidRPr="006F4CD1" w:rsidRDefault="00B3500A" w:rsidP="00D62AD1">
            <w:pPr>
              <w:pStyle w:val="TableParagraph"/>
              <w:ind w:left="97" w:right="89"/>
              <w:rPr>
                <w:sz w:val="16"/>
                <w:szCs w:val="16"/>
              </w:rPr>
            </w:pPr>
            <w:r w:rsidRPr="006F4CD1">
              <w:rPr>
                <w:spacing w:val="-4"/>
                <w:sz w:val="16"/>
                <w:szCs w:val="16"/>
              </w:rPr>
              <w:t>0.65</w:t>
            </w:r>
          </w:p>
        </w:tc>
        <w:tc>
          <w:tcPr>
            <w:tcW w:w="550" w:type="pct"/>
            <w:tcBorders>
              <w:top w:val="nil"/>
              <w:bottom w:val="nil"/>
            </w:tcBorders>
          </w:tcPr>
          <w:p w14:paraId="105577C8" w14:textId="77777777" w:rsidR="00B3500A" w:rsidRPr="006F4CD1" w:rsidRDefault="00B3500A" w:rsidP="00D62AD1">
            <w:pPr>
              <w:pStyle w:val="TableParagraph"/>
              <w:ind w:left="118" w:right="109"/>
              <w:rPr>
                <w:sz w:val="16"/>
                <w:szCs w:val="16"/>
              </w:rPr>
            </w:pPr>
            <w:r w:rsidRPr="006F4CD1">
              <w:rPr>
                <w:spacing w:val="-4"/>
                <w:sz w:val="16"/>
                <w:szCs w:val="16"/>
              </w:rPr>
              <w:t>0.55</w:t>
            </w:r>
          </w:p>
        </w:tc>
        <w:tc>
          <w:tcPr>
            <w:tcW w:w="367" w:type="pct"/>
            <w:tcBorders>
              <w:top w:val="nil"/>
              <w:bottom w:val="nil"/>
            </w:tcBorders>
          </w:tcPr>
          <w:p w14:paraId="39E0E6D5" w14:textId="77777777" w:rsidR="00B3500A" w:rsidRPr="006F4CD1" w:rsidRDefault="00B3500A" w:rsidP="00D62AD1">
            <w:pPr>
              <w:pStyle w:val="TableParagraph"/>
              <w:ind w:left="98" w:right="89"/>
              <w:rPr>
                <w:sz w:val="16"/>
                <w:szCs w:val="16"/>
              </w:rPr>
            </w:pPr>
            <w:r w:rsidRPr="006F4CD1">
              <w:rPr>
                <w:spacing w:val="-4"/>
                <w:sz w:val="16"/>
                <w:szCs w:val="16"/>
              </w:rPr>
              <w:t>0.55</w:t>
            </w:r>
          </w:p>
        </w:tc>
        <w:tc>
          <w:tcPr>
            <w:tcW w:w="413" w:type="pct"/>
            <w:tcBorders>
              <w:top w:val="nil"/>
              <w:bottom w:val="nil"/>
              <w:right w:val="double" w:sz="4" w:space="0" w:color="000000"/>
            </w:tcBorders>
          </w:tcPr>
          <w:p w14:paraId="0404558B" w14:textId="77777777" w:rsidR="00B3500A" w:rsidRPr="006F4CD1" w:rsidRDefault="00B3500A" w:rsidP="00D62AD1">
            <w:pPr>
              <w:pStyle w:val="TableParagraph"/>
              <w:ind w:left="98" w:right="89"/>
              <w:rPr>
                <w:sz w:val="16"/>
                <w:szCs w:val="16"/>
              </w:rPr>
            </w:pPr>
            <w:r w:rsidRPr="006F4CD1">
              <w:rPr>
                <w:spacing w:val="-4"/>
                <w:sz w:val="16"/>
                <w:szCs w:val="16"/>
              </w:rPr>
              <w:t>0.63</w:t>
            </w:r>
          </w:p>
        </w:tc>
        <w:tc>
          <w:tcPr>
            <w:tcW w:w="321" w:type="pct"/>
            <w:tcBorders>
              <w:top w:val="nil"/>
              <w:left w:val="double" w:sz="4" w:space="0" w:color="000000"/>
              <w:bottom w:val="nil"/>
            </w:tcBorders>
          </w:tcPr>
          <w:p w14:paraId="35527902" w14:textId="77777777" w:rsidR="00B3500A" w:rsidRPr="006F4CD1" w:rsidRDefault="00B3500A" w:rsidP="00D62AD1">
            <w:pPr>
              <w:pStyle w:val="TableParagraph"/>
              <w:ind w:right="102"/>
              <w:rPr>
                <w:sz w:val="16"/>
                <w:szCs w:val="16"/>
              </w:rPr>
            </w:pPr>
            <w:r w:rsidRPr="006F4CD1">
              <w:rPr>
                <w:spacing w:val="-4"/>
                <w:sz w:val="16"/>
                <w:szCs w:val="16"/>
              </w:rPr>
              <w:t>0.70</w:t>
            </w:r>
          </w:p>
        </w:tc>
        <w:tc>
          <w:tcPr>
            <w:tcW w:w="505" w:type="pct"/>
            <w:tcBorders>
              <w:top w:val="nil"/>
              <w:bottom w:val="nil"/>
            </w:tcBorders>
          </w:tcPr>
          <w:p w14:paraId="37F90E74"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0.61</w:t>
            </w:r>
          </w:p>
        </w:tc>
        <w:tc>
          <w:tcPr>
            <w:tcW w:w="413" w:type="pct"/>
            <w:tcBorders>
              <w:top w:val="nil"/>
              <w:bottom w:val="nil"/>
            </w:tcBorders>
          </w:tcPr>
          <w:p w14:paraId="68AC51FA" w14:textId="77777777" w:rsidR="00B3500A" w:rsidRPr="006F4CD1" w:rsidRDefault="00B3500A" w:rsidP="00D62AD1">
            <w:pPr>
              <w:pStyle w:val="TableParagraph"/>
              <w:ind w:left="271"/>
              <w:jc w:val="left"/>
              <w:rPr>
                <w:sz w:val="16"/>
                <w:szCs w:val="16"/>
              </w:rPr>
            </w:pPr>
            <w:r w:rsidRPr="006F4CD1">
              <w:rPr>
                <w:spacing w:val="-4"/>
                <w:sz w:val="16"/>
                <w:szCs w:val="16"/>
              </w:rPr>
              <w:t>0.60</w:t>
            </w:r>
          </w:p>
        </w:tc>
        <w:tc>
          <w:tcPr>
            <w:tcW w:w="413" w:type="pct"/>
            <w:tcBorders>
              <w:top w:val="nil"/>
              <w:bottom w:val="nil"/>
            </w:tcBorders>
          </w:tcPr>
          <w:p w14:paraId="35D1DBDB" w14:textId="77777777" w:rsidR="00B3500A" w:rsidRPr="006F4CD1" w:rsidRDefault="00B3500A" w:rsidP="00D62AD1">
            <w:pPr>
              <w:pStyle w:val="TableParagraph"/>
              <w:ind w:right="103"/>
              <w:rPr>
                <w:sz w:val="16"/>
                <w:szCs w:val="16"/>
              </w:rPr>
            </w:pPr>
            <w:r w:rsidRPr="006F4CD1">
              <w:rPr>
                <w:spacing w:val="-4"/>
                <w:sz w:val="16"/>
                <w:szCs w:val="16"/>
              </w:rPr>
              <w:t>0.69</w:t>
            </w:r>
          </w:p>
        </w:tc>
        <w:tc>
          <w:tcPr>
            <w:tcW w:w="550" w:type="pct"/>
            <w:tcBorders>
              <w:top w:val="nil"/>
              <w:bottom w:val="nil"/>
            </w:tcBorders>
          </w:tcPr>
          <w:p w14:paraId="4EEC39F3" w14:textId="77777777" w:rsidR="00B3500A" w:rsidRPr="006F4CD1" w:rsidRDefault="00B3500A" w:rsidP="00D62AD1">
            <w:pPr>
              <w:pStyle w:val="TableParagraph"/>
              <w:ind w:left="109" w:right="102"/>
              <w:rPr>
                <w:sz w:val="16"/>
                <w:szCs w:val="16"/>
              </w:rPr>
            </w:pPr>
            <w:r w:rsidRPr="006F4CD1">
              <w:rPr>
                <w:spacing w:val="-4"/>
                <w:w w:val="110"/>
                <w:sz w:val="16"/>
                <w:szCs w:val="16"/>
              </w:rPr>
              <w:t>West</w:t>
            </w:r>
          </w:p>
        </w:tc>
      </w:tr>
      <w:tr w:rsidR="00B3500A" w:rsidRPr="006F4CD1" w14:paraId="61375457" w14:textId="77777777" w:rsidTr="00326B3D">
        <w:trPr>
          <w:trHeight w:val="239"/>
        </w:trPr>
        <w:tc>
          <w:tcPr>
            <w:tcW w:w="246" w:type="pct"/>
            <w:tcBorders>
              <w:top w:val="nil"/>
              <w:left w:val="double" w:sz="4" w:space="0" w:color="000000"/>
              <w:bottom w:val="nil"/>
            </w:tcBorders>
          </w:tcPr>
          <w:p w14:paraId="2EDF399E" w14:textId="77777777" w:rsidR="00B3500A" w:rsidRPr="006F4CD1" w:rsidRDefault="00B3500A" w:rsidP="00D62AD1">
            <w:pPr>
              <w:pStyle w:val="TableParagraph"/>
              <w:ind w:left="28"/>
              <w:rPr>
                <w:sz w:val="16"/>
                <w:szCs w:val="16"/>
              </w:rPr>
            </w:pPr>
            <w:r w:rsidRPr="006F4CD1">
              <w:rPr>
                <w:w w:val="99"/>
                <w:sz w:val="16"/>
                <w:szCs w:val="16"/>
              </w:rPr>
              <w:t>3</w:t>
            </w:r>
          </w:p>
        </w:tc>
        <w:tc>
          <w:tcPr>
            <w:tcW w:w="910" w:type="pct"/>
            <w:tcBorders>
              <w:top w:val="nil"/>
              <w:bottom w:val="nil"/>
            </w:tcBorders>
          </w:tcPr>
          <w:p w14:paraId="44B22E60" w14:textId="77777777" w:rsidR="00B3500A" w:rsidRPr="006F4CD1" w:rsidRDefault="00B3500A" w:rsidP="00D62AD1">
            <w:pPr>
              <w:pStyle w:val="TableParagraph"/>
              <w:ind w:left="118"/>
              <w:jc w:val="left"/>
              <w:rPr>
                <w:sz w:val="16"/>
                <w:szCs w:val="16"/>
              </w:rPr>
            </w:pPr>
            <w:r w:rsidRPr="006F4CD1">
              <w:rPr>
                <w:spacing w:val="-2"/>
                <w:w w:val="105"/>
                <w:sz w:val="16"/>
                <w:szCs w:val="16"/>
              </w:rPr>
              <w:t>Arizona</w:t>
            </w:r>
          </w:p>
        </w:tc>
        <w:tc>
          <w:tcPr>
            <w:tcW w:w="312" w:type="pct"/>
            <w:tcBorders>
              <w:top w:val="nil"/>
              <w:bottom w:val="nil"/>
            </w:tcBorders>
          </w:tcPr>
          <w:p w14:paraId="02A9F9C3" w14:textId="77777777" w:rsidR="00B3500A" w:rsidRPr="006F4CD1" w:rsidRDefault="00B3500A" w:rsidP="00D62AD1">
            <w:pPr>
              <w:pStyle w:val="TableParagraph"/>
              <w:ind w:left="97" w:right="89"/>
              <w:rPr>
                <w:sz w:val="16"/>
                <w:szCs w:val="16"/>
              </w:rPr>
            </w:pPr>
            <w:r w:rsidRPr="006F4CD1">
              <w:rPr>
                <w:spacing w:val="-4"/>
                <w:sz w:val="16"/>
                <w:szCs w:val="16"/>
              </w:rPr>
              <w:t>0.47</w:t>
            </w:r>
          </w:p>
        </w:tc>
        <w:tc>
          <w:tcPr>
            <w:tcW w:w="550" w:type="pct"/>
            <w:tcBorders>
              <w:top w:val="nil"/>
              <w:bottom w:val="nil"/>
            </w:tcBorders>
          </w:tcPr>
          <w:p w14:paraId="4DDF5BFF" w14:textId="77777777" w:rsidR="00B3500A" w:rsidRPr="006F4CD1" w:rsidRDefault="00B3500A" w:rsidP="00D62AD1">
            <w:pPr>
              <w:pStyle w:val="TableParagraph"/>
              <w:ind w:left="118" w:right="109"/>
              <w:rPr>
                <w:sz w:val="16"/>
                <w:szCs w:val="16"/>
              </w:rPr>
            </w:pPr>
            <w:r w:rsidRPr="006F4CD1">
              <w:rPr>
                <w:spacing w:val="-4"/>
                <w:sz w:val="16"/>
                <w:szCs w:val="16"/>
              </w:rPr>
              <w:t>0.34</w:t>
            </w:r>
          </w:p>
        </w:tc>
        <w:tc>
          <w:tcPr>
            <w:tcW w:w="367" w:type="pct"/>
            <w:tcBorders>
              <w:top w:val="nil"/>
              <w:bottom w:val="nil"/>
            </w:tcBorders>
          </w:tcPr>
          <w:p w14:paraId="0CD91B49" w14:textId="77777777" w:rsidR="00B3500A" w:rsidRPr="006F4CD1" w:rsidRDefault="00B3500A" w:rsidP="00D62AD1">
            <w:pPr>
              <w:pStyle w:val="TableParagraph"/>
              <w:ind w:left="98" w:right="89"/>
              <w:rPr>
                <w:sz w:val="16"/>
                <w:szCs w:val="16"/>
              </w:rPr>
            </w:pPr>
            <w:r w:rsidRPr="006F4CD1">
              <w:rPr>
                <w:spacing w:val="-4"/>
                <w:sz w:val="16"/>
                <w:szCs w:val="16"/>
              </w:rPr>
              <w:t>0.37</w:t>
            </w:r>
          </w:p>
        </w:tc>
        <w:tc>
          <w:tcPr>
            <w:tcW w:w="413" w:type="pct"/>
            <w:tcBorders>
              <w:top w:val="nil"/>
              <w:bottom w:val="nil"/>
              <w:right w:val="double" w:sz="4" w:space="0" w:color="000000"/>
            </w:tcBorders>
          </w:tcPr>
          <w:p w14:paraId="7FF87B3C" w14:textId="77777777" w:rsidR="00B3500A" w:rsidRPr="006F4CD1" w:rsidRDefault="00B3500A" w:rsidP="00D62AD1">
            <w:pPr>
              <w:pStyle w:val="TableParagraph"/>
              <w:ind w:left="98" w:right="89"/>
              <w:rPr>
                <w:sz w:val="16"/>
                <w:szCs w:val="16"/>
              </w:rPr>
            </w:pPr>
            <w:r w:rsidRPr="006F4CD1">
              <w:rPr>
                <w:spacing w:val="-4"/>
                <w:sz w:val="16"/>
                <w:szCs w:val="16"/>
              </w:rPr>
              <w:t>0.45</w:t>
            </w:r>
          </w:p>
        </w:tc>
        <w:tc>
          <w:tcPr>
            <w:tcW w:w="321" w:type="pct"/>
            <w:tcBorders>
              <w:top w:val="nil"/>
              <w:left w:val="double" w:sz="4" w:space="0" w:color="000000"/>
              <w:bottom w:val="nil"/>
            </w:tcBorders>
          </w:tcPr>
          <w:p w14:paraId="7A9CA414" w14:textId="77777777" w:rsidR="00B3500A" w:rsidRPr="006F4CD1" w:rsidRDefault="00B3500A" w:rsidP="00D62AD1">
            <w:pPr>
              <w:pStyle w:val="TableParagraph"/>
              <w:ind w:right="102"/>
              <w:rPr>
                <w:sz w:val="16"/>
                <w:szCs w:val="16"/>
              </w:rPr>
            </w:pPr>
            <w:r w:rsidRPr="006F4CD1">
              <w:rPr>
                <w:spacing w:val="-4"/>
                <w:sz w:val="16"/>
                <w:szCs w:val="16"/>
              </w:rPr>
              <w:t>0.50</w:t>
            </w:r>
          </w:p>
        </w:tc>
        <w:tc>
          <w:tcPr>
            <w:tcW w:w="505" w:type="pct"/>
            <w:tcBorders>
              <w:top w:val="nil"/>
              <w:bottom w:val="nil"/>
            </w:tcBorders>
          </w:tcPr>
          <w:p w14:paraId="664F9A0F"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0.41</w:t>
            </w:r>
          </w:p>
        </w:tc>
        <w:tc>
          <w:tcPr>
            <w:tcW w:w="413" w:type="pct"/>
            <w:tcBorders>
              <w:top w:val="nil"/>
              <w:bottom w:val="nil"/>
            </w:tcBorders>
          </w:tcPr>
          <w:p w14:paraId="16D628F6" w14:textId="77777777" w:rsidR="00B3500A" w:rsidRPr="006F4CD1" w:rsidRDefault="00B3500A" w:rsidP="00D62AD1">
            <w:pPr>
              <w:pStyle w:val="TableParagraph"/>
              <w:ind w:left="271"/>
              <w:jc w:val="left"/>
              <w:rPr>
                <w:sz w:val="16"/>
                <w:szCs w:val="16"/>
              </w:rPr>
            </w:pPr>
            <w:r w:rsidRPr="006F4CD1">
              <w:rPr>
                <w:spacing w:val="-4"/>
                <w:sz w:val="16"/>
                <w:szCs w:val="16"/>
              </w:rPr>
              <w:t>0.41</w:t>
            </w:r>
          </w:p>
        </w:tc>
        <w:tc>
          <w:tcPr>
            <w:tcW w:w="413" w:type="pct"/>
            <w:tcBorders>
              <w:top w:val="nil"/>
              <w:bottom w:val="nil"/>
            </w:tcBorders>
          </w:tcPr>
          <w:p w14:paraId="30EE3458" w14:textId="77777777" w:rsidR="00B3500A" w:rsidRPr="006F4CD1" w:rsidRDefault="00B3500A" w:rsidP="00D62AD1">
            <w:pPr>
              <w:pStyle w:val="TableParagraph"/>
              <w:ind w:right="103"/>
              <w:rPr>
                <w:sz w:val="16"/>
                <w:szCs w:val="16"/>
              </w:rPr>
            </w:pPr>
            <w:r w:rsidRPr="006F4CD1">
              <w:rPr>
                <w:spacing w:val="-4"/>
                <w:sz w:val="16"/>
                <w:szCs w:val="16"/>
              </w:rPr>
              <w:t>0.49</w:t>
            </w:r>
          </w:p>
        </w:tc>
        <w:tc>
          <w:tcPr>
            <w:tcW w:w="550" w:type="pct"/>
            <w:tcBorders>
              <w:top w:val="nil"/>
              <w:bottom w:val="nil"/>
            </w:tcBorders>
          </w:tcPr>
          <w:p w14:paraId="3D5AD8AE" w14:textId="77777777" w:rsidR="00B3500A" w:rsidRPr="006F4CD1" w:rsidRDefault="00B3500A" w:rsidP="00D62AD1">
            <w:pPr>
              <w:pStyle w:val="TableParagraph"/>
              <w:ind w:left="109" w:right="102"/>
              <w:rPr>
                <w:sz w:val="16"/>
                <w:szCs w:val="16"/>
              </w:rPr>
            </w:pPr>
            <w:r w:rsidRPr="006F4CD1">
              <w:rPr>
                <w:spacing w:val="-4"/>
                <w:w w:val="110"/>
                <w:sz w:val="16"/>
                <w:szCs w:val="16"/>
              </w:rPr>
              <w:t>West</w:t>
            </w:r>
          </w:p>
        </w:tc>
      </w:tr>
      <w:tr w:rsidR="00B3500A" w:rsidRPr="006F4CD1" w14:paraId="2B296067" w14:textId="77777777" w:rsidTr="00326B3D">
        <w:trPr>
          <w:trHeight w:val="239"/>
        </w:trPr>
        <w:tc>
          <w:tcPr>
            <w:tcW w:w="246" w:type="pct"/>
            <w:tcBorders>
              <w:top w:val="nil"/>
              <w:left w:val="double" w:sz="4" w:space="0" w:color="000000"/>
              <w:bottom w:val="nil"/>
            </w:tcBorders>
          </w:tcPr>
          <w:p w14:paraId="22AB723C" w14:textId="77777777" w:rsidR="00B3500A" w:rsidRPr="006F4CD1" w:rsidRDefault="00B3500A" w:rsidP="00D62AD1">
            <w:pPr>
              <w:pStyle w:val="TableParagraph"/>
              <w:ind w:left="28"/>
              <w:rPr>
                <w:sz w:val="16"/>
                <w:szCs w:val="16"/>
              </w:rPr>
            </w:pPr>
            <w:r w:rsidRPr="006F4CD1">
              <w:rPr>
                <w:w w:val="99"/>
                <w:sz w:val="16"/>
                <w:szCs w:val="16"/>
              </w:rPr>
              <w:t>4</w:t>
            </w:r>
          </w:p>
        </w:tc>
        <w:tc>
          <w:tcPr>
            <w:tcW w:w="910" w:type="pct"/>
            <w:tcBorders>
              <w:top w:val="nil"/>
              <w:bottom w:val="nil"/>
            </w:tcBorders>
          </w:tcPr>
          <w:p w14:paraId="264A3F77" w14:textId="77777777" w:rsidR="00B3500A" w:rsidRPr="006F4CD1" w:rsidRDefault="00B3500A" w:rsidP="00D62AD1">
            <w:pPr>
              <w:pStyle w:val="TableParagraph"/>
              <w:ind w:left="118"/>
              <w:jc w:val="left"/>
              <w:rPr>
                <w:sz w:val="16"/>
                <w:szCs w:val="16"/>
              </w:rPr>
            </w:pPr>
            <w:r w:rsidRPr="006F4CD1">
              <w:rPr>
                <w:spacing w:val="-2"/>
                <w:w w:val="105"/>
                <w:sz w:val="16"/>
                <w:szCs w:val="16"/>
              </w:rPr>
              <w:t>Arkansas</w:t>
            </w:r>
          </w:p>
        </w:tc>
        <w:tc>
          <w:tcPr>
            <w:tcW w:w="312" w:type="pct"/>
            <w:tcBorders>
              <w:top w:val="nil"/>
              <w:bottom w:val="nil"/>
            </w:tcBorders>
          </w:tcPr>
          <w:p w14:paraId="09717FA4" w14:textId="77777777" w:rsidR="00B3500A" w:rsidRPr="006F4CD1" w:rsidRDefault="00B3500A" w:rsidP="00D62AD1">
            <w:pPr>
              <w:pStyle w:val="TableParagraph"/>
              <w:ind w:left="97" w:right="89"/>
              <w:rPr>
                <w:sz w:val="16"/>
                <w:szCs w:val="16"/>
              </w:rPr>
            </w:pPr>
            <w:r w:rsidRPr="006F4CD1">
              <w:rPr>
                <w:spacing w:val="-4"/>
                <w:sz w:val="16"/>
                <w:szCs w:val="16"/>
              </w:rPr>
              <w:t>0.50</w:t>
            </w:r>
          </w:p>
        </w:tc>
        <w:tc>
          <w:tcPr>
            <w:tcW w:w="550" w:type="pct"/>
            <w:tcBorders>
              <w:top w:val="nil"/>
              <w:bottom w:val="nil"/>
            </w:tcBorders>
          </w:tcPr>
          <w:p w14:paraId="623A6E06" w14:textId="77777777" w:rsidR="00B3500A" w:rsidRPr="006F4CD1" w:rsidRDefault="00B3500A" w:rsidP="00D62AD1">
            <w:pPr>
              <w:pStyle w:val="TableParagraph"/>
              <w:ind w:left="118" w:right="109"/>
              <w:rPr>
                <w:sz w:val="16"/>
                <w:szCs w:val="16"/>
              </w:rPr>
            </w:pPr>
            <w:r w:rsidRPr="006F4CD1">
              <w:rPr>
                <w:spacing w:val="-4"/>
                <w:sz w:val="16"/>
                <w:szCs w:val="16"/>
              </w:rPr>
              <w:t>0.49</w:t>
            </w:r>
          </w:p>
        </w:tc>
        <w:tc>
          <w:tcPr>
            <w:tcW w:w="367" w:type="pct"/>
            <w:tcBorders>
              <w:top w:val="nil"/>
              <w:bottom w:val="nil"/>
            </w:tcBorders>
          </w:tcPr>
          <w:p w14:paraId="769BC5E7" w14:textId="77777777" w:rsidR="00B3500A" w:rsidRPr="006F4CD1" w:rsidRDefault="00B3500A" w:rsidP="00D62AD1">
            <w:pPr>
              <w:pStyle w:val="TableParagraph"/>
              <w:ind w:left="98" w:right="89"/>
              <w:rPr>
                <w:sz w:val="16"/>
                <w:szCs w:val="16"/>
              </w:rPr>
            </w:pPr>
            <w:r w:rsidRPr="006F4CD1">
              <w:rPr>
                <w:spacing w:val="-4"/>
                <w:sz w:val="16"/>
                <w:szCs w:val="16"/>
              </w:rPr>
              <w:t>0.46</w:t>
            </w:r>
          </w:p>
        </w:tc>
        <w:tc>
          <w:tcPr>
            <w:tcW w:w="413" w:type="pct"/>
            <w:tcBorders>
              <w:top w:val="nil"/>
              <w:bottom w:val="nil"/>
              <w:right w:val="double" w:sz="4" w:space="0" w:color="000000"/>
            </w:tcBorders>
          </w:tcPr>
          <w:p w14:paraId="51041412" w14:textId="77777777" w:rsidR="00B3500A" w:rsidRPr="006F4CD1" w:rsidRDefault="00B3500A" w:rsidP="00D62AD1">
            <w:pPr>
              <w:pStyle w:val="TableParagraph"/>
              <w:ind w:left="98" w:right="89"/>
              <w:rPr>
                <w:sz w:val="16"/>
                <w:szCs w:val="16"/>
              </w:rPr>
            </w:pPr>
            <w:r w:rsidRPr="006F4CD1">
              <w:rPr>
                <w:spacing w:val="-4"/>
                <w:sz w:val="16"/>
                <w:szCs w:val="16"/>
              </w:rPr>
              <w:t>0.50</w:t>
            </w:r>
          </w:p>
        </w:tc>
        <w:tc>
          <w:tcPr>
            <w:tcW w:w="321" w:type="pct"/>
            <w:tcBorders>
              <w:top w:val="nil"/>
              <w:left w:val="double" w:sz="4" w:space="0" w:color="000000"/>
              <w:bottom w:val="nil"/>
            </w:tcBorders>
          </w:tcPr>
          <w:p w14:paraId="2482D8C6" w14:textId="77777777" w:rsidR="00B3500A" w:rsidRPr="006F4CD1" w:rsidRDefault="00B3500A" w:rsidP="00D62AD1">
            <w:pPr>
              <w:pStyle w:val="TableParagraph"/>
              <w:ind w:right="102"/>
              <w:rPr>
                <w:sz w:val="16"/>
                <w:szCs w:val="16"/>
              </w:rPr>
            </w:pPr>
            <w:r w:rsidRPr="006F4CD1">
              <w:rPr>
                <w:spacing w:val="-4"/>
                <w:sz w:val="16"/>
                <w:szCs w:val="16"/>
              </w:rPr>
              <w:t>0.56</w:t>
            </w:r>
          </w:p>
        </w:tc>
        <w:tc>
          <w:tcPr>
            <w:tcW w:w="505" w:type="pct"/>
            <w:tcBorders>
              <w:top w:val="nil"/>
              <w:bottom w:val="nil"/>
            </w:tcBorders>
          </w:tcPr>
          <w:p w14:paraId="4AC2DC6D"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0.54</w:t>
            </w:r>
          </w:p>
        </w:tc>
        <w:tc>
          <w:tcPr>
            <w:tcW w:w="413" w:type="pct"/>
            <w:tcBorders>
              <w:top w:val="nil"/>
              <w:bottom w:val="nil"/>
            </w:tcBorders>
          </w:tcPr>
          <w:p w14:paraId="308F19CA" w14:textId="77777777" w:rsidR="00B3500A" w:rsidRPr="006F4CD1" w:rsidRDefault="00B3500A" w:rsidP="00D62AD1">
            <w:pPr>
              <w:pStyle w:val="TableParagraph"/>
              <w:ind w:left="271"/>
              <w:jc w:val="left"/>
              <w:rPr>
                <w:sz w:val="16"/>
                <w:szCs w:val="16"/>
              </w:rPr>
            </w:pPr>
            <w:r w:rsidRPr="006F4CD1">
              <w:rPr>
                <w:spacing w:val="-4"/>
                <w:sz w:val="16"/>
                <w:szCs w:val="16"/>
              </w:rPr>
              <w:t>0.53</w:t>
            </w:r>
          </w:p>
        </w:tc>
        <w:tc>
          <w:tcPr>
            <w:tcW w:w="413" w:type="pct"/>
            <w:tcBorders>
              <w:top w:val="nil"/>
              <w:bottom w:val="nil"/>
            </w:tcBorders>
          </w:tcPr>
          <w:p w14:paraId="7CDD2C33" w14:textId="77777777" w:rsidR="00B3500A" w:rsidRPr="006F4CD1" w:rsidRDefault="00B3500A" w:rsidP="00D62AD1">
            <w:pPr>
              <w:pStyle w:val="TableParagraph"/>
              <w:ind w:right="103"/>
              <w:rPr>
                <w:sz w:val="16"/>
                <w:szCs w:val="16"/>
              </w:rPr>
            </w:pPr>
            <w:r w:rsidRPr="006F4CD1">
              <w:rPr>
                <w:spacing w:val="-4"/>
                <w:sz w:val="16"/>
                <w:szCs w:val="16"/>
              </w:rPr>
              <w:t>0.56</w:t>
            </w:r>
          </w:p>
        </w:tc>
        <w:tc>
          <w:tcPr>
            <w:tcW w:w="550" w:type="pct"/>
            <w:tcBorders>
              <w:top w:val="nil"/>
              <w:bottom w:val="nil"/>
            </w:tcBorders>
          </w:tcPr>
          <w:p w14:paraId="4BF5AE37"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6058C9C8" w14:textId="77777777" w:rsidTr="00326B3D">
        <w:trPr>
          <w:trHeight w:val="239"/>
        </w:trPr>
        <w:tc>
          <w:tcPr>
            <w:tcW w:w="246" w:type="pct"/>
            <w:tcBorders>
              <w:top w:val="nil"/>
              <w:left w:val="double" w:sz="4" w:space="0" w:color="000000"/>
              <w:bottom w:val="nil"/>
            </w:tcBorders>
          </w:tcPr>
          <w:p w14:paraId="6D6422E3" w14:textId="77777777" w:rsidR="00B3500A" w:rsidRPr="006F4CD1" w:rsidRDefault="00B3500A" w:rsidP="00D62AD1">
            <w:pPr>
              <w:pStyle w:val="TableParagraph"/>
              <w:ind w:left="28"/>
              <w:rPr>
                <w:sz w:val="16"/>
                <w:szCs w:val="16"/>
              </w:rPr>
            </w:pPr>
            <w:r w:rsidRPr="006F4CD1">
              <w:rPr>
                <w:w w:val="99"/>
                <w:sz w:val="16"/>
                <w:szCs w:val="16"/>
              </w:rPr>
              <w:t>5</w:t>
            </w:r>
          </w:p>
        </w:tc>
        <w:tc>
          <w:tcPr>
            <w:tcW w:w="910" w:type="pct"/>
            <w:tcBorders>
              <w:top w:val="nil"/>
              <w:bottom w:val="nil"/>
            </w:tcBorders>
          </w:tcPr>
          <w:p w14:paraId="359B45A4" w14:textId="77777777" w:rsidR="00B3500A" w:rsidRPr="006F4CD1" w:rsidRDefault="00B3500A" w:rsidP="00D62AD1">
            <w:pPr>
              <w:pStyle w:val="TableParagraph"/>
              <w:ind w:left="118"/>
              <w:jc w:val="left"/>
              <w:rPr>
                <w:sz w:val="16"/>
                <w:szCs w:val="16"/>
              </w:rPr>
            </w:pPr>
            <w:r w:rsidRPr="006F4CD1">
              <w:rPr>
                <w:spacing w:val="-2"/>
                <w:w w:val="105"/>
                <w:sz w:val="16"/>
                <w:szCs w:val="16"/>
              </w:rPr>
              <w:t>California</w:t>
            </w:r>
          </w:p>
        </w:tc>
        <w:tc>
          <w:tcPr>
            <w:tcW w:w="312" w:type="pct"/>
            <w:tcBorders>
              <w:top w:val="nil"/>
              <w:bottom w:val="nil"/>
            </w:tcBorders>
          </w:tcPr>
          <w:p w14:paraId="20CB8311" w14:textId="77777777" w:rsidR="00B3500A" w:rsidRPr="006F4CD1" w:rsidRDefault="00B3500A" w:rsidP="00D62AD1">
            <w:pPr>
              <w:pStyle w:val="TableParagraph"/>
              <w:ind w:left="97" w:right="89"/>
              <w:rPr>
                <w:sz w:val="16"/>
                <w:szCs w:val="16"/>
              </w:rPr>
            </w:pPr>
            <w:r w:rsidRPr="006F4CD1">
              <w:rPr>
                <w:spacing w:val="-4"/>
                <w:sz w:val="16"/>
                <w:szCs w:val="16"/>
              </w:rPr>
              <w:t>0.40</w:t>
            </w:r>
          </w:p>
        </w:tc>
        <w:tc>
          <w:tcPr>
            <w:tcW w:w="550" w:type="pct"/>
            <w:tcBorders>
              <w:top w:val="nil"/>
              <w:bottom w:val="nil"/>
            </w:tcBorders>
          </w:tcPr>
          <w:p w14:paraId="3A6FD887" w14:textId="77777777" w:rsidR="00B3500A" w:rsidRPr="006F4CD1" w:rsidRDefault="00B3500A" w:rsidP="00D62AD1">
            <w:pPr>
              <w:pStyle w:val="TableParagraph"/>
              <w:ind w:left="118" w:right="109"/>
              <w:rPr>
                <w:sz w:val="16"/>
                <w:szCs w:val="16"/>
              </w:rPr>
            </w:pPr>
            <w:r w:rsidRPr="006F4CD1">
              <w:rPr>
                <w:spacing w:val="-4"/>
                <w:sz w:val="16"/>
                <w:szCs w:val="16"/>
              </w:rPr>
              <w:t>0.34</w:t>
            </w:r>
          </w:p>
        </w:tc>
        <w:tc>
          <w:tcPr>
            <w:tcW w:w="367" w:type="pct"/>
            <w:tcBorders>
              <w:top w:val="nil"/>
              <w:bottom w:val="nil"/>
            </w:tcBorders>
          </w:tcPr>
          <w:p w14:paraId="6FD2731B" w14:textId="77777777" w:rsidR="00B3500A" w:rsidRPr="006F4CD1" w:rsidRDefault="00B3500A" w:rsidP="00D62AD1">
            <w:pPr>
              <w:pStyle w:val="TableParagraph"/>
              <w:ind w:left="98" w:right="89"/>
              <w:rPr>
                <w:sz w:val="16"/>
                <w:szCs w:val="16"/>
              </w:rPr>
            </w:pPr>
            <w:r w:rsidRPr="006F4CD1">
              <w:rPr>
                <w:spacing w:val="-4"/>
                <w:sz w:val="16"/>
                <w:szCs w:val="16"/>
              </w:rPr>
              <w:t>0.33</w:t>
            </w:r>
          </w:p>
        </w:tc>
        <w:tc>
          <w:tcPr>
            <w:tcW w:w="413" w:type="pct"/>
            <w:tcBorders>
              <w:top w:val="nil"/>
              <w:bottom w:val="nil"/>
              <w:right w:val="double" w:sz="4" w:space="0" w:color="000000"/>
            </w:tcBorders>
          </w:tcPr>
          <w:p w14:paraId="7796B842" w14:textId="77777777" w:rsidR="00B3500A" w:rsidRPr="006F4CD1" w:rsidRDefault="00B3500A" w:rsidP="00D62AD1">
            <w:pPr>
              <w:pStyle w:val="TableParagraph"/>
              <w:ind w:left="98" w:right="89"/>
              <w:rPr>
                <w:sz w:val="16"/>
                <w:szCs w:val="16"/>
              </w:rPr>
            </w:pPr>
            <w:r w:rsidRPr="006F4CD1">
              <w:rPr>
                <w:spacing w:val="-4"/>
                <w:sz w:val="16"/>
                <w:szCs w:val="16"/>
              </w:rPr>
              <w:t>0.38</w:t>
            </w:r>
          </w:p>
        </w:tc>
        <w:tc>
          <w:tcPr>
            <w:tcW w:w="321" w:type="pct"/>
            <w:tcBorders>
              <w:top w:val="nil"/>
              <w:left w:val="double" w:sz="4" w:space="0" w:color="000000"/>
              <w:bottom w:val="nil"/>
            </w:tcBorders>
          </w:tcPr>
          <w:p w14:paraId="6C27BA14" w14:textId="77777777" w:rsidR="00B3500A" w:rsidRPr="006F4CD1" w:rsidRDefault="00B3500A" w:rsidP="00D62AD1">
            <w:pPr>
              <w:pStyle w:val="TableParagraph"/>
              <w:ind w:right="102"/>
              <w:rPr>
                <w:sz w:val="16"/>
                <w:szCs w:val="16"/>
              </w:rPr>
            </w:pPr>
            <w:r w:rsidRPr="006F4CD1">
              <w:rPr>
                <w:spacing w:val="-4"/>
                <w:sz w:val="16"/>
                <w:szCs w:val="16"/>
              </w:rPr>
              <w:t>0.76</w:t>
            </w:r>
          </w:p>
        </w:tc>
        <w:tc>
          <w:tcPr>
            <w:tcW w:w="505" w:type="pct"/>
            <w:tcBorders>
              <w:top w:val="nil"/>
              <w:bottom w:val="nil"/>
            </w:tcBorders>
          </w:tcPr>
          <w:p w14:paraId="4B1A8614"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0.64</w:t>
            </w:r>
          </w:p>
        </w:tc>
        <w:tc>
          <w:tcPr>
            <w:tcW w:w="413" w:type="pct"/>
            <w:tcBorders>
              <w:top w:val="nil"/>
              <w:bottom w:val="nil"/>
            </w:tcBorders>
          </w:tcPr>
          <w:p w14:paraId="53968DFF" w14:textId="77777777" w:rsidR="00B3500A" w:rsidRPr="006F4CD1" w:rsidRDefault="00B3500A" w:rsidP="00D62AD1">
            <w:pPr>
              <w:pStyle w:val="TableParagraph"/>
              <w:ind w:left="271"/>
              <w:jc w:val="left"/>
              <w:rPr>
                <w:sz w:val="16"/>
                <w:szCs w:val="16"/>
              </w:rPr>
            </w:pPr>
            <w:r w:rsidRPr="006F4CD1">
              <w:rPr>
                <w:spacing w:val="-4"/>
                <w:sz w:val="16"/>
                <w:szCs w:val="16"/>
              </w:rPr>
              <w:t>0.62</w:t>
            </w:r>
          </w:p>
        </w:tc>
        <w:tc>
          <w:tcPr>
            <w:tcW w:w="413" w:type="pct"/>
            <w:tcBorders>
              <w:top w:val="nil"/>
              <w:bottom w:val="nil"/>
            </w:tcBorders>
          </w:tcPr>
          <w:p w14:paraId="51D25C95" w14:textId="77777777" w:rsidR="00B3500A" w:rsidRPr="006F4CD1" w:rsidRDefault="00B3500A" w:rsidP="00D62AD1">
            <w:pPr>
              <w:pStyle w:val="TableParagraph"/>
              <w:ind w:right="103"/>
              <w:rPr>
                <w:sz w:val="16"/>
                <w:szCs w:val="16"/>
              </w:rPr>
            </w:pPr>
            <w:r w:rsidRPr="006F4CD1">
              <w:rPr>
                <w:spacing w:val="-4"/>
                <w:sz w:val="16"/>
                <w:szCs w:val="16"/>
              </w:rPr>
              <w:t>0.75</w:t>
            </w:r>
          </w:p>
        </w:tc>
        <w:tc>
          <w:tcPr>
            <w:tcW w:w="550" w:type="pct"/>
            <w:tcBorders>
              <w:top w:val="nil"/>
              <w:bottom w:val="nil"/>
            </w:tcBorders>
          </w:tcPr>
          <w:p w14:paraId="0E369E04" w14:textId="77777777" w:rsidR="00B3500A" w:rsidRPr="006F4CD1" w:rsidRDefault="00B3500A" w:rsidP="00D62AD1">
            <w:pPr>
              <w:pStyle w:val="TableParagraph"/>
              <w:ind w:left="109" w:right="102"/>
              <w:rPr>
                <w:sz w:val="16"/>
                <w:szCs w:val="16"/>
              </w:rPr>
            </w:pPr>
            <w:r w:rsidRPr="006F4CD1">
              <w:rPr>
                <w:spacing w:val="-4"/>
                <w:w w:val="110"/>
                <w:sz w:val="16"/>
                <w:szCs w:val="16"/>
              </w:rPr>
              <w:t>West</w:t>
            </w:r>
          </w:p>
        </w:tc>
      </w:tr>
      <w:tr w:rsidR="00B3500A" w:rsidRPr="006F4CD1" w14:paraId="2E06B217" w14:textId="77777777" w:rsidTr="00326B3D">
        <w:trPr>
          <w:trHeight w:val="239"/>
        </w:trPr>
        <w:tc>
          <w:tcPr>
            <w:tcW w:w="246" w:type="pct"/>
            <w:tcBorders>
              <w:top w:val="nil"/>
              <w:left w:val="double" w:sz="4" w:space="0" w:color="000000"/>
              <w:bottom w:val="nil"/>
            </w:tcBorders>
          </w:tcPr>
          <w:p w14:paraId="4941DEB0" w14:textId="77777777" w:rsidR="00B3500A" w:rsidRPr="006F4CD1" w:rsidRDefault="00B3500A" w:rsidP="00D62AD1">
            <w:pPr>
              <w:pStyle w:val="TableParagraph"/>
              <w:ind w:left="28"/>
              <w:rPr>
                <w:sz w:val="16"/>
                <w:szCs w:val="16"/>
              </w:rPr>
            </w:pPr>
            <w:r w:rsidRPr="006F4CD1">
              <w:rPr>
                <w:w w:val="99"/>
                <w:sz w:val="16"/>
                <w:szCs w:val="16"/>
              </w:rPr>
              <w:t>6</w:t>
            </w:r>
          </w:p>
        </w:tc>
        <w:tc>
          <w:tcPr>
            <w:tcW w:w="910" w:type="pct"/>
            <w:tcBorders>
              <w:top w:val="nil"/>
              <w:bottom w:val="nil"/>
            </w:tcBorders>
          </w:tcPr>
          <w:p w14:paraId="7F08E864" w14:textId="77777777" w:rsidR="00B3500A" w:rsidRPr="006F4CD1" w:rsidRDefault="00B3500A" w:rsidP="00D62AD1">
            <w:pPr>
              <w:pStyle w:val="TableParagraph"/>
              <w:ind w:left="118"/>
              <w:jc w:val="left"/>
              <w:rPr>
                <w:sz w:val="16"/>
                <w:szCs w:val="16"/>
              </w:rPr>
            </w:pPr>
            <w:r w:rsidRPr="006F4CD1">
              <w:rPr>
                <w:spacing w:val="-2"/>
                <w:w w:val="105"/>
                <w:sz w:val="16"/>
                <w:szCs w:val="16"/>
              </w:rPr>
              <w:t>Colorado</w:t>
            </w:r>
          </w:p>
        </w:tc>
        <w:tc>
          <w:tcPr>
            <w:tcW w:w="312" w:type="pct"/>
            <w:tcBorders>
              <w:top w:val="nil"/>
              <w:bottom w:val="nil"/>
            </w:tcBorders>
          </w:tcPr>
          <w:p w14:paraId="13C83818" w14:textId="77777777" w:rsidR="00B3500A" w:rsidRPr="006F4CD1" w:rsidRDefault="00B3500A" w:rsidP="00D62AD1">
            <w:pPr>
              <w:pStyle w:val="TableParagraph"/>
              <w:ind w:left="97" w:right="89"/>
              <w:rPr>
                <w:sz w:val="16"/>
                <w:szCs w:val="16"/>
              </w:rPr>
            </w:pPr>
            <w:r w:rsidRPr="006F4CD1">
              <w:rPr>
                <w:spacing w:val="-4"/>
                <w:sz w:val="16"/>
                <w:szCs w:val="16"/>
              </w:rPr>
              <w:t>0.47</w:t>
            </w:r>
          </w:p>
        </w:tc>
        <w:tc>
          <w:tcPr>
            <w:tcW w:w="550" w:type="pct"/>
            <w:tcBorders>
              <w:top w:val="nil"/>
              <w:bottom w:val="nil"/>
            </w:tcBorders>
          </w:tcPr>
          <w:p w14:paraId="031CBCA0" w14:textId="77777777" w:rsidR="00B3500A" w:rsidRPr="006F4CD1" w:rsidRDefault="00B3500A" w:rsidP="00D62AD1">
            <w:pPr>
              <w:pStyle w:val="TableParagraph"/>
              <w:ind w:left="118" w:right="109"/>
              <w:rPr>
                <w:sz w:val="16"/>
                <w:szCs w:val="16"/>
              </w:rPr>
            </w:pPr>
            <w:r w:rsidRPr="006F4CD1">
              <w:rPr>
                <w:spacing w:val="-4"/>
                <w:sz w:val="16"/>
                <w:szCs w:val="16"/>
              </w:rPr>
              <w:t>0.44</w:t>
            </w:r>
          </w:p>
        </w:tc>
        <w:tc>
          <w:tcPr>
            <w:tcW w:w="367" w:type="pct"/>
            <w:tcBorders>
              <w:top w:val="nil"/>
              <w:bottom w:val="nil"/>
            </w:tcBorders>
          </w:tcPr>
          <w:p w14:paraId="007CF9AE" w14:textId="77777777" w:rsidR="00B3500A" w:rsidRPr="006F4CD1" w:rsidRDefault="00B3500A" w:rsidP="00D62AD1">
            <w:pPr>
              <w:pStyle w:val="TableParagraph"/>
              <w:ind w:left="98" w:right="89"/>
              <w:rPr>
                <w:sz w:val="16"/>
                <w:szCs w:val="16"/>
              </w:rPr>
            </w:pPr>
            <w:r w:rsidRPr="006F4CD1">
              <w:rPr>
                <w:spacing w:val="-4"/>
                <w:sz w:val="16"/>
                <w:szCs w:val="16"/>
              </w:rPr>
              <w:t>0.42</w:t>
            </w:r>
          </w:p>
        </w:tc>
        <w:tc>
          <w:tcPr>
            <w:tcW w:w="413" w:type="pct"/>
            <w:tcBorders>
              <w:top w:val="nil"/>
              <w:bottom w:val="nil"/>
              <w:right w:val="double" w:sz="4" w:space="0" w:color="000000"/>
            </w:tcBorders>
          </w:tcPr>
          <w:p w14:paraId="55833A7D" w14:textId="77777777" w:rsidR="00B3500A" w:rsidRPr="006F4CD1" w:rsidRDefault="00B3500A" w:rsidP="00D62AD1">
            <w:pPr>
              <w:pStyle w:val="TableParagraph"/>
              <w:ind w:left="98" w:right="89"/>
              <w:rPr>
                <w:sz w:val="16"/>
                <w:szCs w:val="16"/>
              </w:rPr>
            </w:pPr>
            <w:r w:rsidRPr="006F4CD1">
              <w:rPr>
                <w:spacing w:val="-4"/>
                <w:sz w:val="16"/>
                <w:szCs w:val="16"/>
              </w:rPr>
              <w:t>0.47</w:t>
            </w:r>
          </w:p>
        </w:tc>
        <w:tc>
          <w:tcPr>
            <w:tcW w:w="321" w:type="pct"/>
            <w:tcBorders>
              <w:top w:val="nil"/>
              <w:left w:val="double" w:sz="4" w:space="0" w:color="000000"/>
              <w:bottom w:val="nil"/>
            </w:tcBorders>
          </w:tcPr>
          <w:p w14:paraId="2667B9AD" w14:textId="77777777" w:rsidR="00B3500A" w:rsidRPr="006F4CD1" w:rsidRDefault="00B3500A" w:rsidP="00D62AD1">
            <w:pPr>
              <w:pStyle w:val="TableParagraph"/>
              <w:ind w:right="102"/>
              <w:rPr>
                <w:sz w:val="16"/>
                <w:szCs w:val="16"/>
              </w:rPr>
            </w:pPr>
            <w:r w:rsidRPr="006F4CD1">
              <w:rPr>
                <w:spacing w:val="-4"/>
                <w:sz w:val="16"/>
                <w:szCs w:val="16"/>
              </w:rPr>
              <w:t>0.53</w:t>
            </w:r>
          </w:p>
        </w:tc>
        <w:tc>
          <w:tcPr>
            <w:tcW w:w="505" w:type="pct"/>
            <w:tcBorders>
              <w:top w:val="nil"/>
              <w:bottom w:val="nil"/>
            </w:tcBorders>
          </w:tcPr>
          <w:p w14:paraId="744AFAA3"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0.51</w:t>
            </w:r>
          </w:p>
        </w:tc>
        <w:tc>
          <w:tcPr>
            <w:tcW w:w="413" w:type="pct"/>
            <w:tcBorders>
              <w:top w:val="nil"/>
              <w:bottom w:val="nil"/>
            </w:tcBorders>
          </w:tcPr>
          <w:p w14:paraId="7B7E226B" w14:textId="77777777" w:rsidR="00B3500A" w:rsidRPr="006F4CD1" w:rsidRDefault="00B3500A" w:rsidP="00D62AD1">
            <w:pPr>
              <w:pStyle w:val="TableParagraph"/>
              <w:ind w:left="271"/>
              <w:jc w:val="left"/>
              <w:rPr>
                <w:sz w:val="16"/>
                <w:szCs w:val="16"/>
              </w:rPr>
            </w:pPr>
            <w:r w:rsidRPr="006F4CD1">
              <w:rPr>
                <w:spacing w:val="-4"/>
                <w:sz w:val="16"/>
                <w:szCs w:val="16"/>
              </w:rPr>
              <w:t>0.49</w:t>
            </w:r>
          </w:p>
        </w:tc>
        <w:tc>
          <w:tcPr>
            <w:tcW w:w="413" w:type="pct"/>
            <w:tcBorders>
              <w:top w:val="nil"/>
              <w:bottom w:val="nil"/>
            </w:tcBorders>
          </w:tcPr>
          <w:p w14:paraId="30FB4F98" w14:textId="77777777" w:rsidR="00B3500A" w:rsidRPr="006F4CD1" w:rsidRDefault="00B3500A" w:rsidP="00D62AD1">
            <w:pPr>
              <w:pStyle w:val="TableParagraph"/>
              <w:ind w:right="103"/>
              <w:rPr>
                <w:sz w:val="16"/>
                <w:szCs w:val="16"/>
              </w:rPr>
            </w:pPr>
            <w:r w:rsidRPr="006F4CD1">
              <w:rPr>
                <w:spacing w:val="-4"/>
                <w:sz w:val="16"/>
                <w:szCs w:val="16"/>
              </w:rPr>
              <w:t>0.53</w:t>
            </w:r>
          </w:p>
        </w:tc>
        <w:tc>
          <w:tcPr>
            <w:tcW w:w="550" w:type="pct"/>
            <w:tcBorders>
              <w:top w:val="nil"/>
              <w:bottom w:val="nil"/>
            </w:tcBorders>
          </w:tcPr>
          <w:p w14:paraId="34294346" w14:textId="77777777" w:rsidR="00B3500A" w:rsidRPr="006F4CD1" w:rsidRDefault="00B3500A" w:rsidP="00D62AD1">
            <w:pPr>
              <w:pStyle w:val="TableParagraph"/>
              <w:ind w:left="109" w:right="102"/>
              <w:rPr>
                <w:sz w:val="16"/>
                <w:szCs w:val="16"/>
              </w:rPr>
            </w:pPr>
            <w:r w:rsidRPr="006F4CD1">
              <w:rPr>
                <w:spacing w:val="-4"/>
                <w:w w:val="110"/>
                <w:sz w:val="16"/>
                <w:szCs w:val="16"/>
              </w:rPr>
              <w:t>West</w:t>
            </w:r>
          </w:p>
        </w:tc>
      </w:tr>
      <w:tr w:rsidR="00B3500A" w:rsidRPr="006F4CD1" w14:paraId="36B71AAC" w14:textId="77777777" w:rsidTr="00326B3D">
        <w:trPr>
          <w:trHeight w:val="239"/>
        </w:trPr>
        <w:tc>
          <w:tcPr>
            <w:tcW w:w="246" w:type="pct"/>
            <w:tcBorders>
              <w:top w:val="nil"/>
              <w:left w:val="double" w:sz="4" w:space="0" w:color="000000"/>
              <w:bottom w:val="nil"/>
            </w:tcBorders>
          </w:tcPr>
          <w:p w14:paraId="51EAF824" w14:textId="77777777" w:rsidR="00B3500A" w:rsidRPr="006F4CD1" w:rsidRDefault="00B3500A" w:rsidP="00D62AD1">
            <w:pPr>
              <w:pStyle w:val="TableParagraph"/>
              <w:ind w:left="28"/>
              <w:rPr>
                <w:sz w:val="16"/>
                <w:szCs w:val="16"/>
              </w:rPr>
            </w:pPr>
            <w:r w:rsidRPr="006F4CD1">
              <w:rPr>
                <w:w w:val="99"/>
                <w:sz w:val="16"/>
                <w:szCs w:val="16"/>
              </w:rPr>
              <w:t>7</w:t>
            </w:r>
          </w:p>
        </w:tc>
        <w:tc>
          <w:tcPr>
            <w:tcW w:w="910" w:type="pct"/>
            <w:tcBorders>
              <w:top w:val="nil"/>
              <w:bottom w:val="nil"/>
            </w:tcBorders>
          </w:tcPr>
          <w:p w14:paraId="3E3E6A79" w14:textId="77777777" w:rsidR="00B3500A" w:rsidRPr="006F4CD1" w:rsidRDefault="00B3500A" w:rsidP="00D62AD1">
            <w:pPr>
              <w:pStyle w:val="TableParagraph"/>
              <w:ind w:left="118"/>
              <w:jc w:val="left"/>
              <w:rPr>
                <w:sz w:val="16"/>
                <w:szCs w:val="16"/>
              </w:rPr>
            </w:pPr>
            <w:r w:rsidRPr="006F4CD1">
              <w:rPr>
                <w:spacing w:val="-2"/>
                <w:w w:val="110"/>
                <w:sz w:val="16"/>
                <w:szCs w:val="16"/>
              </w:rPr>
              <w:t>Connecticut</w:t>
            </w:r>
          </w:p>
        </w:tc>
        <w:tc>
          <w:tcPr>
            <w:tcW w:w="312" w:type="pct"/>
            <w:tcBorders>
              <w:top w:val="nil"/>
              <w:bottom w:val="nil"/>
            </w:tcBorders>
          </w:tcPr>
          <w:p w14:paraId="7B878549" w14:textId="77777777" w:rsidR="00B3500A" w:rsidRPr="006F4CD1" w:rsidRDefault="00B3500A" w:rsidP="00D62AD1">
            <w:pPr>
              <w:pStyle w:val="TableParagraph"/>
              <w:ind w:left="97" w:right="89"/>
              <w:rPr>
                <w:sz w:val="16"/>
                <w:szCs w:val="16"/>
              </w:rPr>
            </w:pPr>
            <w:r w:rsidRPr="006F4CD1">
              <w:rPr>
                <w:spacing w:val="-4"/>
                <w:sz w:val="16"/>
                <w:szCs w:val="16"/>
              </w:rPr>
              <w:t>0.50</w:t>
            </w:r>
          </w:p>
        </w:tc>
        <w:tc>
          <w:tcPr>
            <w:tcW w:w="550" w:type="pct"/>
            <w:tcBorders>
              <w:top w:val="nil"/>
              <w:bottom w:val="nil"/>
            </w:tcBorders>
          </w:tcPr>
          <w:p w14:paraId="19113FDA" w14:textId="77777777" w:rsidR="00B3500A" w:rsidRPr="006F4CD1" w:rsidRDefault="00B3500A" w:rsidP="00D62AD1">
            <w:pPr>
              <w:pStyle w:val="TableParagraph"/>
              <w:ind w:left="118" w:right="109"/>
              <w:rPr>
                <w:sz w:val="16"/>
                <w:szCs w:val="16"/>
              </w:rPr>
            </w:pPr>
            <w:r w:rsidRPr="006F4CD1">
              <w:rPr>
                <w:spacing w:val="-4"/>
                <w:sz w:val="16"/>
                <w:szCs w:val="16"/>
              </w:rPr>
              <w:t>0.44</w:t>
            </w:r>
          </w:p>
        </w:tc>
        <w:tc>
          <w:tcPr>
            <w:tcW w:w="367" w:type="pct"/>
            <w:tcBorders>
              <w:top w:val="nil"/>
              <w:bottom w:val="nil"/>
            </w:tcBorders>
          </w:tcPr>
          <w:p w14:paraId="45CB4B43" w14:textId="77777777" w:rsidR="00B3500A" w:rsidRPr="006F4CD1" w:rsidRDefault="00B3500A" w:rsidP="00D62AD1">
            <w:pPr>
              <w:pStyle w:val="TableParagraph"/>
              <w:ind w:left="98" w:right="89"/>
              <w:rPr>
                <w:sz w:val="16"/>
                <w:szCs w:val="16"/>
              </w:rPr>
            </w:pPr>
            <w:r w:rsidRPr="006F4CD1">
              <w:rPr>
                <w:spacing w:val="-4"/>
                <w:sz w:val="16"/>
                <w:szCs w:val="16"/>
              </w:rPr>
              <w:t>0.43</w:t>
            </w:r>
          </w:p>
        </w:tc>
        <w:tc>
          <w:tcPr>
            <w:tcW w:w="413" w:type="pct"/>
            <w:tcBorders>
              <w:top w:val="nil"/>
              <w:bottom w:val="nil"/>
              <w:right w:val="double" w:sz="4" w:space="0" w:color="000000"/>
            </w:tcBorders>
          </w:tcPr>
          <w:p w14:paraId="2313249B" w14:textId="77777777" w:rsidR="00B3500A" w:rsidRPr="006F4CD1" w:rsidRDefault="00B3500A" w:rsidP="00D62AD1">
            <w:pPr>
              <w:pStyle w:val="TableParagraph"/>
              <w:ind w:left="98" w:right="89"/>
              <w:rPr>
                <w:sz w:val="16"/>
                <w:szCs w:val="16"/>
              </w:rPr>
            </w:pPr>
            <w:r w:rsidRPr="006F4CD1">
              <w:rPr>
                <w:spacing w:val="-4"/>
                <w:sz w:val="16"/>
                <w:szCs w:val="16"/>
              </w:rPr>
              <w:t>0.49</w:t>
            </w:r>
          </w:p>
        </w:tc>
        <w:tc>
          <w:tcPr>
            <w:tcW w:w="321" w:type="pct"/>
            <w:tcBorders>
              <w:top w:val="nil"/>
              <w:left w:val="double" w:sz="4" w:space="0" w:color="000000"/>
              <w:bottom w:val="nil"/>
            </w:tcBorders>
          </w:tcPr>
          <w:p w14:paraId="30700AED" w14:textId="77777777" w:rsidR="00B3500A" w:rsidRPr="006F4CD1" w:rsidRDefault="00B3500A" w:rsidP="00D62AD1">
            <w:pPr>
              <w:pStyle w:val="TableParagraph"/>
              <w:ind w:right="102"/>
              <w:rPr>
                <w:sz w:val="16"/>
                <w:szCs w:val="16"/>
              </w:rPr>
            </w:pPr>
            <w:r w:rsidRPr="006F4CD1">
              <w:rPr>
                <w:spacing w:val="-4"/>
                <w:sz w:val="16"/>
                <w:szCs w:val="16"/>
              </w:rPr>
              <w:t>0.56</w:t>
            </w:r>
          </w:p>
        </w:tc>
        <w:tc>
          <w:tcPr>
            <w:tcW w:w="505" w:type="pct"/>
            <w:tcBorders>
              <w:top w:val="nil"/>
              <w:bottom w:val="nil"/>
            </w:tcBorders>
          </w:tcPr>
          <w:p w14:paraId="555FFDEA"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0.51</w:t>
            </w:r>
          </w:p>
        </w:tc>
        <w:tc>
          <w:tcPr>
            <w:tcW w:w="413" w:type="pct"/>
            <w:tcBorders>
              <w:top w:val="nil"/>
              <w:bottom w:val="nil"/>
            </w:tcBorders>
          </w:tcPr>
          <w:p w14:paraId="5E9CCF59" w14:textId="77777777" w:rsidR="00B3500A" w:rsidRPr="006F4CD1" w:rsidRDefault="00B3500A" w:rsidP="00D62AD1">
            <w:pPr>
              <w:pStyle w:val="TableParagraph"/>
              <w:ind w:left="271"/>
              <w:jc w:val="left"/>
              <w:rPr>
                <w:sz w:val="16"/>
                <w:szCs w:val="16"/>
              </w:rPr>
            </w:pPr>
            <w:r w:rsidRPr="006F4CD1">
              <w:rPr>
                <w:spacing w:val="-4"/>
                <w:sz w:val="16"/>
                <w:szCs w:val="16"/>
              </w:rPr>
              <w:t>0.49</w:t>
            </w:r>
          </w:p>
        </w:tc>
        <w:tc>
          <w:tcPr>
            <w:tcW w:w="413" w:type="pct"/>
            <w:tcBorders>
              <w:top w:val="nil"/>
              <w:bottom w:val="nil"/>
            </w:tcBorders>
          </w:tcPr>
          <w:p w14:paraId="40CB8544" w14:textId="77777777" w:rsidR="00B3500A" w:rsidRPr="006F4CD1" w:rsidRDefault="00B3500A" w:rsidP="00D62AD1">
            <w:pPr>
              <w:pStyle w:val="TableParagraph"/>
              <w:ind w:right="103"/>
              <w:rPr>
                <w:sz w:val="16"/>
                <w:szCs w:val="16"/>
              </w:rPr>
            </w:pPr>
            <w:r w:rsidRPr="006F4CD1">
              <w:rPr>
                <w:spacing w:val="-4"/>
                <w:sz w:val="16"/>
                <w:szCs w:val="16"/>
              </w:rPr>
              <w:t>0.55</w:t>
            </w:r>
          </w:p>
        </w:tc>
        <w:tc>
          <w:tcPr>
            <w:tcW w:w="550" w:type="pct"/>
            <w:tcBorders>
              <w:top w:val="nil"/>
              <w:bottom w:val="nil"/>
            </w:tcBorders>
          </w:tcPr>
          <w:p w14:paraId="5AC445D0" w14:textId="77777777" w:rsidR="00B3500A" w:rsidRPr="006F4CD1" w:rsidRDefault="00B3500A" w:rsidP="00D62AD1">
            <w:pPr>
              <w:pStyle w:val="TableParagraph"/>
              <w:ind w:left="109" w:right="102"/>
              <w:rPr>
                <w:sz w:val="16"/>
                <w:szCs w:val="16"/>
              </w:rPr>
            </w:pPr>
            <w:r w:rsidRPr="006F4CD1">
              <w:rPr>
                <w:spacing w:val="-2"/>
                <w:w w:val="110"/>
                <w:sz w:val="16"/>
                <w:szCs w:val="16"/>
              </w:rPr>
              <w:t>Northeast</w:t>
            </w:r>
          </w:p>
        </w:tc>
      </w:tr>
      <w:tr w:rsidR="00B3500A" w:rsidRPr="006F4CD1" w14:paraId="15C41331" w14:textId="77777777" w:rsidTr="00326B3D">
        <w:trPr>
          <w:trHeight w:val="239"/>
        </w:trPr>
        <w:tc>
          <w:tcPr>
            <w:tcW w:w="246" w:type="pct"/>
            <w:tcBorders>
              <w:top w:val="nil"/>
              <w:left w:val="double" w:sz="4" w:space="0" w:color="000000"/>
              <w:bottom w:val="nil"/>
            </w:tcBorders>
          </w:tcPr>
          <w:p w14:paraId="298717B8" w14:textId="77777777" w:rsidR="00B3500A" w:rsidRPr="006F4CD1" w:rsidRDefault="00B3500A" w:rsidP="00D62AD1">
            <w:pPr>
              <w:pStyle w:val="TableParagraph"/>
              <w:ind w:left="28"/>
              <w:rPr>
                <w:sz w:val="16"/>
                <w:szCs w:val="16"/>
              </w:rPr>
            </w:pPr>
            <w:r w:rsidRPr="006F4CD1">
              <w:rPr>
                <w:w w:val="99"/>
                <w:sz w:val="16"/>
                <w:szCs w:val="16"/>
              </w:rPr>
              <w:t>8</w:t>
            </w:r>
          </w:p>
        </w:tc>
        <w:tc>
          <w:tcPr>
            <w:tcW w:w="910" w:type="pct"/>
            <w:tcBorders>
              <w:top w:val="nil"/>
              <w:bottom w:val="nil"/>
            </w:tcBorders>
          </w:tcPr>
          <w:p w14:paraId="3EA5C283" w14:textId="77777777" w:rsidR="00B3500A" w:rsidRPr="006F4CD1" w:rsidRDefault="00B3500A" w:rsidP="00D62AD1">
            <w:pPr>
              <w:pStyle w:val="TableParagraph"/>
              <w:ind w:left="118"/>
              <w:jc w:val="left"/>
              <w:rPr>
                <w:sz w:val="16"/>
                <w:szCs w:val="16"/>
              </w:rPr>
            </w:pPr>
            <w:r w:rsidRPr="006F4CD1">
              <w:rPr>
                <w:spacing w:val="-2"/>
                <w:w w:val="105"/>
                <w:sz w:val="16"/>
                <w:szCs w:val="16"/>
              </w:rPr>
              <w:t>Delaware</w:t>
            </w:r>
          </w:p>
        </w:tc>
        <w:tc>
          <w:tcPr>
            <w:tcW w:w="312" w:type="pct"/>
            <w:tcBorders>
              <w:top w:val="nil"/>
              <w:bottom w:val="nil"/>
            </w:tcBorders>
          </w:tcPr>
          <w:p w14:paraId="7823FF2B" w14:textId="77777777" w:rsidR="00B3500A" w:rsidRPr="006F4CD1" w:rsidRDefault="00B3500A" w:rsidP="00D62AD1">
            <w:pPr>
              <w:pStyle w:val="TableParagraph"/>
              <w:ind w:left="97" w:right="89"/>
              <w:rPr>
                <w:sz w:val="16"/>
                <w:szCs w:val="16"/>
              </w:rPr>
            </w:pPr>
            <w:r w:rsidRPr="006F4CD1">
              <w:rPr>
                <w:spacing w:val="-4"/>
                <w:sz w:val="16"/>
                <w:szCs w:val="16"/>
              </w:rPr>
              <w:t>0.56</w:t>
            </w:r>
          </w:p>
        </w:tc>
        <w:tc>
          <w:tcPr>
            <w:tcW w:w="550" w:type="pct"/>
            <w:tcBorders>
              <w:top w:val="nil"/>
              <w:bottom w:val="nil"/>
            </w:tcBorders>
          </w:tcPr>
          <w:p w14:paraId="1800FDD3" w14:textId="77777777" w:rsidR="00B3500A" w:rsidRPr="006F4CD1" w:rsidRDefault="00B3500A" w:rsidP="00D62AD1">
            <w:pPr>
              <w:pStyle w:val="TableParagraph"/>
              <w:ind w:left="118" w:right="109"/>
              <w:rPr>
                <w:sz w:val="16"/>
                <w:szCs w:val="16"/>
              </w:rPr>
            </w:pPr>
            <w:r w:rsidRPr="006F4CD1">
              <w:rPr>
                <w:spacing w:val="-4"/>
                <w:sz w:val="16"/>
                <w:szCs w:val="16"/>
              </w:rPr>
              <w:t>0.42</w:t>
            </w:r>
          </w:p>
        </w:tc>
        <w:tc>
          <w:tcPr>
            <w:tcW w:w="367" w:type="pct"/>
            <w:tcBorders>
              <w:top w:val="nil"/>
              <w:bottom w:val="nil"/>
            </w:tcBorders>
          </w:tcPr>
          <w:p w14:paraId="79163C06" w14:textId="77777777" w:rsidR="00B3500A" w:rsidRPr="006F4CD1" w:rsidRDefault="00B3500A" w:rsidP="00D62AD1">
            <w:pPr>
              <w:pStyle w:val="TableParagraph"/>
              <w:ind w:left="98" w:right="89"/>
              <w:rPr>
                <w:sz w:val="16"/>
                <w:szCs w:val="16"/>
              </w:rPr>
            </w:pPr>
            <w:r w:rsidRPr="006F4CD1">
              <w:rPr>
                <w:spacing w:val="-4"/>
                <w:sz w:val="16"/>
                <w:szCs w:val="16"/>
              </w:rPr>
              <w:t>0.43</w:t>
            </w:r>
          </w:p>
        </w:tc>
        <w:tc>
          <w:tcPr>
            <w:tcW w:w="413" w:type="pct"/>
            <w:tcBorders>
              <w:top w:val="nil"/>
              <w:bottom w:val="nil"/>
              <w:right w:val="double" w:sz="4" w:space="0" w:color="000000"/>
            </w:tcBorders>
          </w:tcPr>
          <w:p w14:paraId="6509B11B" w14:textId="77777777" w:rsidR="00B3500A" w:rsidRPr="006F4CD1" w:rsidRDefault="00B3500A" w:rsidP="00D62AD1">
            <w:pPr>
              <w:pStyle w:val="TableParagraph"/>
              <w:ind w:left="98" w:right="89"/>
              <w:rPr>
                <w:sz w:val="16"/>
                <w:szCs w:val="16"/>
              </w:rPr>
            </w:pPr>
            <w:r w:rsidRPr="006F4CD1">
              <w:rPr>
                <w:spacing w:val="-4"/>
                <w:sz w:val="16"/>
                <w:szCs w:val="16"/>
              </w:rPr>
              <w:t>0.53</w:t>
            </w:r>
          </w:p>
        </w:tc>
        <w:tc>
          <w:tcPr>
            <w:tcW w:w="321" w:type="pct"/>
            <w:tcBorders>
              <w:top w:val="nil"/>
              <w:left w:val="double" w:sz="4" w:space="0" w:color="000000"/>
              <w:bottom w:val="nil"/>
            </w:tcBorders>
          </w:tcPr>
          <w:p w14:paraId="3FDC4D9F" w14:textId="77777777" w:rsidR="00B3500A" w:rsidRPr="006F4CD1" w:rsidRDefault="00B3500A" w:rsidP="00D62AD1">
            <w:pPr>
              <w:pStyle w:val="TableParagraph"/>
              <w:ind w:right="102"/>
              <w:rPr>
                <w:sz w:val="16"/>
                <w:szCs w:val="16"/>
              </w:rPr>
            </w:pPr>
            <w:r w:rsidRPr="006F4CD1">
              <w:rPr>
                <w:spacing w:val="-4"/>
                <w:sz w:val="16"/>
                <w:szCs w:val="16"/>
              </w:rPr>
              <w:t>0.82</w:t>
            </w:r>
          </w:p>
        </w:tc>
        <w:tc>
          <w:tcPr>
            <w:tcW w:w="505" w:type="pct"/>
            <w:tcBorders>
              <w:top w:val="nil"/>
              <w:bottom w:val="nil"/>
            </w:tcBorders>
          </w:tcPr>
          <w:p w14:paraId="019AAD6C"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0.68</w:t>
            </w:r>
          </w:p>
        </w:tc>
        <w:tc>
          <w:tcPr>
            <w:tcW w:w="413" w:type="pct"/>
            <w:tcBorders>
              <w:top w:val="nil"/>
              <w:bottom w:val="nil"/>
            </w:tcBorders>
          </w:tcPr>
          <w:p w14:paraId="25FBC7DA" w14:textId="77777777" w:rsidR="00B3500A" w:rsidRPr="006F4CD1" w:rsidRDefault="00B3500A" w:rsidP="00D62AD1">
            <w:pPr>
              <w:pStyle w:val="TableParagraph"/>
              <w:ind w:left="271"/>
              <w:jc w:val="left"/>
              <w:rPr>
                <w:sz w:val="16"/>
                <w:szCs w:val="16"/>
              </w:rPr>
            </w:pPr>
            <w:r w:rsidRPr="006F4CD1">
              <w:rPr>
                <w:spacing w:val="-4"/>
                <w:sz w:val="16"/>
                <w:szCs w:val="16"/>
              </w:rPr>
              <w:t>0.66</w:t>
            </w:r>
          </w:p>
        </w:tc>
        <w:tc>
          <w:tcPr>
            <w:tcW w:w="413" w:type="pct"/>
            <w:tcBorders>
              <w:top w:val="nil"/>
              <w:bottom w:val="nil"/>
            </w:tcBorders>
          </w:tcPr>
          <w:p w14:paraId="472EB1D7" w14:textId="77777777" w:rsidR="00B3500A" w:rsidRPr="006F4CD1" w:rsidRDefault="00B3500A" w:rsidP="00D62AD1">
            <w:pPr>
              <w:pStyle w:val="TableParagraph"/>
              <w:ind w:right="103"/>
              <w:rPr>
                <w:sz w:val="16"/>
                <w:szCs w:val="16"/>
              </w:rPr>
            </w:pPr>
            <w:r w:rsidRPr="006F4CD1">
              <w:rPr>
                <w:spacing w:val="-4"/>
                <w:sz w:val="16"/>
                <w:szCs w:val="16"/>
              </w:rPr>
              <w:t>0.81</w:t>
            </w:r>
          </w:p>
        </w:tc>
        <w:tc>
          <w:tcPr>
            <w:tcW w:w="550" w:type="pct"/>
            <w:tcBorders>
              <w:top w:val="nil"/>
              <w:bottom w:val="nil"/>
            </w:tcBorders>
          </w:tcPr>
          <w:p w14:paraId="65695A8F"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0DCE074C" w14:textId="77777777" w:rsidTr="00326B3D">
        <w:trPr>
          <w:trHeight w:val="239"/>
        </w:trPr>
        <w:tc>
          <w:tcPr>
            <w:tcW w:w="246" w:type="pct"/>
            <w:tcBorders>
              <w:top w:val="nil"/>
              <w:left w:val="double" w:sz="4" w:space="0" w:color="000000"/>
              <w:bottom w:val="nil"/>
            </w:tcBorders>
          </w:tcPr>
          <w:p w14:paraId="1E210037" w14:textId="77777777" w:rsidR="00B3500A" w:rsidRPr="006F4CD1" w:rsidRDefault="00B3500A" w:rsidP="00D62AD1">
            <w:pPr>
              <w:pStyle w:val="TableParagraph"/>
              <w:ind w:left="28"/>
              <w:rPr>
                <w:sz w:val="16"/>
                <w:szCs w:val="16"/>
              </w:rPr>
            </w:pPr>
            <w:r w:rsidRPr="006F4CD1">
              <w:rPr>
                <w:w w:val="99"/>
                <w:sz w:val="16"/>
                <w:szCs w:val="16"/>
              </w:rPr>
              <w:t>9</w:t>
            </w:r>
          </w:p>
        </w:tc>
        <w:tc>
          <w:tcPr>
            <w:tcW w:w="910" w:type="pct"/>
            <w:tcBorders>
              <w:top w:val="nil"/>
              <w:bottom w:val="nil"/>
            </w:tcBorders>
          </w:tcPr>
          <w:p w14:paraId="73120768" w14:textId="77777777" w:rsidR="00B3500A" w:rsidRPr="006F4CD1" w:rsidRDefault="00B3500A" w:rsidP="00D62AD1">
            <w:pPr>
              <w:pStyle w:val="TableParagraph"/>
              <w:ind w:left="118"/>
              <w:jc w:val="left"/>
              <w:rPr>
                <w:sz w:val="16"/>
                <w:szCs w:val="16"/>
              </w:rPr>
            </w:pPr>
            <w:r w:rsidRPr="006F4CD1">
              <w:rPr>
                <w:w w:val="105"/>
                <w:sz w:val="16"/>
                <w:szCs w:val="16"/>
              </w:rPr>
              <w:t>District</w:t>
            </w:r>
            <w:r w:rsidRPr="006F4CD1">
              <w:rPr>
                <w:spacing w:val="21"/>
                <w:w w:val="105"/>
                <w:sz w:val="16"/>
                <w:szCs w:val="16"/>
              </w:rPr>
              <w:t xml:space="preserve"> </w:t>
            </w:r>
            <w:r w:rsidRPr="006F4CD1">
              <w:rPr>
                <w:w w:val="105"/>
                <w:sz w:val="16"/>
                <w:szCs w:val="16"/>
              </w:rPr>
              <w:t>of</w:t>
            </w:r>
            <w:r w:rsidRPr="006F4CD1">
              <w:rPr>
                <w:spacing w:val="21"/>
                <w:w w:val="105"/>
                <w:sz w:val="16"/>
                <w:szCs w:val="16"/>
              </w:rPr>
              <w:t xml:space="preserve"> </w:t>
            </w:r>
            <w:r w:rsidRPr="006F4CD1">
              <w:rPr>
                <w:spacing w:val="-2"/>
                <w:w w:val="105"/>
                <w:sz w:val="16"/>
                <w:szCs w:val="16"/>
              </w:rPr>
              <w:t>Columbia</w:t>
            </w:r>
          </w:p>
        </w:tc>
        <w:tc>
          <w:tcPr>
            <w:tcW w:w="312" w:type="pct"/>
            <w:tcBorders>
              <w:top w:val="nil"/>
              <w:bottom w:val="nil"/>
            </w:tcBorders>
          </w:tcPr>
          <w:p w14:paraId="15B32149" w14:textId="77777777" w:rsidR="00B3500A" w:rsidRPr="006F4CD1" w:rsidRDefault="00B3500A" w:rsidP="00D62AD1">
            <w:pPr>
              <w:pStyle w:val="TableParagraph"/>
              <w:ind w:left="97" w:right="89"/>
              <w:rPr>
                <w:sz w:val="16"/>
                <w:szCs w:val="16"/>
              </w:rPr>
            </w:pPr>
            <w:r w:rsidRPr="006F4CD1">
              <w:rPr>
                <w:spacing w:val="-4"/>
                <w:sz w:val="16"/>
                <w:szCs w:val="16"/>
              </w:rPr>
              <w:t>0.47</w:t>
            </w:r>
          </w:p>
        </w:tc>
        <w:tc>
          <w:tcPr>
            <w:tcW w:w="550" w:type="pct"/>
            <w:tcBorders>
              <w:top w:val="nil"/>
              <w:bottom w:val="nil"/>
            </w:tcBorders>
          </w:tcPr>
          <w:p w14:paraId="1410B4C8" w14:textId="77777777" w:rsidR="00B3500A" w:rsidRPr="006F4CD1" w:rsidRDefault="00B3500A" w:rsidP="00D62AD1">
            <w:pPr>
              <w:pStyle w:val="TableParagraph"/>
              <w:ind w:left="118" w:right="109"/>
              <w:rPr>
                <w:sz w:val="16"/>
                <w:szCs w:val="16"/>
              </w:rPr>
            </w:pPr>
            <w:r w:rsidRPr="006F4CD1">
              <w:rPr>
                <w:spacing w:val="-4"/>
                <w:sz w:val="16"/>
                <w:szCs w:val="16"/>
              </w:rPr>
              <w:t>0.43</w:t>
            </w:r>
          </w:p>
        </w:tc>
        <w:tc>
          <w:tcPr>
            <w:tcW w:w="367" w:type="pct"/>
            <w:tcBorders>
              <w:top w:val="nil"/>
              <w:bottom w:val="nil"/>
            </w:tcBorders>
          </w:tcPr>
          <w:p w14:paraId="5FF4062A" w14:textId="77777777" w:rsidR="00B3500A" w:rsidRPr="006F4CD1" w:rsidRDefault="00B3500A" w:rsidP="00D62AD1">
            <w:pPr>
              <w:pStyle w:val="TableParagraph"/>
              <w:ind w:left="98" w:right="89"/>
              <w:rPr>
                <w:sz w:val="16"/>
                <w:szCs w:val="16"/>
              </w:rPr>
            </w:pPr>
            <w:r w:rsidRPr="006F4CD1">
              <w:rPr>
                <w:spacing w:val="-4"/>
                <w:sz w:val="16"/>
                <w:szCs w:val="16"/>
              </w:rPr>
              <w:t>0.41</w:t>
            </w:r>
          </w:p>
        </w:tc>
        <w:tc>
          <w:tcPr>
            <w:tcW w:w="413" w:type="pct"/>
            <w:tcBorders>
              <w:top w:val="nil"/>
              <w:bottom w:val="nil"/>
              <w:right w:val="double" w:sz="4" w:space="0" w:color="000000"/>
            </w:tcBorders>
          </w:tcPr>
          <w:p w14:paraId="2F9D6B3A" w14:textId="77777777" w:rsidR="00B3500A" w:rsidRPr="006F4CD1" w:rsidRDefault="00B3500A" w:rsidP="00D62AD1">
            <w:pPr>
              <w:pStyle w:val="TableParagraph"/>
              <w:ind w:left="98" w:right="89"/>
              <w:rPr>
                <w:sz w:val="16"/>
                <w:szCs w:val="16"/>
              </w:rPr>
            </w:pPr>
            <w:r w:rsidRPr="006F4CD1">
              <w:rPr>
                <w:spacing w:val="-4"/>
                <w:sz w:val="16"/>
                <w:szCs w:val="16"/>
              </w:rPr>
              <w:t>0.46</w:t>
            </w:r>
          </w:p>
        </w:tc>
        <w:tc>
          <w:tcPr>
            <w:tcW w:w="321" w:type="pct"/>
            <w:tcBorders>
              <w:top w:val="nil"/>
              <w:left w:val="double" w:sz="4" w:space="0" w:color="000000"/>
              <w:bottom w:val="nil"/>
            </w:tcBorders>
          </w:tcPr>
          <w:p w14:paraId="45274E1C" w14:textId="77777777" w:rsidR="00B3500A" w:rsidRPr="006F4CD1" w:rsidRDefault="00B3500A" w:rsidP="00D62AD1">
            <w:pPr>
              <w:pStyle w:val="TableParagraph"/>
              <w:ind w:right="102"/>
              <w:rPr>
                <w:sz w:val="16"/>
                <w:szCs w:val="16"/>
              </w:rPr>
            </w:pPr>
            <w:r w:rsidRPr="006F4CD1">
              <w:rPr>
                <w:spacing w:val="-4"/>
                <w:sz w:val="16"/>
                <w:szCs w:val="16"/>
              </w:rPr>
              <w:t>0.56</w:t>
            </w:r>
          </w:p>
        </w:tc>
        <w:tc>
          <w:tcPr>
            <w:tcW w:w="505" w:type="pct"/>
            <w:tcBorders>
              <w:top w:val="nil"/>
              <w:bottom w:val="nil"/>
            </w:tcBorders>
          </w:tcPr>
          <w:p w14:paraId="0FEC714D"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0.47</w:t>
            </w:r>
          </w:p>
        </w:tc>
        <w:tc>
          <w:tcPr>
            <w:tcW w:w="413" w:type="pct"/>
            <w:tcBorders>
              <w:top w:val="nil"/>
              <w:bottom w:val="nil"/>
            </w:tcBorders>
          </w:tcPr>
          <w:p w14:paraId="7CC34460" w14:textId="77777777" w:rsidR="00B3500A" w:rsidRPr="006F4CD1" w:rsidRDefault="00B3500A" w:rsidP="00D62AD1">
            <w:pPr>
              <w:pStyle w:val="TableParagraph"/>
              <w:ind w:left="271"/>
              <w:jc w:val="left"/>
              <w:rPr>
                <w:sz w:val="16"/>
                <w:szCs w:val="16"/>
              </w:rPr>
            </w:pPr>
            <w:r w:rsidRPr="006F4CD1">
              <w:rPr>
                <w:spacing w:val="-4"/>
                <w:sz w:val="16"/>
                <w:szCs w:val="16"/>
              </w:rPr>
              <w:t>0.47</w:t>
            </w:r>
          </w:p>
        </w:tc>
        <w:tc>
          <w:tcPr>
            <w:tcW w:w="413" w:type="pct"/>
            <w:tcBorders>
              <w:top w:val="nil"/>
              <w:bottom w:val="nil"/>
            </w:tcBorders>
          </w:tcPr>
          <w:p w14:paraId="6A2319EC" w14:textId="77777777" w:rsidR="00B3500A" w:rsidRPr="006F4CD1" w:rsidRDefault="00B3500A" w:rsidP="00D62AD1">
            <w:pPr>
              <w:pStyle w:val="TableParagraph"/>
              <w:ind w:right="103"/>
              <w:rPr>
                <w:sz w:val="16"/>
                <w:szCs w:val="16"/>
              </w:rPr>
            </w:pPr>
            <w:r w:rsidRPr="006F4CD1">
              <w:rPr>
                <w:spacing w:val="-4"/>
                <w:sz w:val="16"/>
                <w:szCs w:val="16"/>
              </w:rPr>
              <w:t>0.55</w:t>
            </w:r>
          </w:p>
        </w:tc>
        <w:tc>
          <w:tcPr>
            <w:tcW w:w="550" w:type="pct"/>
            <w:tcBorders>
              <w:top w:val="nil"/>
              <w:bottom w:val="nil"/>
            </w:tcBorders>
          </w:tcPr>
          <w:p w14:paraId="5FA66719"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6708249E" w14:textId="77777777" w:rsidTr="00326B3D">
        <w:trPr>
          <w:trHeight w:val="239"/>
        </w:trPr>
        <w:tc>
          <w:tcPr>
            <w:tcW w:w="246" w:type="pct"/>
            <w:tcBorders>
              <w:top w:val="nil"/>
              <w:left w:val="double" w:sz="4" w:space="0" w:color="000000"/>
              <w:bottom w:val="nil"/>
            </w:tcBorders>
          </w:tcPr>
          <w:p w14:paraId="33FAA096" w14:textId="77777777" w:rsidR="00B3500A" w:rsidRPr="006F4CD1" w:rsidRDefault="00B3500A" w:rsidP="00D62AD1">
            <w:pPr>
              <w:pStyle w:val="TableParagraph"/>
              <w:ind w:left="119" w:right="91"/>
              <w:rPr>
                <w:sz w:val="16"/>
                <w:szCs w:val="16"/>
              </w:rPr>
            </w:pPr>
            <w:r w:rsidRPr="006F4CD1">
              <w:rPr>
                <w:spacing w:val="-5"/>
                <w:sz w:val="16"/>
                <w:szCs w:val="16"/>
              </w:rPr>
              <w:t>10</w:t>
            </w:r>
          </w:p>
        </w:tc>
        <w:tc>
          <w:tcPr>
            <w:tcW w:w="910" w:type="pct"/>
            <w:tcBorders>
              <w:top w:val="nil"/>
              <w:bottom w:val="nil"/>
            </w:tcBorders>
          </w:tcPr>
          <w:p w14:paraId="30EF7A40" w14:textId="77777777" w:rsidR="00B3500A" w:rsidRPr="006F4CD1" w:rsidRDefault="00B3500A" w:rsidP="00D62AD1">
            <w:pPr>
              <w:pStyle w:val="TableParagraph"/>
              <w:ind w:left="118"/>
              <w:jc w:val="left"/>
              <w:rPr>
                <w:sz w:val="16"/>
                <w:szCs w:val="16"/>
              </w:rPr>
            </w:pPr>
            <w:r w:rsidRPr="006F4CD1">
              <w:rPr>
                <w:spacing w:val="-2"/>
                <w:w w:val="110"/>
                <w:sz w:val="16"/>
                <w:szCs w:val="16"/>
              </w:rPr>
              <w:t>Florida</w:t>
            </w:r>
          </w:p>
        </w:tc>
        <w:tc>
          <w:tcPr>
            <w:tcW w:w="312" w:type="pct"/>
            <w:tcBorders>
              <w:top w:val="nil"/>
              <w:bottom w:val="nil"/>
            </w:tcBorders>
          </w:tcPr>
          <w:p w14:paraId="6E31C855" w14:textId="77777777" w:rsidR="00B3500A" w:rsidRPr="006F4CD1" w:rsidRDefault="00B3500A" w:rsidP="00D62AD1">
            <w:pPr>
              <w:pStyle w:val="TableParagraph"/>
              <w:ind w:left="97" w:right="89"/>
              <w:rPr>
                <w:sz w:val="16"/>
                <w:szCs w:val="16"/>
              </w:rPr>
            </w:pPr>
            <w:r w:rsidRPr="006F4CD1">
              <w:rPr>
                <w:spacing w:val="-4"/>
                <w:sz w:val="16"/>
                <w:szCs w:val="16"/>
              </w:rPr>
              <w:t>0.48</w:t>
            </w:r>
          </w:p>
        </w:tc>
        <w:tc>
          <w:tcPr>
            <w:tcW w:w="550" w:type="pct"/>
            <w:tcBorders>
              <w:top w:val="nil"/>
              <w:bottom w:val="nil"/>
            </w:tcBorders>
          </w:tcPr>
          <w:p w14:paraId="06DF51FA" w14:textId="77777777" w:rsidR="00B3500A" w:rsidRPr="006F4CD1" w:rsidRDefault="00B3500A" w:rsidP="00D62AD1">
            <w:pPr>
              <w:pStyle w:val="TableParagraph"/>
              <w:ind w:left="118" w:right="109"/>
              <w:rPr>
                <w:sz w:val="16"/>
                <w:szCs w:val="16"/>
              </w:rPr>
            </w:pPr>
            <w:r w:rsidRPr="006F4CD1">
              <w:rPr>
                <w:spacing w:val="-4"/>
                <w:sz w:val="16"/>
                <w:szCs w:val="16"/>
              </w:rPr>
              <w:t>0.44</w:t>
            </w:r>
          </w:p>
        </w:tc>
        <w:tc>
          <w:tcPr>
            <w:tcW w:w="367" w:type="pct"/>
            <w:tcBorders>
              <w:top w:val="nil"/>
              <w:bottom w:val="nil"/>
            </w:tcBorders>
          </w:tcPr>
          <w:p w14:paraId="4058A947" w14:textId="77777777" w:rsidR="00B3500A" w:rsidRPr="006F4CD1" w:rsidRDefault="00B3500A" w:rsidP="00D62AD1">
            <w:pPr>
              <w:pStyle w:val="TableParagraph"/>
              <w:ind w:left="98" w:right="89"/>
              <w:rPr>
                <w:sz w:val="16"/>
                <w:szCs w:val="16"/>
              </w:rPr>
            </w:pPr>
            <w:r w:rsidRPr="006F4CD1">
              <w:rPr>
                <w:spacing w:val="-4"/>
                <w:sz w:val="16"/>
                <w:szCs w:val="16"/>
              </w:rPr>
              <w:t>0.42</w:t>
            </w:r>
          </w:p>
        </w:tc>
        <w:tc>
          <w:tcPr>
            <w:tcW w:w="413" w:type="pct"/>
            <w:tcBorders>
              <w:top w:val="nil"/>
              <w:bottom w:val="nil"/>
              <w:right w:val="double" w:sz="4" w:space="0" w:color="000000"/>
            </w:tcBorders>
          </w:tcPr>
          <w:p w14:paraId="2462F13F" w14:textId="77777777" w:rsidR="00B3500A" w:rsidRPr="006F4CD1" w:rsidRDefault="00B3500A" w:rsidP="00D62AD1">
            <w:pPr>
              <w:pStyle w:val="TableParagraph"/>
              <w:ind w:left="98" w:right="89"/>
              <w:rPr>
                <w:sz w:val="16"/>
                <w:szCs w:val="16"/>
              </w:rPr>
            </w:pPr>
            <w:r w:rsidRPr="006F4CD1">
              <w:rPr>
                <w:spacing w:val="-4"/>
                <w:sz w:val="16"/>
                <w:szCs w:val="16"/>
              </w:rPr>
              <w:t>0.47</w:t>
            </w:r>
          </w:p>
        </w:tc>
        <w:tc>
          <w:tcPr>
            <w:tcW w:w="321" w:type="pct"/>
            <w:tcBorders>
              <w:top w:val="nil"/>
              <w:left w:val="double" w:sz="4" w:space="0" w:color="000000"/>
              <w:bottom w:val="nil"/>
            </w:tcBorders>
          </w:tcPr>
          <w:p w14:paraId="02CDB94F" w14:textId="77777777" w:rsidR="00B3500A" w:rsidRPr="006F4CD1" w:rsidRDefault="00B3500A" w:rsidP="00D62AD1">
            <w:pPr>
              <w:pStyle w:val="TableParagraph"/>
              <w:ind w:right="102"/>
              <w:rPr>
                <w:sz w:val="16"/>
                <w:szCs w:val="16"/>
              </w:rPr>
            </w:pPr>
            <w:r w:rsidRPr="006F4CD1">
              <w:rPr>
                <w:spacing w:val="-4"/>
                <w:sz w:val="16"/>
                <w:szCs w:val="16"/>
              </w:rPr>
              <w:t>0.68</w:t>
            </w:r>
          </w:p>
        </w:tc>
        <w:tc>
          <w:tcPr>
            <w:tcW w:w="505" w:type="pct"/>
            <w:tcBorders>
              <w:top w:val="nil"/>
              <w:bottom w:val="nil"/>
            </w:tcBorders>
          </w:tcPr>
          <w:p w14:paraId="294AC0C0"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0.62</w:t>
            </w:r>
          </w:p>
        </w:tc>
        <w:tc>
          <w:tcPr>
            <w:tcW w:w="413" w:type="pct"/>
            <w:tcBorders>
              <w:top w:val="nil"/>
              <w:bottom w:val="nil"/>
            </w:tcBorders>
          </w:tcPr>
          <w:p w14:paraId="33D1504F" w14:textId="77777777" w:rsidR="00B3500A" w:rsidRPr="006F4CD1" w:rsidRDefault="00B3500A" w:rsidP="00D62AD1">
            <w:pPr>
              <w:pStyle w:val="TableParagraph"/>
              <w:ind w:left="271"/>
              <w:jc w:val="left"/>
              <w:rPr>
                <w:sz w:val="16"/>
                <w:szCs w:val="16"/>
              </w:rPr>
            </w:pPr>
            <w:r w:rsidRPr="006F4CD1">
              <w:rPr>
                <w:spacing w:val="-4"/>
                <w:sz w:val="16"/>
                <w:szCs w:val="16"/>
              </w:rPr>
              <w:t>0.60</w:t>
            </w:r>
          </w:p>
        </w:tc>
        <w:tc>
          <w:tcPr>
            <w:tcW w:w="413" w:type="pct"/>
            <w:tcBorders>
              <w:top w:val="nil"/>
              <w:bottom w:val="nil"/>
            </w:tcBorders>
          </w:tcPr>
          <w:p w14:paraId="0002A6EB" w14:textId="77777777" w:rsidR="00B3500A" w:rsidRPr="006F4CD1" w:rsidRDefault="00B3500A" w:rsidP="00D62AD1">
            <w:pPr>
              <w:pStyle w:val="TableParagraph"/>
              <w:ind w:right="103"/>
              <w:rPr>
                <w:sz w:val="16"/>
                <w:szCs w:val="16"/>
              </w:rPr>
            </w:pPr>
            <w:r w:rsidRPr="006F4CD1">
              <w:rPr>
                <w:spacing w:val="-4"/>
                <w:sz w:val="16"/>
                <w:szCs w:val="16"/>
              </w:rPr>
              <w:t>0.67</w:t>
            </w:r>
          </w:p>
        </w:tc>
        <w:tc>
          <w:tcPr>
            <w:tcW w:w="550" w:type="pct"/>
            <w:tcBorders>
              <w:top w:val="nil"/>
              <w:bottom w:val="nil"/>
            </w:tcBorders>
          </w:tcPr>
          <w:p w14:paraId="00CA2C0A"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34CCE840" w14:textId="77777777" w:rsidTr="00326B3D">
        <w:trPr>
          <w:trHeight w:val="239"/>
        </w:trPr>
        <w:tc>
          <w:tcPr>
            <w:tcW w:w="246" w:type="pct"/>
            <w:tcBorders>
              <w:top w:val="nil"/>
              <w:left w:val="double" w:sz="4" w:space="0" w:color="000000"/>
              <w:bottom w:val="nil"/>
            </w:tcBorders>
          </w:tcPr>
          <w:p w14:paraId="3E71B6C9" w14:textId="77777777" w:rsidR="00B3500A" w:rsidRPr="006F4CD1" w:rsidRDefault="00B3500A" w:rsidP="00D62AD1">
            <w:pPr>
              <w:pStyle w:val="TableParagraph"/>
              <w:ind w:left="119" w:right="91"/>
              <w:rPr>
                <w:sz w:val="16"/>
                <w:szCs w:val="16"/>
              </w:rPr>
            </w:pPr>
            <w:r w:rsidRPr="006F4CD1">
              <w:rPr>
                <w:spacing w:val="-5"/>
                <w:sz w:val="16"/>
                <w:szCs w:val="16"/>
              </w:rPr>
              <w:t>11</w:t>
            </w:r>
          </w:p>
        </w:tc>
        <w:tc>
          <w:tcPr>
            <w:tcW w:w="910" w:type="pct"/>
            <w:tcBorders>
              <w:top w:val="nil"/>
              <w:bottom w:val="nil"/>
            </w:tcBorders>
          </w:tcPr>
          <w:p w14:paraId="2B7E0CD2" w14:textId="77777777" w:rsidR="00B3500A" w:rsidRPr="006F4CD1" w:rsidRDefault="00B3500A" w:rsidP="00D62AD1">
            <w:pPr>
              <w:pStyle w:val="TableParagraph"/>
              <w:ind w:left="118"/>
              <w:jc w:val="left"/>
              <w:rPr>
                <w:sz w:val="16"/>
                <w:szCs w:val="16"/>
              </w:rPr>
            </w:pPr>
            <w:r w:rsidRPr="006F4CD1">
              <w:rPr>
                <w:spacing w:val="-2"/>
                <w:w w:val="105"/>
                <w:sz w:val="16"/>
                <w:szCs w:val="16"/>
              </w:rPr>
              <w:t>Georgia</w:t>
            </w:r>
          </w:p>
        </w:tc>
        <w:tc>
          <w:tcPr>
            <w:tcW w:w="312" w:type="pct"/>
            <w:tcBorders>
              <w:top w:val="nil"/>
              <w:bottom w:val="nil"/>
            </w:tcBorders>
          </w:tcPr>
          <w:p w14:paraId="1DBE98ED" w14:textId="77777777" w:rsidR="00B3500A" w:rsidRPr="006F4CD1" w:rsidRDefault="00B3500A" w:rsidP="00D62AD1">
            <w:pPr>
              <w:pStyle w:val="TableParagraph"/>
              <w:ind w:left="97" w:right="89"/>
              <w:rPr>
                <w:sz w:val="16"/>
                <w:szCs w:val="16"/>
              </w:rPr>
            </w:pPr>
            <w:r w:rsidRPr="006F4CD1">
              <w:rPr>
                <w:spacing w:val="-4"/>
                <w:sz w:val="16"/>
                <w:szCs w:val="16"/>
              </w:rPr>
              <w:t>0.44</w:t>
            </w:r>
          </w:p>
        </w:tc>
        <w:tc>
          <w:tcPr>
            <w:tcW w:w="550" w:type="pct"/>
            <w:tcBorders>
              <w:top w:val="nil"/>
              <w:bottom w:val="nil"/>
            </w:tcBorders>
          </w:tcPr>
          <w:p w14:paraId="33FD7E43" w14:textId="77777777" w:rsidR="00B3500A" w:rsidRPr="006F4CD1" w:rsidRDefault="00B3500A" w:rsidP="00D62AD1">
            <w:pPr>
              <w:pStyle w:val="TableParagraph"/>
              <w:ind w:left="118" w:right="109"/>
              <w:rPr>
                <w:sz w:val="16"/>
                <w:szCs w:val="16"/>
              </w:rPr>
            </w:pPr>
            <w:r w:rsidRPr="006F4CD1">
              <w:rPr>
                <w:spacing w:val="-4"/>
                <w:sz w:val="16"/>
                <w:szCs w:val="16"/>
              </w:rPr>
              <w:t>0.41</w:t>
            </w:r>
          </w:p>
        </w:tc>
        <w:tc>
          <w:tcPr>
            <w:tcW w:w="367" w:type="pct"/>
            <w:tcBorders>
              <w:top w:val="nil"/>
              <w:bottom w:val="nil"/>
            </w:tcBorders>
          </w:tcPr>
          <w:p w14:paraId="1EE192BB" w14:textId="77777777" w:rsidR="00B3500A" w:rsidRPr="006F4CD1" w:rsidRDefault="00B3500A" w:rsidP="00D62AD1">
            <w:pPr>
              <w:pStyle w:val="TableParagraph"/>
              <w:ind w:left="98" w:right="89"/>
              <w:rPr>
                <w:sz w:val="16"/>
                <w:szCs w:val="16"/>
              </w:rPr>
            </w:pPr>
            <w:r w:rsidRPr="006F4CD1">
              <w:rPr>
                <w:spacing w:val="-4"/>
                <w:sz w:val="16"/>
                <w:szCs w:val="16"/>
              </w:rPr>
              <w:t>0.39</w:t>
            </w:r>
          </w:p>
        </w:tc>
        <w:tc>
          <w:tcPr>
            <w:tcW w:w="413" w:type="pct"/>
            <w:tcBorders>
              <w:top w:val="nil"/>
              <w:bottom w:val="nil"/>
              <w:right w:val="double" w:sz="4" w:space="0" w:color="000000"/>
            </w:tcBorders>
          </w:tcPr>
          <w:p w14:paraId="4EC6C0DC" w14:textId="77777777" w:rsidR="00B3500A" w:rsidRPr="006F4CD1" w:rsidRDefault="00B3500A" w:rsidP="00D62AD1">
            <w:pPr>
              <w:pStyle w:val="TableParagraph"/>
              <w:ind w:left="98" w:right="89"/>
              <w:rPr>
                <w:sz w:val="16"/>
                <w:szCs w:val="16"/>
              </w:rPr>
            </w:pPr>
            <w:r w:rsidRPr="006F4CD1">
              <w:rPr>
                <w:spacing w:val="-4"/>
                <w:sz w:val="16"/>
                <w:szCs w:val="16"/>
              </w:rPr>
              <w:t>0.43</w:t>
            </w:r>
          </w:p>
        </w:tc>
        <w:tc>
          <w:tcPr>
            <w:tcW w:w="321" w:type="pct"/>
            <w:tcBorders>
              <w:top w:val="nil"/>
              <w:left w:val="double" w:sz="4" w:space="0" w:color="000000"/>
              <w:bottom w:val="nil"/>
            </w:tcBorders>
          </w:tcPr>
          <w:p w14:paraId="39E1A937" w14:textId="77777777" w:rsidR="00B3500A" w:rsidRPr="006F4CD1" w:rsidRDefault="00B3500A" w:rsidP="00D62AD1">
            <w:pPr>
              <w:pStyle w:val="TableParagraph"/>
              <w:ind w:right="102"/>
              <w:rPr>
                <w:sz w:val="16"/>
                <w:szCs w:val="16"/>
              </w:rPr>
            </w:pPr>
            <w:r w:rsidRPr="006F4CD1">
              <w:rPr>
                <w:spacing w:val="-4"/>
                <w:sz w:val="16"/>
                <w:szCs w:val="16"/>
              </w:rPr>
              <w:t>0.64</w:t>
            </w:r>
          </w:p>
        </w:tc>
        <w:tc>
          <w:tcPr>
            <w:tcW w:w="505" w:type="pct"/>
            <w:tcBorders>
              <w:top w:val="nil"/>
              <w:bottom w:val="nil"/>
            </w:tcBorders>
          </w:tcPr>
          <w:p w14:paraId="21256F09"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0.60</w:t>
            </w:r>
          </w:p>
        </w:tc>
        <w:tc>
          <w:tcPr>
            <w:tcW w:w="413" w:type="pct"/>
            <w:tcBorders>
              <w:top w:val="nil"/>
              <w:bottom w:val="nil"/>
            </w:tcBorders>
          </w:tcPr>
          <w:p w14:paraId="34216DC2" w14:textId="77777777" w:rsidR="00B3500A" w:rsidRPr="006F4CD1" w:rsidRDefault="00B3500A" w:rsidP="00D62AD1">
            <w:pPr>
              <w:pStyle w:val="TableParagraph"/>
              <w:ind w:left="271"/>
              <w:jc w:val="left"/>
              <w:rPr>
                <w:sz w:val="16"/>
                <w:szCs w:val="16"/>
              </w:rPr>
            </w:pPr>
            <w:r w:rsidRPr="006F4CD1">
              <w:rPr>
                <w:spacing w:val="-4"/>
                <w:sz w:val="16"/>
                <w:szCs w:val="16"/>
              </w:rPr>
              <w:t>0.58</w:t>
            </w:r>
          </w:p>
        </w:tc>
        <w:tc>
          <w:tcPr>
            <w:tcW w:w="413" w:type="pct"/>
            <w:tcBorders>
              <w:top w:val="nil"/>
              <w:bottom w:val="nil"/>
            </w:tcBorders>
          </w:tcPr>
          <w:p w14:paraId="017C7BE1" w14:textId="77777777" w:rsidR="00B3500A" w:rsidRPr="006F4CD1" w:rsidRDefault="00B3500A" w:rsidP="00D62AD1">
            <w:pPr>
              <w:pStyle w:val="TableParagraph"/>
              <w:ind w:right="103"/>
              <w:rPr>
                <w:sz w:val="16"/>
                <w:szCs w:val="16"/>
              </w:rPr>
            </w:pPr>
            <w:r w:rsidRPr="006F4CD1">
              <w:rPr>
                <w:spacing w:val="-4"/>
                <w:sz w:val="16"/>
                <w:szCs w:val="16"/>
              </w:rPr>
              <w:t>0.63</w:t>
            </w:r>
          </w:p>
        </w:tc>
        <w:tc>
          <w:tcPr>
            <w:tcW w:w="550" w:type="pct"/>
            <w:tcBorders>
              <w:top w:val="nil"/>
              <w:bottom w:val="nil"/>
            </w:tcBorders>
          </w:tcPr>
          <w:p w14:paraId="1FA91665"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7BE2530A" w14:textId="77777777" w:rsidTr="00326B3D">
        <w:trPr>
          <w:trHeight w:val="239"/>
        </w:trPr>
        <w:tc>
          <w:tcPr>
            <w:tcW w:w="246" w:type="pct"/>
            <w:tcBorders>
              <w:top w:val="nil"/>
              <w:left w:val="double" w:sz="4" w:space="0" w:color="000000"/>
              <w:bottom w:val="nil"/>
            </w:tcBorders>
          </w:tcPr>
          <w:p w14:paraId="33F6B023" w14:textId="77777777" w:rsidR="00B3500A" w:rsidRPr="006F4CD1" w:rsidRDefault="00B3500A" w:rsidP="00D62AD1">
            <w:pPr>
              <w:pStyle w:val="TableParagraph"/>
              <w:ind w:left="119" w:right="91"/>
              <w:rPr>
                <w:sz w:val="16"/>
                <w:szCs w:val="16"/>
              </w:rPr>
            </w:pPr>
            <w:r w:rsidRPr="006F4CD1">
              <w:rPr>
                <w:spacing w:val="-5"/>
                <w:sz w:val="16"/>
                <w:szCs w:val="16"/>
              </w:rPr>
              <w:t>12</w:t>
            </w:r>
          </w:p>
        </w:tc>
        <w:tc>
          <w:tcPr>
            <w:tcW w:w="910" w:type="pct"/>
            <w:tcBorders>
              <w:top w:val="nil"/>
              <w:bottom w:val="nil"/>
            </w:tcBorders>
          </w:tcPr>
          <w:p w14:paraId="19CFF87C" w14:textId="77777777" w:rsidR="00B3500A" w:rsidRPr="006F4CD1" w:rsidRDefault="00B3500A" w:rsidP="00D62AD1">
            <w:pPr>
              <w:pStyle w:val="TableParagraph"/>
              <w:ind w:left="118"/>
              <w:jc w:val="left"/>
              <w:rPr>
                <w:sz w:val="16"/>
                <w:szCs w:val="16"/>
              </w:rPr>
            </w:pPr>
            <w:r w:rsidRPr="006F4CD1">
              <w:rPr>
                <w:spacing w:val="-2"/>
                <w:w w:val="105"/>
                <w:sz w:val="16"/>
                <w:szCs w:val="16"/>
              </w:rPr>
              <w:t>Hawaii</w:t>
            </w:r>
          </w:p>
        </w:tc>
        <w:tc>
          <w:tcPr>
            <w:tcW w:w="312" w:type="pct"/>
            <w:tcBorders>
              <w:top w:val="nil"/>
              <w:bottom w:val="nil"/>
            </w:tcBorders>
          </w:tcPr>
          <w:p w14:paraId="5A7C6CFF" w14:textId="77777777" w:rsidR="00B3500A" w:rsidRPr="006F4CD1" w:rsidRDefault="00B3500A" w:rsidP="00D62AD1">
            <w:pPr>
              <w:pStyle w:val="TableParagraph"/>
              <w:ind w:left="97" w:right="89"/>
              <w:rPr>
                <w:sz w:val="16"/>
                <w:szCs w:val="16"/>
              </w:rPr>
            </w:pPr>
            <w:r w:rsidRPr="006F4CD1">
              <w:rPr>
                <w:spacing w:val="-4"/>
                <w:sz w:val="16"/>
                <w:szCs w:val="16"/>
              </w:rPr>
              <w:t>0.50</w:t>
            </w:r>
          </w:p>
        </w:tc>
        <w:tc>
          <w:tcPr>
            <w:tcW w:w="550" w:type="pct"/>
            <w:tcBorders>
              <w:top w:val="nil"/>
              <w:bottom w:val="nil"/>
            </w:tcBorders>
          </w:tcPr>
          <w:p w14:paraId="726E60D1" w14:textId="77777777" w:rsidR="00B3500A" w:rsidRPr="006F4CD1" w:rsidRDefault="00B3500A" w:rsidP="00D62AD1">
            <w:pPr>
              <w:pStyle w:val="TableParagraph"/>
              <w:ind w:left="118" w:right="109"/>
              <w:rPr>
                <w:sz w:val="16"/>
                <w:szCs w:val="16"/>
              </w:rPr>
            </w:pPr>
            <w:r w:rsidRPr="006F4CD1">
              <w:rPr>
                <w:spacing w:val="-4"/>
                <w:sz w:val="16"/>
                <w:szCs w:val="16"/>
              </w:rPr>
              <w:t>0.45</w:t>
            </w:r>
          </w:p>
        </w:tc>
        <w:tc>
          <w:tcPr>
            <w:tcW w:w="367" w:type="pct"/>
            <w:tcBorders>
              <w:top w:val="nil"/>
              <w:bottom w:val="nil"/>
            </w:tcBorders>
          </w:tcPr>
          <w:p w14:paraId="0F8522EC" w14:textId="77777777" w:rsidR="00B3500A" w:rsidRPr="006F4CD1" w:rsidRDefault="00B3500A" w:rsidP="00D62AD1">
            <w:pPr>
              <w:pStyle w:val="TableParagraph"/>
              <w:ind w:left="98" w:right="89"/>
              <w:rPr>
                <w:sz w:val="16"/>
                <w:szCs w:val="16"/>
              </w:rPr>
            </w:pPr>
            <w:r w:rsidRPr="006F4CD1">
              <w:rPr>
                <w:spacing w:val="-4"/>
                <w:sz w:val="16"/>
                <w:szCs w:val="16"/>
              </w:rPr>
              <w:t>0.44</w:t>
            </w:r>
          </w:p>
        </w:tc>
        <w:tc>
          <w:tcPr>
            <w:tcW w:w="413" w:type="pct"/>
            <w:tcBorders>
              <w:top w:val="nil"/>
              <w:bottom w:val="nil"/>
              <w:right w:val="double" w:sz="4" w:space="0" w:color="000000"/>
            </w:tcBorders>
          </w:tcPr>
          <w:p w14:paraId="019967EB" w14:textId="77777777" w:rsidR="00B3500A" w:rsidRPr="006F4CD1" w:rsidRDefault="00B3500A" w:rsidP="00D62AD1">
            <w:pPr>
              <w:pStyle w:val="TableParagraph"/>
              <w:ind w:left="98" w:right="89"/>
              <w:rPr>
                <w:sz w:val="16"/>
                <w:szCs w:val="16"/>
              </w:rPr>
            </w:pPr>
            <w:r w:rsidRPr="006F4CD1">
              <w:rPr>
                <w:spacing w:val="-4"/>
                <w:sz w:val="16"/>
                <w:szCs w:val="16"/>
              </w:rPr>
              <w:t>0.49</w:t>
            </w:r>
          </w:p>
        </w:tc>
        <w:tc>
          <w:tcPr>
            <w:tcW w:w="321" w:type="pct"/>
            <w:tcBorders>
              <w:top w:val="nil"/>
              <w:left w:val="double" w:sz="4" w:space="0" w:color="000000"/>
              <w:bottom w:val="nil"/>
            </w:tcBorders>
          </w:tcPr>
          <w:p w14:paraId="75344DFA" w14:textId="77777777" w:rsidR="00B3500A" w:rsidRPr="006F4CD1" w:rsidRDefault="00B3500A" w:rsidP="00D62AD1">
            <w:pPr>
              <w:pStyle w:val="TableParagraph"/>
              <w:ind w:right="102"/>
              <w:rPr>
                <w:sz w:val="16"/>
                <w:szCs w:val="16"/>
              </w:rPr>
            </w:pPr>
            <w:r w:rsidRPr="006F4CD1">
              <w:rPr>
                <w:spacing w:val="-4"/>
                <w:sz w:val="16"/>
                <w:szCs w:val="16"/>
              </w:rPr>
              <w:t>0.54</w:t>
            </w:r>
          </w:p>
        </w:tc>
        <w:tc>
          <w:tcPr>
            <w:tcW w:w="505" w:type="pct"/>
            <w:tcBorders>
              <w:top w:val="nil"/>
              <w:bottom w:val="nil"/>
            </w:tcBorders>
          </w:tcPr>
          <w:p w14:paraId="72A06515"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0.50</w:t>
            </w:r>
          </w:p>
        </w:tc>
        <w:tc>
          <w:tcPr>
            <w:tcW w:w="413" w:type="pct"/>
            <w:tcBorders>
              <w:top w:val="nil"/>
              <w:bottom w:val="nil"/>
            </w:tcBorders>
          </w:tcPr>
          <w:p w14:paraId="0E52C65A" w14:textId="77777777" w:rsidR="00B3500A" w:rsidRPr="006F4CD1" w:rsidRDefault="00B3500A" w:rsidP="00D62AD1">
            <w:pPr>
              <w:pStyle w:val="TableParagraph"/>
              <w:ind w:left="271"/>
              <w:jc w:val="left"/>
              <w:rPr>
                <w:sz w:val="16"/>
                <w:szCs w:val="16"/>
              </w:rPr>
            </w:pPr>
            <w:r w:rsidRPr="006F4CD1">
              <w:rPr>
                <w:spacing w:val="-4"/>
                <w:sz w:val="16"/>
                <w:szCs w:val="16"/>
              </w:rPr>
              <w:t>0.49</w:t>
            </w:r>
          </w:p>
        </w:tc>
        <w:tc>
          <w:tcPr>
            <w:tcW w:w="413" w:type="pct"/>
            <w:tcBorders>
              <w:top w:val="nil"/>
              <w:bottom w:val="nil"/>
            </w:tcBorders>
          </w:tcPr>
          <w:p w14:paraId="18901795" w14:textId="77777777" w:rsidR="00B3500A" w:rsidRPr="006F4CD1" w:rsidRDefault="00B3500A" w:rsidP="00D62AD1">
            <w:pPr>
              <w:pStyle w:val="TableParagraph"/>
              <w:ind w:right="103"/>
              <w:rPr>
                <w:sz w:val="16"/>
                <w:szCs w:val="16"/>
              </w:rPr>
            </w:pPr>
            <w:r w:rsidRPr="006F4CD1">
              <w:rPr>
                <w:spacing w:val="-4"/>
                <w:sz w:val="16"/>
                <w:szCs w:val="16"/>
              </w:rPr>
              <w:t>0.53</w:t>
            </w:r>
          </w:p>
        </w:tc>
        <w:tc>
          <w:tcPr>
            <w:tcW w:w="550" w:type="pct"/>
            <w:tcBorders>
              <w:top w:val="nil"/>
              <w:bottom w:val="nil"/>
            </w:tcBorders>
          </w:tcPr>
          <w:p w14:paraId="6AE55B09" w14:textId="77777777" w:rsidR="00B3500A" w:rsidRPr="006F4CD1" w:rsidRDefault="00B3500A" w:rsidP="00D62AD1">
            <w:pPr>
              <w:pStyle w:val="TableParagraph"/>
              <w:ind w:left="109" w:right="102"/>
              <w:rPr>
                <w:sz w:val="16"/>
                <w:szCs w:val="16"/>
              </w:rPr>
            </w:pPr>
            <w:r w:rsidRPr="006F4CD1">
              <w:rPr>
                <w:spacing w:val="-4"/>
                <w:w w:val="110"/>
                <w:sz w:val="16"/>
                <w:szCs w:val="16"/>
              </w:rPr>
              <w:t>West</w:t>
            </w:r>
          </w:p>
        </w:tc>
      </w:tr>
      <w:tr w:rsidR="00B3500A" w:rsidRPr="006F4CD1" w14:paraId="10863F46" w14:textId="77777777" w:rsidTr="00326B3D">
        <w:trPr>
          <w:trHeight w:val="239"/>
        </w:trPr>
        <w:tc>
          <w:tcPr>
            <w:tcW w:w="246" w:type="pct"/>
            <w:tcBorders>
              <w:top w:val="nil"/>
              <w:left w:val="double" w:sz="4" w:space="0" w:color="000000"/>
              <w:bottom w:val="nil"/>
            </w:tcBorders>
          </w:tcPr>
          <w:p w14:paraId="3498A0B1" w14:textId="77777777" w:rsidR="00B3500A" w:rsidRPr="006F4CD1" w:rsidRDefault="00B3500A" w:rsidP="00D62AD1">
            <w:pPr>
              <w:pStyle w:val="TableParagraph"/>
              <w:ind w:left="119" w:right="91"/>
              <w:rPr>
                <w:sz w:val="16"/>
                <w:szCs w:val="16"/>
              </w:rPr>
            </w:pPr>
            <w:r w:rsidRPr="006F4CD1">
              <w:rPr>
                <w:spacing w:val="-5"/>
                <w:sz w:val="16"/>
                <w:szCs w:val="16"/>
              </w:rPr>
              <w:t>13</w:t>
            </w:r>
          </w:p>
        </w:tc>
        <w:tc>
          <w:tcPr>
            <w:tcW w:w="910" w:type="pct"/>
            <w:tcBorders>
              <w:top w:val="nil"/>
              <w:bottom w:val="nil"/>
            </w:tcBorders>
          </w:tcPr>
          <w:p w14:paraId="5E597C18" w14:textId="77777777" w:rsidR="00B3500A" w:rsidRPr="006F4CD1" w:rsidRDefault="00B3500A" w:rsidP="00D62AD1">
            <w:pPr>
              <w:pStyle w:val="TableParagraph"/>
              <w:ind w:left="118"/>
              <w:jc w:val="left"/>
              <w:rPr>
                <w:sz w:val="16"/>
                <w:szCs w:val="16"/>
              </w:rPr>
            </w:pPr>
            <w:r w:rsidRPr="006F4CD1">
              <w:rPr>
                <w:spacing w:val="-2"/>
                <w:w w:val="110"/>
                <w:sz w:val="16"/>
                <w:szCs w:val="16"/>
              </w:rPr>
              <w:t>Idaho</w:t>
            </w:r>
          </w:p>
        </w:tc>
        <w:tc>
          <w:tcPr>
            <w:tcW w:w="312" w:type="pct"/>
            <w:tcBorders>
              <w:top w:val="nil"/>
              <w:bottom w:val="nil"/>
            </w:tcBorders>
          </w:tcPr>
          <w:p w14:paraId="29FA7DBC" w14:textId="77777777" w:rsidR="00B3500A" w:rsidRPr="006F4CD1" w:rsidRDefault="00B3500A" w:rsidP="00D62AD1">
            <w:pPr>
              <w:pStyle w:val="TableParagraph"/>
              <w:ind w:left="97" w:right="89"/>
              <w:rPr>
                <w:sz w:val="16"/>
                <w:szCs w:val="16"/>
              </w:rPr>
            </w:pPr>
            <w:r w:rsidRPr="006F4CD1">
              <w:rPr>
                <w:spacing w:val="-4"/>
                <w:sz w:val="16"/>
                <w:szCs w:val="16"/>
              </w:rPr>
              <w:t>0.44</w:t>
            </w:r>
          </w:p>
        </w:tc>
        <w:tc>
          <w:tcPr>
            <w:tcW w:w="550" w:type="pct"/>
            <w:tcBorders>
              <w:top w:val="nil"/>
              <w:bottom w:val="nil"/>
            </w:tcBorders>
          </w:tcPr>
          <w:p w14:paraId="09B6670C" w14:textId="77777777" w:rsidR="00B3500A" w:rsidRPr="006F4CD1" w:rsidRDefault="00B3500A" w:rsidP="00D62AD1">
            <w:pPr>
              <w:pStyle w:val="TableParagraph"/>
              <w:ind w:left="118" w:right="109"/>
              <w:rPr>
                <w:sz w:val="16"/>
                <w:szCs w:val="16"/>
              </w:rPr>
            </w:pPr>
            <w:r w:rsidRPr="006F4CD1">
              <w:rPr>
                <w:spacing w:val="-4"/>
                <w:sz w:val="16"/>
                <w:szCs w:val="16"/>
              </w:rPr>
              <w:t>0.40</w:t>
            </w:r>
          </w:p>
        </w:tc>
        <w:tc>
          <w:tcPr>
            <w:tcW w:w="367" w:type="pct"/>
            <w:tcBorders>
              <w:top w:val="nil"/>
              <w:bottom w:val="nil"/>
            </w:tcBorders>
          </w:tcPr>
          <w:p w14:paraId="359BF15B" w14:textId="77777777" w:rsidR="00B3500A" w:rsidRPr="006F4CD1" w:rsidRDefault="00B3500A" w:rsidP="00D62AD1">
            <w:pPr>
              <w:pStyle w:val="TableParagraph"/>
              <w:ind w:left="98" w:right="89"/>
              <w:rPr>
                <w:sz w:val="16"/>
                <w:szCs w:val="16"/>
              </w:rPr>
            </w:pPr>
            <w:r w:rsidRPr="006F4CD1">
              <w:rPr>
                <w:spacing w:val="-4"/>
                <w:sz w:val="16"/>
                <w:szCs w:val="16"/>
              </w:rPr>
              <w:t>0.38</w:t>
            </w:r>
          </w:p>
        </w:tc>
        <w:tc>
          <w:tcPr>
            <w:tcW w:w="413" w:type="pct"/>
            <w:tcBorders>
              <w:top w:val="nil"/>
              <w:bottom w:val="nil"/>
              <w:right w:val="double" w:sz="4" w:space="0" w:color="000000"/>
            </w:tcBorders>
          </w:tcPr>
          <w:p w14:paraId="3A86FA2A" w14:textId="77777777" w:rsidR="00B3500A" w:rsidRPr="006F4CD1" w:rsidRDefault="00B3500A" w:rsidP="00D62AD1">
            <w:pPr>
              <w:pStyle w:val="TableParagraph"/>
              <w:ind w:left="98" w:right="89"/>
              <w:rPr>
                <w:sz w:val="16"/>
                <w:szCs w:val="16"/>
              </w:rPr>
            </w:pPr>
            <w:r w:rsidRPr="006F4CD1">
              <w:rPr>
                <w:spacing w:val="-4"/>
                <w:sz w:val="16"/>
                <w:szCs w:val="16"/>
              </w:rPr>
              <w:t>0.43</w:t>
            </w:r>
          </w:p>
        </w:tc>
        <w:tc>
          <w:tcPr>
            <w:tcW w:w="321" w:type="pct"/>
            <w:tcBorders>
              <w:top w:val="nil"/>
              <w:left w:val="double" w:sz="4" w:space="0" w:color="000000"/>
              <w:bottom w:val="nil"/>
            </w:tcBorders>
          </w:tcPr>
          <w:p w14:paraId="6737E962" w14:textId="77777777" w:rsidR="00B3500A" w:rsidRPr="006F4CD1" w:rsidRDefault="00B3500A" w:rsidP="00D62AD1">
            <w:pPr>
              <w:pStyle w:val="TableParagraph"/>
              <w:ind w:right="102"/>
              <w:rPr>
                <w:sz w:val="16"/>
                <w:szCs w:val="16"/>
              </w:rPr>
            </w:pPr>
            <w:r w:rsidRPr="006F4CD1">
              <w:rPr>
                <w:spacing w:val="-4"/>
                <w:sz w:val="16"/>
                <w:szCs w:val="16"/>
              </w:rPr>
              <w:t>0.46</w:t>
            </w:r>
          </w:p>
        </w:tc>
        <w:tc>
          <w:tcPr>
            <w:tcW w:w="505" w:type="pct"/>
            <w:tcBorders>
              <w:top w:val="nil"/>
              <w:bottom w:val="nil"/>
            </w:tcBorders>
          </w:tcPr>
          <w:p w14:paraId="6701436B"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0.43</w:t>
            </w:r>
          </w:p>
        </w:tc>
        <w:tc>
          <w:tcPr>
            <w:tcW w:w="413" w:type="pct"/>
            <w:tcBorders>
              <w:top w:val="nil"/>
              <w:bottom w:val="nil"/>
            </w:tcBorders>
          </w:tcPr>
          <w:p w14:paraId="36845283" w14:textId="77777777" w:rsidR="00B3500A" w:rsidRPr="006F4CD1" w:rsidRDefault="00B3500A" w:rsidP="00D62AD1">
            <w:pPr>
              <w:pStyle w:val="TableParagraph"/>
              <w:ind w:left="271"/>
              <w:jc w:val="left"/>
              <w:rPr>
                <w:sz w:val="16"/>
                <w:szCs w:val="16"/>
              </w:rPr>
            </w:pPr>
            <w:r w:rsidRPr="006F4CD1">
              <w:rPr>
                <w:spacing w:val="-4"/>
                <w:sz w:val="16"/>
                <w:szCs w:val="16"/>
              </w:rPr>
              <w:t>0.41</w:t>
            </w:r>
          </w:p>
        </w:tc>
        <w:tc>
          <w:tcPr>
            <w:tcW w:w="413" w:type="pct"/>
            <w:tcBorders>
              <w:top w:val="nil"/>
              <w:bottom w:val="nil"/>
            </w:tcBorders>
          </w:tcPr>
          <w:p w14:paraId="0D5E41FC" w14:textId="77777777" w:rsidR="00B3500A" w:rsidRPr="006F4CD1" w:rsidRDefault="00B3500A" w:rsidP="00D62AD1">
            <w:pPr>
              <w:pStyle w:val="TableParagraph"/>
              <w:ind w:right="103"/>
              <w:rPr>
                <w:sz w:val="16"/>
                <w:szCs w:val="16"/>
              </w:rPr>
            </w:pPr>
            <w:r w:rsidRPr="006F4CD1">
              <w:rPr>
                <w:spacing w:val="-4"/>
                <w:sz w:val="16"/>
                <w:szCs w:val="16"/>
              </w:rPr>
              <w:t>0.45</w:t>
            </w:r>
          </w:p>
        </w:tc>
        <w:tc>
          <w:tcPr>
            <w:tcW w:w="550" w:type="pct"/>
            <w:tcBorders>
              <w:top w:val="nil"/>
              <w:bottom w:val="nil"/>
            </w:tcBorders>
          </w:tcPr>
          <w:p w14:paraId="74162494" w14:textId="77777777" w:rsidR="00B3500A" w:rsidRPr="006F4CD1" w:rsidRDefault="00B3500A" w:rsidP="00D62AD1">
            <w:pPr>
              <w:pStyle w:val="TableParagraph"/>
              <w:ind w:left="109" w:right="102"/>
              <w:rPr>
                <w:sz w:val="16"/>
                <w:szCs w:val="16"/>
              </w:rPr>
            </w:pPr>
            <w:r w:rsidRPr="006F4CD1">
              <w:rPr>
                <w:spacing w:val="-4"/>
                <w:w w:val="110"/>
                <w:sz w:val="16"/>
                <w:szCs w:val="16"/>
              </w:rPr>
              <w:t>West</w:t>
            </w:r>
          </w:p>
        </w:tc>
      </w:tr>
      <w:tr w:rsidR="00B3500A" w:rsidRPr="006F4CD1" w14:paraId="5EDF69B5" w14:textId="77777777" w:rsidTr="00326B3D">
        <w:trPr>
          <w:trHeight w:val="239"/>
        </w:trPr>
        <w:tc>
          <w:tcPr>
            <w:tcW w:w="246" w:type="pct"/>
            <w:tcBorders>
              <w:top w:val="nil"/>
              <w:left w:val="double" w:sz="4" w:space="0" w:color="000000"/>
              <w:bottom w:val="nil"/>
            </w:tcBorders>
          </w:tcPr>
          <w:p w14:paraId="09361D80" w14:textId="77777777" w:rsidR="00B3500A" w:rsidRPr="006F4CD1" w:rsidRDefault="00B3500A" w:rsidP="00D62AD1">
            <w:pPr>
              <w:pStyle w:val="TableParagraph"/>
              <w:ind w:left="119" w:right="91"/>
              <w:rPr>
                <w:sz w:val="16"/>
                <w:szCs w:val="16"/>
              </w:rPr>
            </w:pPr>
            <w:r w:rsidRPr="006F4CD1">
              <w:rPr>
                <w:spacing w:val="-5"/>
                <w:sz w:val="16"/>
                <w:szCs w:val="16"/>
              </w:rPr>
              <w:t>14</w:t>
            </w:r>
          </w:p>
        </w:tc>
        <w:tc>
          <w:tcPr>
            <w:tcW w:w="910" w:type="pct"/>
            <w:tcBorders>
              <w:top w:val="nil"/>
              <w:bottom w:val="nil"/>
            </w:tcBorders>
          </w:tcPr>
          <w:p w14:paraId="7C166C65" w14:textId="77777777" w:rsidR="00B3500A" w:rsidRPr="006F4CD1" w:rsidRDefault="00B3500A" w:rsidP="00D62AD1">
            <w:pPr>
              <w:pStyle w:val="TableParagraph"/>
              <w:ind w:left="118"/>
              <w:jc w:val="left"/>
              <w:rPr>
                <w:sz w:val="16"/>
                <w:szCs w:val="16"/>
              </w:rPr>
            </w:pPr>
            <w:r w:rsidRPr="006F4CD1">
              <w:rPr>
                <w:spacing w:val="-2"/>
                <w:sz w:val="16"/>
                <w:szCs w:val="16"/>
              </w:rPr>
              <w:t>Illinois</w:t>
            </w:r>
          </w:p>
        </w:tc>
        <w:tc>
          <w:tcPr>
            <w:tcW w:w="312" w:type="pct"/>
            <w:tcBorders>
              <w:top w:val="nil"/>
              <w:bottom w:val="nil"/>
            </w:tcBorders>
          </w:tcPr>
          <w:p w14:paraId="0349680A" w14:textId="77777777" w:rsidR="00B3500A" w:rsidRPr="006F4CD1" w:rsidRDefault="00B3500A" w:rsidP="00D62AD1">
            <w:pPr>
              <w:pStyle w:val="TableParagraph"/>
              <w:ind w:left="97" w:right="89"/>
              <w:rPr>
                <w:sz w:val="16"/>
                <w:szCs w:val="16"/>
              </w:rPr>
            </w:pPr>
            <w:r w:rsidRPr="006F4CD1">
              <w:rPr>
                <w:spacing w:val="-4"/>
                <w:sz w:val="16"/>
                <w:szCs w:val="16"/>
              </w:rPr>
              <w:t>0.46</w:t>
            </w:r>
          </w:p>
        </w:tc>
        <w:tc>
          <w:tcPr>
            <w:tcW w:w="550" w:type="pct"/>
            <w:tcBorders>
              <w:top w:val="nil"/>
              <w:bottom w:val="nil"/>
            </w:tcBorders>
          </w:tcPr>
          <w:p w14:paraId="3228F929" w14:textId="77777777" w:rsidR="00B3500A" w:rsidRPr="006F4CD1" w:rsidRDefault="00B3500A" w:rsidP="00D62AD1">
            <w:pPr>
              <w:pStyle w:val="TableParagraph"/>
              <w:ind w:left="118" w:right="109"/>
              <w:rPr>
                <w:sz w:val="16"/>
                <w:szCs w:val="16"/>
              </w:rPr>
            </w:pPr>
            <w:r w:rsidRPr="006F4CD1">
              <w:rPr>
                <w:spacing w:val="-4"/>
                <w:sz w:val="16"/>
                <w:szCs w:val="16"/>
              </w:rPr>
              <w:t>0.42</w:t>
            </w:r>
          </w:p>
        </w:tc>
        <w:tc>
          <w:tcPr>
            <w:tcW w:w="367" w:type="pct"/>
            <w:tcBorders>
              <w:top w:val="nil"/>
              <w:bottom w:val="nil"/>
            </w:tcBorders>
          </w:tcPr>
          <w:p w14:paraId="68EB7635" w14:textId="77777777" w:rsidR="00B3500A" w:rsidRPr="006F4CD1" w:rsidRDefault="00B3500A" w:rsidP="00D62AD1">
            <w:pPr>
              <w:pStyle w:val="TableParagraph"/>
              <w:ind w:left="98" w:right="89"/>
              <w:rPr>
                <w:sz w:val="16"/>
                <w:szCs w:val="16"/>
              </w:rPr>
            </w:pPr>
            <w:r w:rsidRPr="006F4CD1">
              <w:rPr>
                <w:spacing w:val="-4"/>
                <w:sz w:val="16"/>
                <w:szCs w:val="16"/>
              </w:rPr>
              <w:t>0.40</w:t>
            </w:r>
          </w:p>
        </w:tc>
        <w:tc>
          <w:tcPr>
            <w:tcW w:w="413" w:type="pct"/>
            <w:tcBorders>
              <w:top w:val="nil"/>
              <w:bottom w:val="nil"/>
              <w:right w:val="double" w:sz="4" w:space="0" w:color="000000"/>
            </w:tcBorders>
          </w:tcPr>
          <w:p w14:paraId="2C22B7B5" w14:textId="77777777" w:rsidR="00B3500A" w:rsidRPr="006F4CD1" w:rsidRDefault="00B3500A" w:rsidP="00D62AD1">
            <w:pPr>
              <w:pStyle w:val="TableParagraph"/>
              <w:ind w:left="98" w:right="89"/>
              <w:rPr>
                <w:sz w:val="16"/>
                <w:szCs w:val="16"/>
              </w:rPr>
            </w:pPr>
            <w:r w:rsidRPr="006F4CD1">
              <w:rPr>
                <w:spacing w:val="-4"/>
                <w:sz w:val="16"/>
                <w:szCs w:val="16"/>
              </w:rPr>
              <w:t>0.46</w:t>
            </w:r>
          </w:p>
        </w:tc>
        <w:tc>
          <w:tcPr>
            <w:tcW w:w="321" w:type="pct"/>
            <w:tcBorders>
              <w:top w:val="nil"/>
              <w:left w:val="double" w:sz="4" w:space="0" w:color="000000"/>
              <w:bottom w:val="nil"/>
            </w:tcBorders>
          </w:tcPr>
          <w:p w14:paraId="4AEE562C" w14:textId="77777777" w:rsidR="00B3500A" w:rsidRPr="006F4CD1" w:rsidRDefault="00B3500A" w:rsidP="00D62AD1">
            <w:pPr>
              <w:pStyle w:val="TableParagraph"/>
              <w:ind w:right="102"/>
              <w:rPr>
                <w:sz w:val="16"/>
                <w:szCs w:val="16"/>
              </w:rPr>
            </w:pPr>
            <w:r w:rsidRPr="006F4CD1">
              <w:rPr>
                <w:spacing w:val="-4"/>
                <w:sz w:val="16"/>
                <w:szCs w:val="16"/>
              </w:rPr>
              <w:t>0.72</w:t>
            </w:r>
          </w:p>
        </w:tc>
        <w:tc>
          <w:tcPr>
            <w:tcW w:w="505" w:type="pct"/>
            <w:tcBorders>
              <w:top w:val="nil"/>
              <w:bottom w:val="nil"/>
            </w:tcBorders>
          </w:tcPr>
          <w:p w14:paraId="346CB166"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0.67</w:t>
            </w:r>
          </w:p>
        </w:tc>
        <w:tc>
          <w:tcPr>
            <w:tcW w:w="413" w:type="pct"/>
            <w:tcBorders>
              <w:top w:val="nil"/>
              <w:bottom w:val="nil"/>
            </w:tcBorders>
          </w:tcPr>
          <w:p w14:paraId="48DE609C" w14:textId="77777777" w:rsidR="00B3500A" w:rsidRPr="006F4CD1" w:rsidRDefault="00B3500A" w:rsidP="00D62AD1">
            <w:pPr>
              <w:pStyle w:val="TableParagraph"/>
              <w:ind w:left="271"/>
              <w:jc w:val="left"/>
              <w:rPr>
                <w:sz w:val="16"/>
                <w:szCs w:val="16"/>
              </w:rPr>
            </w:pPr>
            <w:r w:rsidRPr="006F4CD1">
              <w:rPr>
                <w:spacing w:val="-4"/>
                <w:sz w:val="16"/>
                <w:szCs w:val="16"/>
              </w:rPr>
              <w:t>0.64</w:t>
            </w:r>
          </w:p>
        </w:tc>
        <w:tc>
          <w:tcPr>
            <w:tcW w:w="413" w:type="pct"/>
            <w:tcBorders>
              <w:top w:val="nil"/>
              <w:bottom w:val="nil"/>
            </w:tcBorders>
          </w:tcPr>
          <w:p w14:paraId="162D1040" w14:textId="77777777" w:rsidR="00B3500A" w:rsidRPr="006F4CD1" w:rsidRDefault="00B3500A" w:rsidP="00D62AD1">
            <w:pPr>
              <w:pStyle w:val="TableParagraph"/>
              <w:ind w:right="103"/>
              <w:rPr>
                <w:sz w:val="16"/>
                <w:szCs w:val="16"/>
              </w:rPr>
            </w:pPr>
            <w:r w:rsidRPr="006F4CD1">
              <w:rPr>
                <w:spacing w:val="-4"/>
                <w:sz w:val="16"/>
                <w:szCs w:val="16"/>
              </w:rPr>
              <w:t>0.71</w:t>
            </w:r>
          </w:p>
        </w:tc>
        <w:tc>
          <w:tcPr>
            <w:tcW w:w="550" w:type="pct"/>
            <w:tcBorders>
              <w:top w:val="nil"/>
              <w:bottom w:val="nil"/>
            </w:tcBorders>
          </w:tcPr>
          <w:p w14:paraId="59D516FA" w14:textId="77777777" w:rsidR="00B3500A" w:rsidRPr="006F4CD1" w:rsidRDefault="00B3500A" w:rsidP="00D62AD1">
            <w:pPr>
              <w:pStyle w:val="TableParagraph"/>
              <w:ind w:left="109" w:right="102"/>
              <w:rPr>
                <w:sz w:val="16"/>
                <w:szCs w:val="16"/>
              </w:rPr>
            </w:pPr>
            <w:r w:rsidRPr="006F4CD1">
              <w:rPr>
                <w:spacing w:val="-2"/>
                <w:w w:val="105"/>
                <w:sz w:val="16"/>
                <w:szCs w:val="16"/>
              </w:rPr>
              <w:t>Midwest</w:t>
            </w:r>
          </w:p>
        </w:tc>
      </w:tr>
      <w:tr w:rsidR="00B3500A" w:rsidRPr="006F4CD1" w14:paraId="78CF5136" w14:textId="77777777" w:rsidTr="00326B3D">
        <w:trPr>
          <w:trHeight w:val="239"/>
        </w:trPr>
        <w:tc>
          <w:tcPr>
            <w:tcW w:w="246" w:type="pct"/>
            <w:tcBorders>
              <w:top w:val="nil"/>
              <w:left w:val="double" w:sz="4" w:space="0" w:color="000000"/>
              <w:bottom w:val="nil"/>
            </w:tcBorders>
          </w:tcPr>
          <w:p w14:paraId="3BE72C61" w14:textId="77777777" w:rsidR="00B3500A" w:rsidRPr="006F4CD1" w:rsidRDefault="00B3500A" w:rsidP="00D62AD1">
            <w:pPr>
              <w:pStyle w:val="TableParagraph"/>
              <w:ind w:left="119" w:right="91"/>
              <w:rPr>
                <w:sz w:val="16"/>
                <w:szCs w:val="16"/>
              </w:rPr>
            </w:pPr>
            <w:r w:rsidRPr="006F4CD1">
              <w:rPr>
                <w:spacing w:val="-5"/>
                <w:sz w:val="16"/>
                <w:szCs w:val="16"/>
              </w:rPr>
              <w:t>15</w:t>
            </w:r>
          </w:p>
        </w:tc>
        <w:tc>
          <w:tcPr>
            <w:tcW w:w="910" w:type="pct"/>
            <w:tcBorders>
              <w:top w:val="nil"/>
              <w:bottom w:val="nil"/>
            </w:tcBorders>
          </w:tcPr>
          <w:p w14:paraId="2E9E6719" w14:textId="77777777" w:rsidR="00B3500A" w:rsidRPr="006F4CD1" w:rsidRDefault="00B3500A" w:rsidP="00D62AD1">
            <w:pPr>
              <w:pStyle w:val="TableParagraph"/>
              <w:ind w:left="118"/>
              <w:jc w:val="left"/>
              <w:rPr>
                <w:sz w:val="16"/>
                <w:szCs w:val="16"/>
              </w:rPr>
            </w:pPr>
            <w:r w:rsidRPr="006F4CD1">
              <w:rPr>
                <w:spacing w:val="-2"/>
                <w:w w:val="110"/>
                <w:sz w:val="16"/>
                <w:szCs w:val="16"/>
              </w:rPr>
              <w:t>Indiana</w:t>
            </w:r>
          </w:p>
        </w:tc>
        <w:tc>
          <w:tcPr>
            <w:tcW w:w="312" w:type="pct"/>
            <w:tcBorders>
              <w:top w:val="nil"/>
              <w:bottom w:val="nil"/>
            </w:tcBorders>
          </w:tcPr>
          <w:p w14:paraId="0DE5E61A" w14:textId="77777777" w:rsidR="00B3500A" w:rsidRPr="006F4CD1" w:rsidRDefault="00B3500A" w:rsidP="00D62AD1">
            <w:pPr>
              <w:pStyle w:val="TableParagraph"/>
              <w:ind w:left="97" w:right="89"/>
              <w:rPr>
                <w:sz w:val="16"/>
                <w:szCs w:val="16"/>
              </w:rPr>
            </w:pPr>
            <w:r w:rsidRPr="006F4CD1">
              <w:rPr>
                <w:spacing w:val="-4"/>
                <w:sz w:val="16"/>
                <w:szCs w:val="16"/>
              </w:rPr>
              <w:t>0.51</w:t>
            </w:r>
          </w:p>
        </w:tc>
        <w:tc>
          <w:tcPr>
            <w:tcW w:w="550" w:type="pct"/>
            <w:tcBorders>
              <w:top w:val="nil"/>
              <w:bottom w:val="nil"/>
            </w:tcBorders>
          </w:tcPr>
          <w:p w14:paraId="47B939E1" w14:textId="77777777" w:rsidR="00B3500A" w:rsidRPr="006F4CD1" w:rsidRDefault="00B3500A" w:rsidP="00D62AD1">
            <w:pPr>
              <w:pStyle w:val="TableParagraph"/>
              <w:ind w:left="118" w:right="109"/>
              <w:rPr>
                <w:sz w:val="16"/>
                <w:szCs w:val="16"/>
              </w:rPr>
            </w:pPr>
            <w:r w:rsidRPr="006F4CD1">
              <w:rPr>
                <w:spacing w:val="-4"/>
                <w:sz w:val="16"/>
                <w:szCs w:val="16"/>
              </w:rPr>
              <w:t>0.49</w:t>
            </w:r>
          </w:p>
        </w:tc>
        <w:tc>
          <w:tcPr>
            <w:tcW w:w="367" w:type="pct"/>
            <w:tcBorders>
              <w:top w:val="nil"/>
              <w:bottom w:val="nil"/>
            </w:tcBorders>
          </w:tcPr>
          <w:p w14:paraId="27EE3CB0" w14:textId="77777777" w:rsidR="00B3500A" w:rsidRPr="006F4CD1" w:rsidRDefault="00B3500A" w:rsidP="00D62AD1">
            <w:pPr>
              <w:pStyle w:val="TableParagraph"/>
              <w:ind w:left="98" w:right="89"/>
              <w:rPr>
                <w:sz w:val="16"/>
                <w:szCs w:val="16"/>
              </w:rPr>
            </w:pPr>
            <w:r w:rsidRPr="006F4CD1">
              <w:rPr>
                <w:spacing w:val="-4"/>
                <w:sz w:val="16"/>
                <w:szCs w:val="16"/>
              </w:rPr>
              <w:t>0.47</w:t>
            </w:r>
          </w:p>
        </w:tc>
        <w:tc>
          <w:tcPr>
            <w:tcW w:w="413" w:type="pct"/>
            <w:tcBorders>
              <w:top w:val="nil"/>
              <w:bottom w:val="nil"/>
              <w:right w:val="double" w:sz="4" w:space="0" w:color="000000"/>
            </w:tcBorders>
          </w:tcPr>
          <w:p w14:paraId="799AFE81" w14:textId="77777777" w:rsidR="00B3500A" w:rsidRPr="006F4CD1" w:rsidRDefault="00B3500A" w:rsidP="00D62AD1">
            <w:pPr>
              <w:pStyle w:val="TableParagraph"/>
              <w:ind w:left="98" w:right="89"/>
              <w:rPr>
                <w:sz w:val="16"/>
                <w:szCs w:val="16"/>
              </w:rPr>
            </w:pPr>
            <w:r w:rsidRPr="006F4CD1">
              <w:rPr>
                <w:spacing w:val="-4"/>
                <w:sz w:val="16"/>
                <w:szCs w:val="16"/>
              </w:rPr>
              <w:t>0.50</w:t>
            </w:r>
          </w:p>
        </w:tc>
        <w:tc>
          <w:tcPr>
            <w:tcW w:w="321" w:type="pct"/>
            <w:tcBorders>
              <w:top w:val="nil"/>
              <w:left w:val="double" w:sz="4" w:space="0" w:color="000000"/>
              <w:bottom w:val="nil"/>
            </w:tcBorders>
          </w:tcPr>
          <w:p w14:paraId="4A22A182" w14:textId="77777777" w:rsidR="00B3500A" w:rsidRPr="006F4CD1" w:rsidRDefault="00B3500A" w:rsidP="00D62AD1">
            <w:pPr>
              <w:pStyle w:val="TableParagraph"/>
              <w:ind w:right="102"/>
              <w:rPr>
                <w:sz w:val="16"/>
                <w:szCs w:val="16"/>
              </w:rPr>
            </w:pPr>
            <w:r w:rsidRPr="006F4CD1">
              <w:rPr>
                <w:spacing w:val="-4"/>
                <w:sz w:val="16"/>
                <w:szCs w:val="16"/>
              </w:rPr>
              <w:t>0.61</w:t>
            </w:r>
          </w:p>
        </w:tc>
        <w:tc>
          <w:tcPr>
            <w:tcW w:w="505" w:type="pct"/>
            <w:tcBorders>
              <w:top w:val="nil"/>
              <w:bottom w:val="nil"/>
            </w:tcBorders>
          </w:tcPr>
          <w:p w14:paraId="2D9AE1CD"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0.58</w:t>
            </w:r>
          </w:p>
        </w:tc>
        <w:tc>
          <w:tcPr>
            <w:tcW w:w="413" w:type="pct"/>
            <w:tcBorders>
              <w:top w:val="nil"/>
              <w:bottom w:val="nil"/>
            </w:tcBorders>
          </w:tcPr>
          <w:p w14:paraId="29D54CB1" w14:textId="77777777" w:rsidR="00B3500A" w:rsidRPr="006F4CD1" w:rsidRDefault="00B3500A" w:rsidP="00D62AD1">
            <w:pPr>
              <w:pStyle w:val="TableParagraph"/>
              <w:ind w:left="271"/>
              <w:jc w:val="left"/>
              <w:rPr>
                <w:sz w:val="16"/>
                <w:szCs w:val="16"/>
              </w:rPr>
            </w:pPr>
            <w:r w:rsidRPr="006F4CD1">
              <w:rPr>
                <w:spacing w:val="-4"/>
                <w:sz w:val="16"/>
                <w:szCs w:val="16"/>
              </w:rPr>
              <w:t>0.56</w:t>
            </w:r>
          </w:p>
        </w:tc>
        <w:tc>
          <w:tcPr>
            <w:tcW w:w="413" w:type="pct"/>
            <w:tcBorders>
              <w:top w:val="nil"/>
              <w:bottom w:val="nil"/>
            </w:tcBorders>
          </w:tcPr>
          <w:p w14:paraId="76EBE642" w14:textId="77777777" w:rsidR="00B3500A" w:rsidRPr="006F4CD1" w:rsidRDefault="00B3500A" w:rsidP="00D62AD1">
            <w:pPr>
              <w:pStyle w:val="TableParagraph"/>
              <w:ind w:right="103"/>
              <w:rPr>
                <w:sz w:val="16"/>
                <w:szCs w:val="16"/>
              </w:rPr>
            </w:pPr>
            <w:r w:rsidRPr="006F4CD1">
              <w:rPr>
                <w:spacing w:val="-4"/>
                <w:sz w:val="16"/>
                <w:szCs w:val="16"/>
              </w:rPr>
              <w:t>0.60</w:t>
            </w:r>
          </w:p>
        </w:tc>
        <w:tc>
          <w:tcPr>
            <w:tcW w:w="550" w:type="pct"/>
            <w:tcBorders>
              <w:top w:val="nil"/>
              <w:bottom w:val="nil"/>
            </w:tcBorders>
          </w:tcPr>
          <w:p w14:paraId="52ED6883" w14:textId="77777777" w:rsidR="00B3500A" w:rsidRPr="006F4CD1" w:rsidRDefault="00B3500A" w:rsidP="00D62AD1">
            <w:pPr>
              <w:pStyle w:val="TableParagraph"/>
              <w:ind w:left="109" w:right="102"/>
              <w:rPr>
                <w:sz w:val="16"/>
                <w:szCs w:val="16"/>
              </w:rPr>
            </w:pPr>
            <w:r w:rsidRPr="006F4CD1">
              <w:rPr>
                <w:spacing w:val="-2"/>
                <w:w w:val="105"/>
                <w:sz w:val="16"/>
                <w:szCs w:val="16"/>
              </w:rPr>
              <w:t>Midwest</w:t>
            </w:r>
          </w:p>
        </w:tc>
      </w:tr>
      <w:tr w:rsidR="00B3500A" w:rsidRPr="006F4CD1" w14:paraId="7B53B641" w14:textId="77777777" w:rsidTr="00326B3D">
        <w:trPr>
          <w:trHeight w:val="239"/>
        </w:trPr>
        <w:tc>
          <w:tcPr>
            <w:tcW w:w="246" w:type="pct"/>
            <w:tcBorders>
              <w:top w:val="nil"/>
              <w:left w:val="double" w:sz="4" w:space="0" w:color="000000"/>
              <w:bottom w:val="nil"/>
            </w:tcBorders>
          </w:tcPr>
          <w:p w14:paraId="446B8CD6" w14:textId="77777777" w:rsidR="00B3500A" w:rsidRPr="006F4CD1" w:rsidRDefault="00B3500A" w:rsidP="00D62AD1">
            <w:pPr>
              <w:pStyle w:val="TableParagraph"/>
              <w:ind w:left="119" w:right="91"/>
              <w:rPr>
                <w:sz w:val="16"/>
                <w:szCs w:val="16"/>
              </w:rPr>
            </w:pPr>
            <w:r w:rsidRPr="006F4CD1">
              <w:rPr>
                <w:spacing w:val="-5"/>
                <w:sz w:val="16"/>
                <w:szCs w:val="16"/>
              </w:rPr>
              <w:t>16</w:t>
            </w:r>
          </w:p>
        </w:tc>
        <w:tc>
          <w:tcPr>
            <w:tcW w:w="910" w:type="pct"/>
            <w:tcBorders>
              <w:top w:val="nil"/>
              <w:bottom w:val="nil"/>
            </w:tcBorders>
          </w:tcPr>
          <w:p w14:paraId="6D06D045" w14:textId="77777777" w:rsidR="00B3500A" w:rsidRPr="006F4CD1" w:rsidRDefault="00B3500A" w:rsidP="00D62AD1">
            <w:pPr>
              <w:pStyle w:val="TableParagraph"/>
              <w:ind w:left="118"/>
              <w:jc w:val="left"/>
              <w:rPr>
                <w:sz w:val="16"/>
                <w:szCs w:val="16"/>
              </w:rPr>
            </w:pPr>
            <w:r w:rsidRPr="006F4CD1">
              <w:rPr>
                <w:spacing w:val="-4"/>
                <w:w w:val="105"/>
                <w:sz w:val="16"/>
                <w:szCs w:val="16"/>
              </w:rPr>
              <w:t>Iowa</w:t>
            </w:r>
          </w:p>
        </w:tc>
        <w:tc>
          <w:tcPr>
            <w:tcW w:w="312" w:type="pct"/>
            <w:tcBorders>
              <w:top w:val="nil"/>
              <w:bottom w:val="nil"/>
            </w:tcBorders>
          </w:tcPr>
          <w:p w14:paraId="3970E1CD" w14:textId="77777777" w:rsidR="00B3500A" w:rsidRPr="006F4CD1" w:rsidRDefault="00B3500A" w:rsidP="00D62AD1">
            <w:pPr>
              <w:pStyle w:val="TableParagraph"/>
              <w:ind w:left="97" w:right="89"/>
              <w:rPr>
                <w:sz w:val="16"/>
                <w:szCs w:val="16"/>
              </w:rPr>
            </w:pPr>
            <w:r w:rsidRPr="006F4CD1">
              <w:rPr>
                <w:spacing w:val="-4"/>
                <w:sz w:val="16"/>
                <w:szCs w:val="16"/>
              </w:rPr>
              <w:t>0.52</w:t>
            </w:r>
          </w:p>
        </w:tc>
        <w:tc>
          <w:tcPr>
            <w:tcW w:w="550" w:type="pct"/>
            <w:tcBorders>
              <w:top w:val="nil"/>
              <w:bottom w:val="nil"/>
            </w:tcBorders>
          </w:tcPr>
          <w:p w14:paraId="3A933D54" w14:textId="77777777" w:rsidR="00B3500A" w:rsidRPr="006F4CD1" w:rsidRDefault="00B3500A" w:rsidP="00D62AD1">
            <w:pPr>
              <w:pStyle w:val="TableParagraph"/>
              <w:ind w:left="118" w:right="109"/>
              <w:rPr>
                <w:sz w:val="16"/>
                <w:szCs w:val="16"/>
              </w:rPr>
            </w:pPr>
            <w:r w:rsidRPr="006F4CD1">
              <w:rPr>
                <w:spacing w:val="-4"/>
                <w:sz w:val="16"/>
                <w:szCs w:val="16"/>
              </w:rPr>
              <w:t>0.49</w:t>
            </w:r>
          </w:p>
        </w:tc>
        <w:tc>
          <w:tcPr>
            <w:tcW w:w="367" w:type="pct"/>
            <w:tcBorders>
              <w:top w:val="nil"/>
              <w:bottom w:val="nil"/>
            </w:tcBorders>
          </w:tcPr>
          <w:p w14:paraId="3DA4A0C6" w14:textId="77777777" w:rsidR="00B3500A" w:rsidRPr="006F4CD1" w:rsidRDefault="00B3500A" w:rsidP="00D62AD1">
            <w:pPr>
              <w:pStyle w:val="TableParagraph"/>
              <w:ind w:left="98" w:right="89"/>
              <w:rPr>
                <w:sz w:val="16"/>
                <w:szCs w:val="16"/>
              </w:rPr>
            </w:pPr>
            <w:r w:rsidRPr="006F4CD1">
              <w:rPr>
                <w:spacing w:val="-4"/>
                <w:sz w:val="16"/>
                <w:szCs w:val="16"/>
              </w:rPr>
              <w:t>0.47</w:t>
            </w:r>
          </w:p>
        </w:tc>
        <w:tc>
          <w:tcPr>
            <w:tcW w:w="413" w:type="pct"/>
            <w:tcBorders>
              <w:top w:val="nil"/>
              <w:bottom w:val="nil"/>
              <w:right w:val="double" w:sz="4" w:space="0" w:color="000000"/>
            </w:tcBorders>
          </w:tcPr>
          <w:p w14:paraId="6FB89CED" w14:textId="77777777" w:rsidR="00B3500A" w:rsidRPr="006F4CD1" w:rsidRDefault="00B3500A" w:rsidP="00D62AD1">
            <w:pPr>
              <w:pStyle w:val="TableParagraph"/>
              <w:ind w:left="98" w:right="89"/>
              <w:rPr>
                <w:sz w:val="16"/>
                <w:szCs w:val="16"/>
              </w:rPr>
            </w:pPr>
            <w:r w:rsidRPr="006F4CD1">
              <w:rPr>
                <w:spacing w:val="-4"/>
                <w:sz w:val="16"/>
                <w:szCs w:val="16"/>
              </w:rPr>
              <w:t>0.52</w:t>
            </w:r>
          </w:p>
        </w:tc>
        <w:tc>
          <w:tcPr>
            <w:tcW w:w="321" w:type="pct"/>
            <w:tcBorders>
              <w:top w:val="nil"/>
              <w:left w:val="double" w:sz="4" w:space="0" w:color="000000"/>
              <w:bottom w:val="nil"/>
            </w:tcBorders>
          </w:tcPr>
          <w:p w14:paraId="18691780" w14:textId="77777777" w:rsidR="00B3500A" w:rsidRPr="006F4CD1" w:rsidRDefault="00B3500A" w:rsidP="00D62AD1">
            <w:pPr>
              <w:pStyle w:val="TableParagraph"/>
              <w:ind w:right="102"/>
              <w:rPr>
                <w:sz w:val="16"/>
                <w:szCs w:val="16"/>
              </w:rPr>
            </w:pPr>
            <w:r w:rsidRPr="006F4CD1">
              <w:rPr>
                <w:spacing w:val="-4"/>
                <w:sz w:val="16"/>
                <w:szCs w:val="16"/>
              </w:rPr>
              <w:t>0.60</w:t>
            </w:r>
          </w:p>
        </w:tc>
        <w:tc>
          <w:tcPr>
            <w:tcW w:w="505" w:type="pct"/>
            <w:tcBorders>
              <w:top w:val="nil"/>
              <w:bottom w:val="nil"/>
            </w:tcBorders>
          </w:tcPr>
          <w:p w14:paraId="12B75674"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0.57</w:t>
            </w:r>
          </w:p>
        </w:tc>
        <w:tc>
          <w:tcPr>
            <w:tcW w:w="413" w:type="pct"/>
            <w:tcBorders>
              <w:top w:val="nil"/>
              <w:bottom w:val="nil"/>
            </w:tcBorders>
          </w:tcPr>
          <w:p w14:paraId="1E7C6886" w14:textId="77777777" w:rsidR="00B3500A" w:rsidRPr="006F4CD1" w:rsidRDefault="00B3500A" w:rsidP="00D62AD1">
            <w:pPr>
              <w:pStyle w:val="TableParagraph"/>
              <w:ind w:left="271"/>
              <w:jc w:val="left"/>
              <w:rPr>
                <w:sz w:val="16"/>
                <w:szCs w:val="16"/>
              </w:rPr>
            </w:pPr>
            <w:r w:rsidRPr="006F4CD1">
              <w:rPr>
                <w:spacing w:val="-4"/>
                <w:sz w:val="16"/>
                <w:szCs w:val="16"/>
              </w:rPr>
              <w:t>0.55</w:t>
            </w:r>
          </w:p>
        </w:tc>
        <w:tc>
          <w:tcPr>
            <w:tcW w:w="413" w:type="pct"/>
            <w:tcBorders>
              <w:top w:val="nil"/>
              <w:bottom w:val="nil"/>
            </w:tcBorders>
          </w:tcPr>
          <w:p w14:paraId="25C2A1FE" w14:textId="77777777" w:rsidR="00B3500A" w:rsidRPr="006F4CD1" w:rsidRDefault="00B3500A" w:rsidP="00D62AD1">
            <w:pPr>
              <w:pStyle w:val="TableParagraph"/>
              <w:ind w:right="103"/>
              <w:rPr>
                <w:sz w:val="16"/>
                <w:szCs w:val="16"/>
              </w:rPr>
            </w:pPr>
            <w:r w:rsidRPr="006F4CD1">
              <w:rPr>
                <w:spacing w:val="-4"/>
                <w:sz w:val="16"/>
                <w:szCs w:val="16"/>
              </w:rPr>
              <w:t>0.59</w:t>
            </w:r>
          </w:p>
        </w:tc>
        <w:tc>
          <w:tcPr>
            <w:tcW w:w="550" w:type="pct"/>
            <w:tcBorders>
              <w:top w:val="nil"/>
              <w:bottom w:val="nil"/>
            </w:tcBorders>
          </w:tcPr>
          <w:p w14:paraId="36CD416D" w14:textId="77777777" w:rsidR="00B3500A" w:rsidRPr="006F4CD1" w:rsidRDefault="00B3500A" w:rsidP="00D62AD1">
            <w:pPr>
              <w:pStyle w:val="TableParagraph"/>
              <w:ind w:left="109" w:right="102"/>
              <w:rPr>
                <w:sz w:val="16"/>
                <w:szCs w:val="16"/>
              </w:rPr>
            </w:pPr>
            <w:r w:rsidRPr="006F4CD1">
              <w:rPr>
                <w:spacing w:val="-2"/>
                <w:w w:val="105"/>
                <w:sz w:val="16"/>
                <w:szCs w:val="16"/>
              </w:rPr>
              <w:t>Midwest</w:t>
            </w:r>
          </w:p>
        </w:tc>
      </w:tr>
      <w:tr w:rsidR="00B3500A" w:rsidRPr="006F4CD1" w14:paraId="48F6EB15" w14:textId="77777777" w:rsidTr="00326B3D">
        <w:trPr>
          <w:trHeight w:val="239"/>
        </w:trPr>
        <w:tc>
          <w:tcPr>
            <w:tcW w:w="246" w:type="pct"/>
            <w:tcBorders>
              <w:top w:val="nil"/>
              <w:left w:val="double" w:sz="4" w:space="0" w:color="000000"/>
              <w:bottom w:val="nil"/>
            </w:tcBorders>
          </w:tcPr>
          <w:p w14:paraId="5583DCA4" w14:textId="77777777" w:rsidR="00B3500A" w:rsidRPr="006F4CD1" w:rsidRDefault="00B3500A" w:rsidP="00D62AD1">
            <w:pPr>
              <w:pStyle w:val="TableParagraph"/>
              <w:ind w:left="119" w:right="91"/>
              <w:rPr>
                <w:sz w:val="16"/>
                <w:szCs w:val="16"/>
              </w:rPr>
            </w:pPr>
            <w:r w:rsidRPr="006F4CD1">
              <w:rPr>
                <w:spacing w:val="-5"/>
                <w:sz w:val="16"/>
                <w:szCs w:val="16"/>
              </w:rPr>
              <w:t>17</w:t>
            </w:r>
          </w:p>
        </w:tc>
        <w:tc>
          <w:tcPr>
            <w:tcW w:w="910" w:type="pct"/>
            <w:tcBorders>
              <w:top w:val="nil"/>
              <w:bottom w:val="nil"/>
            </w:tcBorders>
          </w:tcPr>
          <w:p w14:paraId="3EB45153" w14:textId="77777777" w:rsidR="00B3500A" w:rsidRPr="006F4CD1" w:rsidRDefault="00B3500A" w:rsidP="00D62AD1">
            <w:pPr>
              <w:pStyle w:val="TableParagraph"/>
              <w:ind w:left="118"/>
              <w:jc w:val="left"/>
              <w:rPr>
                <w:sz w:val="16"/>
                <w:szCs w:val="16"/>
              </w:rPr>
            </w:pPr>
            <w:r w:rsidRPr="006F4CD1">
              <w:rPr>
                <w:spacing w:val="-2"/>
                <w:w w:val="105"/>
                <w:sz w:val="16"/>
                <w:szCs w:val="16"/>
              </w:rPr>
              <w:t>Kansas</w:t>
            </w:r>
          </w:p>
        </w:tc>
        <w:tc>
          <w:tcPr>
            <w:tcW w:w="312" w:type="pct"/>
            <w:tcBorders>
              <w:top w:val="nil"/>
              <w:bottom w:val="nil"/>
            </w:tcBorders>
          </w:tcPr>
          <w:p w14:paraId="26A0BD83" w14:textId="77777777" w:rsidR="00B3500A" w:rsidRPr="006F4CD1" w:rsidRDefault="00B3500A" w:rsidP="00D62AD1">
            <w:pPr>
              <w:pStyle w:val="TableParagraph"/>
              <w:ind w:left="97" w:right="89"/>
              <w:rPr>
                <w:sz w:val="16"/>
                <w:szCs w:val="16"/>
              </w:rPr>
            </w:pPr>
            <w:r w:rsidRPr="006F4CD1">
              <w:rPr>
                <w:spacing w:val="-4"/>
                <w:sz w:val="16"/>
                <w:szCs w:val="16"/>
              </w:rPr>
              <w:t>0.53</w:t>
            </w:r>
          </w:p>
        </w:tc>
        <w:tc>
          <w:tcPr>
            <w:tcW w:w="550" w:type="pct"/>
            <w:tcBorders>
              <w:top w:val="nil"/>
              <w:bottom w:val="nil"/>
            </w:tcBorders>
          </w:tcPr>
          <w:p w14:paraId="7F9314B1" w14:textId="77777777" w:rsidR="00B3500A" w:rsidRPr="006F4CD1" w:rsidRDefault="00B3500A" w:rsidP="00D62AD1">
            <w:pPr>
              <w:pStyle w:val="TableParagraph"/>
              <w:ind w:left="118" w:right="109"/>
              <w:rPr>
                <w:sz w:val="16"/>
                <w:szCs w:val="16"/>
              </w:rPr>
            </w:pPr>
            <w:r w:rsidRPr="006F4CD1">
              <w:rPr>
                <w:spacing w:val="-4"/>
                <w:sz w:val="16"/>
                <w:szCs w:val="16"/>
              </w:rPr>
              <w:t>0.51</w:t>
            </w:r>
          </w:p>
        </w:tc>
        <w:tc>
          <w:tcPr>
            <w:tcW w:w="367" w:type="pct"/>
            <w:tcBorders>
              <w:top w:val="nil"/>
              <w:bottom w:val="nil"/>
            </w:tcBorders>
          </w:tcPr>
          <w:p w14:paraId="488DBCCA" w14:textId="77777777" w:rsidR="00B3500A" w:rsidRPr="006F4CD1" w:rsidRDefault="00B3500A" w:rsidP="00D62AD1">
            <w:pPr>
              <w:pStyle w:val="TableParagraph"/>
              <w:ind w:left="98" w:right="89"/>
              <w:rPr>
                <w:sz w:val="16"/>
                <w:szCs w:val="16"/>
              </w:rPr>
            </w:pPr>
            <w:r w:rsidRPr="006F4CD1">
              <w:rPr>
                <w:spacing w:val="-4"/>
                <w:sz w:val="16"/>
                <w:szCs w:val="16"/>
              </w:rPr>
              <w:t>0.48</w:t>
            </w:r>
          </w:p>
        </w:tc>
        <w:tc>
          <w:tcPr>
            <w:tcW w:w="413" w:type="pct"/>
            <w:tcBorders>
              <w:top w:val="nil"/>
              <w:bottom w:val="nil"/>
              <w:right w:val="double" w:sz="4" w:space="0" w:color="000000"/>
            </w:tcBorders>
          </w:tcPr>
          <w:p w14:paraId="00908035" w14:textId="77777777" w:rsidR="00B3500A" w:rsidRPr="006F4CD1" w:rsidRDefault="00B3500A" w:rsidP="00D62AD1">
            <w:pPr>
              <w:pStyle w:val="TableParagraph"/>
              <w:ind w:left="98" w:right="89"/>
              <w:rPr>
                <w:sz w:val="16"/>
                <w:szCs w:val="16"/>
              </w:rPr>
            </w:pPr>
            <w:r w:rsidRPr="006F4CD1">
              <w:rPr>
                <w:spacing w:val="-4"/>
                <w:sz w:val="16"/>
                <w:szCs w:val="16"/>
              </w:rPr>
              <w:t>0.53</w:t>
            </w:r>
          </w:p>
        </w:tc>
        <w:tc>
          <w:tcPr>
            <w:tcW w:w="321" w:type="pct"/>
            <w:tcBorders>
              <w:top w:val="nil"/>
              <w:left w:val="double" w:sz="4" w:space="0" w:color="000000"/>
              <w:bottom w:val="nil"/>
            </w:tcBorders>
          </w:tcPr>
          <w:p w14:paraId="4293172B" w14:textId="77777777" w:rsidR="00B3500A" w:rsidRPr="006F4CD1" w:rsidRDefault="00B3500A" w:rsidP="00D62AD1">
            <w:pPr>
              <w:pStyle w:val="TableParagraph"/>
              <w:ind w:right="102"/>
              <w:rPr>
                <w:sz w:val="16"/>
                <w:szCs w:val="16"/>
              </w:rPr>
            </w:pPr>
            <w:r w:rsidRPr="006F4CD1">
              <w:rPr>
                <w:spacing w:val="-4"/>
                <w:sz w:val="16"/>
                <w:szCs w:val="16"/>
              </w:rPr>
              <w:t>0.58</w:t>
            </w:r>
          </w:p>
        </w:tc>
        <w:tc>
          <w:tcPr>
            <w:tcW w:w="505" w:type="pct"/>
            <w:tcBorders>
              <w:top w:val="nil"/>
              <w:bottom w:val="nil"/>
            </w:tcBorders>
          </w:tcPr>
          <w:p w14:paraId="1FECA304"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0.55</w:t>
            </w:r>
          </w:p>
        </w:tc>
        <w:tc>
          <w:tcPr>
            <w:tcW w:w="413" w:type="pct"/>
            <w:tcBorders>
              <w:top w:val="nil"/>
              <w:bottom w:val="nil"/>
            </w:tcBorders>
          </w:tcPr>
          <w:p w14:paraId="54369FF3" w14:textId="77777777" w:rsidR="00B3500A" w:rsidRPr="006F4CD1" w:rsidRDefault="00B3500A" w:rsidP="00D62AD1">
            <w:pPr>
              <w:pStyle w:val="TableParagraph"/>
              <w:ind w:left="271"/>
              <w:jc w:val="left"/>
              <w:rPr>
                <w:sz w:val="16"/>
                <w:szCs w:val="16"/>
              </w:rPr>
            </w:pPr>
            <w:r w:rsidRPr="006F4CD1">
              <w:rPr>
                <w:spacing w:val="-4"/>
                <w:sz w:val="16"/>
                <w:szCs w:val="16"/>
              </w:rPr>
              <w:t>0.53</w:t>
            </w:r>
          </w:p>
        </w:tc>
        <w:tc>
          <w:tcPr>
            <w:tcW w:w="413" w:type="pct"/>
            <w:tcBorders>
              <w:top w:val="nil"/>
              <w:bottom w:val="nil"/>
            </w:tcBorders>
          </w:tcPr>
          <w:p w14:paraId="4EA322C4" w14:textId="77777777" w:rsidR="00B3500A" w:rsidRPr="006F4CD1" w:rsidRDefault="00B3500A" w:rsidP="00D62AD1">
            <w:pPr>
              <w:pStyle w:val="TableParagraph"/>
              <w:ind w:right="103"/>
              <w:rPr>
                <w:sz w:val="16"/>
                <w:szCs w:val="16"/>
              </w:rPr>
            </w:pPr>
            <w:r w:rsidRPr="006F4CD1">
              <w:rPr>
                <w:spacing w:val="-4"/>
                <w:sz w:val="16"/>
                <w:szCs w:val="16"/>
              </w:rPr>
              <w:t>0.57</w:t>
            </w:r>
          </w:p>
        </w:tc>
        <w:tc>
          <w:tcPr>
            <w:tcW w:w="550" w:type="pct"/>
            <w:tcBorders>
              <w:top w:val="nil"/>
              <w:bottom w:val="nil"/>
            </w:tcBorders>
          </w:tcPr>
          <w:p w14:paraId="63798BD9" w14:textId="77777777" w:rsidR="00B3500A" w:rsidRPr="006F4CD1" w:rsidRDefault="00B3500A" w:rsidP="00D62AD1">
            <w:pPr>
              <w:pStyle w:val="TableParagraph"/>
              <w:ind w:left="109" w:right="102"/>
              <w:rPr>
                <w:sz w:val="16"/>
                <w:szCs w:val="16"/>
              </w:rPr>
            </w:pPr>
            <w:r w:rsidRPr="006F4CD1">
              <w:rPr>
                <w:spacing w:val="-2"/>
                <w:w w:val="105"/>
                <w:sz w:val="16"/>
                <w:szCs w:val="16"/>
              </w:rPr>
              <w:t>Midwest</w:t>
            </w:r>
          </w:p>
        </w:tc>
      </w:tr>
      <w:tr w:rsidR="00B3500A" w:rsidRPr="006F4CD1" w14:paraId="13364D8F" w14:textId="77777777" w:rsidTr="00326B3D">
        <w:trPr>
          <w:trHeight w:val="239"/>
        </w:trPr>
        <w:tc>
          <w:tcPr>
            <w:tcW w:w="246" w:type="pct"/>
            <w:tcBorders>
              <w:top w:val="nil"/>
              <w:left w:val="double" w:sz="4" w:space="0" w:color="000000"/>
              <w:bottom w:val="nil"/>
            </w:tcBorders>
          </w:tcPr>
          <w:p w14:paraId="43A56A02" w14:textId="77777777" w:rsidR="00B3500A" w:rsidRPr="006F4CD1" w:rsidRDefault="00B3500A" w:rsidP="00D62AD1">
            <w:pPr>
              <w:pStyle w:val="TableParagraph"/>
              <w:ind w:left="119" w:right="91"/>
              <w:rPr>
                <w:sz w:val="16"/>
                <w:szCs w:val="16"/>
              </w:rPr>
            </w:pPr>
            <w:r w:rsidRPr="006F4CD1">
              <w:rPr>
                <w:spacing w:val="-5"/>
                <w:sz w:val="16"/>
                <w:szCs w:val="16"/>
              </w:rPr>
              <w:t>18</w:t>
            </w:r>
          </w:p>
        </w:tc>
        <w:tc>
          <w:tcPr>
            <w:tcW w:w="910" w:type="pct"/>
            <w:tcBorders>
              <w:top w:val="nil"/>
              <w:bottom w:val="nil"/>
            </w:tcBorders>
          </w:tcPr>
          <w:p w14:paraId="3BE09F5A" w14:textId="77777777" w:rsidR="00B3500A" w:rsidRPr="006F4CD1" w:rsidRDefault="00B3500A" w:rsidP="00D62AD1">
            <w:pPr>
              <w:pStyle w:val="TableParagraph"/>
              <w:ind w:left="118"/>
              <w:jc w:val="left"/>
              <w:rPr>
                <w:sz w:val="16"/>
                <w:szCs w:val="16"/>
              </w:rPr>
            </w:pPr>
            <w:r w:rsidRPr="006F4CD1">
              <w:rPr>
                <w:spacing w:val="-2"/>
                <w:w w:val="110"/>
                <w:sz w:val="16"/>
                <w:szCs w:val="16"/>
              </w:rPr>
              <w:t>Kentucky</w:t>
            </w:r>
          </w:p>
        </w:tc>
        <w:tc>
          <w:tcPr>
            <w:tcW w:w="312" w:type="pct"/>
            <w:tcBorders>
              <w:top w:val="nil"/>
              <w:bottom w:val="nil"/>
            </w:tcBorders>
          </w:tcPr>
          <w:p w14:paraId="334E0441" w14:textId="77777777" w:rsidR="00B3500A" w:rsidRPr="006F4CD1" w:rsidRDefault="00B3500A" w:rsidP="00D62AD1">
            <w:pPr>
              <w:pStyle w:val="TableParagraph"/>
              <w:ind w:left="97" w:right="89"/>
              <w:rPr>
                <w:sz w:val="16"/>
                <w:szCs w:val="16"/>
              </w:rPr>
            </w:pPr>
            <w:r w:rsidRPr="006F4CD1">
              <w:rPr>
                <w:spacing w:val="-4"/>
                <w:sz w:val="16"/>
                <w:szCs w:val="16"/>
              </w:rPr>
              <w:t>0.50</w:t>
            </w:r>
          </w:p>
        </w:tc>
        <w:tc>
          <w:tcPr>
            <w:tcW w:w="550" w:type="pct"/>
            <w:tcBorders>
              <w:top w:val="nil"/>
              <w:bottom w:val="nil"/>
            </w:tcBorders>
          </w:tcPr>
          <w:p w14:paraId="5306132B" w14:textId="77777777" w:rsidR="00B3500A" w:rsidRPr="006F4CD1" w:rsidRDefault="00B3500A" w:rsidP="00D62AD1">
            <w:pPr>
              <w:pStyle w:val="TableParagraph"/>
              <w:ind w:left="118" w:right="109"/>
              <w:rPr>
                <w:sz w:val="16"/>
                <w:szCs w:val="16"/>
              </w:rPr>
            </w:pPr>
            <w:r w:rsidRPr="006F4CD1">
              <w:rPr>
                <w:spacing w:val="-4"/>
                <w:sz w:val="16"/>
                <w:szCs w:val="16"/>
              </w:rPr>
              <w:t>0.48</w:t>
            </w:r>
          </w:p>
        </w:tc>
        <w:tc>
          <w:tcPr>
            <w:tcW w:w="367" w:type="pct"/>
            <w:tcBorders>
              <w:top w:val="nil"/>
              <w:bottom w:val="nil"/>
            </w:tcBorders>
          </w:tcPr>
          <w:p w14:paraId="2B1A457E" w14:textId="77777777" w:rsidR="00B3500A" w:rsidRPr="006F4CD1" w:rsidRDefault="00B3500A" w:rsidP="00D62AD1">
            <w:pPr>
              <w:pStyle w:val="TableParagraph"/>
              <w:ind w:left="98" w:right="89"/>
              <w:rPr>
                <w:sz w:val="16"/>
                <w:szCs w:val="16"/>
              </w:rPr>
            </w:pPr>
            <w:r w:rsidRPr="006F4CD1">
              <w:rPr>
                <w:spacing w:val="-4"/>
                <w:sz w:val="16"/>
                <w:szCs w:val="16"/>
              </w:rPr>
              <w:t>0.46</w:t>
            </w:r>
          </w:p>
        </w:tc>
        <w:tc>
          <w:tcPr>
            <w:tcW w:w="413" w:type="pct"/>
            <w:tcBorders>
              <w:top w:val="nil"/>
              <w:bottom w:val="nil"/>
              <w:right w:val="double" w:sz="4" w:space="0" w:color="000000"/>
            </w:tcBorders>
          </w:tcPr>
          <w:p w14:paraId="29E8C9B1" w14:textId="77777777" w:rsidR="00B3500A" w:rsidRPr="006F4CD1" w:rsidRDefault="00B3500A" w:rsidP="00D62AD1">
            <w:pPr>
              <w:pStyle w:val="TableParagraph"/>
              <w:ind w:left="98" w:right="89"/>
              <w:rPr>
                <w:sz w:val="16"/>
                <w:szCs w:val="16"/>
              </w:rPr>
            </w:pPr>
            <w:r w:rsidRPr="006F4CD1">
              <w:rPr>
                <w:spacing w:val="-4"/>
                <w:sz w:val="16"/>
                <w:szCs w:val="16"/>
              </w:rPr>
              <w:t>0.49</w:t>
            </w:r>
          </w:p>
        </w:tc>
        <w:tc>
          <w:tcPr>
            <w:tcW w:w="321" w:type="pct"/>
            <w:tcBorders>
              <w:top w:val="nil"/>
              <w:left w:val="double" w:sz="4" w:space="0" w:color="000000"/>
              <w:bottom w:val="nil"/>
            </w:tcBorders>
          </w:tcPr>
          <w:p w14:paraId="628E59C0" w14:textId="77777777" w:rsidR="00B3500A" w:rsidRPr="006F4CD1" w:rsidRDefault="00B3500A" w:rsidP="00D62AD1">
            <w:pPr>
              <w:pStyle w:val="TableParagraph"/>
              <w:ind w:right="102"/>
              <w:rPr>
                <w:sz w:val="16"/>
                <w:szCs w:val="16"/>
              </w:rPr>
            </w:pPr>
            <w:r w:rsidRPr="006F4CD1">
              <w:rPr>
                <w:spacing w:val="-4"/>
                <w:sz w:val="16"/>
                <w:szCs w:val="16"/>
              </w:rPr>
              <w:t>0.58</w:t>
            </w:r>
          </w:p>
        </w:tc>
        <w:tc>
          <w:tcPr>
            <w:tcW w:w="505" w:type="pct"/>
            <w:tcBorders>
              <w:top w:val="nil"/>
              <w:bottom w:val="nil"/>
            </w:tcBorders>
          </w:tcPr>
          <w:p w14:paraId="0A15FB69"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0.56</w:t>
            </w:r>
          </w:p>
        </w:tc>
        <w:tc>
          <w:tcPr>
            <w:tcW w:w="413" w:type="pct"/>
            <w:tcBorders>
              <w:top w:val="nil"/>
              <w:bottom w:val="nil"/>
            </w:tcBorders>
          </w:tcPr>
          <w:p w14:paraId="085AAAC3" w14:textId="77777777" w:rsidR="00B3500A" w:rsidRPr="006F4CD1" w:rsidRDefault="00B3500A" w:rsidP="00D62AD1">
            <w:pPr>
              <w:pStyle w:val="TableParagraph"/>
              <w:ind w:left="271"/>
              <w:jc w:val="left"/>
              <w:rPr>
                <w:sz w:val="16"/>
                <w:szCs w:val="16"/>
              </w:rPr>
            </w:pPr>
            <w:r w:rsidRPr="006F4CD1">
              <w:rPr>
                <w:spacing w:val="-4"/>
                <w:sz w:val="16"/>
                <w:szCs w:val="16"/>
              </w:rPr>
              <w:t>0.55</w:t>
            </w:r>
          </w:p>
        </w:tc>
        <w:tc>
          <w:tcPr>
            <w:tcW w:w="413" w:type="pct"/>
            <w:tcBorders>
              <w:top w:val="nil"/>
              <w:bottom w:val="nil"/>
            </w:tcBorders>
          </w:tcPr>
          <w:p w14:paraId="1955B67C" w14:textId="77777777" w:rsidR="00B3500A" w:rsidRPr="006F4CD1" w:rsidRDefault="00B3500A" w:rsidP="00D62AD1">
            <w:pPr>
              <w:pStyle w:val="TableParagraph"/>
              <w:ind w:right="103"/>
              <w:rPr>
                <w:sz w:val="16"/>
                <w:szCs w:val="16"/>
              </w:rPr>
            </w:pPr>
            <w:r w:rsidRPr="006F4CD1">
              <w:rPr>
                <w:spacing w:val="-4"/>
                <w:sz w:val="16"/>
                <w:szCs w:val="16"/>
              </w:rPr>
              <w:t>0.57</w:t>
            </w:r>
          </w:p>
        </w:tc>
        <w:tc>
          <w:tcPr>
            <w:tcW w:w="550" w:type="pct"/>
            <w:tcBorders>
              <w:top w:val="nil"/>
              <w:bottom w:val="nil"/>
            </w:tcBorders>
          </w:tcPr>
          <w:p w14:paraId="08467D01"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579FD30B" w14:textId="77777777" w:rsidTr="00326B3D">
        <w:trPr>
          <w:trHeight w:val="239"/>
        </w:trPr>
        <w:tc>
          <w:tcPr>
            <w:tcW w:w="246" w:type="pct"/>
            <w:tcBorders>
              <w:top w:val="nil"/>
              <w:left w:val="double" w:sz="4" w:space="0" w:color="000000"/>
              <w:bottom w:val="nil"/>
            </w:tcBorders>
          </w:tcPr>
          <w:p w14:paraId="254A1149" w14:textId="77777777" w:rsidR="00B3500A" w:rsidRPr="006F4CD1" w:rsidRDefault="00B3500A" w:rsidP="00D62AD1">
            <w:pPr>
              <w:pStyle w:val="TableParagraph"/>
              <w:ind w:left="119" w:right="91"/>
              <w:rPr>
                <w:sz w:val="16"/>
                <w:szCs w:val="16"/>
              </w:rPr>
            </w:pPr>
            <w:r w:rsidRPr="006F4CD1">
              <w:rPr>
                <w:spacing w:val="-5"/>
                <w:sz w:val="16"/>
                <w:szCs w:val="16"/>
              </w:rPr>
              <w:t>19</w:t>
            </w:r>
          </w:p>
        </w:tc>
        <w:tc>
          <w:tcPr>
            <w:tcW w:w="910" w:type="pct"/>
            <w:tcBorders>
              <w:top w:val="nil"/>
              <w:bottom w:val="nil"/>
            </w:tcBorders>
          </w:tcPr>
          <w:p w14:paraId="2585E90D" w14:textId="77777777" w:rsidR="00B3500A" w:rsidRPr="006F4CD1" w:rsidRDefault="00B3500A" w:rsidP="00D62AD1">
            <w:pPr>
              <w:pStyle w:val="TableParagraph"/>
              <w:ind w:left="118"/>
              <w:jc w:val="left"/>
              <w:rPr>
                <w:sz w:val="16"/>
                <w:szCs w:val="16"/>
              </w:rPr>
            </w:pPr>
            <w:r w:rsidRPr="006F4CD1">
              <w:rPr>
                <w:spacing w:val="-2"/>
                <w:w w:val="105"/>
                <w:sz w:val="16"/>
                <w:szCs w:val="16"/>
              </w:rPr>
              <w:t>Louisiana</w:t>
            </w:r>
          </w:p>
        </w:tc>
        <w:tc>
          <w:tcPr>
            <w:tcW w:w="312" w:type="pct"/>
            <w:tcBorders>
              <w:top w:val="nil"/>
              <w:bottom w:val="nil"/>
            </w:tcBorders>
          </w:tcPr>
          <w:p w14:paraId="1D4A4ECC" w14:textId="77777777" w:rsidR="00B3500A" w:rsidRPr="006F4CD1" w:rsidRDefault="00B3500A" w:rsidP="00D62AD1">
            <w:pPr>
              <w:pStyle w:val="TableParagraph"/>
              <w:ind w:left="97" w:right="89"/>
              <w:rPr>
                <w:sz w:val="16"/>
                <w:szCs w:val="16"/>
              </w:rPr>
            </w:pPr>
            <w:r w:rsidRPr="006F4CD1">
              <w:rPr>
                <w:spacing w:val="-4"/>
                <w:sz w:val="16"/>
                <w:szCs w:val="16"/>
              </w:rPr>
              <w:t>0.49</w:t>
            </w:r>
          </w:p>
        </w:tc>
        <w:tc>
          <w:tcPr>
            <w:tcW w:w="550" w:type="pct"/>
            <w:tcBorders>
              <w:top w:val="nil"/>
              <w:bottom w:val="nil"/>
            </w:tcBorders>
          </w:tcPr>
          <w:p w14:paraId="46BDAEFE" w14:textId="77777777" w:rsidR="00B3500A" w:rsidRPr="006F4CD1" w:rsidRDefault="00B3500A" w:rsidP="00D62AD1">
            <w:pPr>
              <w:pStyle w:val="TableParagraph"/>
              <w:ind w:left="118" w:right="109"/>
              <w:rPr>
                <w:sz w:val="16"/>
                <w:szCs w:val="16"/>
              </w:rPr>
            </w:pPr>
            <w:r w:rsidRPr="006F4CD1">
              <w:rPr>
                <w:spacing w:val="-4"/>
                <w:sz w:val="16"/>
                <w:szCs w:val="16"/>
              </w:rPr>
              <w:t>0.47</w:t>
            </w:r>
          </w:p>
        </w:tc>
        <w:tc>
          <w:tcPr>
            <w:tcW w:w="367" w:type="pct"/>
            <w:tcBorders>
              <w:top w:val="nil"/>
              <w:bottom w:val="nil"/>
            </w:tcBorders>
          </w:tcPr>
          <w:p w14:paraId="75EF19AA" w14:textId="77777777" w:rsidR="00B3500A" w:rsidRPr="006F4CD1" w:rsidRDefault="00B3500A" w:rsidP="00D62AD1">
            <w:pPr>
              <w:pStyle w:val="TableParagraph"/>
              <w:ind w:left="98" w:right="89"/>
              <w:rPr>
                <w:sz w:val="16"/>
                <w:szCs w:val="16"/>
              </w:rPr>
            </w:pPr>
            <w:r w:rsidRPr="006F4CD1">
              <w:rPr>
                <w:spacing w:val="-4"/>
                <w:sz w:val="16"/>
                <w:szCs w:val="16"/>
              </w:rPr>
              <w:t>0.45</w:t>
            </w:r>
          </w:p>
        </w:tc>
        <w:tc>
          <w:tcPr>
            <w:tcW w:w="413" w:type="pct"/>
            <w:tcBorders>
              <w:top w:val="nil"/>
              <w:bottom w:val="nil"/>
              <w:right w:val="double" w:sz="4" w:space="0" w:color="000000"/>
            </w:tcBorders>
          </w:tcPr>
          <w:p w14:paraId="70B89554" w14:textId="77777777" w:rsidR="00B3500A" w:rsidRPr="006F4CD1" w:rsidRDefault="00B3500A" w:rsidP="00D62AD1">
            <w:pPr>
              <w:pStyle w:val="TableParagraph"/>
              <w:ind w:left="98" w:right="89"/>
              <w:rPr>
                <w:sz w:val="16"/>
                <w:szCs w:val="16"/>
              </w:rPr>
            </w:pPr>
            <w:r w:rsidRPr="006F4CD1">
              <w:rPr>
                <w:spacing w:val="-4"/>
                <w:sz w:val="16"/>
                <w:szCs w:val="16"/>
              </w:rPr>
              <w:t>0.49</w:t>
            </w:r>
          </w:p>
        </w:tc>
        <w:tc>
          <w:tcPr>
            <w:tcW w:w="321" w:type="pct"/>
            <w:tcBorders>
              <w:top w:val="nil"/>
              <w:left w:val="double" w:sz="4" w:space="0" w:color="000000"/>
              <w:bottom w:val="nil"/>
            </w:tcBorders>
          </w:tcPr>
          <w:p w14:paraId="74459A0B" w14:textId="77777777" w:rsidR="00B3500A" w:rsidRPr="006F4CD1" w:rsidRDefault="00B3500A" w:rsidP="00D62AD1">
            <w:pPr>
              <w:pStyle w:val="TableParagraph"/>
              <w:ind w:right="102"/>
              <w:rPr>
                <w:sz w:val="16"/>
                <w:szCs w:val="16"/>
              </w:rPr>
            </w:pPr>
            <w:r w:rsidRPr="006F4CD1">
              <w:rPr>
                <w:spacing w:val="-4"/>
                <w:sz w:val="16"/>
                <w:szCs w:val="16"/>
              </w:rPr>
              <w:t>0.55</w:t>
            </w:r>
          </w:p>
        </w:tc>
        <w:tc>
          <w:tcPr>
            <w:tcW w:w="505" w:type="pct"/>
            <w:tcBorders>
              <w:top w:val="nil"/>
              <w:bottom w:val="nil"/>
            </w:tcBorders>
          </w:tcPr>
          <w:p w14:paraId="2D3392CE"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0.53</w:t>
            </w:r>
          </w:p>
        </w:tc>
        <w:tc>
          <w:tcPr>
            <w:tcW w:w="413" w:type="pct"/>
            <w:tcBorders>
              <w:top w:val="nil"/>
              <w:bottom w:val="nil"/>
            </w:tcBorders>
          </w:tcPr>
          <w:p w14:paraId="2E93B796" w14:textId="77777777" w:rsidR="00B3500A" w:rsidRPr="006F4CD1" w:rsidRDefault="00B3500A" w:rsidP="00D62AD1">
            <w:pPr>
              <w:pStyle w:val="TableParagraph"/>
              <w:ind w:left="271"/>
              <w:jc w:val="left"/>
              <w:rPr>
                <w:sz w:val="16"/>
                <w:szCs w:val="16"/>
              </w:rPr>
            </w:pPr>
            <w:r w:rsidRPr="006F4CD1">
              <w:rPr>
                <w:spacing w:val="-4"/>
                <w:sz w:val="16"/>
                <w:szCs w:val="16"/>
              </w:rPr>
              <w:t>0.52</w:t>
            </w:r>
          </w:p>
        </w:tc>
        <w:tc>
          <w:tcPr>
            <w:tcW w:w="413" w:type="pct"/>
            <w:tcBorders>
              <w:top w:val="nil"/>
              <w:bottom w:val="nil"/>
            </w:tcBorders>
          </w:tcPr>
          <w:p w14:paraId="73F6CBA8" w14:textId="77777777" w:rsidR="00B3500A" w:rsidRPr="006F4CD1" w:rsidRDefault="00B3500A" w:rsidP="00D62AD1">
            <w:pPr>
              <w:pStyle w:val="TableParagraph"/>
              <w:ind w:right="103"/>
              <w:rPr>
                <w:sz w:val="16"/>
                <w:szCs w:val="16"/>
              </w:rPr>
            </w:pPr>
            <w:r w:rsidRPr="006F4CD1">
              <w:rPr>
                <w:spacing w:val="-4"/>
                <w:sz w:val="16"/>
                <w:szCs w:val="16"/>
              </w:rPr>
              <w:t>0.55</w:t>
            </w:r>
          </w:p>
        </w:tc>
        <w:tc>
          <w:tcPr>
            <w:tcW w:w="550" w:type="pct"/>
            <w:tcBorders>
              <w:top w:val="nil"/>
              <w:bottom w:val="nil"/>
            </w:tcBorders>
          </w:tcPr>
          <w:p w14:paraId="5DEFE7E3"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6F5E5051" w14:textId="77777777" w:rsidTr="00326B3D">
        <w:trPr>
          <w:trHeight w:val="239"/>
        </w:trPr>
        <w:tc>
          <w:tcPr>
            <w:tcW w:w="246" w:type="pct"/>
            <w:tcBorders>
              <w:top w:val="nil"/>
              <w:left w:val="double" w:sz="4" w:space="0" w:color="000000"/>
              <w:bottom w:val="nil"/>
            </w:tcBorders>
          </w:tcPr>
          <w:p w14:paraId="29703632" w14:textId="77777777" w:rsidR="00B3500A" w:rsidRPr="006F4CD1" w:rsidRDefault="00B3500A" w:rsidP="00D62AD1">
            <w:pPr>
              <w:pStyle w:val="TableParagraph"/>
              <w:ind w:left="119" w:right="91"/>
              <w:rPr>
                <w:sz w:val="16"/>
                <w:szCs w:val="16"/>
              </w:rPr>
            </w:pPr>
            <w:r w:rsidRPr="006F4CD1">
              <w:rPr>
                <w:spacing w:val="-5"/>
                <w:sz w:val="16"/>
                <w:szCs w:val="16"/>
              </w:rPr>
              <w:t>20</w:t>
            </w:r>
          </w:p>
        </w:tc>
        <w:tc>
          <w:tcPr>
            <w:tcW w:w="910" w:type="pct"/>
            <w:tcBorders>
              <w:top w:val="nil"/>
              <w:bottom w:val="nil"/>
            </w:tcBorders>
          </w:tcPr>
          <w:p w14:paraId="50DBF6E7" w14:textId="77777777" w:rsidR="00B3500A" w:rsidRPr="006F4CD1" w:rsidRDefault="00B3500A" w:rsidP="00D62AD1">
            <w:pPr>
              <w:pStyle w:val="TableParagraph"/>
              <w:ind w:left="118"/>
              <w:jc w:val="left"/>
              <w:rPr>
                <w:sz w:val="16"/>
                <w:szCs w:val="16"/>
              </w:rPr>
            </w:pPr>
            <w:r w:rsidRPr="006F4CD1">
              <w:rPr>
                <w:spacing w:val="-2"/>
                <w:w w:val="105"/>
                <w:sz w:val="16"/>
                <w:szCs w:val="16"/>
              </w:rPr>
              <w:t>Maine</w:t>
            </w:r>
          </w:p>
        </w:tc>
        <w:tc>
          <w:tcPr>
            <w:tcW w:w="312" w:type="pct"/>
            <w:tcBorders>
              <w:top w:val="nil"/>
              <w:bottom w:val="nil"/>
            </w:tcBorders>
          </w:tcPr>
          <w:p w14:paraId="219BD47C" w14:textId="77777777" w:rsidR="00B3500A" w:rsidRPr="006F4CD1" w:rsidRDefault="00B3500A" w:rsidP="00D62AD1">
            <w:pPr>
              <w:pStyle w:val="TableParagraph"/>
              <w:ind w:left="97" w:right="89"/>
              <w:rPr>
                <w:sz w:val="16"/>
                <w:szCs w:val="16"/>
              </w:rPr>
            </w:pPr>
            <w:r w:rsidRPr="006F4CD1">
              <w:rPr>
                <w:spacing w:val="-4"/>
                <w:sz w:val="16"/>
                <w:szCs w:val="16"/>
              </w:rPr>
              <w:t>0.56</w:t>
            </w:r>
          </w:p>
        </w:tc>
        <w:tc>
          <w:tcPr>
            <w:tcW w:w="550" w:type="pct"/>
            <w:tcBorders>
              <w:top w:val="nil"/>
              <w:bottom w:val="nil"/>
            </w:tcBorders>
          </w:tcPr>
          <w:p w14:paraId="72336758" w14:textId="77777777" w:rsidR="00B3500A" w:rsidRPr="006F4CD1" w:rsidRDefault="00B3500A" w:rsidP="00D62AD1">
            <w:pPr>
              <w:pStyle w:val="TableParagraph"/>
              <w:ind w:left="118" w:right="109"/>
              <w:rPr>
                <w:sz w:val="16"/>
                <w:szCs w:val="16"/>
              </w:rPr>
            </w:pPr>
            <w:r w:rsidRPr="006F4CD1">
              <w:rPr>
                <w:spacing w:val="-4"/>
                <w:sz w:val="16"/>
                <w:szCs w:val="16"/>
              </w:rPr>
              <w:t>0.45</w:t>
            </w:r>
          </w:p>
        </w:tc>
        <w:tc>
          <w:tcPr>
            <w:tcW w:w="367" w:type="pct"/>
            <w:tcBorders>
              <w:top w:val="nil"/>
              <w:bottom w:val="nil"/>
            </w:tcBorders>
          </w:tcPr>
          <w:p w14:paraId="3910940E" w14:textId="77777777" w:rsidR="00B3500A" w:rsidRPr="006F4CD1" w:rsidRDefault="00B3500A" w:rsidP="00D62AD1">
            <w:pPr>
              <w:pStyle w:val="TableParagraph"/>
              <w:ind w:left="98" w:right="89"/>
              <w:rPr>
                <w:sz w:val="16"/>
                <w:szCs w:val="16"/>
              </w:rPr>
            </w:pPr>
            <w:r w:rsidRPr="006F4CD1">
              <w:rPr>
                <w:spacing w:val="-4"/>
                <w:sz w:val="16"/>
                <w:szCs w:val="16"/>
              </w:rPr>
              <w:t>0.48</w:t>
            </w:r>
          </w:p>
        </w:tc>
        <w:tc>
          <w:tcPr>
            <w:tcW w:w="413" w:type="pct"/>
            <w:tcBorders>
              <w:top w:val="nil"/>
              <w:bottom w:val="nil"/>
              <w:right w:val="double" w:sz="4" w:space="0" w:color="000000"/>
            </w:tcBorders>
          </w:tcPr>
          <w:p w14:paraId="4C0CA4F1" w14:textId="77777777" w:rsidR="00B3500A" w:rsidRPr="006F4CD1" w:rsidRDefault="00B3500A" w:rsidP="00D62AD1">
            <w:pPr>
              <w:pStyle w:val="TableParagraph"/>
              <w:ind w:left="98" w:right="89"/>
              <w:rPr>
                <w:sz w:val="16"/>
                <w:szCs w:val="16"/>
              </w:rPr>
            </w:pPr>
            <w:r w:rsidRPr="006F4CD1">
              <w:rPr>
                <w:spacing w:val="-4"/>
                <w:sz w:val="16"/>
                <w:szCs w:val="16"/>
              </w:rPr>
              <w:t>0.54</w:t>
            </w:r>
          </w:p>
        </w:tc>
        <w:tc>
          <w:tcPr>
            <w:tcW w:w="321" w:type="pct"/>
            <w:tcBorders>
              <w:top w:val="nil"/>
              <w:left w:val="double" w:sz="4" w:space="0" w:color="000000"/>
              <w:bottom w:val="nil"/>
            </w:tcBorders>
          </w:tcPr>
          <w:p w14:paraId="1C2092CF" w14:textId="77777777" w:rsidR="00B3500A" w:rsidRPr="006F4CD1" w:rsidRDefault="00B3500A" w:rsidP="00D62AD1">
            <w:pPr>
              <w:pStyle w:val="TableParagraph"/>
              <w:ind w:right="102"/>
              <w:rPr>
                <w:sz w:val="16"/>
                <w:szCs w:val="16"/>
              </w:rPr>
            </w:pPr>
            <w:r w:rsidRPr="006F4CD1">
              <w:rPr>
                <w:spacing w:val="-4"/>
                <w:sz w:val="16"/>
                <w:szCs w:val="16"/>
              </w:rPr>
              <w:t>0.58</w:t>
            </w:r>
          </w:p>
        </w:tc>
        <w:tc>
          <w:tcPr>
            <w:tcW w:w="505" w:type="pct"/>
            <w:tcBorders>
              <w:top w:val="nil"/>
              <w:bottom w:val="nil"/>
            </w:tcBorders>
          </w:tcPr>
          <w:p w14:paraId="28ACE033"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0.50</w:t>
            </w:r>
          </w:p>
        </w:tc>
        <w:tc>
          <w:tcPr>
            <w:tcW w:w="413" w:type="pct"/>
            <w:tcBorders>
              <w:top w:val="nil"/>
              <w:bottom w:val="nil"/>
            </w:tcBorders>
          </w:tcPr>
          <w:p w14:paraId="0B21C592" w14:textId="77777777" w:rsidR="00B3500A" w:rsidRPr="006F4CD1" w:rsidRDefault="00B3500A" w:rsidP="00D62AD1">
            <w:pPr>
              <w:pStyle w:val="TableParagraph"/>
              <w:ind w:left="271"/>
              <w:jc w:val="left"/>
              <w:rPr>
                <w:sz w:val="16"/>
                <w:szCs w:val="16"/>
              </w:rPr>
            </w:pPr>
            <w:r w:rsidRPr="006F4CD1">
              <w:rPr>
                <w:spacing w:val="-4"/>
                <w:sz w:val="16"/>
                <w:szCs w:val="16"/>
              </w:rPr>
              <w:t>0.51</w:t>
            </w:r>
          </w:p>
        </w:tc>
        <w:tc>
          <w:tcPr>
            <w:tcW w:w="413" w:type="pct"/>
            <w:tcBorders>
              <w:top w:val="nil"/>
              <w:bottom w:val="nil"/>
            </w:tcBorders>
          </w:tcPr>
          <w:p w14:paraId="29A518A1" w14:textId="77777777" w:rsidR="00B3500A" w:rsidRPr="006F4CD1" w:rsidRDefault="00B3500A" w:rsidP="00D62AD1">
            <w:pPr>
              <w:pStyle w:val="TableParagraph"/>
              <w:ind w:right="103"/>
              <w:rPr>
                <w:sz w:val="16"/>
                <w:szCs w:val="16"/>
              </w:rPr>
            </w:pPr>
            <w:r w:rsidRPr="006F4CD1">
              <w:rPr>
                <w:spacing w:val="-4"/>
                <w:sz w:val="16"/>
                <w:szCs w:val="16"/>
              </w:rPr>
              <w:t>0.57</w:t>
            </w:r>
          </w:p>
        </w:tc>
        <w:tc>
          <w:tcPr>
            <w:tcW w:w="550" w:type="pct"/>
            <w:tcBorders>
              <w:top w:val="nil"/>
              <w:bottom w:val="nil"/>
            </w:tcBorders>
          </w:tcPr>
          <w:p w14:paraId="3DAEA0DF" w14:textId="77777777" w:rsidR="00B3500A" w:rsidRPr="006F4CD1" w:rsidRDefault="00B3500A" w:rsidP="00D62AD1">
            <w:pPr>
              <w:pStyle w:val="TableParagraph"/>
              <w:ind w:left="109" w:right="102"/>
              <w:rPr>
                <w:sz w:val="16"/>
                <w:szCs w:val="16"/>
              </w:rPr>
            </w:pPr>
            <w:r w:rsidRPr="006F4CD1">
              <w:rPr>
                <w:spacing w:val="-2"/>
                <w:w w:val="110"/>
                <w:sz w:val="16"/>
                <w:szCs w:val="16"/>
              </w:rPr>
              <w:t>Northeast</w:t>
            </w:r>
          </w:p>
        </w:tc>
      </w:tr>
      <w:tr w:rsidR="00B3500A" w:rsidRPr="006F4CD1" w14:paraId="0D3F1413" w14:textId="77777777" w:rsidTr="00326B3D">
        <w:trPr>
          <w:trHeight w:val="239"/>
        </w:trPr>
        <w:tc>
          <w:tcPr>
            <w:tcW w:w="246" w:type="pct"/>
            <w:tcBorders>
              <w:top w:val="nil"/>
              <w:left w:val="double" w:sz="4" w:space="0" w:color="000000"/>
              <w:bottom w:val="nil"/>
            </w:tcBorders>
          </w:tcPr>
          <w:p w14:paraId="103C344E" w14:textId="77777777" w:rsidR="00B3500A" w:rsidRPr="006F4CD1" w:rsidRDefault="00B3500A" w:rsidP="00D62AD1">
            <w:pPr>
              <w:pStyle w:val="TableParagraph"/>
              <w:ind w:left="119" w:right="91"/>
              <w:rPr>
                <w:sz w:val="16"/>
                <w:szCs w:val="16"/>
              </w:rPr>
            </w:pPr>
            <w:r w:rsidRPr="006F4CD1">
              <w:rPr>
                <w:spacing w:val="-5"/>
                <w:sz w:val="16"/>
                <w:szCs w:val="16"/>
              </w:rPr>
              <w:t>21</w:t>
            </w:r>
          </w:p>
        </w:tc>
        <w:tc>
          <w:tcPr>
            <w:tcW w:w="910" w:type="pct"/>
            <w:tcBorders>
              <w:top w:val="nil"/>
              <w:bottom w:val="nil"/>
            </w:tcBorders>
          </w:tcPr>
          <w:p w14:paraId="70AF57FE" w14:textId="77777777" w:rsidR="00B3500A" w:rsidRPr="006F4CD1" w:rsidRDefault="00B3500A" w:rsidP="00D62AD1">
            <w:pPr>
              <w:pStyle w:val="TableParagraph"/>
              <w:ind w:left="118"/>
              <w:jc w:val="left"/>
              <w:rPr>
                <w:sz w:val="16"/>
                <w:szCs w:val="16"/>
              </w:rPr>
            </w:pPr>
            <w:r w:rsidRPr="006F4CD1">
              <w:rPr>
                <w:spacing w:val="-2"/>
                <w:w w:val="110"/>
                <w:sz w:val="16"/>
                <w:szCs w:val="16"/>
              </w:rPr>
              <w:t>Maryland</w:t>
            </w:r>
          </w:p>
        </w:tc>
        <w:tc>
          <w:tcPr>
            <w:tcW w:w="312" w:type="pct"/>
            <w:tcBorders>
              <w:top w:val="nil"/>
              <w:bottom w:val="nil"/>
            </w:tcBorders>
          </w:tcPr>
          <w:p w14:paraId="11CFAC4E" w14:textId="77777777" w:rsidR="00B3500A" w:rsidRPr="006F4CD1" w:rsidRDefault="00B3500A" w:rsidP="00D62AD1">
            <w:pPr>
              <w:pStyle w:val="TableParagraph"/>
              <w:ind w:left="97" w:right="89"/>
              <w:rPr>
                <w:sz w:val="16"/>
                <w:szCs w:val="16"/>
              </w:rPr>
            </w:pPr>
            <w:r w:rsidRPr="006F4CD1">
              <w:rPr>
                <w:spacing w:val="-4"/>
                <w:sz w:val="16"/>
                <w:szCs w:val="16"/>
              </w:rPr>
              <w:t>0.49</w:t>
            </w:r>
          </w:p>
        </w:tc>
        <w:tc>
          <w:tcPr>
            <w:tcW w:w="550" w:type="pct"/>
            <w:tcBorders>
              <w:top w:val="nil"/>
              <w:bottom w:val="nil"/>
            </w:tcBorders>
          </w:tcPr>
          <w:p w14:paraId="6711D7B8" w14:textId="77777777" w:rsidR="00B3500A" w:rsidRPr="006F4CD1" w:rsidRDefault="00B3500A" w:rsidP="00D62AD1">
            <w:pPr>
              <w:pStyle w:val="TableParagraph"/>
              <w:ind w:left="118" w:right="109"/>
              <w:rPr>
                <w:sz w:val="16"/>
                <w:szCs w:val="16"/>
              </w:rPr>
            </w:pPr>
            <w:r w:rsidRPr="006F4CD1">
              <w:rPr>
                <w:spacing w:val="-4"/>
                <w:sz w:val="16"/>
                <w:szCs w:val="16"/>
              </w:rPr>
              <w:t>0.42</w:t>
            </w:r>
          </w:p>
        </w:tc>
        <w:tc>
          <w:tcPr>
            <w:tcW w:w="367" w:type="pct"/>
            <w:tcBorders>
              <w:top w:val="nil"/>
              <w:bottom w:val="nil"/>
            </w:tcBorders>
          </w:tcPr>
          <w:p w14:paraId="328D8E34" w14:textId="77777777" w:rsidR="00B3500A" w:rsidRPr="006F4CD1" w:rsidRDefault="00B3500A" w:rsidP="00D62AD1">
            <w:pPr>
              <w:pStyle w:val="TableParagraph"/>
              <w:ind w:left="98" w:right="89"/>
              <w:rPr>
                <w:sz w:val="16"/>
                <w:szCs w:val="16"/>
              </w:rPr>
            </w:pPr>
            <w:r w:rsidRPr="006F4CD1">
              <w:rPr>
                <w:spacing w:val="-4"/>
                <w:sz w:val="16"/>
                <w:szCs w:val="16"/>
              </w:rPr>
              <w:t>0.41</w:t>
            </w:r>
          </w:p>
        </w:tc>
        <w:tc>
          <w:tcPr>
            <w:tcW w:w="413" w:type="pct"/>
            <w:tcBorders>
              <w:top w:val="nil"/>
              <w:bottom w:val="nil"/>
              <w:right w:val="double" w:sz="4" w:space="0" w:color="000000"/>
            </w:tcBorders>
          </w:tcPr>
          <w:p w14:paraId="7B952AFE" w14:textId="77777777" w:rsidR="00B3500A" w:rsidRPr="006F4CD1" w:rsidRDefault="00B3500A" w:rsidP="00D62AD1">
            <w:pPr>
              <w:pStyle w:val="TableParagraph"/>
              <w:ind w:left="98" w:right="89"/>
              <w:rPr>
                <w:sz w:val="16"/>
                <w:szCs w:val="16"/>
              </w:rPr>
            </w:pPr>
            <w:r w:rsidRPr="006F4CD1">
              <w:rPr>
                <w:spacing w:val="-4"/>
                <w:sz w:val="16"/>
                <w:szCs w:val="16"/>
              </w:rPr>
              <w:t>0.48</w:t>
            </w:r>
          </w:p>
        </w:tc>
        <w:tc>
          <w:tcPr>
            <w:tcW w:w="321" w:type="pct"/>
            <w:tcBorders>
              <w:top w:val="nil"/>
              <w:left w:val="double" w:sz="4" w:space="0" w:color="000000"/>
              <w:bottom w:val="nil"/>
            </w:tcBorders>
          </w:tcPr>
          <w:p w14:paraId="249F44C4" w14:textId="77777777" w:rsidR="00B3500A" w:rsidRPr="006F4CD1" w:rsidRDefault="00B3500A" w:rsidP="00D62AD1">
            <w:pPr>
              <w:pStyle w:val="TableParagraph"/>
              <w:ind w:right="102"/>
              <w:rPr>
                <w:sz w:val="16"/>
                <w:szCs w:val="16"/>
              </w:rPr>
            </w:pPr>
            <w:r w:rsidRPr="006F4CD1">
              <w:rPr>
                <w:spacing w:val="-4"/>
                <w:sz w:val="16"/>
                <w:szCs w:val="16"/>
              </w:rPr>
              <w:t>0.56</w:t>
            </w:r>
          </w:p>
        </w:tc>
        <w:tc>
          <w:tcPr>
            <w:tcW w:w="505" w:type="pct"/>
            <w:tcBorders>
              <w:top w:val="nil"/>
              <w:bottom w:val="nil"/>
            </w:tcBorders>
          </w:tcPr>
          <w:p w14:paraId="0D1DDBAA"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0.50</w:t>
            </w:r>
          </w:p>
        </w:tc>
        <w:tc>
          <w:tcPr>
            <w:tcW w:w="413" w:type="pct"/>
            <w:tcBorders>
              <w:top w:val="nil"/>
              <w:bottom w:val="nil"/>
            </w:tcBorders>
          </w:tcPr>
          <w:p w14:paraId="4D80AEAC" w14:textId="77777777" w:rsidR="00B3500A" w:rsidRPr="006F4CD1" w:rsidRDefault="00B3500A" w:rsidP="00D62AD1">
            <w:pPr>
              <w:pStyle w:val="TableParagraph"/>
              <w:ind w:left="271"/>
              <w:jc w:val="left"/>
              <w:rPr>
                <w:sz w:val="16"/>
                <w:szCs w:val="16"/>
              </w:rPr>
            </w:pPr>
            <w:r w:rsidRPr="006F4CD1">
              <w:rPr>
                <w:spacing w:val="-4"/>
                <w:sz w:val="16"/>
                <w:szCs w:val="16"/>
              </w:rPr>
              <w:t>0.49</w:t>
            </w:r>
          </w:p>
        </w:tc>
        <w:tc>
          <w:tcPr>
            <w:tcW w:w="413" w:type="pct"/>
            <w:tcBorders>
              <w:top w:val="nil"/>
              <w:bottom w:val="nil"/>
            </w:tcBorders>
          </w:tcPr>
          <w:p w14:paraId="5CB9D2E0" w14:textId="77777777" w:rsidR="00B3500A" w:rsidRPr="006F4CD1" w:rsidRDefault="00B3500A" w:rsidP="00D62AD1">
            <w:pPr>
              <w:pStyle w:val="TableParagraph"/>
              <w:ind w:right="103"/>
              <w:rPr>
                <w:sz w:val="16"/>
                <w:szCs w:val="16"/>
              </w:rPr>
            </w:pPr>
            <w:r w:rsidRPr="006F4CD1">
              <w:rPr>
                <w:spacing w:val="-4"/>
                <w:sz w:val="16"/>
                <w:szCs w:val="16"/>
              </w:rPr>
              <w:t>0.55</w:t>
            </w:r>
          </w:p>
        </w:tc>
        <w:tc>
          <w:tcPr>
            <w:tcW w:w="550" w:type="pct"/>
            <w:tcBorders>
              <w:top w:val="nil"/>
              <w:bottom w:val="nil"/>
            </w:tcBorders>
          </w:tcPr>
          <w:p w14:paraId="5FDBC5C6"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214BEF97" w14:textId="77777777" w:rsidTr="00326B3D">
        <w:trPr>
          <w:trHeight w:val="239"/>
        </w:trPr>
        <w:tc>
          <w:tcPr>
            <w:tcW w:w="246" w:type="pct"/>
            <w:tcBorders>
              <w:top w:val="nil"/>
              <w:left w:val="double" w:sz="4" w:space="0" w:color="000000"/>
              <w:bottom w:val="nil"/>
            </w:tcBorders>
          </w:tcPr>
          <w:p w14:paraId="47F1D9E5" w14:textId="77777777" w:rsidR="00B3500A" w:rsidRPr="006F4CD1" w:rsidRDefault="00B3500A" w:rsidP="00D62AD1">
            <w:pPr>
              <w:pStyle w:val="TableParagraph"/>
              <w:ind w:left="119" w:right="91"/>
              <w:rPr>
                <w:sz w:val="16"/>
                <w:szCs w:val="16"/>
              </w:rPr>
            </w:pPr>
            <w:r w:rsidRPr="006F4CD1">
              <w:rPr>
                <w:spacing w:val="-5"/>
                <w:sz w:val="16"/>
                <w:szCs w:val="16"/>
              </w:rPr>
              <w:t>22</w:t>
            </w:r>
          </w:p>
        </w:tc>
        <w:tc>
          <w:tcPr>
            <w:tcW w:w="910" w:type="pct"/>
            <w:tcBorders>
              <w:top w:val="nil"/>
              <w:bottom w:val="nil"/>
            </w:tcBorders>
          </w:tcPr>
          <w:p w14:paraId="2440FA7D" w14:textId="77777777" w:rsidR="00B3500A" w:rsidRPr="006F4CD1" w:rsidRDefault="00B3500A" w:rsidP="00D62AD1">
            <w:pPr>
              <w:pStyle w:val="TableParagraph"/>
              <w:ind w:left="118"/>
              <w:jc w:val="left"/>
              <w:rPr>
                <w:sz w:val="16"/>
                <w:szCs w:val="16"/>
              </w:rPr>
            </w:pPr>
            <w:r w:rsidRPr="006F4CD1">
              <w:rPr>
                <w:spacing w:val="-2"/>
                <w:w w:val="110"/>
                <w:sz w:val="16"/>
                <w:szCs w:val="16"/>
              </w:rPr>
              <w:t>Massachusetts</w:t>
            </w:r>
          </w:p>
        </w:tc>
        <w:tc>
          <w:tcPr>
            <w:tcW w:w="312" w:type="pct"/>
            <w:tcBorders>
              <w:top w:val="nil"/>
              <w:bottom w:val="nil"/>
            </w:tcBorders>
          </w:tcPr>
          <w:p w14:paraId="6BD64E25" w14:textId="77777777" w:rsidR="00B3500A" w:rsidRPr="006F4CD1" w:rsidRDefault="00B3500A" w:rsidP="00D62AD1">
            <w:pPr>
              <w:pStyle w:val="TableParagraph"/>
              <w:ind w:left="97" w:right="89"/>
              <w:rPr>
                <w:sz w:val="16"/>
                <w:szCs w:val="16"/>
              </w:rPr>
            </w:pPr>
            <w:r w:rsidRPr="006F4CD1">
              <w:rPr>
                <w:spacing w:val="-4"/>
                <w:sz w:val="16"/>
                <w:szCs w:val="16"/>
              </w:rPr>
              <w:t>0.55</w:t>
            </w:r>
          </w:p>
        </w:tc>
        <w:tc>
          <w:tcPr>
            <w:tcW w:w="550" w:type="pct"/>
            <w:tcBorders>
              <w:top w:val="nil"/>
              <w:bottom w:val="nil"/>
            </w:tcBorders>
          </w:tcPr>
          <w:p w14:paraId="1780DF40" w14:textId="77777777" w:rsidR="00B3500A" w:rsidRPr="006F4CD1" w:rsidRDefault="00B3500A" w:rsidP="00D62AD1">
            <w:pPr>
              <w:pStyle w:val="TableParagraph"/>
              <w:ind w:left="118" w:right="109"/>
              <w:rPr>
                <w:sz w:val="16"/>
                <w:szCs w:val="16"/>
              </w:rPr>
            </w:pPr>
            <w:r w:rsidRPr="006F4CD1">
              <w:rPr>
                <w:spacing w:val="-4"/>
                <w:sz w:val="16"/>
                <w:szCs w:val="16"/>
              </w:rPr>
              <w:t>0.43</w:t>
            </w:r>
          </w:p>
        </w:tc>
        <w:tc>
          <w:tcPr>
            <w:tcW w:w="367" w:type="pct"/>
            <w:tcBorders>
              <w:top w:val="nil"/>
              <w:bottom w:val="nil"/>
            </w:tcBorders>
          </w:tcPr>
          <w:p w14:paraId="46014CD4" w14:textId="77777777" w:rsidR="00B3500A" w:rsidRPr="006F4CD1" w:rsidRDefault="00B3500A" w:rsidP="00D62AD1">
            <w:pPr>
              <w:pStyle w:val="TableParagraph"/>
              <w:ind w:left="98" w:right="89"/>
              <w:rPr>
                <w:sz w:val="16"/>
                <w:szCs w:val="16"/>
              </w:rPr>
            </w:pPr>
            <w:r w:rsidRPr="006F4CD1">
              <w:rPr>
                <w:spacing w:val="-4"/>
                <w:sz w:val="16"/>
                <w:szCs w:val="16"/>
              </w:rPr>
              <w:t>0.45</w:t>
            </w:r>
          </w:p>
        </w:tc>
        <w:tc>
          <w:tcPr>
            <w:tcW w:w="413" w:type="pct"/>
            <w:tcBorders>
              <w:top w:val="nil"/>
              <w:bottom w:val="nil"/>
              <w:right w:val="double" w:sz="4" w:space="0" w:color="000000"/>
            </w:tcBorders>
          </w:tcPr>
          <w:p w14:paraId="3AED2BCB" w14:textId="77777777" w:rsidR="00B3500A" w:rsidRPr="006F4CD1" w:rsidRDefault="00B3500A" w:rsidP="00D62AD1">
            <w:pPr>
              <w:pStyle w:val="TableParagraph"/>
              <w:ind w:left="98" w:right="89"/>
              <w:rPr>
                <w:sz w:val="16"/>
                <w:szCs w:val="16"/>
              </w:rPr>
            </w:pPr>
            <w:r w:rsidRPr="006F4CD1">
              <w:rPr>
                <w:spacing w:val="-4"/>
                <w:sz w:val="16"/>
                <w:szCs w:val="16"/>
              </w:rPr>
              <w:t>0.53</w:t>
            </w:r>
          </w:p>
        </w:tc>
        <w:tc>
          <w:tcPr>
            <w:tcW w:w="321" w:type="pct"/>
            <w:tcBorders>
              <w:top w:val="nil"/>
              <w:left w:val="double" w:sz="4" w:space="0" w:color="000000"/>
              <w:bottom w:val="nil"/>
            </w:tcBorders>
          </w:tcPr>
          <w:p w14:paraId="37B5EF3A" w14:textId="77777777" w:rsidR="00B3500A" w:rsidRPr="006F4CD1" w:rsidRDefault="00B3500A" w:rsidP="00D62AD1">
            <w:pPr>
              <w:pStyle w:val="TableParagraph"/>
              <w:ind w:right="102"/>
              <w:rPr>
                <w:sz w:val="16"/>
                <w:szCs w:val="16"/>
              </w:rPr>
            </w:pPr>
            <w:r w:rsidRPr="006F4CD1">
              <w:rPr>
                <w:spacing w:val="-4"/>
                <w:sz w:val="16"/>
                <w:szCs w:val="16"/>
              </w:rPr>
              <w:t>0.67</w:t>
            </w:r>
          </w:p>
        </w:tc>
        <w:tc>
          <w:tcPr>
            <w:tcW w:w="505" w:type="pct"/>
            <w:tcBorders>
              <w:top w:val="nil"/>
              <w:bottom w:val="nil"/>
            </w:tcBorders>
          </w:tcPr>
          <w:p w14:paraId="59A74DCC"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0.56</w:t>
            </w:r>
          </w:p>
        </w:tc>
        <w:tc>
          <w:tcPr>
            <w:tcW w:w="413" w:type="pct"/>
            <w:tcBorders>
              <w:top w:val="nil"/>
              <w:bottom w:val="nil"/>
            </w:tcBorders>
          </w:tcPr>
          <w:p w14:paraId="02608120" w14:textId="77777777" w:rsidR="00B3500A" w:rsidRPr="006F4CD1" w:rsidRDefault="00B3500A" w:rsidP="00D62AD1">
            <w:pPr>
              <w:pStyle w:val="TableParagraph"/>
              <w:ind w:left="271"/>
              <w:jc w:val="left"/>
              <w:rPr>
                <w:sz w:val="16"/>
                <w:szCs w:val="16"/>
              </w:rPr>
            </w:pPr>
            <w:r w:rsidRPr="006F4CD1">
              <w:rPr>
                <w:spacing w:val="-4"/>
                <w:sz w:val="16"/>
                <w:szCs w:val="16"/>
              </w:rPr>
              <w:t>0.55</w:t>
            </w:r>
          </w:p>
        </w:tc>
        <w:tc>
          <w:tcPr>
            <w:tcW w:w="413" w:type="pct"/>
            <w:tcBorders>
              <w:top w:val="nil"/>
              <w:bottom w:val="nil"/>
            </w:tcBorders>
          </w:tcPr>
          <w:p w14:paraId="4B465F53" w14:textId="77777777" w:rsidR="00B3500A" w:rsidRPr="006F4CD1" w:rsidRDefault="00B3500A" w:rsidP="00D62AD1">
            <w:pPr>
              <w:pStyle w:val="TableParagraph"/>
              <w:ind w:right="103"/>
              <w:rPr>
                <w:sz w:val="16"/>
                <w:szCs w:val="16"/>
              </w:rPr>
            </w:pPr>
            <w:r w:rsidRPr="006F4CD1">
              <w:rPr>
                <w:spacing w:val="-4"/>
                <w:sz w:val="16"/>
                <w:szCs w:val="16"/>
              </w:rPr>
              <w:t>0.66</w:t>
            </w:r>
          </w:p>
        </w:tc>
        <w:tc>
          <w:tcPr>
            <w:tcW w:w="550" w:type="pct"/>
            <w:tcBorders>
              <w:top w:val="nil"/>
              <w:bottom w:val="nil"/>
            </w:tcBorders>
          </w:tcPr>
          <w:p w14:paraId="65C3BD8E" w14:textId="77777777" w:rsidR="00B3500A" w:rsidRPr="006F4CD1" w:rsidRDefault="00B3500A" w:rsidP="00D62AD1">
            <w:pPr>
              <w:pStyle w:val="TableParagraph"/>
              <w:ind w:left="109" w:right="102"/>
              <w:rPr>
                <w:sz w:val="16"/>
                <w:szCs w:val="16"/>
              </w:rPr>
            </w:pPr>
            <w:r w:rsidRPr="006F4CD1">
              <w:rPr>
                <w:spacing w:val="-2"/>
                <w:w w:val="110"/>
                <w:sz w:val="16"/>
                <w:szCs w:val="16"/>
              </w:rPr>
              <w:t>Northeast</w:t>
            </w:r>
          </w:p>
        </w:tc>
      </w:tr>
      <w:tr w:rsidR="00B3500A" w:rsidRPr="006F4CD1" w14:paraId="07267E74" w14:textId="77777777" w:rsidTr="00326B3D">
        <w:trPr>
          <w:trHeight w:val="239"/>
        </w:trPr>
        <w:tc>
          <w:tcPr>
            <w:tcW w:w="246" w:type="pct"/>
            <w:tcBorders>
              <w:top w:val="nil"/>
              <w:left w:val="double" w:sz="4" w:space="0" w:color="000000"/>
              <w:bottom w:val="nil"/>
            </w:tcBorders>
          </w:tcPr>
          <w:p w14:paraId="7933491F" w14:textId="77777777" w:rsidR="00B3500A" w:rsidRPr="006F4CD1" w:rsidRDefault="00B3500A" w:rsidP="00D62AD1">
            <w:pPr>
              <w:pStyle w:val="TableParagraph"/>
              <w:ind w:left="119" w:right="91"/>
              <w:rPr>
                <w:sz w:val="16"/>
                <w:szCs w:val="16"/>
              </w:rPr>
            </w:pPr>
            <w:r w:rsidRPr="006F4CD1">
              <w:rPr>
                <w:spacing w:val="-5"/>
                <w:sz w:val="16"/>
                <w:szCs w:val="16"/>
              </w:rPr>
              <w:t>23</w:t>
            </w:r>
          </w:p>
        </w:tc>
        <w:tc>
          <w:tcPr>
            <w:tcW w:w="910" w:type="pct"/>
            <w:tcBorders>
              <w:top w:val="nil"/>
              <w:bottom w:val="nil"/>
            </w:tcBorders>
          </w:tcPr>
          <w:p w14:paraId="3F891F3A" w14:textId="77777777" w:rsidR="00B3500A" w:rsidRPr="006F4CD1" w:rsidRDefault="00B3500A" w:rsidP="00D62AD1">
            <w:pPr>
              <w:pStyle w:val="TableParagraph"/>
              <w:ind w:left="118"/>
              <w:jc w:val="left"/>
              <w:rPr>
                <w:sz w:val="16"/>
                <w:szCs w:val="16"/>
              </w:rPr>
            </w:pPr>
            <w:r w:rsidRPr="006F4CD1">
              <w:rPr>
                <w:spacing w:val="-2"/>
                <w:w w:val="105"/>
                <w:sz w:val="16"/>
                <w:szCs w:val="16"/>
              </w:rPr>
              <w:t>Michigan</w:t>
            </w:r>
          </w:p>
        </w:tc>
        <w:tc>
          <w:tcPr>
            <w:tcW w:w="312" w:type="pct"/>
            <w:tcBorders>
              <w:top w:val="nil"/>
              <w:bottom w:val="nil"/>
            </w:tcBorders>
          </w:tcPr>
          <w:p w14:paraId="0A7FBC61" w14:textId="77777777" w:rsidR="00B3500A" w:rsidRPr="006F4CD1" w:rsidRDefault="00B3500A" w:rsidP="00D62AD1">
            <w:pPr>
              <w:pStyle w:val="TableParagraph"/>
              <w:ind w:left="97" w:right="89"/>
              <w:rPr>
                <w:sz w:val="16"/>
                <w:szCs w:val="16"/>
              </w:rPr>
            </w:pPr>
            <w:r w:rsidRPr="006F4CD1">
              <w:rPr>
                <w:spacing w:val="-4"/>
                <w:sz w:val="16"/>
                <w:szCs w:val="16"/>
              </w:rPr>
              <w:t>0.46</w:t>
            </w:r>
          </w:p>
        </w:tc>
        <w:tc>
          <w:tcPr>
            <w:tcW w:w="550" w:type="pct"/>
            <w:tcBorders>
              <w:top w:val="nil"/>
              <w:bottom w:val="nil"/>
            </w:tcBorders>
          </w:tcPr>
          <w:p w14:paraId="616A9394" w14:textId="77777777" w:rsidR="00B3500A" w:rsidRPr="006F4CD1" w:rsidRDefault="00B3500A" w:rsidP="00D62AD1">
            <w:pPr>
              <w:pStyle w:val="TableParagraph"/>
              <w:ind w:left="118" w:right="109"/>
              <w:rPr>
                <w:sz w:val="16"/>
                <w:szCs w:val="16"/>
              </w:rPr>
            </w:pPr>
            <w:r w:rsidRPr="006F4CD1">
              <w:rPr>
                <w:spacing w:val="-4"/>
                <w:sz w:val="16"/>
                <w:szCs w:val="16"/>
              </w:rPr>
              <w:t>0.43</w:t>
            </w:r>
          </w:p>
        </w:tc>
        <w:tc>
          <w:tcPr>
            <w:tcW w:w="367" w:type="pct"/>
            <w:tcBorders>
              <w:top w:val="nil"/>
              <w:bottom w:val="nil"/>
            </w:tcBorders>
          </w:tcPr>
          <w:p w14:paraId="50AC7366" w14:textId="77777777" w:rsidR="00B3500A" w:rsidRPr="006F4CD1" w:rsidRDefault="00B3500A" w:rsidP="00D62AD1">
            <w:pPr>
              <w:pStyle w:val="TableParagraph"/>
              <w:ind w:left="98" w:right="89"/>
              <w:rPr>
                <w:sz w:val="16"/>
                <w:szCs w:val="16"/>
              </w:rPr>
            </w:pPr>
            <w:r w:rsidRPr="006F4CD1">
              <w:rPr>
                <w:spacing w:val="-4"/>
                <w:sz w:val="16"/>
                <w:szCs w:val="16"/>
              </w:rPr>
              <w:t>0.41</w:t>
            </w:r>
          </w:p>
        </w:tc>
        <w:tc>
          <w:tcPr>
            <w:tcW w:w="413" w:type="pct"/>
            <w:tcBorders>
              <w:top w:val="nil"/>
              <w:bottom w:val="nil"/>
              <w:right w:val="double" w:sz="4" w:space="0" w:color="000000"/>
            </w:tcBorders>
          </w:tcPr>
          <w:p w14:paraId="02D3F9B5" w14:textId="77777777" w:rsidR="00B3500A" w:rsidRPr="006F4CD1" w:rsidRDefault="00B3500A" w:rsidP="00D62AD1">
            <w:pPr>
              <w:pStyle w:val="TableParagraph"/>
              <w:ind w:left="98" w:right="89"/>
              <w:rPr>
                <w:sz w:val="16"/>
                <w:szCs w:val="16"/>
              </w:rPr>
            </w:pPr>
            <w:r w:rsidRPr="006F4CD1">
              <w:rPr>
                <w:spacing w:val="-4"/>
                <w:sz w:val="16"/>
                <w:szCs w:val="16"/>
              </w:rPr>
              <w:t>0.45</w:t>
            </w:r>
          </w:p>
        </w:tc>
        <w:tc>
          <w:tcPr>
            <w:tcW w:w="321" w:type="pct"/>
            <w:tcBorders>
              <w:top w:val="nil"/>
              <w:left w:val="double" w:sz="4" w:space="0" w:color="000000"/>
              <w:bottom w:val="nil"/>
            </w:tcBorders>
          </w:tcPr>
          <w:p w14:paraId="191F4C94" w14:textId="77777777" w:rsidR="00B3500A" w:rsidRPr="006F4CD1" w:rsidRDefault="00B3500A" w:rsidP="00D62AD1">
            <w:pPr>
              <w:pStyle w:val="TableParagraph"/>
              <w:ind w:right="102"/>
              <w:rPr>
                <w:sz w:val="16"/>
                <w:szCs w:val="16"/>
              </w:rPr>
            </w:pPr>
            <w:r w:rsidRPr="006F4CD1">
              <w:rPr>
                <w:spacing w:val="-4"/>
                <w:sz w:val="16"/>
                <w:szCs w:val="16"/>
              </w:rPr>
              <w:t>0.60</w:t>
            </w:r>
          </w:p>
        </w:tc>
        <w:tc>
          <w:tcPr>
            <w:tcW w:w="505" w:type="pct"/>
            <w:tcBorders>
              <w:top w:val="nil"/>
              <w:bottom w:val="nil"/>
            </w:tcBorders>
          </w:tcPr>
          <w:p w14:paraId="60C9899B"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0.57</w:t>
            </w:r>
          </w:p>
        </w:tc>
        <w:tc>
          <w:tcPr>
            <w:tcW w:w="413" w:type="pct"/>
            <w:tcBorders>
              <w:top w:val="nil"/>
              <w:bottom w:val="nil"/>
            </w:tcBorders>
          </w:tcPr>
          <w:p w14:paraId="2EB0E6DC" w14:textId="77777777" w:rsidR="00B3500A" w:rsidRPr="006F4CD1" w:rsidRDefault="00B3500A" w:rsidP="00D62AD1">
            <w:pPr>
              <w:pStyle w:val="TableParagraph"/>
              <w:ind w:left="271"/>
              <w:jc w:val="left"/>
              <w:rPr>
                <w:sz w:val="16"/>
                <w:szCs w:val="16"/>
              </w:rPr>
            </w:pPr>
            <w:r w:rsidRPr="006F4CD1">
              <w:rPr>
                <w:spacing w:val="-4"/>
                <w:sz w:val="16"/>
                <w:szCs w:val="16"/>
              </w:rPr>
              <w:t>0.55</w:t>
            </w:r>
          </w:p>
        </w:tc>
        <w:tc>
          <w:tcPr>
            <w:tcW w:w="413" w:type="pct"/>
            <w:tcBorders>
              <w:top w:val="nil"/>
              <w:bottom w:val="nil"/>
            </w:tcBorders>
          </w:tcPr>
          <w:p w14:paraId="539560CF" w14:textId="77777777" w:rsidR="00B3500A" w:rsidRPr="006F4CD1" w:rsidRDefault="00B3500A" w:rsidP="00D62AD1">
            <w:pPr>
              <w:pStyle w:val="TableParagraph"/>
              <w:ind w:right="103"/>
              <w:rPr>
                <w:sz w:val="16"/>
                <w:szCs w:val="16"/>
              </w:rPr>
            </w:pPr>
            <w:r w:rsidRPr="006F4CD1">
              <w:rPr>
                <w:spacing w:val="-4"/>
                <w:sz w:val="16"/>
                <w:szCs w:val="16"/>
              </w:rPr>
              <w:t>0.59</w:t>
            </w:r>
          </w:p>
        </w:tc>
        <w:tc>
          <w:tcPr>
            <w:tcW w:w="550" w:type="pct"/>
            <w:tcBorders>
              <w:top w:val="nil"/>
              <w:bottom w:val="nil"/>
            </w:tcBorders>
          </w:tcPr>
          <w:p w14:paraId="24AFCBB4" w14:textId="77777777" w:rsidR="00B3500A" w:rsidRPr="006F4CD1" w:rsidRDefault="00B3500A" w:rsidP="00D62AD1">
            <w:pPr>
              <w:pStyle w:val="TableParagraph"/>
              <w:ind w:left="109" w:right="102"/>
              <w:rPr>
                <w:sz w:val="16"/>
                <w:szCs w:val="16"/>
              </w:rPr>
            </w:pPr>
            <w:r w:rsidRPr="006F4CD1">
              <w:rPr>
                <w:spacing w:val="-2"/>
                <w:w w:val="105"/>
                <w:sz w:val="16"/>
                <w:szCs w:val="16"/>
              </w:rPr>
              <w:t>Midwest</w:t>
            </w:r>
          </w:p>
        </w:tc>
      </w:tr>
      <w:tr w:rsidR="00B3500A" w:rsidRPr="006F4CD1" w14:paraId="6A365BD5" w14:textId="77777777" w:rsidTr="00326B3D">
        <w:trPr>
          <w:trHeight w:val="239"/>
        </w:trPr>
        <w:tc>
          <w:tcPr>
            <w:tcW w:w="246" w:type="pct"/>
            <w:tcBorders>
              <w:top w:val="nil"/>
              <w:left w:val="double" w:sz="4" w:space="0" w:color="000000"/>
              <w:bottom w:val="nil"/>
            </w:tcBorders>
          </w:tcPr>
          <w:p w14:paraId="6ACDD53F" w14:textId="77777777" w:rsidR="00B3500A" w:rsidRPr="006F4CD1" w:rsidRDefault="00B3500A" w:rsidP="00D62AD1">
            <w:pPr>
              <w:pStyle w:val="TableParagraph"/>
              <w:ind w:left="119" w:right="91"/>
              <w:rPr>
                <w:sz w:val="16"/>
                <w:szCs w:val="16"/>
              </w:rPr>
            </w:pPr>
            <w:r w:rsidRPr="006F4CD1">
              <w:rPr>
                <w:spacing w:val="-5"/>
                <w:sz w:val="16"/>
                <w:szCs w:val="16"/>
              </w:rPr>
              <w:t>24</w:t>
            </w:r>
          </w:p>
        </w:tc>
        <w:tc>
          <w:tcPr>
            <w:tcW w:w="910" w:type="pct"/>
            <w:tcBorders>
              <w:top w:val="nil"/>
              <w:bottom w:val="nil"/>
            </w:tcBorders>
          </w:tcPr>
          <w:p w14:paraId="757AB90F" w14:textId="77777777" w:rsidR="00B3500A" w:rsidRPr="006F4CD1" w:rsidRDefault="00B3500A" w:rsidP="00D62AD1">
            <w:pPr>
              <w:pStyle w:val="TableParagraph"/>
              <w:ind w:left="118"/>
              <w:jc w:val="left"/>
              <w:rPr>
                <w:sz w:val="16"/>
                <w:szCs w:val="16"/>
              </w:rPr>
            </w:pPr>
            <w:r w:rsidRPr="006F4CD1">
              <w:rPr>
                <w:spacing w:val="-2"/>
                <w:w w:val="105"/>
                <w:sz w:val="16"/>
                <w:szCs w:val="16"/>
              </w:rPr>
              <w:t>Minnesota</w:t>
            </w:r>
          </w:p>
        </w:tc>
        <w:tc>
          <w:tcPr>
            <w:tcW w:w="312" w:type="pct"/>
            <w:tcBorders>
              <w:top w:val="nil"/>
              <w:bottom w:val="nil"/>
            </w:tcBorders>
          </w:tcPr>
          <w:p w14:paraId="001A794D" w14:textId="77777777" w:rsidR="00B3500A" w:rsidRPr="006F4CD1" w:rsidRDefault="00B3500A" w:rsidP="00D62AD1">
            <w:pPr>
              <w:pStyle w:val="TableParagraph"/>
              <w:ind w:left="97" w:right="89"/>
              <w:rPr>
                <w:sz w:val="16"/>
                <w:szCs w:val="16"/>
              </w:rPr>
            </w:pPr>
            <w:r w:rsidRPr="006F4CD1">
              <w:rPr>
                <w:spacing w:val="-4"/>
                <w:sz w:val="16"/>
                <w:szCs w:val="16"/>
              </w:rPr>
              <w:t>0.45</w:t>
            </w:r>
          </w:p>
        </w:tc>
        <w:tc>
          <w:tcPr>
            <w:tcW w:w="550" w:type="pct"/>
            <w:tcBorders>
              <w:top w:val="nil"/>
              <w:bottom w:val="nil"/>
            </w:tcBorders>
          </w:tcPr>
          <w:p w14:paraId="12AC3466" w14:textId="77777777" w:rsidR="00B3500A" w:rsidRPr="006F4CD1" w:rsidRDefault="00B3500A" w:rsidP="00D62AD1">
            <w:pPr>
              <w:pStyle w:val="TableParagraph"/>
              <w:ind w:left="118" w:right="109"/>
              <w:rPr>
                <w:sz w:val="16"/>
                <w:szCs w:val="16"/>
              </w:rPr>
            </w:pPr>
            <w:r w:rsidRPr="006F4CD1">
              <w:rPr>
                <w:spacing w:val="-4"/>
                <w:sz w:val="16"/>
                <w:szCs w:val="16"/>
              </w:rPr>
              <w:t>0.42</w:t>
            </w:r>
          </w:p>
        </w:tc>
        <w:tc>
          <w:tcPr>
            <w:tcW w:w="367" w:type="pct"/>
            <w:tcBorders>
              <w:top w:val="nil"/>
              <w:bottom w:val="nil"/>
            </w:tcBorders>
          </w:tcPr>
          <w:p w14:paraId="7362F416" w14:textId="77777777" w:rsidR="00B3500A" w:rsidRPr="006F4CD1" w:rsidRDefault="00B3500A" w:rsidP="00D62AD1">
            <w:pPr>
              <w:pStyle w:val="TableParagraph"/>
              <w:ind w:left="98" w:right="89"/>
              <w:rPr>
                <w:sz w:val="16"/>
                <w:szCs w:val="16"/>
              </w:rPr>
            </w:pPr>
            <w:r w:rsidRPr="006F4CD1">
              <w:rPr>
                <w:spacing w:val="-4"/>
                <w:sz w:val="16"/>
                <w:szCs w:val="16"/>
              </w:rPr>
              <w:t>0.40</w:t>
            </w:r>
          </w:p>
        </w:tc>
        <w:tc>
          <w:tcPr>
            <w:tcW w:w="413" w:type="pct"/>
            <w:tcBorders>
              <w:top w:val="nil"/>
              <w:bottom w:val="nil"/>
              <w:right w:val="double" w:sz="4" w:space="0" w:color="000000"/>
            </w:tcBorders>
          </w:tcPr>
          <w:p w14:paraId="363ADFB1" w14:textId="77777777" w:rsidR="00B3500A" w:rsidRPr="006F4CD1" w:rsidRDefault="00B3500A" w:rsidP="00D62AD1">
            <w:pPr>
              <w:pStyle w:val="TableParagraph"/>
              <w:ind w:left="98" w:right="89"/>
              <w:rPr>
                <w:sz w:val="16"/>
                <w:szCs w:val="16"/>
              </w:rPr>
            </w:pPr>
            <w:r w:rsidRPr="006F4CD1">
              <w:rPr>
                <w:spacing w:val="-4"/>
                <w:sz w:val="16"/>
                <w:szCs w:val="16"/>
              </w:rPr>
              <w:t>0.45</w:t>
            </w:r>
          </w:p>
        </w:tc>
        <w:tc>
          <w:tcPr>
            <w:tcW w:w="321" w:type="pct"/>
            <w:tcBorders>
              <w:top w:val="nil"/>
              <w:left w:val="double" w:sz="4" w:space="0" w:color="000000"/>
              <w:bottom w:val="nil"/>
            </w:tcBorders>
          </w:tcPr>
          <w:p w14:paraId="0BA46458" w14:textId="77777777" w:rsidR="00B3500A" w:rsidRPr="006F4CD1" w:rsidRDefault="00B3500A" w:rsidP="00D62AD1">
            <w:pPr>
              <w:pStyle w:val="TableParagraph"/>
              <w:ind w:right="102"/>
              <w:rPr>
                <w:sz w:val="16"/>
                <w:szCs w:val="16"/>
              </w:rPr>
            </w:pPr>
            <w:r w:rsidRPr="006F4CD1">
              <w:rPr>
                <w:spacing w:val="-4"/>
                <w:sz w:val="16"/>
                <w:szCs w:val="16"/>
              </w:rPr>
              <w:t>0.57</w:t>
            </w:r>
          </w:p>
        </w:tc>
        <w:tc>
          <w:tcPr>
            <w:tcW w:w="505" w:type="pct"/>
            <w:tcBorders>
              <w:top w:val="nil"/>
              <w:bottom w:val="nil"/>
            </w:tcBorders>
          </w:tcPr>
          <w:p w14:paraId="3CAA2BAE"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0.53</w:t>
            </w:r>
          </w:p>
        </w:tc>
        <w:tc>
          <w:tcPr>
            <w:tcW w:w="413" w:type="pct"/>
            <w:tcBorders>
              <w:top w:val="nil"/>
              <w:bottom w:val="nil"/>
            </w:tcBorders>
          </w:tcPr>
          <w:p w14:paraId="675A9663" w14:textId="77777777" w:rsidR="00B3500A" w:rsidRPr="006F4CD1" w:rsidRDefault="00B3500A" w:rsidP="00D62AD1">
            <w:pPr>
              <w:pStyle w:val="TableParagraph"/>
              <w:ind w:left="271"/>
              <w:jc w:val="left"/>
              <w:rPr>
                <w:sz w:val="16"/>
                <w:szCs w:val="16"/>
              </w:rPr>
            </w:pPr>
            <w:r w:rsidRPr="006F4CD1">
              <w:rPr>
                <w:spacing w:val="-4"/>
                <w:sz w:val="16"/>
                <w:szCs w:val="16"/>
              </w:rPr>
              <w:t>0.52</w:t>
            </w:r>
          </w:p>
        </w:tc>
        <w:tc>
          <w:tcPr>
            <w:tcW w:w="413" w:type="pct"/>
            <w:tcBorders>
              <w:top w:val="nil"/>
              <w:bottom w:val="nil"/>
            </w:tcBorders>
          </w:tcPr>
          <w:p w14:paraId="19484E8D" w14:textId="77777777" w:rsidR="00B3500A" w:rsidRPr="006F4CD1" w:rsidRDefault="00B3500A" w:rsidP="00D62AD1">
            <w:pPr>
              <w:pStyle w:val="TableParagraph"/>
              <w:ind w:right="103"/>
              <w:rPr>
                <w:sz w:val="16"/>
                <w:szCs w:val="16"/>
              </w:rPr>
            </w:pPr>
            <w:r w:rsidRPr="006F4CD1">
              <w:rPr>
                <w:spacing w:val="-4"/>
                <w:sz w:val="16"/>
                <w:szCs w:val="16"/>
              </w:rPr>
              <w:t>0.56</w:t>
            </w:r>
          </w:p>
        </w:tc>
        <w:tc>
          <w:tcPr>
            <w:tcW w:w="550" w:type="pct"/>
            <w:tcBorders>
              <w:top w:val="nil"/>
              <w:bottom w:val="nil"/>
            </w:tcBorders>
          </w:tcPr>
          <w:p w14:paraId="05FA30FF" w14:textId="77777777" w:rsidR="00B3500A" w:rsidRPr="006F4CD1" w:rsidRDefault="00B3500A" w:rsidP="00D62AD1">
            <w:pPr>
              <w:pStyle w:val="TableParagraph"/>
              <w:ind w:left="109" w:right="102"/>
              <w:rPr>
                <w:sz w:val="16"/>
                <w:szCs w:val="16"/>
              </w:rPr>
            </w:pPr>
            <w:r w:rsidRPr="006F4CD1">
              <w:rPr>
                <w:spacing w:val="-2"/>
                <w:w w:val="105"/>
                <w:sz w:val="16"/>
                <w:szCs w:val="16"/>
              </w:rPr>
              <w:t>Midwest</w:t>
            </w:r>
          </w:p>
        </w:tc>
      </w:tr>
      <w:tr w:rsidR="00B3500A" w:rsidRPr="006F4CD1" w14:paraId="7555922C" w14:textId="77777777" w:rsidTr="00326B3D">
        <w:trPr>
          <w:trHeight w:val="239"/>
        </w:trPr>
        <w:tc>
          <w:tcPr>
            <w:tcW w:w="246" w:type="pct"/>
            <w:tcBorders>
              <w:top w:val="nil"/>
              <w:left w:val="double" w:sz="4" w:space="0" w:color="000000"/>
              <w:bottom w:val="nil"/>
            </w:tcBorders>
          </w:tcPr>
          <w:p w14:paraId="426DF93C" w14:textId="77777777" w:rsidR="00B3500A" w:rsidRPr="006F4CD1" w:rsidRDefault="00B3500A" w:rsidP="00D62AD1">
            <w:pPr>
              <w:pStyle w:val="TableParagraph"/>
              <w:ind w:left="119" w:right="91"/>
              <w:rPr>
                <w:sz w:val="16"/>
                <w:szCs w:val="16"/>
              </w:rPr>
            </w:pPr>
            <w:r w:rsidRPr="006F4CD1">
              <w:rPr>
                <w:spacing w:val="-5"/>
                <w:sz w:val="16"/>
                <w:szCs w:val="16"/>
              </w:rPr>
              <w:t>25</w:t>
            </w:r>
          </w:p>
        </w:tc>
        <w:tc>
          <w:tcPr>
            <w:tcW w:w="910" w:type="pct"/>
            <w:tcBorders>
              <w:top w:val="nil"/>
              <w:bottom w:val="nil"/>
            </w:tcBorders>
          </w:tcPr>
          <w:p w14:paraId="0FFF3A22" w14:textId="77777777" w:rsidR="00B3500A" w:rsidRPr="006F4CD1" w:rsidRDefault="00B3500A" w:rsidP="00D62AD1">
            <w:pPr>
              <w:pStyle w:val="TableParagraph"/>
              <w:ind w:left="118"/>
              <w:jc w:val="left"/>
              <w:rPr>
                <w:sz w:val="16"/>
                <w:szCs w:val="16"/>
              </w:rPr>
            </w:pPr>
            <w:r w:rsidRPr="006F4CD1">
              <w:rPr>
                <w:spacing w:val="-2"/>
                <w:sz w:val="16"/>
                <w:szCs w:val="16"/>
              </w:rPr>
              <w:t>Mississippi</w:t>
            </w:r>
          </w:p>
        </w:tc>
        <w:tc>
          <w:tcPr>
            <w:tcW w:w="312" w:type="pct"/>
            <w:tcBorders>
              <w:top w:val="nil"/>
              <w:bottom w:val="nil"/>
            </w:tcBorders>
          </w:tcPr>
          <w:p w14:paraId="4D65DAD4" w14:textId="77777777" w:rsidR="00B3500A" w:rsidRPr="006F4CD1" w:rsidRDefault="00B3500A" w:rsidP="00D62AD1">
            <w:pPr>
              <w:pStyle w:val="TableParagraph"/>
              <w:ind w:left="97" w:right="89"/>
              <w:rPr>
                <w:sz w:val="16"/>
                <w:szCs w:val="16"/>
              </w:rPr>
            </w:pPr>
            <w:r w:rsidRPr="006F4CD1">
              <w:rPr>
                <w:spacing w:val="-4"/>
                <w:sz w:val="16"/>
                <w:szCs w:val="16"/>
              </w:rPr>
              <w:t>0.52</w:t>
            </w:r>
          </w:p>
        </w:tc>
        <w:tc>
          <w:tcPr>
            <w:tcW w:w="550" w:type="pct"/>
            <w:tcBorders>
              <w:top w:val="nil"/>
              <w:bottom w:val="nil"/>
            </w:tcBorders>
          </w:tcPr>
          <w:p w14:paraId="5788E4DC" w14:textId="77777777" w:rsidR="00B3500A" w:rsidRPr="006F4CD1" w:rsidRDefault="00B3500A" w:rsidP="00D62AD1">
            <w:pPr>
              <w:pStyle w:val="TableParagraph"/>
              <w:ind w:left="118" w:right="109"/>
              <w:rPr>
                <w:sz w:val="16"/>
                <w:szCs w:val="16"/>
              </w:rPr>
            </w:pPr>
            <w:r w:rsidRPr="006F4CD1">
              <w:rPr>
                <w:spacing w:val="-4"/>
                <w:sz w:val="16"/>
                <w:szCs w:val="16"/>
              </w:rPr>
              <w:t>0.50</w:t>
            </w:r>
          </w:p>
        </w:tc>
        <w:tc>
          <w:tcPr>
            <w:tcW w:w="367" w:type="pct"/>
            <w:tcBorders>
              <w:top w:val="nil"/>
              <w:bottom w:val="nil"/>
            </w:tcBorders>
          </w:tcPr>
          <w:p w14:paraId="39C0B0B3" w14:textId="77777777" w:rsidR="00B3500A" w:rsidRPr="006F4CD1" w:rsidRDefault="00B3500A" w:rsidP="00D62AD1">
            <w:pPr>
              <w:pStyle w:val="TableParagraph"/>
              <w:ind w:left="98" w:right="89"/>
              <w:rPr>
                <w:sz w:val="16"/>
                <w:szCs w:val="16"/>
              </w:rPr>
            </w:pPr>
            <w:r w:rsidRPr="006F4CD1">
              <w:rPr>
                <w:spacing w:val="-4"/>
                <w:sz w:val="16"/>
                <w:szCs w:val="16"/>
              </w:rPr>
              <w:t>0.48</w:t>
            </w:r>
          </w:p>
        </w:tc>
        <w:tc>
          <w:tcPr>
            <w:tcW w:w="413" w:type="pct"/>
            <w:tcBorders>
              <w:top w:val="nil"/>
              <w:bottom w:val="nil"/>
              <w:right w:val="double" w:sz="4" w:space="0" w:color="000000"/>
            </w:tcBorders>
          </w:tcPr>
          <w:p w14:paraId="3047A8A2" w14:textId="77777777" w:rsidR="00B3500A" w:rsidRPr="006F4CD1" w:rsidRDefault="00B3500A" w:rsidP="00D62AD1">
            <w:pPr>
              <w:pStyle w:val="TableParagraph"/>
              <w:ind w:left="98" w:right="89"/>
              <w:rPr>
                <w:sz w:val="16"/>
                <w:szCs w:val="16"/>
              </w:rPr>
            </w:pPr>
            <w:r w:rsidRPr="006F4CD1">
              <w:rPr>
                <w:spacing w:val="-4"/>
                <w:sz w:val="16"/>
                <w:szCs w:val="16"/>
              </w:rPr>
              <w:t>0.52</w:t>
            </w:r>
          </w:p>
        </w:tc>
        <w:tc>
          <w:tcPr>
            <w:tcW w:w="321" w:type="pct"/>
            <w:tcBorders>
              <w:top w:val="nil"/>
              <w:left w:val="double" w:sz="4" w:space="0" w:color="000000"/>
              <w:bottom w:val="nil"/>
            </w:tcBorders>
          </w:tcPr>
          <w:p w14:paraId="481D0E04" w14:textId="77777777" w:rsidR="00B3500A" w:rsidRPr="006F4CD1" w:rsidRDefault="00B3500A" w:rsidP="00D62AD1">
            <w:pPr>
              <w:pStyle w:val="TableParagraph"/>
              <w:ind w:right="102"/>
              <w:rPr>
                <w:sz w:val="16"/>
                <w:szCs w:val="16"/>
              </w:rPr>
            </w:pPr>
            <w:r w:rsidRPr="006F4CD1">
              <w:rPr>
                <w:spacing w:val="-4"/>
                <w:sz w:val="16"/>
                <w:szCs w:val="16"/>
              </w:rPr>
              <w:t>0.58</w:t>
            </w:r>
          </w:p>
        </w:tc>
        <w:tc>
          <w:tcPr>
            <w:tcW w:w="505" w:type="pct"/>
            <w:tcBorders>
              <w:top w:val="nil"/>
              <w:bottom w:val="nil"/>
            </w:tcBorders>
          </w:tcPr>
          <w:p w14:paraId="1DAF8E04"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0.56</w:t>
            </w:r>
          </w:p>
        </w:tc>
        <w:tc>
          <w:tcPr>
            <w:tcW w:w="413" w:type="pct"/>
            <w:tcBorders>
              <w:top w:val="nil"/>
              <w:bottom w:val="nil"/>
            </w:tcBorders>
          </w:tcPr>
          <w:p w14:paraId="72E7EBC5" w14:textId="77777777" w:rsidR="00B3500A" w:rsidRPr="006F4CD1" w:rsidRDefault="00B3500A" w:rsidP="00D62AD1">
            <w:pPr>
              <w:pStyle w:val="TableParagraph"/>
              <w:ind w:left="271"/>
              <w:jc w:val="left"/>
              <w:rPr>
                <w:sz w:val="16"/>
                <w:szCs w:val="16"/>
              </w:rPr>
            </w:pPr>
            <w:r w:rsidRPr="006F4CD1">
              <w:rPr>
                <w:spacing w:val="-4"/>
                <w:sz w:val="16"/>
                <w:szCs w:val="16"/>
              </w:rPr>
              <w:t>0.55</w:t>
            </w:r>
          </w:p>
        </w:tc>
        <w:tc>
          <w:tcPr>
            <w:tcW w:w="413" w:type="pct"/>
            <w:tcBorders>
              <w:top w:val="nil"/>
              <w:bottom w:val="nil"/>
            </w:tcBorders>
          </w:tcPr>
          <w:p w14:paraId="464CC6DF" w14:textId="77777777" w:rsidR="00B3500A" w:rsidRPr="006F4CD1" w:rsidRDefault="00B3500A" w:rsidP="00D62AD1">
            <w:pPr>
              <w:pStyle w:val="TableParagraph"/>
              <w:ind w:right="103"/>
              <w:rPr>
                <w:sz w:val="16"/>
                <w:szCs w:val="16"/>
              </w:rPr>
            </w:pPr>
            <w:r w:rsidRPr="006F4CD1">
              <w:rPr>
                <w:spacing w:val="-4"/>
                <w:sz w:val="16"/>
                <w:szCs w:val="16"/>
              </w:rPr>
              <w:t>0.58</w:t>
            </w:r>
          </w:p>
        </w:tc>
        <w:tc>
          <w:tcPr>
            <w:tcW w:w="550" w:type="pct"/>
            <w:tcBorders>
              <w:top w:val="nil"/>
              <w:bottom w:val="nil"/>
            </w:tcBorders>
          </w:tcPr>
          <w:p w14:paraId="0A763ED8"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1A4C563C" w14:textId="77777777" w:rsidTr="00326B3D">
        <w:trPr>
          <w:trHeight w:val="239"/>
        </w:trPr>
        <w:tc>
          <w:tcPr>
            <w:tcW w:w="246" w:type="pct"/>
            <w:tcBorders>
              <w:top w:val="nil"/>
              <w:left w:val="double" w:sz="4" w:space="0" w:color="000000"/>
              <w:bottom w:val="nil"/>
            </w:tcBorders>
          </w:tcPr>
          <w:p w14:paraId="6ED59A8B" w14:textId="77777777" w:rsidR="00B3500A" w:rsidRPr="006F4CD1" w:rsidRDefault="00B3500A" w:rsidP="00D62AD1">
            <w:pPr>
              <w:pStyle w:val="TableParagraph"/>
              <w:ind w:left="119" w:right="91"/>
              <w:rPr>
                <w:sz w:val="16"/>
                <w:szCs w:val="16"/>
              </w:rPr>
            </w:pPr>
            <w:r w:rsidRPr="006F4CD1">
              <w:rPr>
                <w:spacing w:val="-5"/>
                <w:sz w:val="16"/>
                <w:szCs w:val="16"/>
              </w:rPr>
              <w:t>26</w:t>
            </w:r>
          </w:p>
        </w:tc>
        <w:tc>
          <w:tcPr>
            <w:tcW w:w="910" w:type="pct"/>
            <w:tcBorders>
              <w:top w:val="nil"/>
              <w:bottom w:val="nil"/>
            </w:tcBorders>
          </w:tcPr>
          <w:p w14:paraId="1396AA61" w14:textId="77777777" w:rsidR="00B3500A" w:rsidRPr="006F4CD1" w:rsidRDefault="00B3500A" w:rsidP="00D62AD1">
            <w:pPr>
              <w:pStyle w:val="TableParagraph"/>
              <w:ind w:left="118"/>
              <w:jc w:val="left"/>
              <w:rPr>
                <w:sz w:val="16"/>
                <w:szCs w:val="16"/>
              </w:rPr>
            </w:pPr>
            <w:r w:rsidRPr="006F4CD1">
              <w:rPr>
                <w:spacing w:val="-2"/>
                <w:w w:val="105"/>
                <w:sz w:val="16"/>
                <w:szCs w:val="16"/>
              </w:rPr>
              <w:t>Missouri</w:t>
            </w:r>
          </w:p>
        </w:tc>
        <w:tc>
          <w:tcPr>
            <w:tcW w:w="312" w:type="pct"/>
            <w:tcBorders>
              <w:top w:val="nil"/>
              <w:bottom w:val="nil"/>
            </w:tcBorders>
          </w:tcPr>
          <w:p w14:paraId="161303AA" w14:textId="77777777" w:rsidR="00B3500A" w:rsidRPr="006F4CD1" w:rsidRDefault="00B3500A" w:rsidP="00D62AD1">
            <w:pPr>
              <w:pStyle w:val="TableParagraph"/>
              <w:ind w:left="97" w:right="89"/>
              <w:rPr>
                <w:sz w:val="16"/>
                <w:szCs w:val="16"/>
              </w:rPr>
            </w:pPr>
            <w:r w:rsidRPr="006F4CD1">
              <w:rPr>
                <w:spacing w:val="-4"/>
                <w:sz w:val="16"/>
                <w:szCs w:val="16"/>
              </w:rPr>
              <w:t>0.50</w:t>
            </w:r>
          </w:p>
        </w:tc>
        <w:tc>
          <w:tcPr>
            <w:tcW w:w="550" w:type="pct"/>
            <w:tcBorders>
              <w:top w:val="nil"/>
              <w:bottom w:val="nil"/>
            </w:tcBorders>
          </w:tcPr>
          <w:p w14:paraId="72803B9D" w14:textId="77777777" w:rsidR="00B3500A" w:rsidRPr="006F4CD1" w:rsidRDefault="00B3500A" w:rsidP="00D62AD1">
            <w:pPr>
              <w:pStyle w:val="TableParagraph"/>
              <w:ind w:left="118" w:right="109"/>
              <w:rPr>
                <w:sz w:val="16"/>
                <w:szCs w:val="16"/>
              </w:rPr>
            </w:pPr>
            <w:r w:rsidRPr="006F4CD1">
              <w:rPr>
                <w:spacing w:val="-4"/>
                <w:sz w:val="16"/>
                <w:szCs w:val="16"/>
              </w:rPr>
              <w:t>0.48</w:t>
            </w:r>
          </w:p>
        </w:tc>
        <w:tc>
          <w:tcPr>
            <w:tcW w:w="367" w:type="pct"/>
            <w:tcBorders>
              <w:top w:val="nil"/>
              <w:bottom w:val="nil"/>
            </w:tcBorders>
          </w:tcPr>
          <w:p w14:paraId="3C7BF257" w14:textId="77777777" w:rsidR="00B3500A" w:rsidRPr="006F4CD1" w:rsidRDefault="00B3500A" w:rsidP="00D62AD1">
            <w:pPr>
              <w:pStyle w:val="TableParagraph"/>
              <w:ind w:left="98" w:right="89"/>
              <w:rPr>
                <w:sz w:val="16"/>
                <w:szCs w:val="16"/>
              </w:rPr>
            </w:pPr>
            <w:r w:rsidRPr="006F4CD1">
              <w:rPr>
                <w:spacing w:val="-4"/>
                <w:sz w:val="16"/>
                <w:szCs w:val="16"/>
              </w:rPr>
              <w:t>0.46</w:t>
            </w:r>
          </w:p>
        </w:tc>
        <w:tc>
          <w:tcPr>
            <w:tcW w:w="413" w:type="pct"/>
            <w:tcBorders>
              <w:top w:val="nil"/>
              <w:bottom w:val="nil"/>
              <w:right w:val="double" w:sz="4" w:space="0" w:color="000000"/>
            </w:tcBorders>
          </w:tcPr>
          <w:p w14:paraId="7A0CDAA1" w14:textId="77777777" w:rsidR="00B3500A" w:rsidRPr="006F4CD1" w:rsidRDefault="00B3500A" w:rsidP="00D62AD1">
            <w:pPr>
              <w:pStyle w:val="TableParagraph"/>
              <w:ind w:left="98" w:right="89"/>
              <w:rPr>
                <w:sz w:val="16"/>
                <w:szCs w:val="16"/>
              </w:rPr>
            </w:pPr>
            <w:r w:rsidRPr="006F4CD1">
              <w:rPr>
                <w:spacing w:val="-4"/>
                <w:sz w:val="16"/>
                <w:szCs w:val="16"/>
              </w:rPr>
              <w:t>0.50</w:t>
            </w:r>
          </w:p>
        </w:tc>
        <w:tc>
          <w:tcPr>
            <w:tcW w:w="321" w:type="pct"/>
            <w:tcBorders>
              <w:top w:val="nil"/>
              <w:left w:val="double" w:sz="4" w:space="0" w:color="000000"/>
              <w:bottom w:val="nil"/>
            </w:tcBorders>
          </w:tcPr>
          <w:p w14:paraId="5A2C4953" w14:textId="77777777" w:rsidR="00B3500A" w:rsidRPr="006F4CD1" w:rsidRDefault="00B3500A" w:rsidP="00D62AD1">
            <w:pPr>
              <w:pStyle w:val="TableParagraph"/>
              <w:ind w:right="102"/>
              <w:rPr>
                <w:sz w:val="16"/>
                <w:szCs w:val="16"/>
              </w:rPr>
            </w:pPr>
            <w:r w:rsidRPr="006F4CD1">
              <w:rPr>
                <w:spacing w:val="-4"/>
                <w:sz w:val="16"/>
                <w:szCs w:val="16"/>
              </w:rPr>
              <w:t>0.62</w:t>
            </w:r>
          </w:p>
        </w:tc>
        <w:tc>
          <w:tcPr>
            <w:tcW w:w="505" w:type="pct"/>
            <w:tcBorders>
              <w:top w:val="nil"/>
              <w:bottom w:val="nil"/>
            </w:tcBorders>
          </w:tcPr>
          <w:p w14:paraId="7005D249"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0.59</w:t>
            </w:r>
          </w:p>
        </w:tc>
        <w:tc>
          <w:tcPr>
            <w:tcW w:w="413" w:type="pct"/>
            <w:tcBorders>
              <w:top w:val="nil"/>
              <w:bottom w:val="nil"/>
            </w:tcBorders>
          </w:tcPr>
          <w:p w14:paraId="2A613242" w14:textId="77777777" w:rsidR="00B3500A" w:rsidRPr="006F4CD1" w:rsidRDefault="00B3500A" w:rsidP="00D62AD1">
            <w:pPr>
              <w:pStyle w:val="TableParagraph"/>
              <w:ind w:left="271"/>
              <w:jc w:val="left"/>
              <w:rPr>
                <w:sz w:val="16"/>
                <w:szCs w:val="16"/>
              </w:rPr>
            </w:pPr>
            <w:r w:rsidRPr="006F4CD1">
              <w:rPr>
                <w:spacing w:val="-4"/>
                <w:sz w:val="16"/>
                <w:szCs w:val="16"/>
              </w:rPr>
              <w:t>0.57</w:t>
            </w:r>
          </w:p>
        </w:tc>
        <w:tc>
          <w:tcPr>
            <w:tcW w:w="413" w:type="pct"/>
            <w:tcBorders>
              <w:top w:val="nil"/>
              <w:bottom w:val="nil"/>
            </w:tcBorders>
          </w:tcPr>
          <w:p w14:paraId="6DD1CBA4" w14:textId="77777777" w:rsidR="00B3500A" w:rsidRPr="006F4CD1" w:rsidRDefault="00B3500A" w:rsidP="00D62AD1">
            <w:pPr>
              <w:pStyle w:val="TableParagraph"/>
              <w:ind w:right="103"/>
              <w:rPr>
                <w:sz w:val="16"/>
                <w:szCs w:val="16"/>
              </w:rPr>
            </w:pPr>
            <w:r w:rsidRPr="006F4CD1">
              <w:rPr>
                <w:spacing w:val="-4"/>
                <w:sz w:val="16"/>
                <w:szCs w:val="16"/>
              </w:rPr>
              <w:t>0.62</w:t>
            </w:r>
          </w:p>
        </w:tc>
        <w:tc>
          <w:tcPr>
            <w:tcW w:w="550" w:type="pct"/>
            <w:tcBorders>
              <w:top w:val="nil"/>
              <w:bottom w:val="nil"/>
            </w:tcBorders>
          </w:tcPr>
          <w:p w14:paraId="247E3F3A" w14:textId="77777777" w:rsidR="00B3500A" w:rsidRPr="006F4CD1" w:rsidRDefault="00B3500A" w:rsidP="00D62AD1">
            <w:pPr>
              <w:pStyle w:val="TableParagraph"/>
              <w:ind w:left="109" w:right="102"/>
              <w:rPr>
                <w:sz w:val="16"/>
                <w:szCs w:val="16"/>
              </w:rPr>
            </w:pPr>
            <w:r w:rsidRPr="006F4CD1">
              <w:rPr>
                <w:spacing w:val="-2"/>
                <w:w w:val="105"/>
                <w:sz w:val="16"/>
                <w:szCs w:val="16"/>
              </w:rPr>
              <w:t>Midwest</w:t>
            </w:r>
          </w:p>
        </w:tc>
      </w:tr>
      <w:tr w:rsidR="00B3500A" w:rsidRPr="006F4CD1" w14:paraId="4B231ABC" w14:textId="77777777" w:rsidTr="00326B3D">
        <w:trPr>
          <w:trHeight w:val="239"/>
        </w:trPr>
        <w:tc>
          <w:tcPr>
            <w:tcW w:w="246" w:type="pct"/>
            <w:tcBorders>
              <w:top w:val="nil"/>
              <w:left w:val="double" w:sz="4" w:space="0" w:color="000000"/>
              <w:bottom w:val="nil"/>
            </w:tcBorders>
          </w:tcPr>
          <w:p w14:paraId="7D94FE2E" w14:textId="77777777" w:rsidR="00B3500A" w:rsidRPr="006F4CD1" w:rsidRDefault="00B3500A" w:rsidP="00D62AD1">
            <w:pPr>
              <w:pStyle w:val="TableParagraph"/>
              <w:ind w:left="119" w:right="91"/>
              <w:rPr>
                <w:sz w:val="16"/>
                <w:szCs w:val="16"/>
              </w:rPr>
            </w:pPr>
            <w:r w:rsidRPr="006F4CD1">
              <w:rPr>
                <w:spacing w:val="-5"/>
                <w:sz w:val="16"/>
                <w:szCs w:val="16"/>
              </w:rPr>
              <w:t>27</w:t>
            </w:r>
          </w:p>
        </w:tc>
        <w:tc>
          <w:tcPr>
            <w:tcW w:w="910" w:type="pct"/>
            <w:tcBorders>
              <w:top w:val="nil"/>
              <w:bottom w:val="nil"/>
            </w:tcBorders>
          </w:tcPr>
          <w:p w14:paraId="57E8285D" w14:textId="77777777" w:rsidR="00B3500A" w:rsidRPr="006F4CD1" w:rsidRDefault="00B3500A" w:rsidP="00D62AD1">
            <w:pPr>
              <w:pStyle w:val="TableParagraph"/>
              <w:ind w:left="118"/>
              <w:jc w:val="left"/>
              <w:rPr>
                <w:sz w:val="16"/>
                <w:szCs w:val="16"/>
              </w:rPr>
            </w:pPr>
            <w:r w:rsidRPr="006F4CD1">
              <w:rPr>
                <w:spacing w:val="-2"/>
                <w:w w:val="110"/>
                <w:sz w:val="16"/>
                <w:szCs w:val="16"/>
              </w:rPr>
              <w:t>Montana</w:t>
            </w:r>
          </w:p>
        </w:tc>
        <w:tc>
          <w:tcPr>
            <w:tcW w:w="312" w:type="pct"/>
            <w:tcBorders>
              <w:top w:val="nil"/>
              <w:bottom w:val="nil"/>
            </w:tcBorders>
          </w:tcPr>
          <w:p w14:paraId="00616928" w14:textId="77777777" w:rsidR="00B3500A" w:rsidRPr="006F4CD1" w:rsidRDefault="00B3500A" w:rsidP="00D62AD1">
            <w:pPr>
              <w:pStyle w:val="TableParagraph"/>
              <w:ind w:left="97" w:right="89"/>
              <w:rPr>
                <w:sz w:val="16"/>
                <w:szCs w:val="16"/>
              </w:rPr>
            </w:pPr>
            <w:r w:rsidRPr="006F4CD1">
              <w:rPr>
                <w:spacing w:val="-4"/>
                <w:sz w:val="16"/>
                <w:szCs w:val="16"/>
              </w:rPr>
              <w:t>0.49</w:t>
            </w:r>
          </w:p>
        </w:tc>
        <w:tc>
          <w:tcPr>
            <w:tcW w:w="550" w:type="pct"/>
            <w:tcBorders>
              <w:top w:val="nil"/>
              <w:bottom w:val="nil"/>
            </w:tcBorders>
          </w:tcPr>
          <w:p w14:paraId="340BD031" w14:textId="77777777" w:rsidR="00B3500A" w:rsidRPr="006F4CD1" w:rsidRDefault="00B3500A" w:rsidP="00D62AD1">
            <w:pPr>
              <w:pStyle w:val="TableParagraph"/>
              <w:ind w:left="118" w:right="109"/>
              <w:rPr>
                <w:sz w:val="16"/>
                <w:szCs w:val="16"/>
              </w:rPr>
            </w:pPr>
            <w:r w:rsidRPr="006F4CD1">
              <w:rPr>
                <w:spacing w:val="-4"/>
                <w:sz w:val="16"/>
                <w:szCs w:val="16"/>
              </w:rPr>
              <w:t>0.45</w:t>
            </w:r>
          </w:p>
        </w:tc>
        <w:tc>
          <w:tcPr>
            <w:tcW w:w="367" w:type="pct"/>
            <w:tcBorders>
              <w:top w:val="nil"/>
              <w:bottom w:val="nil"/>
            </w:tcBorders>
          </w:tcPr>
          <w:p w14:paraId="443EA52B" w14:textId="77777777" w:rsidR="00B3500A" w:rsidRPr="006F4CD1" w:rsidRDefault="00B3500A" w:rsidP="00D62AD1">
            <w:pPr>
              <w:pStyle w:val="TableParagraph"/>
              <w:ind w:left="98" w:right="89"/>
              <w:rPr>
                <w:sz w:val="16"/>
                <w:szCs w:val="16"/>
              </w:rPr>
            </w:pPr>
            <w:r w:rsidRPr="006F4CD1">
              <w:rPr>
                <w:spacing w:val="-4"/>
                <w:sz w:val="16"/>
                <w:szCs w:val="16"/>
              </w:rPr>
              <w:t>0.43</w:t>
            </w:r>
          </w:p>
        </w:tc>
        <w:tc>
          <w:tcPr>
            <w:tcW w:w="413" w:type="pct"/>
            <w:tcBorders>
              <w:top w:val="nil"/>
              <w:bottom w:val="nil"/>
              <w:right w:val="double" w:sz="4" w:space="0" w:color="000000"/>
            </w:tcBorders>
          </w:tcPr>
          <w:p w14:paraId="325341C8" w14:textId="77777777" w:rsidR="00B3500A" w:rsidRPr="006F4CD1" w:rsidRDefault="00B3500A" w:rsidP="00D62AD1">
            <w:pPr>
              <w:pStyle w:val="TableParagraph"/>
              <w:ind w:left="98" w:right="89"/>
              <w:rPr>
                <w:sz w:val="16"/>
                <w:szCs w:val="16"/>
              </w:rPr>
            </w:pPr>
            <w:r w:rsidRPr="006F4CD1">
              <w:rPr>
                <w:spacing w:val="-4"/>
                <w:sz w:val="16"/>
                <w:szCs w:val="16"/>
              </w:rPr>
              <w:t>0.48</w:t>
            </w:r>
          </w:p>
        </w:tc>
        <w:tc>
          <w:tcPr>
            <w:tcW w:w="321" w:type="pct"/>
            <w:tcBorders>
              <w:top w:val="nil"/>
              <w:left w:val="double" w:sz="4" w:space="0" w:color="000000"/>
              <w:bottom w:val="nil"/>
            </w:tcBorders>
          </w:tcPr>
          <w:p w14:paraId="3F0F635B" w14:textId="77777777" w:rsidR="00B3500A" w:rsidRPr="006F4CD1" w:rsidRDefault="00B3500A" w:rsidP="00D62AD1">
            <w:pPr>
              <w:pStyle w:val="TableParagraph"/>
              <w:ind w:right="102"/>
              <w:rPr>
                <w:sz w:val="16"/>
                <w:szCs w:val="16"/>
              </w:rPr>
            </w:pPr>
            <w:r w:rsidRPr="006F4CD1">
              <w:rPr>
                <w:spacing w:val="-4"/>
                <w:sz w:val="16"/>
                <w:szCs w:val="16"/>
              </w:rPr>
              <w:t>0.51</w:t>
            </w:r>
          </w:p>
        </w:tc>
        <w:tc>
          <w:tcPr>
            <w:tcW w:w="505" w:type="pct"/>
            <w:tcBorders>
              <w:top w:val="nil"/>
              <w:bottom w:val="nil"/>
            </w:tcBorders>
          </w:tcPr>
          <w:p w14:paraId="4C6381C2"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0.48</w:t>
            </w:r>
          </w:p>
        </w:tc>
        <w:tc>
          <w:tcPr>
            <w:tcW w:w="413" w:type="pct"/>
            <w:tcBorders>
              <w:top w:val="nil"/>
              <w:bottom w:val="nil"/>
            </w:tcBorders>
          </w:tcPr>
          <w:p w14:paraId="2075D84E" w14:textId="77777777" w:rsidR="00B3500A" w:rsidRPr="006F4CD1" w:rsidRDefault="00B3500A" w:rsidP="00D62AD1">
            <w:pPr>
              <w:pStyle w:val="TableParagraph"/>
              <w:ind w:left="271"/>
              <w:jc w:val="left"/>
              <w:rPr>
                <w:sz w:val="16"/>
                <w:szCs w:val="16"/>
              </w:rPr>
            </w:pPr>
            <w:r w:rsidRPr="006F4CD1">
              <w:rPr>
                <w:spacing w:val="-4"/>
                <w:sz w:val="16"/>
                <w:szCs w:val="16"/>
              </w:rPr>
              <w:t>0.46</w:t>
            </w:r>
          </w:p>
        </w:tc>
        <w:tc>
          <w:tcPr>
            <w:tcW w:w="413" w:type="pct"/>
            <w:tcBorders>
              <w:top w:val="nil"/>
              <w:bottom w:val="nil"/>
            </w:tcBorders>
          </w:tcPr>
          <w:p w14:paraId="63F7E03B" w14:textId="77777777" w:rsidR="00B3500A" w:rsidRPr="006F4CD1" w:rsidRDefault="00B3500A" w:rsidP="00D62AD1">
            <w:pPr>
              <w:pStyle w:val="TableParagraph"/>
              <w:ind w:right="103"/>
              <w:rPr>
                <w:sz w:val="16"/>
                <w:szCs w:val="16"/>
              </w:rPr>
            </w:pPr>
            <w:r w:rsidRPr="006F4CD1">
              <w:rPr>
                <w:spacing w:val="-4"/>
                <w:sz w:val="16"/>
                <w:szCs w:val="16"/>
              </w:rPr>
              <w:t>0.50</w:t>
            </w:r>
          </w:p>
        </w:tc>
        <w:tc>
          <w:tcPr>
            <w:tcW w:w="550" w:type="pct"/>
            <w:tcBorders>
              <w:top w:val="nil"/>
              <w:bottom w:val="nil"/>
            </w:tcBorders>
          </w:tcPr>
          <w:p w14:paraId="3762249B" w14:textId="77777777" w:rsidR="00B3500A" w:rsidRPr="006F4CD1" w:rsidRDefault="00B3500A" w:rsidP="00D62AD1">
            <w:pPr>
              <w:pStyle w:val="TableParagraph"/>
              <w:ind w:left="109" w:right="102"/>
              <w:rPr>
                <w:sz w:val="16"/>
                <w:szCs w:val="16"/>
              </w:rPr>
            </w:pPr>
            <w:r w:rsidRPr="006F4CD1">
              <w:rPr>
                <w:spacing w:val="-4"/>
                <w:w w:val="110"/>
                <w:sz w:val="16"/>
                <w:szCs w:val="16"/>
              </w:rPr>
              <w:t>West</w:t>
            </w:r>
          </w:p>
        </w:tc>
      </w:tr>
      <w:tr w:rsidR="00B3500A" w:rsidRPr="006F4CD1" w14:paraId="3BF4D192" w14:textId="77777777" w:rsidTr="00326B3D">
        <w:trPr>
          <w:trHeight w:val="239"/>
        </w:trPr>
        <w:tc>
          <w:tcPr>
            <w:tcW w:w="246" w:type="pct"/>
            <w:tcBorders>
              <w:top w:val="nil"/>
              <w:left w:val="double" w:sz="4" w:space="0" w:color="000000"/>
              <w:bottom w:val="nil"/>
            </w:tcBorders>
          </w:tcPr>
          <w:p w14:paraId="1CC582A1" w14:textId="77777777" w:rsidR="00B3500A" w:rsidRPr="006F4CD1" w:rsidRDefault="00B3500A" w:rsidP="00D62AD1">
            <w:pPr>
              <w:pStyle w:val="TableParagraph"/>
              <w:ind w:left="119" w:right="91"/>
              <w:rPr>
                <w:sz w:val="16"/>
                <w:szCs w:val="16"/>
              </w:rPr>
            </w:pPr>
            <w:r w:rsidRPr="006F4CD1">
              <w:rPr>
                <w:spacing w:val="-5"/>
                <w:sz w:val="16"/>
                <w:szCs w:val="16"/>
              </w:rPr>
              <w:t>28</w:t>
            </w:r>
          </w:p>
        </w:tc>
        <w:tc>
          <w:tcPr>
            <w:tcW w:w="910" w:type="pct"/>
            <w:tcBorders>
              <w:top w:val="nil"/>
              <w:bottom w:val="nil"/>
            </w:tcBorders>
          </w:tcPr>
          <w:p w14:paraId="60311648" w14:textId="77777777" w:rsidR="00B3500A" w:rsidRPr="006F4CD1" w:rsidRDefault="00B3500A" w:rsidP="00D62AD1">
            <w:pPr>
              <w:pStyle w:val="TableParagraph"/>
              <w:ind w:left="118"/>
              <w:jc w:val="left"/>
              <w:rPr>
                <w:sz w:val="16"/>
                <w:szCs w:val="16"/>
              </w:rPr>
            </w:pPr>
            <w:r w:rsidRPr="006F4CD1">
              <w:rPr>
                <w:spacing w:val="-2"/>
                <w:w w:val="105"/>
                <w:sz w:val="16"/>
                <w:szCs w:val="16"/>
              </w:rPr>
              <w:t>Nebraska</w:t>
            </w:r>
          </w:p>
        </w:tc>
        <w:tc>
          <w:tcPr>
            <w:tcW w:w="312" w:type="pct"/>
            <w:tcBorders>
              <w:top w:val="nil"/>
              <w:bottom w:val="nil"/>
            </w:tcBorders>
          </w:tcPr>
          <w:p w14:paraId="5630A00C" w14:textId="77777777" w:rsidR="00B3500A" w:rsidRPr="006F4CD1" w:rsidRDefault="00B3500A" w:rsidP="00D62AD1">
            <w:pPr>
              <w:pStyle w:val="TableParagraph"/>
              <w:ind w:left="97" w:right="89"/>
              <w:rPr>
                <w:sz w:val="16"/>
                <w:szCs w:val="16"/>
              </w:rPr>
            </w:pPr>
            <w:r w:rsidRPr="006F4CD1">
              <w:rPr>
                <w:spacing w:val="-4"/>
                <w:sz w:val="16"/>
                <w:szCs w:val="16"/>
              </w:rPr>
              <w:t>0.45</w:t>
            </w:r>
          </w:p>
        </w:tc>
        <w:tc>
          <w:tcPr>
            <w:tcW w:w="550" w:type="pct"/>
            <w:tcBorders>
              <w:top w:val="nil"/>
              <w:bottom w:val="nil"/>
            </w:tcBorders>
          </w:tcPr>
          <w:p w14:paraId="2278C8AC" w14:textId="77777777" w:rsidR="00B3500A" w:rsidRPr="006F4CD1" w:rsidRDefault="00B3500A" w:rsidP="00D62AD1">
            <w:pPr>
              <w:pStyle w:val="TableParagraph"/>
              <w:ind w:left="118" w:right="109"/>
              <w:rPr>
                <w:sz w:val="16"/>
                <w:szCs w:val="16"/>
              </w:rPr>
            </w:pPr>
            <w:r w:rsidRPr="006F4CD1">
              <w:rPr>
                <w:spacing w:val="-4"/>
                <w:sz w:val="16"/>
                <w:szCs w:val="16"/>
              </w:rPr>
              <w:t>0.41</w:t>
            </w:r>
          </w:p>
        </w:tc>
        <w:tc>
          <w:tcPr>
            <w:tcW w:w="367" w:type="pct"/>
            <w:tcBorders>
              <w:top w:val="nil"/>
              <w:bottom w:val="nil"/>
            </w:tcBorders>
          </w:tcPr>
          <w:p w14:paraId="0EB73FEF" w14:textId="77777777" w:rsidR="00B3500A" w:rsidRPr="006F4CD1" w:rsidRDefault="00B3500A" w:rsidP="00D62AD1">
            <w:pPr>
              <w:pStyle w:val="TableParagraph"/>
              <w:ind w:left="98" w:right="89"/>
              <w:rPr>
                <w:sz w:val="16"/>
                <w:szCs w:val="16"/>
              </w:rPr>
            </w:pPr>
            <w:r w:rsidRPr="006F4CD1">
              <w:rPr>
                <w:spacing w:val="-4"/>
                <w:sz w:val="16"/>
                <w:szCs w:val="16"/>
              </w:rPr>
              <w:t>0.39</w:t>
            </w:r>
          </w:p>
        </w:tc>
        <w:tc>
          <w:tcPr>
            <w:tcW w:w="413" w:type="pct"/>
            <w:tcBorders>
              <w:top w:val="nil"/>
              <w:bottom w:val="nil"/>
              <w:right w:val="double" w:sz="4" w:space="0" w:color="000000"/>
            </w:tcBorders>
          </w:tcPr>
          <w:p w14:paraId="271C784F" w14:textId="77777777" w:rsidR="00B3500A" w:rsidRPr="006F4CD1" w:rsidRDefault="00B3500A" w:rsidP="00D62AD1">
            <w:pPr>
              <w:pStyle w:val="TableParagraph"/>
              <w:ind w:left="98" w:right="89"/>
              <w:rPr>
                <w:sz w:val="16"/>
                <w:szCs w:val="16"/>
              </w:rPr>
            </w:pPr>
            <w:r w:rsidRPr="006F4CD1">
              <w:rPr>
                <w:spacing w:val="-4"/>
                <w:sz w:val="16"/>
                <w:szCs w:val="16"/>
              </w:rPr>
              <w:t>0.44</w:t>
            </w:r>
          </w:p>
        </w:tc>
        <w:tc>
          <w:tcPr>
            <w:tcW w:w="321" w:type="pct"/>
            <w:tcBorders>
              <w:top w:val="nil"/>
              <w:left w:val="double" w:sz="4" w:space="0" w:color="000000"/>
              <w:bottom w:val="nil"/>
            </w:tcBorders>
          </w:tcPr>
          <w:p w14:paraId="0A40494B" w14:textId="77777777" w:rsidR="00B3500A" w:rsidRPr="006F4CD1" w:rsidRDefault="00B3500A" w:rsidP="00D62AD1">
            <w:pPr>
              <w:pStyle w:val="TableParagraph"/>
              <w:ind w:right="102"/>
              <w:rPr>
                <w:sz w:val="16"/>
                <w:szCs w:val="16"/>
              </w:rPr>
            </w:pPr>
            <w:r w:rsidRPr="006F4CD1">
              <w:rPr>
                <w:spacing w:val="-4"/>
                <w:sz w:val="16"/>
                <w:szCs w:val="16"/>
              </w:rPr>
              <w:t>0.50</w:t>
            </w:r>
          </w:p>
        </w:tc>
        <w:tc>
          <w:tcPr>
            <w:tcW w:w="505" w:type="pct"/>
            <w:tcBorders>
              <w:top w:val="nil"/>
              <w:bottom w:val="nil"/>
            </w:tcBorders>
          </w:tcPr>
          <w:p w14:paraId="5F486683"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0.47</w:t>
            </w:r>
          </w:p>
        </w:tc>
        <w:tc>
          <w:tcPr>
            <w:tcW w:w="413" w:type="pct"/>
            <w:tcBorders>
              <w:top w:val="nil"/>
              <w:bottom w:val="nil"/>
            </w:tcBorders>
          </w:tcPr>
          <w:p w14:paraId="77918621" w14:textId="77777777" w:rsidR="00B3500A" w:rsidRPr="006F4CD1" w:rsidRDefault="00B3500A" w:rsidP="00D62AD1">
            <w:pPr>
              <w:pStyle w:val="TableParagraph"/>
              <w:ind w:left="271"/>
              <w:jc w:val="left"/>
              <w:rPr>
                <w:sz w:val="16"/>
                <w:szCs w:val="16"/>
              </w:rPr>
            </w:pPr>
            <w:r w:rsidRPr="006F4CD1">
              <w:rPr>
                <w:spacing w:val="-4"/>
                <w:sz w:val="16"/>
                <w:szCs w:val="16"/>
              </w:rPr>
              <w:t>0.45</w:t>
            </w:r>
          </w:p>
        </w:tc>
        <w:tc>
          <w:tcPr>
            <w:tcW w:w="413" w:type="pct"/>
            <w:tcBorders>
              <w:top w:val="nil"/>
              <w:bottom w:val="nil"/>
            </w:tcBorders>
          </w:tcPr>
          <w:p w14:paraId="24D39853" w14:textId="77777777" w:rsidR="00B3500A" w:rsidRPr="006F4CD1" w:rsidRDefault="00B3500A" w:rsidP="00D62AD1">
            <w:pPr>
              <w:pStyle w:val="TableParagraph"/>
              <w:ind w:right="103"/>
              <w:rPr>
                <w:sz w:val="16"/>
                <w:szCs w:val="16"/>
              </w:rPr>
            </w:pPr>
            <w:r w:rsidRPr="006F4CD1">
              <w:rPr>
                <w:spacing w:val="-4"/>
                <w:sz w:val="16"/>
                <w:szCs w:val="16"/>
              </w:rPr>
              <w:t>0.49</w:t>
            </w:r>
          </w:p>
        </w:tc>
        <w:tc>
          <w:tcPr>
            <w:tcW w:w="550" w:type="pct"/>
            <w:tcBorders>
              <w:top w:val="nil"/>
              <w:bottom w:val="nil"/>
            </w:tcBorders>
          </w:tcPr>
          <w:p w14:paraId="64877733" w14:textId="77777777" w:rsidR="00B3500A" w:rsidRPr="006F4CD1" w:rsidRDefault="00B3500A" w:rsidP="00D62AD1">
            <w:pPr>
              <w:pStyle w:val="TableParagraph"/>
              <w:ind w:left="109" w:right="102"/>
              <w:rPr>
                <w:sz w:val="16"/>
                <w:szCs w:val="16"/>
              </w:rPr>
            </w:pPr>
            <w:r w:rsidRPr="006F4CD1">
              <w:rPr>
                <w:spacing w:val="-2"/>
                <w:w w:val="105"/>
                <w:sz w:val="16"/>
                <w:szCs w:val="16"/>
              </w:rPr>
              <w:t>Midwest</w:t>
            </w:r>
          </w:p>
        </w:tc>
      </w:tr>
      <w:tr w:rsidR="00B3500A" w:rsidRPr="006F4CD1" w14:paraId="36D8EBBF" w14:textId="77777777" w:rsidTr="00326B3D">
        <w:trPr>
          <w:trHeight w:val="239"/>
        </w:trPr>
        <w:tc>
          <w:tcPr>
            <w:tcW w:w="246" w:type="pct"/>
            <w:tcBorders>
              <w:top w:val="nil"/>
              <w:left w:val="double" w:sz="4" w:space="0" w:color="000000"/>
              <w:bottom w:val="nil"/>
            </w:tcBorders>
          </w:tcPr>
          <w:p w14:paraId="3A18930C" w14:textId="77777777" w:rsidR="00B3500A" w:rsidRPr="006F4CD1" w:rsidRDefault="00B3500A" w:rsidP="00D62AD1">
            <w:pPr>
              <w:pStyle w:val="TableParagraph"/>
              <w:ind w:left="119" w:right="91"/>
              <w:rPr>
                <w:sz w:val="16"/>
                <w:szCs w:val="16"/>
              </w:rPr>
            </w:pPr>
            <w:r w:rsidRPr="006F4CD1">
              <w:rPr>
                <w:spacing w:val="-5"/>
                <w:sz w:val="16"/>
                <w:szCs w:val="16"/>
              </w:rPr>
              <w:t>29</w:t>
            </w:r>
          </w:p>
        </w:tc>
        <w:tc>
          <w:tcPr>
            <w:tcW w:w="910" w:type="pct"/>
            <w:tcBorders>
              <w:top w:val="nil"/>
              <w:bottom w:val="nil"/>
            </w:tcBorders>
          </w:tcPr>
          <w:p w14:paraId="5BCE185D" w14:textId="77777777" w:rsidR="00B3500A" w:rsidRPr="006F4CD1" w:rsidRDefault="00B3500A" w:rsidP="00D62AD1">
            <w:pPr>
              <w:pStyle w:val="TableParagraph"/>
              <w:ind w:left="118"/>
              <w:jc w:val="left"/>
              <w:rPr>
                <w:sz w:val="16"/>
                <w:szCs w:val="16"/>
              </w:rPr>
            </w:pPr>
            <w:r w:rsidRPr="006F4CD1">
              <w:rPr>
                <w:spacing w:val="-2"/>
                <w:w w:val="105"/>
                <w:sz w:val="16"/>
                <w:szCs w:val="16"/>
              </w:rPr>
              <w:t>Nevada</w:t>
            </w:r>
          </w:p>
        </w:tc>
        <w:tc>
          <w:tcPr>
            <w:tcW w:w="312" w:type="pct"/>
            <w:tcBorders>
              <w:top w:val="nil"/>
              <w:bottom w:val="nil"/>
            </w:tcBorders>
          </w:tcPr>
          <w:p w14:paraId="0C897BEF" w14:textId="77777777" w:rsidR="00B3500A" w:rsidRPr="006F4CD1" w:rsidRDefault="00B3500A" w:rsidP="00D62AD1">
            <w:pPr>
              <w:pStyle w:val="TableParagraph"/>
              <w:ind w:left="97" w:right="89"/>
              <w:rPr>
                <w:sz w:val="16"/>
                <w:szCs w:val="16"/>
              </w:rPr>
            </w:pPr>
            <w:r w:rsidRPr="006F4CD1">
              <w:rPr>
                <w:spacing w:val="-4"/>
                <w:sz w:val="16"/>
                <w:szCs w:val="16"/>
              </w:rPr>
              <w:t>0.57</w:t>
            </w:r>
          </w:p>
        </w:tc>
        <w:tc>
          <w:tcPr>
            <w:tcW w:w="550" w:type="pct"/>
            <w:tcBorders>
              <w:top w:val="nil"/>
              <w:bottom w:val="nil"/>
            </w:tcBorders>
          </w:tcPr>
          <w:p w14:paraId="116432A1" w14:textId="77777777" w:rsidR="00B3500A" w:rsidRPr="006F4CD1" w:rsidRDefault="00B3500A" w:rsidP="00D62AD1">
            <w:pPr>
              <w:pStyle w:val="TableParagraph"/>
              <w:ind w:left="118" w:right="109"/>
              <w:rPr>
                <w:sz w:val="16"/>
                <w:szCs w:val="16"/>
              </w:rPr>
            </w:pPr>
            <w:r w:rsidRPr="006F4CD1">
              <w:rPr>
                <w:spacing w:val="-4"/>
                <w:sz w:val="16"/>
                <w:szCs w:val="16"/>
              </w:rPr>
              <w:t>0.40</w:t>
            </w:r>
          </w:p>
        </w:tc>
        <w:tc>
          <w:tcPr>
            <w:tcW w:w="367" w:type="pct"/>
            <w:tcBorders>
              <w:top w:val="nil"/>
              <w:bottom w:val="nil"/>
            </w:tcBorders>
          </w:tcPr>
          <w:p w14:paraId="4BF703CF" w14:textId="77777777" w:rsidR="00B3500A" w:rsidRPr="006F4CD1" w:rsidRDefault="00B3500A" w:rsidP="00D62AD1">
            <w:pPr>
              <w:pStyle w:val="TableParagraph"/>
              <w:ind w:left="98" w:right="89"/>
              <w:rPr>
                <w:sz w:val="16"/>
                <w:szCs w:val="16"/>
              </w:rPr>
            </w:pPr>
            <w:r w:rsidRPr="006F4CD1">
              <w:rPr>
                <w:spacing w:val="-4"/>
                <w:sz w:val="16"/>
                <w:szCs w:val="16"/>
              </w:rPr>
              <w:t>0.45</w:t>
            </w:r>
          </w:p>
        </w:tc>
        <w:tc>
          <w:tcPr>
            <w:tcW w:w="413" w:type="pct"/>
            <w:tcBorders>
              <w:top w:val="nil"/>
              <w:bottom w:val="nil"/>
              <w:right w:val="double" w:sz="4" w:space="0" w:color="000000"/>
            </w:tcBorders>
          </w:tcPr>
          <w:p w14:paraId="5E59F450" w14:textId="77777777" w:rsidR="00B3500A" w:rsidRPr="006F4CD1" w:rsidRDefault="00B3500A" w:rsidP="00D62AD1">
            <w:pPr>
              <w:pStyle w:val="TableParagraph"/>
              <w:ind w:left="98" w:right="89"/>
              <w:rPr>
                <w:sz w:val="16"/>
                <w:szCs w:val="16"/>
              </w:rPr>
            </w:pPr>
            <w:r w:rsidRPr="006F4CD1">
              <w:rPr>
                <w:spacing w:val="-4"/>
                <w:sz w:val="16"/>
                <w:szCs w:val="16"/>
              </w:rPr>
              <w:t>0.53</w:t>
            </w:r>
          </w:p>
        </w:tc>
        <w:tc>
          <w:tcPr>
            <w:tcW w:w="321" w:type="pct"/>
            <w:tcBorders>
              <w:top w:val="nil"/>
              <w:left w:val="double" w:sz="4" w:space="0" w:color="000000"/>
              <w:bottom w:val="nil"/>
            </w:tcBorders>
          </w:tcPr>
          <w:p w14:paraId="3BFE9248" w14:textId="77777777" w:rsidR="00B3500A" w:rsidRPr="006F4CD1" w:rsidRDefault="00B3500A" w:rsidP="00D62AD1">
            <w:pPr>
              <w:pStyle w:val="TableParagraph"/>
              <w:ind w:right="102"/>
              <w:rPr>
                <w:sz w:val="16"/>
                <w:szCs w:val="16"/>
              </w:rPr>
            </w:pPr>
            <w:r w:rsidRPr="006F4CD1">
              <w:rPr>
                <w:spacing w:val="-4"/>
                <w:sz w:val="16"/>
                <w:szCs w:val="16"/>
              </w:rPr>
              <w:t>0.64</w:t>
            </w:r>
          </w:p>
        </w:tc>
        <w:tc>
          <w:tcPr>
            <w:tcW w:w="505" w:type="pct"/>
            <w:tcBorders>
              <w:top w:val="nil"/>
              <w:bottom w:val="nil"/>
            </w:tcBorders>
          </w:tcPr>
          <w:p w14:paraId="303E993E"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0.53</w:t>
            </w:r>
          </w:p>
        </w:tc>
        <w:tc>
          <w:tcPr>
            <w:tcW w:w="413" w:type="pct"/>
            <w:tcBorders>
              <w:top w:val="nil"/>
              <w:bottom w:val="nil"/>
            </w:tcBorders>
          </w:tcPr>
          <w:p w14:paraId="6C89A521" w14:textId="77777777" w:rsidR="00B3500A" w:rsidRPr="006F4CD1" w:rsidRDefault="00B3500A" w:rsidP="00D62AD1">
            <w:pPr>
              <w:pStyle w:val="TableParagraph"/>
              <w:ind w:left="271"/>
              <w:jc w:val="left"/>
              <w:rPr>
                <w:sz w:val="16"/>
                <w:szCs w:val="16"/>
              </w:rPr>
            </w:pPr>
            <w:r w:rsidRPr="006F4CD1">
              <w:rPr>
                <w:spacing w:val="-4"/>
                <w:sz w:val="16"/>
                <w:szCs w:val="16"/>
              </w:rPr>
              <w:t>0.52</w:t>
            </w:r>
          </w:p>
        </w:tc>
        <w:tc>
          <w:tcPr>
            <w:tcW w:w="413" w:type="pct"/>
            <w:tcBorders>
              <w:top w:val="nil"/>
              <w:bottom w:val="nil"/>
            </w:tcBorders>
          </w:tcPr>
          <w:p w14:paraId="7790D95F" w14:textId="77777777" w:rsidR="00B3500A" w:rsidRPr="006F4CD1" w:rsidRDefault="00B3500A" w:rsidP="00D62AD1">
            <w:pPr>
              <w:pStyle w:val="TableParagraph"/>
              <w:ind w:right="103"/>
              <w:rPr>
                <w:sz w:val="16"/>
                <w:szCs w:val="16"/>
              </w:rPr>
            </w:pPr>
            <w:r w:rsidRPr="006F4CD1">
              <w:rPr>
                <w:spacing w:val="-4"/>
                <w:sz w:val="16"/>
                <w:szCs w:val="16"/>
              </w:rPr>
              <w:t>0.62</w:t>
            </w:r>
          </w:p>
        </w:tc>
        <w:tc>
          <w:tcPr>
            <w:tcW w:w="550" w:type="pct"/>
            <w:tcBorders>
              <w:top w:val="nil"/>
              <w:bottom w:val="nil"/>
            </w:tcBorders>
          </w:tcPr>
          <w:p w14:paraId="0AF0116B" w14:textId="77777777" w:rsidR="00B3500A" w:rsidRPr="006F4CD1" w:rsidRDefault="00B3500A" w:rsidP="00D62AD1">
            <w:pPr>
              <w:pStyle w:val="TableParagraph"/>
              <w:ind w:left="109" w:right="102"/>
              <w:rPr>
                <w:sz w:val="16"/>
                <w:szCs w:val="16"/>
              </w:rPr>
            </w:pPr>
            <w:r w:rsidRPr="006F4CD1">
              <w:rPr>
                <w:spacing w:val="-4"/>
                <w:w w:val="110"/>
                <w:sz w:val="16"/>
                <w:szCs w:val="16"/>
              </w:rPr>
              <w:t>West</w:t>
            </w:r>
          </w:p>
        </w:tc>
      </w:tr>
      <w:tr w:rsidR="00B3500A" w:rsidRPr="006F4CD1" w14:paraId="224163B2" w14:textId="77777777" w:rsidTr="00326B3D">
        <w:trPr>
          <w:trHeight w:val="239"/>
        </w:trPr>
        <w:tc>
          <w:tcPr>
            <w:tcW w:w="246" w:type="pct"/>
            <w:tcBorders>
              <w:top w:val="nil"/>
              <w:left w:val="double" w:sz="4" w:space="0" w:color="000000"/>
              <w:bottom w:val="nil"/>
            </w:tcBorders>
          </w:tcPr>
          <w:p w14:paraId="3AD8C8DE" w14:textId="77777777" w:rsidR="00B3500A" w:rsidRPr="006F4CD1" w:rsidRDefault="00B3500A" w:rsidP="00D62AD1">
            <w:pPr>
              <w:pStyle w:val="TableParagraph"/>
              <w:ind w:left="119" w:right="91"/>
              <w:rPr>
                <w:sz w:val="16"/>
                <w:szCs w:val="16"/>
              </w:rPr>
            </w:pPr>
            <w:r w:rsidRPr="006F4CD1">
              <w:rPr>
                <w:spacing w:val="-5"/>
                <w:sz w:val="16"/>
                <w:szCs w:val="16"/>
              </w:rPr>
              <w:t>30</w:t>
            </w:r>
          </w:p>
        </w:tc>
        <w:tc>
          <w:tcPr>
            <w:tcW w:w="910" w:type="pct"/>
            <w:tcBorders>
              <w:top w:val="nil"/>
              <w:bottom w:val="nil"/>
            </w:tcBorders>
          </w:tcPr>
          <w:p w14:paraId="299EB541" w14:textId="77777777" w:rsidR="00B3500A" w:rsidRPr="006F4CD1" w:rsidRDefault="00B3500A" w:rsidP="00D62AD1">
            <w:pPr>
              <w:pStyle w:val="TableParagraph"/>
              <w:ind w:left="118"/>
              <w:jc w:val="left"/>
              <w:rPr>
                <w:sz w:val="16"/>
                <w:szCs w:val="16"/>
              </w:rPr>
            </w:pPr>
            <w:r w:rsidRPr="006F4CD1">
              <w:rPr>
                <w:w w:val="105"/>
                <w:sz w:val="16"/>
                <w:szCs w:val="16"/>
              </w:rPr>
              <w:t>New</w:t>
            </w:r>
            <w:r w:rsidRPr="006F4CD1">
              <w:rPr>
                <w:spacing w:val="-2"/>
                <w:w w:val="105"/>
                <w:sz w:val="16"/>
                <w:szCs w:val="16"/>
              </w:rPr>
              <w:t xml:space="preserve"> Hampshire</w:t>
            </w:r>
          </w:p>
        </w:tc>
        <w:tc>
          <w:tcPr>
            <w:tcW w:w="312" w:type="pct"/>
            <w:tcBorders>
              <w:top w:val="nil"/>
              <w:bottom w:val="nil"/>
            </w:tcBorders>
          </w:tcPr>
          <w:p w14:paraId="489C58D4" w14:textId="77777777" w:rsidR="00B3500A" w:rsidRPr="006F4CD1" w:rsidRDefault="00B3500A" w:rsidP="00D62AD1">
            <w:pPr>
              <w:pStyle w:val="TableParagraph"/>
              <w:ind w:left="97" w:right="89"/>
              <w:rPr>
                <w:sz w:val="16"/>
                <w:szCs w:val="16"/>
              </w:rPr>
            </w:pPr>
            <w:r w:rsidRPr="006F4CD1">
              <w:rPr>
                <w:spacing w:val="-4"/>
                <w:sz w:val="16"/>
                <w:szCs w:val="16"/>
              </w:rPr>
              <w:t>0.46</w:t>
            </w:r>
          </w:p>
        </w:tc>
        <w:tc>
          <w:tcPr>
            <w:tcW w:w="550" w:type="pct"/>
            <w:tcBorders>
              <w:top w:val="nil"/>
              <w:bottom w:val="nil"/>
            </w:tcBorders>
          </w:tcPr>
          <w:p w14:paraId="31088B2B" w14:textId="77777777" w:rsidR="00B3500A" w:rsidRPr="006F4CD1" w:rsidRDefault="00B3500A" w:rsidP="00D62AD1">
            <w:pPr>
              <w:pStyle w:val="TableParagraph"/>
              <w:ind w:left="118" w:right="109"/>
              <w:rPr>
                <w:sz w:val="16"/>
                <w:szCs w:val="16"/>
              </w:rPr>
            </w:pPr>
            <w:r w:rsidRPr="006F4CD1">
              <w:rPr>
                <w:spacing w:val="-4"/>
                <w:sz w:val="16"/>
                <w:szCs w:val="16"/>
              </w:rPr>
              <w:t>0.38</w:t>
            </w:r>
          </w:p>
        </w:tc>
        <w:tc>
          <w:tcPr>
            <w:tcW w:w="367" w:type="pct"/>
            <w:tcBorders>
              <w:top w:val="nil"/>
              <w:bottom w:val="nil"/>
            </w:tcBorders>
          </w:tcPr>
          <w:p w14:paraId="2FCFB568" w14:textId="77777777" w:rsidR="00B3500A" w:rsidRPr="006F4CD1" w:rsidRDefault="00B3500A" w:rsidP="00D62AD1">
            <w:pPr>
              <w:pStyle w:val="TableParagraph"/>
              <w:ind w:left="98" w:right="89"/>
              <w:rPr>
                <w:sz w:val="16"/>
                <w:szCs w:val="16"/>
              </w:rPr>
            </w:pPr>
            <w:r w:rsidRPr="006F4CD1">
              <w:rPr>
                <w:spacing w:val="-4"/>
                <w:sz w:val="16"/>
                <w:szCs w:val="16"/>
              </w:rPr>
              <w:t>0.38</w:t>
            </w:r>
          </w:p>
        </w:tc>
        <w:tc>
          <w:tcPr>
            <w:tcW w:w="413" w:type="pct"/>
            <w:tcBorders>
              <w:top w:val="nil"/>
              <w:bottom w:val="nil"/>
              <w:right w:val="double" w:sz="4" w:space="0" w:color="000000"/>
            </w:tcBorders>
          </w:tcPr>
          <w:p w14:paraId="4E6F26E1" w14:textId="77777777" w:rsidR="00B3500A" w:rsidRPr="006F4CD1" w:rsidRDefault="00B3500A" w:rsidP="00D62AD1">
            <w:pPr>
              <w:pStyle w:val="TableParagraph"/>
              <w:ind w:left="98" w:right="89"/>
              <w:rPr>
                <w:sz w:val="16"/>
                <w:szCs w:val="16"/>
              </w:rPr>
            </w:pPr>
            <w:r w:rsidRPr="006F4CD1">
              <w:rPr>
                <w:spacing w:val="-4"/>
                <w:sz w:val="16"/>
                <w:szCs w:val="16"/>
              </w:rPr>
              <w:t>0.44</w:t>
            </w:r>
          </w:p>
        </w:tc>
        <w:tc>
          <w:tcPr>
            <w:tcW w:w="321" w:type="pct"/>
            <w:tcBorders>
              <w:top w:val="nil"/>
              <w:left w:val="double" w:sz="4" w:space="0" w:color="000000"/>
              <w:bottom w:val="nil"/>
            </w:tcBorders>
          </w:tcPr>
          <w:p w14:paraId="19336640" w14:textId="77777777" w:rsidR="00B3500A" w:rsidRPr="006F4CD1" w:rsidRDefault="00B3500A" w:rsidP="00D62AD1">
            <w:pPr>
              <w:pStyle w:val="TableParagraph"/>
              <w:ind w:right="102"/>
              <w:rPr>
                <w:sz w:val="16"/>
                <w:szCs w:val="16"/>
              </w:rPr>
            </w:pPr>
            <w:r w:rsidRPr="006F4CD1">
              <w:rPr>
                <w:spacing w:val="-4"/>
                <w:sz w:val="16"/>
                <w:szCs w:val="16"/>
              </w:rPr>
              <w:t>0.49</w:t>
            </w:r>
          </w:p>
        </w:tc>
        <w:tc>
          <w:tcPr>
            <w:tcW w:w="505" w:type="pct"/>
            <w:tcBorders>
              <w:top w:val="nil"/>
              <w:bottom w:val="nil"/>
            </w:tcBorders>
          </w:tcPr>
          <w:p w14:paraId="63E656ED"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0.43</w:t>
            </w:r>
          </w:p>
        </w:tc>
        <w:tc>
          <w:tcPr>
            <w:tcW w:w="413" w:type="pct"/>
            <w:tcBorders>
              <w:top w:val="nil"/>
              <w:bottom w:val="nil"/>
            </w:tcBorders>
          </w:tcPr>
          <w:p w14:paraId="16A1AC59" w14:textId="77777777" w:rsidR="00B3500A" w:rsidRPr="006F4CD1" w:rsidRDefault="00B3500A" w:rsidP="00D62AD1">
            <w:pPr>
              <w:pStyle w:val="TableParagraph"/>
              <w:ind w:left="271"/>
              <w:jc w:val="left"/>
              <w:rPr>
                <w:sz w:val="16"/>
                <w:szCs w:val="16"/>
              </w:rPr>
            </w:pPr>
            <w:r w:rsidRPr="006F4CD1">
              <w:rPr>
                <w:spacing w:val="-4"/>
                <w:sz w:val="16"/>
                <w:szCs w:val="16"/>
              </w:rPr>
              <w:t>0.42</w:t>
            </w:r>
          </w:p>
        </w:tc>
        <w:tc>
          <w:tcPr>
            <w:tcW w:w="413" w:type="pct"/>
            <w:tcBorders>
              <w:top w:val="nil"/>
              <w:bottom w:val="nil"/>
            </w:tcBorders>
          </w:tcPr>
          <w:p w14:paraId="535D9B89" w14:textId="77777777" w:rsidR="00B3500A" w:rsidRPr="006F4CD1" w:rsidRDefault="00B3500A" w:rsidP="00D62AD1">
            <w:pPr>
              <w:pStyle w:val="TableParagraph"/>
              <w:ind w:right="103"/>
              <w:rPr>
                <w:sz w:val="16"/>
                <w:szCs w:val="16"/>
              </w:rPr>
            </w:pPr>
            <w:r w:rsidRPr="006F4CD1">
              <w:rPr>
                <w:spacing w:val="-4"/>
                <w:sz w:val="16"/>
                <w:szCs w:val="16"/>
              </w:rPr>
              <w:t>0.48</w:t>
            </w:r>
          </w:p>
        </w:tc>
        <w:tc>
          <w:tcPr>
            <w:tcW w:w="550" w:type="pct"/>
            <w:tcBorders>
              <w:top w:val="nil"/>
              <w:bottom w:val="nil"/>
            </w:tcBorders>
          </w:tcPr>
          <w:p w14:paraId="4924C25E" w14:textId="77777777" w:rsidR="00B3500A" w:rsidRPr="006F4CD1" w:rsidRDefault="00B3500A" w:rsidP="00D62AD1">
            <w:pPr>
              <w:pStyle w:val="TableParagraph"/>
              <w:ind w:left="109" w:right="102"/>
              <w:rPr>
                <w:sz w:val="16"/>
                <w:szCs w:val="16"/>
              </w:rPr>
            </w:pPr>
            <w:r w:rsidRPr="006F4CD1">
              <w:rPr>
                <w:spacing w:val="-2"/>
                <w:w w:val="110"/>
                <w:sz w:val="16"/>
                <w:szCs w:val="16"/>
              </w:rPr>
              <w:t>Northeast</w:t>
            </w:r>
          </w:p>
        </w:tc>
      </w:tr>
      <w:tr w:rsidR="00B3500A" w:rsidRPr="006F4CD1" w14:paraId="0763AC8A" w14:textId="77777777" w:rsidTr="00326B3D">
        <w:trPr>
          <w:trHeight w:val="239"/>
        </w:trPr>
        <w:tc>
          <w:tcPr>
            <w:tcW w:w="246" w:type="pct"/>
            <w:tcBorders>
              <w:top w:val="nil"/>
              <w:left w:val="double" w:sz="4" w:space="0" w:color="000000"/>
              <w:bottom w:val="nil"/>
            </w:tcBorders>
          </w:tcPr>
          <w:p w14:paraId="419A6B72" w14:textId="77777777" w:rsidR="00B3500A" w:rsidRPr="006F4CD1" w:rsidRDefault="00B3500A" w:rsidP="00D62AD1">
            <w:pPr>
              <w:pStyle w:val="TableParagraph"/>
              <w:ind w:left="119" w:right="91"/>
              <w:rPr>
                <w:sz w:val="16"/>
                <w:szCs w:val="16"/>
              </w:rPr>
            </w:pPr>
            <w:r w:rsidRPr="006F4CD1">
              <w:rPr>
                <w:spacing w:val="-5"/>
                <w:sz w:val="16"/>
                <w:szCs w:val="16"/>
              </w:rPr>
              <w:t>31</w:t>
            </w:r>
          </w:p>
        </w:tc>
        <w:tc>
          <w:tcPr>
            <w:tcW w:w="910" w:type="pct"/>
            <w:tcBorders>
              <w:top w:val="nil"/>
              <w:bottom w:val="nil"/>
            </w:tcBorders>
          </w:tcPr>
          <w:p w14:paraId="5C18CEB4" w14:textId="77777777" w:rsidR="00B3500A" w:rsidRPr="006F4CD1" w:rsidRDefault="00B3500A" w:rsidP="00D62AD1">
            <w:pPr>
              <w:pStyle w:val="TableParagraph"/>
              <w:ind w:left="118"/>
              <w:jc w:val="left"/>
              <w:rPr>
                <w:sz w:val="16"/>
                <w:szCs w:val="16"/>
              </w:rPr>
            </w:pPr>
            <w:r w:rsidRPr="006F4CD1">
              <w:rPr>
                <w:w w:val="105"/>
                <w:sz w:val="16"/>
                <w:szCs w:val="16"/>
              </w:rPr>
              <w:t>New</w:t>
            </w:r>
            <w:r w:rsidRPr="006F4CD1">
              <w:rPr>
                <w:spacing w:val="-2"/>
                <w:w w:val="105"/>
                <w:sz w:val="16"/>
                <w:szCs w:val="16"/>
              </w:rPr>
              <w:t xml:space="preserve"> Jersey</w:t>
            </w:r>
          </w:p>
        </w:tc>
        <w:tc>
          <w:tcPr>
            <w:tcW w:w="312" w:type="pct"/>
            <w:tcBorders>
              <w:top w:val="nil"/>
              <w:bottom w:val="nil"/>
            </w:tcBorders>
          </w:tcPr>
          <w:p w14:paraId="3EBEA482" w14:textId="77777777" w:rsidR="00B3500A" w:rsidRPr="006F4CD1" w:rsidRDefault="00B3500A" w:rsidP="00D62AD1">
            <w:pPr>
              <w:pStyle w:val="TableParagraph"/>
              <w:ind w:left="97" w:right="89"/>
              <w:rPr>
                <w:sz w:val="16"/>
                <w:szCs w:val="16"/>
              </w:rPr>
            </w:pPr>
            <w:r w:rsidRPr="006F4CD1">
              <w:rPr>
                <w:spacing w:val="-4"/>
                <w:sz w:val="16"/>
                <w:szCs w:val="16"/>
              </w:rPr>
              <w:t>0.53</w:t>
            </w:r>
          </w:p>
        </w:tc>
        <w:tc>
          <w:tcPr>
            <w:tcW w:w="550" w:type="pct"/>
            <w:tcBorders>
              <w:top w:val="nil"/>
              <w:bottom w:val="nil"/>
            </w:tcBorders>
          </w:tcPr>
          <w:p w14:paraId="32B9F641" w14:textId="77777777" w:rsidR="00B3500A" w:rsidRPr="006F4CD1" w:rsidRDefault="00B3500A" w:rsidP="00D62AD1">
            <w:pPr>
              <w:pStyle w:val="TableParagraph"/>
              <w:ind w:left="118" w:right="109"/>
              <w:rPr>
                <w:sz w:val="16"/>
                <w:szCs w:val="16"/>
              </w:rPr>
            </w:pPr>
            <w:r w:rsidRPr="006F4CD1">
              <w:rPr>
                <w:spacing w:val="-4"/>
                <w:sz w:val="16"/>
                <w:szCs w:val="16"/>
              </w:rPr>
              <w:t>0.47</w:t>
            </w:r>
          </w:p>
        </w:tc>
        <w:tc>
          <w:tcPr>
            <w:tcW w:w="367" w:type="pct"/>
            <w:tcBorders>
              <w:top w:val="nil"/>
              <w:bottom w:val="nil"/>
            </w:tcBorders>
          </w:tcPr>
          <w:p w14:paraId="2328EC17" w14:textId="77777777" w:rsidR="00B3500A" w:rsidRPr="006F4CD1" w:rsidRDefault="00B3500A" w:rsidP="00D62AD1">
            <w:pPr>
              <w:pStyle w:val="TableParagraph"/>
              <w:ind w:left="98" w:right="89"/>
              <w:rPr>
                <w:sz w:val="16"/>
                <w:szCs w:val="16"/>
              </w:rPr>
            </w:pPr>
            <w:r w:rsidRPr="006F4CD1">
              <w:rPr>
                <w:spacing w:val="-4"/>
                <w:sz w:val="16"/>
                <w:szCs w:val="16"/>
              </w:rPr>
              <w:t>0.46</w:t>
            </w:r>
          </w:p>
        </w:tc>
        <w:tc>
          <w:tcPr>
            <w:tcW w:w="413" w:type="pct"/>
            <w:tcBorders>
              <w:top w:val="nil"/>
              <w:bottom w:val="nil"/>
              <w:right w:val="double" w:sz="4" w:space="0" w:color="000000"/>
            </w:tcBorders>
          </w:tcPr>
          <w:p w14:paraId="73F5E4FA" w14:textId="77777777" w:rsidR="00B3500A" w:rsidRPr="006F4CD1" w:rsidRDefault="00B3500A" w:rsidP="00D62AD1">
            <w:pPr>
              <w:pStyle w:val="TableParagraph"/>
              <w:ind w:left="98" w:right="89"/>
              <w:rPr>
                <w:sz w:val="16"/>
                <w:szCs w:val="16"/>
              </w:rPr>
            </w:pPr>
            <w:r w:rsidRPr="006F4CD1">
              <w:rPr>
                <w:spacing w:val="-4"/>
                <w:sz w:val="16"/>
                <w:szCs w:val="16"/>
              </w:rPr>
              <w:t>0.52</w:t>
            </w:r>
          </w:p>
        </w:tc>
        <w:tc>
          <w:tcPr>
            <w:tcW w:w="321" w:type="pct"/>
            <w:tcBorders>
              <w:top w:val="nil"/>
              <w:left w:val="double" w:sz="4" w:space="0" w:color="000000"/>
              <w:bottom w:val="nil"/>
            </w:tcBorders>
          </w:tcPr>
          <w:p w14:paraId="3B5E349F" w14:textId="77777777" w:rsidR="00B3500A" w:rsidRPr="006F4CD1" w:rsidRDefault="00B3500A" w:rsidP="00D62AD1">
            <w:pPr>
              <w:pStyle w:val="TableParagraph"/>
              <w:ind w:right="102"/>
              <w:rPr>
                <w:sz w:val="16"/>
                <w:szCs w:val="16"/>
              </w:rPr>
            </w:pPr>
            <w:r w:rsidRPr="006F4CD1">
              <w:rPr>
                <w:spacing w:val="-4"/>
                <w:sz w:val="16"/>
                <w:szCs w:val="16"/>
              </w:rPr>
              <w:t>0.67</w:t>
            </w:r>
          </w:p>
        </w:tc>
        <w:tc>
          <w:tcPr>
            <w:tcW w:w="505" w:type="pct"/>
            <w:tcBorders>
              <w:top w:val="nil"/>
              <w:bottom w:val="nil"/>
            </w:tcBorders>
          </w:tcPr>
          <w:p w14:paraId="28157D86"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0.61</w:t>
            </w:r>
          </w:p>
        </w:tc>
        <w:tc>
          <w:tcPr>
            <w:tcW w:w="413" w:type="pct"/>
            <w:tcBorders>
              <w:top w:val="nil"/>
              <w:bottom w:val="nil"/>
            </w:tcBorders>
          </w:tcPr>
          <w:p w14:paraId="5B7D3546" w14:textId="77777777" w:rsidR="00B3500A" w:rsidRPr="006F4CD1" w:rsidRDefault="00B3500A" w:rsidP="00D62AD1">
            <w:pPr>
              <w:pStyle w:val="TableParagraph"/>
              <w:ind w:left="271"/>
              <w:jc w:val="left"/>
              <w:rPr>
                <w:sz w:val="16"/>
                <w:szCs w:val="16"/>
              </w:rPr>
            </w:pPr>
            <w:r w:rsidRPr="006F4CD1">
              <w:rPr>
                <w:spacing w:val="-4"/>
                <w:sz w:val="16"/>
                <w:szCs w:val="16"/>
              </w:rPr>
              <w:t>0.59</w:t>
            </w:r>
          </w:p>
        </w:tc>
        <w:tc>
          <w:tcPr>
            <w:tcW w:w="413" w:type="pct"/>
            <w:tcBorders>
              <w:top w:val="nil"/>
              <w:bottom w:val="nil"/>
            </w:tcBorders>
          </w:tcPr>
          <w:p w14:paraId="6D71B616" w14:textId="77777777" w:rsidR="00B3500A" w:rsidRPr="006F4CD1" w:rsidRDefault="00B3500A" w:rsidP="00D62AD1">
            <w:pPr>
              <w:pStyle w:val="TableParagraph"/>
              <w:ind w:right="103"/>
              <w:rPr>
                <w:sz w:val="16"/>
                <w:szCs w:val="16"/>
              </w:rPr>
            </w:pPr>
            <w:r w:rsidRPr="006F4CD1">
              <w:rPr>
                <w:spacing w:val="-4"/>
                <w:sz w:val="16"/>
                <w:szCs w:val="16"/>
              </w:rPr>
              <w:t>0.66</w:t>
            </w:r>
          </w:p>
        </w:tc>
        <w:tc>
          <w:tcPr>
            <w:tcW w:w="550" w:type="pct"/>
            <w:tcBorders>
              <w:top w:val="nil"/>
              <w:bottom w:val="nil"/>
            </w:tcBorders>
          </w:tcPr>
          <w:p w14:paraId="3E636D44" w14:textId="77777777" w:rsidR="00B3500A" w:rsidRPr="006F4CD1" w:rsidRDefault="00B3500A" w:rsidP="00D62AD1">
            <w:pPr>
              <w:pStyle w:val="TableParagraph"/>
              <w:ind w:left="109" w:right="102"/>
              <w:rPr>
                <w:sz w:val="16"/>
                <w:szCs w:val="16"/>
              </w:rPr>
            </w:pPr>
            <w:r w:rsidRPr="006F4CD1">
              <w:rPr>
                <w:spacing w:val="-2"/>
                <w:w w:val="110"/>
                <w:sz w:val="16"/>
                <w:szCs w:val="16"/>
              </w:rPr>
              <w:t>Northeast</w:t>
            </w:r>
          </w:p>
        </w:tc>
      </w:tr>
      <w:tr w:rsidR="00B3500A" w:rsidRPr="006F4CD1" w14:paraId="42B41686" w14:textId="77777777" w:rsidTr="00326B3D">
        <w:trPr>
          <w:trHeight w:val="239"/>
        </w:trPr>
        <w:tc>
          <w:tcPr>
            <w:tcW w:w="246" w:type="pct"/>
            <w:tcBorders>
              <w:top w:val="nil"/>
              <w:left w:val="double" w:sz="4" w:space="0" w:color="000000"/>
              <w:bottom w:val="nil"/>
            </w:tcBorders>
          </w:tcPr>
          <w:p w14:paraId="15DECDA7" w14:textId="77777777" w:rsidR="00B3500A" w:rsidRPr="006F4CD1" w:rsidRDefault="00B3500A" w:rsidP="00D62AD1">
            <w:pPr>
              <w:pStyle w:val="TableParagraph"/>
              <w:ind w:left="119" w:right="91"/>
              <w:rPr>
                <w:sz w:val="16"/>
                <w:szCs w:val="16"/>
              </w:rPr>
            </w:pPr>
            <w:r w:rsidRPr="006F4CD1">
              <w:rPr>
                <w:spacing w:val="-5"/>
                <w:sz w:val="16"/>
                <w:szCs w:val="16"/>
              </w:rPr>
              <w:t>32</w:t>
            </w:r>
          </w:p>
        </w:tc>
        <w:tc>
          <w:tcPr>
            <w:tcW w:w="910" w:type="pct"/>
            <w:tcBorders>
              <w:top w:val="nil"/>
              <w:bottom w:val="nil"/>
            </w:tcBorders>
          </w:tcPr>
          <w:p w14:paraId="1F8436E4" w14:textId="77777777" w:rsidR="00B3500A" w:rsidRPr="006F4CD1" w:rsidRDefault="00B3500A" w:rsidP="00D62AD1">
            <w:pPr>
              <w:pStyle w:val="TableParagraph"/>
              <w:ind w:left="118"/>
              <w:jc w:val="left"/>
              <w:rPr>
                <w:sz w:val="16"/>
                <w:szCs w:val="16"/>
              </w:rPr>
            </w:pPr>
            <w:r w:rsidRPr="006F4CD1">
              <w:rPr>
                <w:sz w:val="16"/>
                <w:szCs w:val="16"/>
              </w:rPr>
              <w:t>New</w:t>
            </w:r>
            <w:r w:rsidRPr="006F4CD1">
              <w:rPr>
                <w:spacing w:val="19"/>
                <w:sz w:val="16"/>
                <w:szCs w:val="16"/>
              </w:rPr>
              <w:t xml:space="preserve"> </w:t>
            </w:r>
            <w:r w:rsidRPr="006F4CD1">
              <w:rPr>
                <w:spacing w:val="-2"/>
                <w:sz w:val="16"/>
                <w:szCs w:val="16"/>
              </w:rPr>
              <w:t>Mexico</w:t>
            </w:r>
          </w:p>
        </w:tc>
        <w:tc>
          <w:tcPr>
            <w:tcW w:w="312" w:type="pct"/>
            <w:tcBorders>
              <w:top w:val="nil"/>
              <w:bottom w:val="nil"/>
            </w:tcBorders>
          </w:tcPr>
          <w:p w14:paraId="2E3A9DA6" w14:textId="77777777" w:rsidR="00B3500A" w:rsidRPr="006F4CD1" w:rsidRDefault="00B3500A" w:rsidP="00D62AD1">
            <w:pPr>
              <w:pStyle w:val="TableParagraph"/>
              <w:ind w:left="97" w:right="89"/>
              <w:rPr>
                <w:sz w:val="16"/>
                <w:szCs w:val="16"/>
              </w:rPr>
            </w:pPr>
            <w:r w:rsidRPr="006F4CD1">
              <w:rPr>
                <w:spacing w:val="-4"/>
                <w:sz w:val="16"/>
                <w:szCs w:val="16"/>
              </w:rPr>
              <w:t>0.50</w:t>
            </w:r>
          </w:p>
        </w:tc>
        <w:tc>
          <w:tcPr>
            <w:tcW w:w="550" w:type="pct"/>
            <w:tcBorders>
              <w:top w:val="nil"/>
              <w:bottom w:val="nil"/>
            </w:tcBorders>
          </w:tcPr>
          <w:p w14:paraId="19BEB476" w14:textId="77777777" w:rsidR="00B3500A" w:rsidRPr="006F4CD1" w:rsidRDefault="00B3500A" w:rsidP="00D62AD1">
            <w:pPr>
              <w:pStyle w:val="TableParagraph"/>
              <w:ind w:left="118" w:right="109"/>
              <w:rPr>
                <w:sz w:val="16"/>
                <w:szCs w:val="16"/>
              </w:rPr>
            </w:pPr>
            <w:r w:rsidRPr="006F4CD1">
              <w:rPr>
                <w:spacing w:val="-4"/>
                <w:sz w:val="16"/>
                <w:szCs w:val="16"/>
              </w:rPr>
              <w:t>0.48</w:t>
            </w:r>
          </w:p>
        </w:tc>
        <w:tc>
          <w:tcPr>
            <w:tcW w:w="367" w:type="pct"/>
            <w:tcBorders>
              <w:top w:val="nil"/>
              <w:bottom w:val="nil"/>
            </w:tcBorders>
          </w:tcPr>
          <w:p w14:paraId="441DCD76" w14:textId="77777777" w:rsidR="00B3500A" w:rsidRPr="006F4CD1" w:rsidRDefault="00B3500A" w:rsidP="00D62AD1">
            <w:pPr>
              <w:pStyle w:val="TableParagraph"/>
              <w:ind w:left="98" w:right="89"/>
              <w:rPr>
                <w:sz w:val="16"/>
                <w:szCs w:val="16"/>
              </w:rPr>
            </w:pPr>
            <w:r w:rsidRPr="006F4CD1">
              <w:rPr>
                <w:spacing w:val="-4"/>
                <w:sz w:val="16"/>
                <w:szCs w:val="16"/>
              </w:rPr>
              <w:t>0.46</w:t>
            </w:r>
          </w:p>
        </w:tc>
        <w:tc>
          <w:tcPr>
            <w:tcW w:w="413" w:type="pct"/>
            <w:tcBorders>
              <w:top w:val="nil"/>
              <w:bottom w:val="nil"/>
              <w:right w:val="double" w:sz="4" w:space="0" w:color="000000"/>
            </w:tcBorders>
          </w:tcPr>
          <w:p w14:paraId="4660035B" w14:textId="77777777" w:rsidR="00B3500A" w:rsidRPr="006F4CD1" w:rsidRDefault="00B3500A" w:rsidP="00D62AD1">
            <w:pPr>
              <w:pStyle w:val="TableParagraph"/>
              <w:ind w:left="98" w:right="89"/>
              <w:rPr>
                <w:sz w:val="16"/>
                <w:szCs w:val="16"/>
              </w:rPr>
            </w:pPr>
            <w:r w:rsidRPr="006F4CD1">
              <w:rPr>
                <w:spacing w:val="-4"/>
                <w:sz w:val="16"/>
                <w:szCs w:val="16"/>
              </w:rPr>
              <w:t>0.50</w:t>
            </w:r>
          </w:p>
        </w:tc>
        <w:tc>
          <w:tcPr>
            <w:tcW w:w="321" w:type="pct"/>
            <w:tcBorders>
              <w:top w:val="nil"/>
              <w:left w:val="double" w:sz="4" w:space="0" w:color="000000"/>
              <w:bottom w:val="nil"/>
            </w:tcBorders>
          </w:tcPr>
          <w:p w14:paraId="6C6D8B94" w14:textId="77777777" w:rsidR="00B3500A" w:rsidRPr="006F4CD1" w:rsidRDefault="00B3500A" w:rsidP="00D62AD1">
            <w:pPr>
              <w:pStyle w:val="TableParagraph"/>
              <w:ind w:right="102"/>
              <w:rPr>
                <w:sz w:val="16"/>
                <w:szCs w:val="16"/>
              </w:rPr>
            </w:pPr>
            <w:r w:rsidRPr="006F4CD1">
              <w:rPr>
                <w:spacing w:val="-4"/>
                <w:sz w:val="16"/>
                <w:szCs w:val="16"/>
              </w:rPr>
              <w:t>0.51</w:t>
            </w:r>
          </w:p>
        </w:tc>
        <w:tc>
          <w:tcPr>
            <w:tcW w:w="505" w:type="pct"/>
            <w:tcBorders>
              <w:top w:val="nil"/>
              <w:bottom w:val="nil"/>
            </w:tcBorders>
          </w:tcPr>
          <w:p w14:paraId="41909E95"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0.48</w:t>
            </w:r>
          </w:p>
        </w:tc>
        <w:tc>
          <w:tcPr>
            <w:tcW w:w="413" w:type="pct"/>
            <w:tcBorders>
              <w:top w:val="nil"/>
              <w:bottom w:val="nil"/>
            </w:tcBorders>
          </w:tcPr>
          <w:p w14:paraId="642090AB" w14:textId="77777777" w:rsidR="00B3500A" w:rsidRPr="006F4CD1" w:rsidRDefault="00B3500A" w:rsidP="00D62AD1">
            <w:pPr>
              <w:pStyle w:val="TableParagraph"/>
              <w:ind w:left="271"/>
              <w:jc w:val="left"/>
              <w:rPr>
                <w:sz w:val="16"/>
                <w:szCs w:val="16"/>
              </w:rPr>
            </w:pPr>
            <w:r w:rsidRPr="006F4CD1">
              <w:rPr>
                <w:spacing w:val="-4"/>
                <w:sz w:val="16"/>
                <w:szCs w:val="16"/>
              </w:rPr>
              <w:t>0.47</w:t>
            </w:r>
          </w:p>
        </w:tc>
        <w:tc>
          <w:tcPr>
            <w:tcW w:w="413" w:type="pct"/>
            <w:tcBorders>
              <w:top w:val="nil"/>
              <w:bottom w:val="nil"/>
            </w:tcBorders>
          </w:tcPr>
          <w:p w14:paraId="505AE875" w14:textId="77777777" w:rsidR="00B3500A" w:rsidRPr="006F4CD1" w:rsidRDefault="00B3500A" w:rsidP="00D62AD1">
            <w:pPr>
              <w:pStyle w:val="TableParagraph"/>
              <w:ind w:right="103"/>
              <w:rPr>
                <w:sz w:val="16"/>
                <w:szCs w:val="16"/>
              </w:rPr>
            </w:pPr>
            <w:r w:rsidRPr="006F4CD1">
              <w:rPr>
                <w:spacing w:val="-4"/>
                <w:sz w:val="16"/>
                <w:szCs w:val="16"/>
              </w:rPr>
              <w:t>0.50</w:t>
            </w:r>
          </w:p>
        </w:tc>
        <w:tc>
          <w:tcPr>
            <w:tcW w:w="550" w:type="pct"/>
            <w:tcBorders>
              <w:top w:val="nil"/>
              <w:bottom w:val="nil"/>
            </w:tcBorders>
          </w:tcPr>
          <w:p w14:paraId="4A949F67" w14:textId="77777777" w:rsidR="00B3500A" w:rsidRPr="006F4CD1" w:rsidRDefault="00B3500A" w:rsidP="00D62AD1">
            <w:pPr>
              <w:pStyle w:val="TableParagraph"/>
              <w:ind w:left="109" w:right="102"/>
              <w:rPr>
                <w:sz w:val="16"/>
                <w:szCs w:val="16"/>
              </w:rPr>
            </w:pPr>
            <w:r w:rsidRPr="006F4CD1">
              <w:rPr>
                <w:spacing w:val="-4"/>
                <w:w w:val="110"/>
                <w:sz w:val="16"/>
                <w:szCs w:val="16"/>
              </w:rPr>
              <w:t>West</w:t>
            </w:r>
          </w:p>
        </w:tc>
      </w:tr>
      <w:tr w:rsidR="00B3500A" w:rsidRPr="006F4CD1" w14:paraId="0199F46E" w14:textId="77777777" w:rsidTr="00326B3D">
        <w:trPr>
          <w:trHeight w:val="239"/>
        </w:trPr>
        <w:tc>
          <w:tcPr>
            <w:tcW w:w="246" w:type="pct"/>
            <w:tcBorders>
              <w:top w:val="nil"/>
              <w:left w:val="double" w:sz="4" w:space="0" w:color="000000"/>
              <w:bottom w:val="nil"/>
            </w:tcBorders>
          </w:tcPr>
          <w:p w14:paraId="11D0DFEF" w14:textId="77777777" w:rsidR="00B3500A" w:rsidRPr="006F4CD1" w:rsidRDefault="00B3500A" w:rsidP="00D62AD1">
            <w:pPr>
              <w:pStyle w:val="TableParagraph"/>
              <w:ind w:left="119" w:right="91"/>
              <w:rPr>
                <w:sz w:val="16"/>
                <w:szCs w:val="16"/>
              </w:rPr>
            </w:pPr>
            <w:r w:rsidRPr="006F4CD1">
              <w:rPr>
                <w:spacing w:val="-5"/>
                <w:sz w:val="16"/>
                <w:szCs w:val="16"/>
              </w:rPr>
              <w:t>33</w:t>
            </w:r>
          </w:p>
        </w:tc>
        <w:tc>
          <w:tcPr>
            <w:tcW w:w="910" w:type="pct"/>
            <w:tcBorders>
              <w:top w:val="nil"/>
              <w:bottom w:val="nil"/>
            </w:tcBorders>
          </w:tcPr>
          <w:p w14:paraId="152B91B8" w14:textId="77777777" w:rsidR="00B3500A" w:rsidRPr="006F4CD1" w:rsidRDefault="00B3500A" w:rsidP="00D62AD1">
            <w:pPr>
              <w:pStyle w:val="TableParagraph"/>
              <w:ind w:left="118"/>
              <w:jc w:val="left"/>
              <w:rPr>
                <w:sz w:val="16"/>
                <w:szCs w:val="16"/>
              </w:rPr>
            </w:pPr>
            <w:r w:rsidRPr="006F4CD1">
              <w:rPr>
                <w:w w:val="105"/>
                <w:sz w:val="16"/>
                <w:szCs w:val="16"/>
              </w:rPr>
              <w:t>New</w:t>
            </w:r>
            <w:r w:rsidRPr="006F4CD1">
              <w:rPr>
                <w:spacing w:val="-2"/>
                <w:w w:val="105"/>
                <w:sz w:val="16"/>
                <w:szCs w:val="16"/>
              </w:rPr>
              <w:t xml:space="preserve"> </w:t>
            </w:r>
            <w:r w:rsidRPr="006F4CD1">
              <w:rPr>
                <w:spacing w:val="-4"/>
                <w:w w:val="105"/>
                <w:sz w:val="16"/>
                <w:szCs w:val="16"/>
              </w:rPr>
              <w:t>York</w:t>
            </w:r>
          </w:p>
        </w:tc>
        <w:tc>
          <w:tcPr>
            <w:tcW w:w="312" w:type="pct"/>
            <w:tcBorders>
              <w:top w:val="nil"/>
              <w:bottom w:val="nil"/>
            </w:tcBorders>
          </w:tcPr>
          <w:p w14:paraId="4381F4AB" w14:textId="77777777" w:rsidR="00B3500A" w:rsidRPr="006F4CD1" w:rsidRDefault="00B3500A" w:rsidP="00D62AD1">
            <w:pPr>
              <w:pStyle w:val="TableParagraph"/>
              <w:ind w:left="97" w:right="89"/>
              <w:rPr>
                <w:sz w:val="16"/>
                <w:szCs w:val="16"/>
              </w:rPr>
            </w:pPr>
            <w:r w:rsidRPr="006F4CD1">
              <w:rPr>
                <w:spacing w:val="-4"/>
                <w:sz w:val="16"/>
                <w:szCs w:val="16"/>
              </w:rPr>
              <w:t>0.37</w:t>
            </w:r>
          </w:p>
        </w:tc>
        <w:tc>
          <w:tcPr>
            <w:tcW w:w="550" w:type="pct"/>
            <w:tcBorders>
              <w:top w:val="nil"/>
              <w:bottom w:val="nil"/>
            </w:tcBorders>
          </w:tcPr>
          <w:p w14:paraId="6B942021" w14:textId="77777777" w:rsidR="00B3500A" w:rsidRPr="006F4CD1" w:rsidRDefault="00B3500A" w:rsidP="00D62AD1">
            <w:pPr>
              <w:pStyle w:val="TableParagraph"/>
              <w:ind w:left="118" w:right="109"/>
              <w:rPr>
                <w:sz w:val="16"/>
                <w:szCs w:val="16"/>
              </w:rPr>
            </w:pPr>
            <w:r w:rsidRPr="006F4CD1">
              <w:rPr>
                <w:spacing w:val="-4"/>
                <w:sz w:val="16"/>
                <w:szCs w:val="16"/>
              </w:rPr>
              <w:t>0.29</w:t>
            </w:r>
          </w:p>
        </w:tc>
        <w:tc>
          <w:tcPr>
            <w:tcW w:w="367" w:type="pct"/>
            <w:tcBorders>
              <w:top w:val="nil"/>
              <w:bottom w:val="nil"/>
            </w:tcBorders>
          </w:tcPr>
          <w:p w14:paraId="2CA1944A" w14:textId="77777777" w:rsidR="00B3500A" w:rsidRPr="006F4CD1" w:rsidRDefault="00B3500A" w:rsidP="00D62AD1">
            <w:pPr>
              <w:pStyle w:val="TableParagraph"/>
              <w:ind w:left="98" w:right="89"/>
              <w:rPr>
                <w:sz w:val="16"/>
                <w:szCs w:val="16"/>
              </w:rPr>
            </w:pPr>
            <w:r w:rsidRPr="006F4CD1">
              <w:rPr>
                <w:spacing w:val="-4"/>
                <w:sz w:val="16"/>
                <w:szCs w:val="16"/>
              </w:rPr>
              <w:t>0.29</w:t>
            </w:r>
          </w:p>
        </w:tc>
        <w:tc>
          <w:tcPr>
            <w:tcW w:w="413" w:type="pct"/>
            <w:tcBorders>
              <w:top w:val="nil"/>
              <w:bottom w:val="nil"/>
              <w:right w:val="double" w:sz="4" w:space="0" w:color="000000"/>
            </w:tcBorders>
          </w:tcPr>
          <w:p w14:paraId="4DC2AFED" w14:textId="77777777" w:rsidR="00B3500A" w:rsidRPr="006F4CD1" w:rsidRDefault="00B3500A" w:rsidP="00D62AD1">
            <w:pPr>
              <w:pStyle w:val="TableParagraph"/>
              <w:ind w:left="98" w:right="89"/>
              <w:rPr>
                <w:sz w:val="16"/>
                <w:szCs w:val="16"/>
              </w:rPr>
            </w:pPr>
            <w:r w:rsidRPr="006F4CD1">
              <w:rPr>
                <w:spacing w:val="-4"/>
                <w:sz w:val="16"/>
                <w:szCs w:val="16"/>
              </w:rPr>
              <w:t>0.36</w:t>
            </w:r>
          </w:p>
        </w:tc>
        <w:tc>
          <w:tcPr>
            <w:tcW w:w="321" w:type="pct"/>
            <w:tcBorders>
              <w:top w:val="nil"/>
              <w:left w:val="double" w:sz="4" w:space="0" w:color="000000"/>
              <w:bottom w:val="nil"/>
            </w:tcBorders>
          </w:tcPr>
          <w:p w14:paraId="40E3F728" w14:textId="77777777" w:rsidR="00B3500A" w:rsidRPr="006F4CD1" w:rsidRDefault="00B3500A" w:rsidP="00D62AD1">
            <w:pPr>
              <w:pStyle w:val="TableParagraph"/>
              <w:ind w:right="102"/>
              <w:rPr>
                <w:sz w:val="16"/>
                <w:szCs w:val="16"/>
              </w:rPr>
            </w:pPr>
            <w:r w:rsidRPr="006F4CD1">
              <w:rPr>
                <w:spacing w:val="-4"/>
                <w:sz w:val="16"/>
                <w:szCs w:val="16"/>
              </w:rPr>
              <w:t>0.75</w:t>
            </w:r>
          </w:p>
        </w:tc>
        <w:tc>
          <w:tcPr>
            <w:tcW w:w="505" w:type="pct"/>
            <w:tcBorders>
              <w:top w:val="nil"/>
              <w:bottom w:val="nil"/>
            </w:tcBorders>
          </w:tcPr>
          <w:p w14:paraId="048D8E21"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0.65</w:t>
            </w:r>
          </w:p>
        </w:tc>
        <w:tc>
          <w:tcPr>
            <w:tcW w:w="413" w:type="pct"/>
            <w:tcBorders>
              <w:top w:val="nil"/>
              <w:bottom w:val="nil"/>
            </w:tcBorders>
          </w:tcPr>
          <w:p w14:paraId="45923E3D" w14:textId="77777777" w:rsidR="00B3500A" w:rsidRPr="006F4CD1" w:rsidRDefault="00B3500A" w:rsidP="00D62AD1">
            <w:pPr>
              <w:pStyle w:val="TableParagraph"/>
              <w:ind w:left="271"/>
              <w:jc w:val="left"/>
              <w:rPr>
                <w:sz w:val="16"/>
                <w:szCs w:val="16"/>
              </w:rPr>
            </w:pPr>
            <w:r w:rsidRPr="006F4CD1">
              <w:rPr>
                <w:spacing w:val="-4"/>
                <w:sz w:val="16"/>
                <w:szCs w:val="16"/>
              </w:rPr>
              <w:t>0.61</w:t>
            </w:r>
          </w:p>
        </w:tc>
        <w:tc>
          <w:tcPr>
            <w:tcW w:w="413" w:type="pct"/>
            <w:tcBorders>
              <w:top w:val="nil"/>
              <w:bottom w:val="nil"/>
            </w:tcBorders>
          </w:tcPr>
          <w:p w14:paraId="166A711F" w14:textId="77777777" w:rsidR="00B3500A" w:rsidRPr="006F4CD1" w:rsidRDefault="00B3500A" w:rsidP="00D62AD1">
            <w:pPr>
              <w:pStyle w:val="TableParagraph"/>
              <w:ind w:right="103"/>
              <w:rPr>
                <w:sz w:val="16"/>
                <w:szCs w:val="16"/>
              </w:rPr>
            </w:pPr>
            <w:r w:rsidRPr="006F4CD1">
              <w:rPr>
                <w:spacing w:val="-4"/>
                <w:sz w:val="16"/>
                <w:szCs w:val="16"/>
              </w:rPr>
              <w:t>0.74</w:t>
            </w:r>
          </w:p>
        </w:tc>
        <w:tc>
          <w:tcPr>
            <w:tcW w:w="550" w:type="pct"/>
            <w:tcBorders>
              <w:top w:val="nil"/>
              <w:bottom w:val="nil"/>
            </w:tcBorders>
          </w:tcPr>
          <w:p w14:paraId="0C826644" w14:textId="77777777" w:rsidR="00B3500A" w:rsidRPr="006F4CD1" w:rsidRDefault="00B3500A" w:rsidP="00D62AD1">
            <w:pPr>
              <w:pStyle w:val="TableParagraph"/>
              <w:ind w:left="109" w:right="102"/>
              <w:rPr>
                <w:sz w:val="16"/>
                <w:szCs w:val="16"/>
              </w:rPr>
            </w:pPr>
            <w:r w:rsidRPr="006F4CD1">
              <w:rPr>
                <w:spacing w:val="-2"/>
                <w:w w:val="110"/>
                <w:sz w:val="16"/>
                <w:szCs w:val="16"/>
              </w:rPr>
              <w:t>Northeast</w:t>
            </w:r>
          </w:p>
        </w:tc>
      </w:tr>
      <w:tr w:rsidR="00B3500A" w:rsidRPr="006F4CD1" w14:paraId="00542103" w14:textId="77777777" w:rsidTr="00326B3D">
        <w:trPr>
          <w:trHeight w:val="239"/>
        </w:trPr>
        <w:tc>
          <w:tcPr>
            <w:tcW w:w="246" w:type="pct"/>
            <w:tcBorders>
              <w:top w:val="nil"/>
              <w:left w:val="double" w:sz="4" w:space="0" w:color="000000"/>
              <w:bottom w:val="nil"/>
            </w:tcBorders>
          </w:tcPr>
          <w:p w14:paraId="0A42DC82" w14:textId="77777777" w:rsidR="00B3500A" w:rsidRPr="006F4CD1" w:rsidRDefault="00B3500A" w:rsidP="00D62AD1">
            <w:pPr>
              <w:pStyle w:val="TableParagraph"/>
              <w:ind w:left="119" w:right="91"/>
              <w:rPr>
                <w:sz w:val="16"/>
                <w:szCs w:val="16"/>
              </w:rPr>
            </w:pPr>
            <w:r w:rsidRPr="006F4CD1">
              <w:rPr>
                <w:spacing w:val="-5"/>
                <w:sz w:val="16"/>
                <w:szCs w:val="16"/>
              </w:rPr>
              <w:t>34</w:t>
            </w:r>
          </w:p>
        </w:tc>
        <w:tc>
          <w:tcPr>
            <w:tcW w:w="910" w:type="pct"/>
            <w:tcBorders>
              <w:top w:val="nil"/>
              <w:bottom w:val="nil"/>
            </w:tcBorders>
          </w:tcPr>
          <w:p w14:paraId="421211B6" w14:textId="77777777" w:rsidR="00B3500A" w:rsidRPr="006F4CD1" w:rsidRDefault="00B3500A" w:rsidP="00D62AD1">
            <w:pPr>
              <w:pStyle w:val="TableParagraph"/>
              <w:ind w:left="118"/>
              <w:jc w:val="left"/>
              <w:rPr>
                <w:sz w:val="16"/>
                <w:szCs w:val="16"/>
              </w:rPr>
            </w:pPr>
            <w:r w:rsidRPr="006F4CD1">
              <w:rPr>
                <w:w w:val="110"/>
                <w:sz w:val="16"/>
                <w:szCs w:val="16"/>
              </w:rPr>
              <w:t>North</w:t>
            </w:r>
            <w:r w:rsidRPr="006F4CD1">
              <w:rPr>
                <w:spacing w:val="11"/>
                <w:w w:val="110"/>
                <w:sz w:val="16"/>
                <w:szCs w:val="16"/>
              </w:rPr>
              <w:t xml:space="preserve"> </w:t>
            </w:r>
            <w:r w:rsidRPr="006F4CD1">
              <w:rPr>
                <w:spacing w:val="-2"/>
                <w:w w:val="110"/>
                <w:sz w:val="16"/>
                <w:szCs w:val="16"/>
              </w:rPr>
              <w:t>Carolina</w:t>
            </w:r>
          </w:p>
        </w:tc>
        <w:tc>
          <w:tcPr>
            <w:tcW w:w="312" w:type="pct"/>
            <w:tcBorders>
              <w:top w:val="nil"/>
              <w:bottom w:val="nil"/>
            </w:tcBorders>
          </w:tcPr>
          <w:p w14:paraId="4A3E5815" w14:textId="77777777" w:rsidR="00B3500A" w:rsidRPr="006F4CD1" w:rsidRDefault="00B3500A" w:rsidP="00D62AD1">
            <w:pPr>
              <w:pStyle w:val="TableParagraph"/>
              <w:ind w:left="97" w:right="89"/>
              <w:rPr>
                <w:sz w:val="16"/>
                <w:szCs w:val="16"/>
              </w:rPr>
            </w:pPr>
            <w:r w:rsidRPr="006F4CD1">
              <w:rPr>
                <w:spacing w:val="-4"/>
                <w:sz w:val="16"/>
                <w:szCs w:val="16"/>
              </w:rPr>
              <w:t>0.49</w:t>
            </w:r>
          </w:p>
        </w:tc>
        <w:tc>
          <w:tcPr>
            <w:tcW w:w="550" w:type="pct"/>
            <w:tcBorders>
              <w:top w:val="nil"/>
              <w:bottom w:val="nil"/>
            </w:tcBorders>
          </w:tcPr>
          <w:p w14:paraId="54C6016F" w14:textId="77777777" w:rsidR="00B3500A" w:rsidRPr="006F4CD1" w:rsidRDefault="00B3500A" w:rsidP="00D62AD1">
            <w:pPr>
              <w:pStyle w:val="TableParagraph"/>
              <w:ind w:left="118" w:right="109"/>
              <w:rPr>
                <w:sz w:val="16"/>
                <w:szCs w:val="16"/>
              </w:rPr>
            </w:pPr>
            <w:r w:rsidRPr="006F4CD1">
              <w:rPr>
                <w:spacing w:val="-4"/>
                <w:sz w:val="16"/>
                <w:szCs w:val="16"/>
              </w:rPr>
              <w:t>0.43</w:t>
            </w:r>
          </w:p>
        </w:tc>
        <w:tc>
          <w:tcPr>
            <w:tcW w:w="367" w:type="pct"/>
            <w:tcBorders>
              <w:top w:val="nil"/>
              <w:bottom w:val="nil"/>
            </w:tcBorders>
          </w:tcPr>
          <w:p w14:paraId="4B31D711" w14:textId="77777777" w:rsidR="00B3500A" w:rsidRPr="006F4CD1" w:rsidRDefault="00B3500A" w:rsidP="00D62AD1">
            <w:pPr>
              <w:pStyle w:val="TableParagraph"/>
              <w:ind w:left="98" w:right="89"/>
              <w:rPr>
                <w:sz w:val="16"/>
                <w:szCs w:val="16"/>
              </w:rPr>
            </w:pPr>
            <w:r w:rsidRPr="006F4CD1">
              <w:rPr>
                <w:spacing w:val="-4"/>
                <w:sz w:val="16"/>
                <w:szCs w:val="16"/>
              </w:rPr>
              <w:t>0.43</w:t>
            </w:r>
          </w:p>
        </w:tc>
        <w:tc>
          <w:tcPr>
            <w:tcW w:w="413" w:type="pct"/>
            <w:tcBorders>
              <w:top w:val="nil"/>
              <w:bottom w:val="nil"/>
              <w:right w:val="double" w:sz="4" w:space="0" w:color="000000"/>
            </w:tcBorders>
          </w:tcPr>
          <w:p w14:paraId="5214758D" w14:textId="77777777" w:rsidR="00B3500A" w:rsidRPr="006F4CD1" w:rsidRDefault="00B3500A" w:rsidP="00D62AD1">
            <w:pPr>
              <w:pStyle w:val="TableParagraph"/>
              <w:ind w:left="98" w:right="89"/>
              <w:rPr>
                <w:sz w:val="16"/>
                <w:szCs w:val="16"/>
              </w:rPr>
            </w:pPr>
            <w:r w:rsidRPr="006F4CD1">
              <w:rPr>
                <w:spacing w:val="-4"/>
                <w:sz w:val="16"/>
                <w:szCs w:val="16"/>
              </w:rPr>
              <w:t>0.48</w:t>
            </w:r>
          </w:p>
        </w:tc>
        <w:tc>
          <w:tcPr>
            <w:tcW w:w="321" w:type="pct"/>
            <w:tcBorders>
              <w:top w:val="nil"/>
              <w:left w:val="double" w:sz="4" w:space="0" w:color="000000"/>
              <w:bottom w:val="nil"/>
            </w:tcBorders>
          </w:tcPr>
          <w:p w14:paraId="75EE7BE9" w14:textId="77777777" w:rsidR="00B3500A" w:rsidRPr="006F4CD1" w:rsidRDefault="00B3500A" w:rsidP="00D62AD1">
            <w:pPr>
              <w:pStyle w:val="TableParagraph"/>
              <w:ind w:right="102"/>
              <w:rPr>
                <w:sz w:val="16"/>
                <w:szCs w:val="16"/>
              </w:rPr>
            </w:pPr>
            <w:r w:rsidRPr="006F4CD1">
              <w:rPr>
                <w:spacing w:val="-4"/>
                <w:sz w:val="16"/>
                <w:szCs w:val="16"/>
              </w:rPr>
              <w:t>0.76</w:t>
            </w:r>
          </w:p>
        </w:tc>
        <w:tc>
          <w:tcPr>
            <w:tcW w:w="505" w:type="pct"/>
            <w:tcBorders>
              <w:top w:val="nil"/>
              <w:bottom w:val="nil"/>
            </w:tcBorders>
          </w:tcPr>
          <w:p w14:paraId="591483BE"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0.63</w:t>
            </w:r>
          </w:p>
        </w:tc>
        <w:tc>
          <w:tcPr>
            <w:tcW w:w="413" w:type="pct"/>
            <w:tcBorders>
              <w:top w:val="nil"/>
              <w:bottom w:val="nil"/>
            </w:tcBorders>
          </w:tcPr>
          <w:p w14:paraId="030EF1A9" w14:textId="77777777" w:rsidR="00B3500A" w:rsidRPr="006F4CD1" w:rsidRDefault="00B3500A" w:rsidP="00D62AD1">
            <w:pPr>
              <w:pStyle w:val="TableParagraph"/>
              <w:ind w:left="271"/>
              <w:jc w:val="left"/>
              <w:rPr>
                <w:sz w:val="16"/>
                <w:szCs w:val="16"/>
              </w:rPr>
            </w:pPr>
            <w:r w:rsidRPr="006F4CD1">
              <w:rPr>
                <w:spacing w:val="-4"/>
                <w:sz w:val="16"/>
                <w:szCs w:val="16"/>
              </w:rPr>
              <w:t>0.62</w:t>
            </w:r>
          </w:p>
        </w:tc>
        <w:tc>
          <w:tcPr>
            <w:tcW w:w="413" w:type="pct"/>
            <w:tcBorders>
              <w:top w:val="nil"/>
              <w:bottom w:val="nil"/>
            </w:tcBorders>
          </w:tcPr>
          <w:p w14:paraId="6F598781" w14:textId="77777777" w:rsidR="00B3500A" w:rsidRPr="006F4CD1" w:rsidRDefault="00B3500A" w:rsidP="00D62AD1">
            <w:pPr>
              <w:pStyle w:val="TableParagraph"/>
              <w:ind w:right="103"/>
              <w:rPr>
                <w:sz w:val="16"/>
                <w:szCs w:val="16"/>
              </w:rPr>
            </w:pPr>
            <w:r w:rsidRPr="006F4CD1">
              <w:rPr>
                <w:spacing w:val="-4"/>
                <w:sz w:val="16"/>
                <w:szCs w:val="16"/>
              </w:rPr>
              <w:t>0.74</w:t>
            </w:r>
          </w:p>
        </w:tc>
        <w:tc>
          <w:tcPr>
            <w:tcW w:w="550" w:type="pct"/>
            <w:tcBorders>
              <w:top w:val="nil"/>
              <w:bottom w:val="nil"/>
            </w:tcBorders>
          </w:tcPr>
          <w:p w14:paraId="58B05906"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1F701360" w14:textId="77777777" w:rsidTr="00326B3D">
        <w:trPr>
          <w:trHeight w:val="239"/>
        </w:trPr>
        <w:tc>
          <w:tcPr>
            <w:tcW w:w="246" w:type="pct"/>
            <w:tcBorders>
              <w:top w:val="nil"/>
              <w:left w:val="double" w:sz="4" w:space="0" w:color="000000"/>
              <w:bottom w:val="nil"/>
            </w:tcBorders>
          </w:tcPr>
          <w:p w14:paraId="36831DCC" w14:textId="77777777" w:rsidR="00B3500A" w:rsidRPr="006F4CD1" w:rsidRDefault="00B3500A" w:rsidP="00D62AD1">
            <w:pPr>
              <w:pStyle w:val="TableParagraph"/>
              <w:ind w:left="119" w:right="91"/>
              <w:rPr>
                <w:sz w:val="16"/>
                <w:szCs w:val="16"/>
              </w:rPr>
            </w:pPr>
            <w:r w:rsidRPr="006F4CD1">
              <w:rPr>
                <w:spacing w:val="-5"/>
                <w:sz w:val="16"/>
                <w:szCs w:val="16"/>
              </w:rPr>
              <w:t>35</w:t>
            </w:r>
          </w:p>
        </w:tc>
        <w:tc>
          <w:tcPr>
            <w:tcW w:w="910" w:type="pct"/>
            <w:tcBorders>
              <w:top w:val="nil"/>
              <w:bottom w:val="nil"/>
            </w:tcBorders>
          </w:tcPr>
          <w:p w14:paraId="5F1AED4E" w14:textId="77777777" w:rsidR="00B3500A" w:rsidRPr="006F4CD1" w:rsidRDefault="00B3500A" w:rsidP="00D62AD1">
            <w:pPr>
              <w:pStyle w:val="TableParagraph"/>
              <w:ind w:left="118"/>
              <w:jc w:val="left"/>
              <w:rPr>
                <w:sz w:val="16"/>
                <w:szCs w:val="16"/>
              </w:rPr>
            </w:pPr>
            <w:r w:rsidRPr="006F4CD1">
              <w:rPr>
                <w:w w:val="110"/>
                <w:sz w:val="16"/>
                <w:szCs w:val="16"/>
              </w:rPr>
              <w:t>North</w:t>
            </w:r>
            <w:r w:rsidRPr="006F4CD1">
              <w:rPr>
                <w:spacing w:val="11"/>
                <w:w w:val="110"/>
                <w:sz w:val="16"/>
                <w:szCs w:val="16"/>
              </w:rPr>
              <w:t xml:space="preserve"> </w:t>
            </w:r>
            <w:r w:rsidRPr="006F4CD1">
              <w:rPr>
                <w:spacing w:val="-2"/>
                <w:w w:val="110"/>
                <w:sz w:val="16"/>
                <w:szCs w:val="16"/>
              </w:rPr>
              <w:t>Dakota</w:t>
            </w:r>
          </w:p>
        </w:tc>
        <w:tc>
          <w:tcPr>
            <w:tcW w:w="312" w:type="pct"/>
            <w:tcBorders>
              <w:top w:val="nil"/>
              <w:bottom w:val="nil"/>
            </w:tcBorders>
          </w:tcPr>
          <w:p w14:paraId="270EBB87" w14:textId="77777777" w:rsidR="00B3500A" w:rsidRPr="006F4CD1" w:rsidRDefault="00B3500A" w:rsidP="00D62AD1">
            <w:pPr>
              <w:pStyle w:val="TableParagraph"/>
              <w:ind w:left="97" w:right="89"/>
              <w:rPr>
                <w:sz w:val="16"/>
                <w:szCs w:val="16"/>
              </w:rPr>
            </w:pPr>
            <w:r w:rsidRPr="006F4CD1">
              <w:rPr>
                <w:spacing w:val="-4"/>
                <w:sz w:val="16"/>
                <w:szCs w:val="16"/>
              </w:rPr>
              <w:t>0.49</w:t>
            </w:r>
          </w:p>
        </w:tc>
        <w:tc>
          <w:tcPr>
            <w:tcW w:w="550" w:type="pct"/>
            <w:tcBorders>
              <w:top w:val="nil"/>
              <w:bottom w:val="nil"/>
            </w:tcBorders>
          </w:tcPr>
          <w:p w14:paraId="7B3CFCFC" w14:textId="77777777" w:rsidR="00B3500A" w:rsidRPr="006F4CD1" w:rsidRDefault="00B3500A" w:rsidP="00D62AD1">
            <w:pPr>
              <w:pStyle w:val="TableParagraph"/>
              <w:ind w:left="118" w:right="109"/>
              <w:rPr>
                <w:sz w:val="16"/>
                <w:szCs w:val="16"/>
              </w:rPr>
            </w:pPr>
            <w:r w:rsidRPr="006F4CD1">
              <w:rPr>
                <w:spacing w:val="-4"/>
                <w:sz w:val="16"/>
                <w:szCs w:val="16"/>
              </w:rPr>
              <w:t>0.45</w:t>
            </w:r>
          </w:p>
        </w:tc>
        <w:tc>
          <w:tcPr>
            <w:tcW w:w="367" w:type="pct"/>
            <w:tcBorders>
              <w:top w:val="nil"/>
              <w:bottom w:val="nil"/>
            </w:tcBorders>
          </w:tcPr>
          <w:p w14:paraId="6DC252AB" w14:textId="77777777" w:rsidR="00B3500A" w:rsidRPr="006F4CD1" w:rsidRDefault="00B3500A" w:rsidP="00D62AD1">
            <w:pPr>
              <w:pStyle w:val="TableParagraph"/>
              <w:ind w:left="98" w:right="89"/>
              <w:rPr>
                <w:sz w:val="16"/>
                <w:szCs w:val="16"/>
              </w:rPr>
            </w:pPr>
            <w:r w:rsidRPr="006F4CD1">
              <w:rPr>
                <w:spacing w:val="-4"/>
                <w:sz w:val="16"/>
                <w:szCs w:val="16"/>
              </w:rPr>
              <w:t>0.43</w:t>
            </w:r>
          </w:p>
        </w:tc>
        <w:tc>
          <w:tcPr>
            <w:tcW w:w="413" w:type="pct"/>
            <w:tcBorders>
              <w:top w:val="nil"/>
              <w:bottom w:val="nil"/>
              <w:right w:val="double" w:sz="4" w:space="0" w:color="000000"/>
            </w:tcBorders>
          </w:tcPr>
          <w:p w14:paraId="52EA6587" w14:textId="77777777" w:rsidR="00B3500A" w:rsidRPr="006F4CD1" w:rsidRDefault="00B3500A" w:rsidP="00D62AD1">
            <w:pPr>
              <w:pStyle w:val="TableParagraph"/>
              <w:ind w:left="98" w:right="89"/>
              <w:rPr>
                <w:sz w:val="16"/>
                <w:szCs w:val="16"/>
              </w:rPr>
            </w:pPr>
            <w:r w:rsidRPr="006F4CD1">
              <w:rPr>
                <w:spacing w:val="-4"/>
                <w:sz w:val="16"/>
                <w:szCs w:val="16"/>
              </w:rPr>
              <w:t>0.49</w:t>
            </w:r>
          </w:p>
        </w:tc>
        <w:tc>
          <w:tcPr>
            <w:tcW w:w="321" w:type="pct"/>
            <w:tcBorders>
              <w:top w:val="nil"/>
              <w:left w:val="double" w:sz="4" w:space="0" w:color="000000"/>
              <w:bottom w:val="nil"/>
            </w:tcBorders>
          </w:tcPr>
          <w:p w14:paraId="0545CC2E" w14:textId="77777777" w:rsidR="00B3500A" w:rsidRPr="006F4CD1" w:rsidRDefault="00B3500A" w:rsidP="00D62AD1">
            <w:pPr>
              <w:pStyle w:val="TableParagraph"/>
              <w:ind w:right="102"/>
              <w:rPr>
                <w:sz w:val="16"/>
                <w:szCs w:val="16"/>
              </w:rPr>
            </w:pPr>
            <w:r w:rsidRPr="006F4CD1">
              <w:rPr>
                <w:spacing w:val="-4"/>
                <w:sz w:val="16"/>
                <w:szCs w:val="16"/>
              </w:rPr>
              <w:t>0.52</w:t>
            </w:r>
          </w:p>
        </w:tc>
        <w:tc>
          <w:tcPr>
            <w:tcW w:w="505" w:type="pct"/>
            <w:tcBorders>
              <w:top w:val="nil"/>
              <w:bottom w:val="nil"/>
            </w:tcBorders>
          </w:tcPr>
          <w:p w14:paraId="61B6B5E9"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0.48</w:t>
            </w:r>
          </w:p>
        </w:tc>
        <w:tc>
          <w:tcPr>
            <w:tcW w:w="413" w:type="pct"/>
            <w:tcBorders>
              <w:top w:val="nil"/>
              <w:bottom w:val="nil"/>
            </w:tcBorders>
          </w:tcPr>
          <w:p w14:paraId="396D8423" w14:textId="77777777" w:rsidR="00B3500A" w:rsidRPr="006F4CD1" w:rsidRDefault="00B3500A" w:rsidP="00D62AD1">
            <w:pPr>
              <w:pStyle w:val="TableParagraph"/>
              <w:ind w:left="271"/>
              <w:jc w:val="left"/>
              <w:rPr>
                <w:sz w:val="16"/>
                <w:szCs w:val="16"/>
              </w:rPr>
            </w:pPr>
            <w:r w:rsidRPr="006F4CD1">
              <w:rPr>
                <w:spacing w:val="-4"/>
                <w:sz w:val="16"/>
                <w:szCs w:val="16"/>
              </w:rPr>
              <w:t>0.46</w:t>
            </w:r>
          </w:p>
        </w:tc>
        <w:tc>
          <w:tcPr>
            <w:tcW w:w="413" w:type="pct"/>
            <w:tcBorders>
              <w:top w:val="nil"/>
              <w:bottom w:val="nil"/>
            </w:tcBorders>
          </w:tcPr>
          <w:p w14:paraId="3972FA0C" w14:textId="77777777" w:rsidR="00B3500A" w:rsidRPr="006F4CD1" w:rsidRDefault="00B3500A" w:rsidP="00D62AD1">
            <w:pPr>
              <w:pStyle w:val="TableParagraph"/>
              <w:ind w:right="103"/>
              <w:rPr>
                <w:sz w:val="16"/>
                <w:szCs w:val="16"/>
              </w:rPr>
            </w:pPr>
            <w:r w:rsidRPr="006F4CD1">
              <w:rPr>
                <w:spacing w:val="-4"/>
                <w:sz w:val="16"/>
                <w:szCs w:val="16"/>
              </w:rPr>
              <w:t>0.51</w:t>
            </w:r>
          </w:p>
        </w:tc>
        <w:tc>
          <w:tcPr>
            <w:tcW w:w="550" w:type="pct"/>
            <w:tcBorders>
              <w:top w:val="nil"/>
              <w:bottom w:val="nil"/>
            </w:tcBorders>
          </w:tcPr>
          <w:p w14:paraId="0AEF7534" w14:textId="77777777" w:rsidR="00B3500A" w:rsidRPr="006F4CD1" w:rsidRDefault="00B3500A" w:rsidP="00D62AD1">
            <w:pPr>
              <w:pStyle w:val="TableParagraph"/>
              <w:ind w:left="109" w:right="102"/>
              <w:rPr>
                <w:sz w:val="16"/>
                <w:szCs w:val="16"/>
              </w:rPr>
            </w:pPr>
            <w:r w:rsidRPr="006F4CD1">
              <w:rPr>
                <w:spacing w:val="-2"/>
                <w:w w:val="105"/>
                <w:sz w:val="16"/>
                <w:szCs w:val="16"/>
              </w:rPr>
              <w:t>Midwest</w:t>
            </w:r>
          </w:p>
        </w:tc>
      </w:tr>
      <w:tr w:rsidR="00B3500A" w:rsidRPr="006F4CD1" w14:paraId="6B175FAD" w14:textId="77777777" w:rsidTr="00326B3D">
        <w:trPr>
          <w:trHeight w:val="239"/>
        </w:trPr>
        <w:tc>
          <w:tcPr>
            <w:tcW w:w="246" w:type="pct"/>
            <w:tcBorders>
              <w:top w:val="nil"/>
              <w:left w:val="double" w:sz="4" w:space="0" w:color="000000"/>
              <w:bottom w:val="nil"/>
            </w:tcBorders>
          </w:tcPr>
          <w:p w14:paraId="29A4084B" w14:textId="77777777" w:rsidR="00B3500A" w:rsidRPr="006F4CD1" w:rsidRDefault="00B3500A" w:rsidP="00D62AD1">
            <w:pPr>
              <w:pStyle w:val="TableParagraph"/>
              <w:ind w:left="119" w:right="91"/>
              <w:rPr>
                <w:sz w:val="16"/>
                <w:szCs w:val="16"/>
              </w:rPr>
            </w:pPr>
            <w:r w:rsidRPr="006F4CD1">
              <w:rPr>
                <w:spacing w:val="-5"/>
                <w:sz w:val="16"/>
                <w:szCs w:val="16"/>
              </w:rPr>
              <w:t>36</w:t>
            </w:r>
          </w:p>
        </w:tc>
        <w:tc>
          <w:tcPr>
            <w:tcW w:w="910" w:type="pct"/>
            <w:tcBorders>
              <w:top w:val="nil"/>
              <w:bottom w:val="nil"/>
            </w:tcBorders>
          </w:tcPr>
          <w:p w14:paraId="14DEE47D" w14:textId="77777777" w:rsidR="00B3500A" w:rsidRPr="006F4CD1" w:rsidRDefault="00B3500A" w:rsidP="00D62AD1">
            <w:pPr>
              <w:pStyle w:val="TableParagraph"/>
              <w:ind w:left="118"/>
              <w:jc w:val="left"/>
              <w:rPr>
                <w:sz w:val="16"/>
                <w:szCs w:val="16"/>
              </w:rPr>
            </w:pPr>
            <w:r w:rsidRPr="006F4CD1">
              <w:rPr>
                <w:spacing w:val="-4"/>
                <w:w w:val="105"/>
                <w:sz w:val="16"/>
                <w:szCs w:val="16"/>
              </w:rPr>
              <w:t>Ohio</w:t>
            </w:r>
          </w:p>
        </w:tc>
        <w:tc>
          <w:tcPr>
            <w:tcW w:w="312" w:type="pct"/>
            <w:tcBorders>
              <w:top w:val="nil"/>
              <w:bottom w:val="nil"/>
            </w:tcBorders>
          </w:tcPr>
          <w:p w14:paraId="45F04E93" w14:textId="77777777" w:rsidR="00B3500A" w:rsidRPr="006F4CD1" w:rsidRDefault="00B3500A" w:rsidP="00D62AD1">
            <w:pPr>
              <w:pStyle w:val="TableParagraph"/>
              <w:ind w:left="97" w:right="89"/>
              <w:rPr>
                <w:sz w:val="16"/>
                <w:szCs w:val="16"/>
              </w:rPr>
            </w:pPr>
            <w:r w:rsidRPr="006F4CD1">
              <w:rPr>
                <w:spacing w:val="-4"/>
                <w:sz w:val="16"/>
                <w:szCs w:val="16"/>
              </w:rPr>
              <w:t>0.47</w:t>
            </w:r>
          </w:p>
        </w:tc>
        <w:tc>
          <w:tcPr>
            <w:tcW w:w="550" w:type="pct"/>
            <w:tcBorders>
              <w:top w:val="nil"/>
              <w:bottom w:val="nil"/>
            </w:tcBorders>
          </w:tcPr>
          <w:p w14:paraId="2F033BF7" w14:textId="77777777" w:rsidR="00B3500A" w:rsidRPr="006F4CD1" w:rsidRDefault="00B3500A" w:rsidP="00D62AD1">
            <w:pPr>
              <w:pStyle w:val="TableParagraph"/>
              <w:ind w:left="118" w:right="109"/>
              <w:rPr>
                <w:sz w:val="16"/>
                <w:szCs w:val="16"/>
              </w:rPr>
            </w:pPr>
            <w:r w:rsidRPr="006F4CD1">
              <w:rPr>
                <w:spacing w:val="-4"/>
                <w:sz w:val="16"/>
                <w:szCs w:val="16"/>
              </w:rPr>
              <w:t>0.42</w:t>
            </w:r>
          </w:p>
        </w:tc>
        <w:tc>
          <w:tcPr>
            <w:tcW w:w="367" w:type="pct"/>
            <w:tcBorders>
              <w:top w:val="nil"/>
              <w:bottom w:val="nil"/>
            </w:tcBorders>
          </w:tcPr>
          <w:p w14:paraId="2A202F0D" w14:textId="77777777" w:rsidR="00B3500A" w:rsidRPr="006F4CD1" w:rsidRDefault="00B3500A" w:rsidP="00D62AD1">
            <w:pPr>
              <w:pStyle w:val="TableParagraph"/>
              <w:ind w:left="98" w:right="89"/>
              <w:rPr>
                <w:sz w:val="16"/>
                <w:szCs w:val="16"/>
              </w:rPr>
            </w:pPr>
            <w:r w:rsidRPr="006F4CD1">
              <w:rPr>
                <w:spacing w:val="-4"/>
                <w:sz w:val="16"/>
                <w:szCs w:val="16"/>
              </w:rPr>
              <w:t>0.41</w:t>
            </w:r>
          </w:p>
        </w:tc>
        <w:tc>
          <w:tcPr>
            <w:tcW w:w="413" w:type="pct"/>
            <w:tcBorders>
              <w:top w:val="nil"/>
              <w:bottom w:val="nil"/>
              <w:right w:val="double" w:sz="4" w:space="0" w:color="000000"/>
            </w:tcBorders>
          </w:tcPr>
          <w:p w14:paraId="2FB9C1AB" w14:textId="77777777" w:rsidR="00B3500A" w:rsidRPr="006F4CD1" w:rsidRDefault="00B3500A" w:rsidP="00D62AD1">
            <w:pPr>
              <w:pStyle w:val="TableParagraph"/>
              <w:ind w:left="98" w:right="89"/>
              <w:rPr>
                <w:sz w:val="16"/>
                <w:szCs w:val="16"/>
              </w:rPr>
            </w:pPr>
            <w:r w:rsidRPr="006F4CD1">
              <w:rPr>
                <w:spacing w:val="-4"/>
                <w:sz w:val="16"/>
                <w:szCs w:val="16"/>
              </w:rPr>
              <w:t>0.46</w:t>
            </w:r>
          </w:p>
        </w:tc>
        <w:tc>
          <w:tcPr>
            <w:tcW w:w="321" w:type="pct"/>
            <w:tcBorders>
              <w:top w:val="nil"/>
              <w:left w:val="double" w:sz="4" w:space="0" w:color="000000"/>
              <w:bottom w:val="nil"/>
            </w:tcBorders>
          </w:tcPr>
          <w:p w14:paraId="04477C97" w14:textId="77777777" w:rsidR="00B3500A" w:rsidRPr="006F4CD1" w:rsidRDefault="00B3500A" w:rsidP="00D62AD1">
            <w:pPr>
              <w:pStyle w:val="TableParagraph"/>
              <w:ind w:right="102"/>
              <w:rPr>
                <w:sz w:val="16"/>
                <w:szCs w:val="16"/>
              </w:rPr>
            </w:pPr>
            <w:r w:rsidRPr="006F4CD1">
              <w:rPr>
                <w:spacing w:val="-4"/>
                <w:sz w:val="16"/>
                <w:szCs w:val="16"/>
              </w:rPr>
              <w:t>0.77</w:t>
            </w:r>
          </w:p>
        </w:tc>
        <w:tc>
          <w:tcPr>
            <w:tcW w:w="505" w:type="pct"/>
            <w:tcBorders>
              <w:top w:val="nil"/>
              <w:bottom w:val="nil"/>
            </w:tcBorders>
          </w:tcPr>
          <w:p w14:paraId="45835A90"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0.67</w:t>
            </w:r>
          </w:p>
        </w:tc>
        <w:tc>
          <w:tcPr>
            <w:tcW w:w="413" w:type="pct"/>
            <w:tcBorders>
              <w:top w:val="nil"/>
              <w:bottom w:val="nil"/>
            </w:tcBorders>
          </w:tcPr>
          <w:p w14:paraId="5B361882" w14:textId="77777777" w:rsidR="00B3500A" w:rsidRPr="006F4CD1" w:rsidRDefault="00B3500A" w:rsidP="00D62AD1">
            <w:pPr>
              <w:pStyle w:val="TableParagraph"/>
              <w:ind w:left="271"/>
              <w:jc w:val="left"/>
              <w:rPr>
                <w:sz w:val="16"/>
                <w:szCs w:val="16"/>
              </w:rPr>
            </w:pPr>
            <w:r w:rsidRPr="006F4CD1">
              <w:rPr>
                <w:spacing w:val="-4"/>
                <w:sz w:val="16"/>
                <w:szCs w:val="16"/>
              </w:rPr>
              <w:t>0.65</w:t>
            </w:r>
          </w:p>
        </w:tc>
        <w:tc>
          <w:tcPr>
            <w:tcW w:w="413" w:type="pct"/>
            <w:tcBorders>
              <w:top w:val="nil"/>
              <w:bottom w:val="nil"/>
            </w:tcBorders>
          </w:tcPr>
          <w:p w14:paraId="45571708" w14:textId="77777777" w:rsidR="00B3500A" w:rsidRPr="006F4CD1" w:rsidRDefault="00B3500A" w:rsidP="00D62AD1">
            <w:pPr>
              <w:pStyle w:val="TableParagraph"/>
              <w:ind w:right="103"/>
              <w:rPr>
                <w:sz w:val="16"/>
                <w:szCs w:val="16"/>
              </w:rPr>
            </w:pPr>
            <w:r w:rsidRPr="006F4CD1">
              <w:rPr>
                <w:spacing w:val="-4"/>
                <w:sz w:val="16"/>
                <w:szCs w:val="16"/>
              </w:rPr>
              <w:t>0.75</w:t>
            </w:r>
          </w:p>
        </w:tc>
        <w:tc>
          <w:tcPr>
            <w:tcW w:w="550" w:type="pct"/>
            <w:tcBorders>
              <w:top w:val="nil"/>
              <w:bottom w:val="nil"/>
            </w:tcBorders>
          </w:tcPr>
          <w:p w14:paraId="391B65A6" w14:textId="77777777" w:rsidR="00B3500A" w:rsidRPr="006F4CD1" w:rsidRDefault="00B3500A" w:rsidP="00D62AD1">
            <w:pPr>
              <w:pStyle w:val="TableParagraph"/>
              <w:ind w:left="109" w:right="102"/>
              <w:rPr>
                <w:sz w:val="16"/>
                <w:szCs w:val="16"/>
              </w:rPr>
            </w:pPr>
            <w:r w:rsidRPr="006F4CD1">
              <w:rPr>
                <w:spacing w:val="-2"/>
                <w:w w:val="105"/>
                <w:sz w:val="16"/>
                <w:szCs w:val="16"/>
              </w:rPr>
              <w:t>Midwest</w:t>
            </w:r>
          </w:p>
        </w:tc>
      </w:tr>
      <w:tr w:rsidR="00B3500A" w:rsidRPr="006F4CD1" w14:paraId="390C14E0" w14:textId="77777777" w:rsidTr="00326B3D">
        <w:trPr>
          <w:trHeight w:val="239"/>
        </w:trPr>
        <w:tc>
          <w:tcPr>
            <w:tcW w:w="246" w:type="pct"/>
            <w:tcBorders>
              <w:top w:val="nil"/>
              <w:left w:val="double" w:sz="4" w:space="0" w:color="000000"/>
              <w:bottom w:val="nil"/>
            </w:tcBorders>
          </w:tcPr>
          <w:p w14:paraId="7ABE6FE6" w14:textId="77777777" w:rsidR="00B3500A" w:rsidRPr="006F4CD1" w:rsidRDefault="00B3500A" w:rsidP="00D62AD1">
            <w:pPr>
              <w:pStyle w:val="TableParagraph"/>
              <w:ind w:left="119" w:right="91"/>
              <w:rPr>
                <w:sz w:val="16"/>
                <w:szCs w:val="16"/>
              </w:rPr>
            </w:pPr>
            <w:r w:rsidRPr="006F4CD1">
              <w:rPr>
                <w:spacing w:val="-5"/>
                <w:sz w:val="16"/>
                <w:szCs w:val="16"/>
              </w:rPr>
              <w:t>37</w:t>
            </w:r>
          </w:p>
        </w:tc>
        <w:tc>
          <w:tcPr>
            <w:tcW w:w="910" w:type="pct"/>
            <w:tcBorders>
              <w:top w:val="nil"/>
              <w:bottom w:val="nil"/>
            </w:tcBorders>
          </w:tcPr>
          <w:p w14:paraId="76D7B4BA" w14:textId="77777777" w:rsidR="00B3500A" w:rsidRPr="006F4CD1" w:rsidRDefault="00B3500A" w:rsidP="00D62AD1">
            <w:pPr>
              <w:pStyle w:val="TableParagraph"/>
              <w:ind w:left="118"/>
              <w:jc w:val="left"/>
              <w:rPr>
                <w:sz w:val="16"/>
                <w:szCs w:val="16"/>
              </w:rPr>
            </w:pPr>
            <w:r w:rsidRPr="006F4CD1">
              <w:rPr>
                <w:spacing w:val="-2"/>
                <w:w w:val="105"/>
                <w:sz w:val="16"/>
                <w:szCs w:val="16"/>
              </w:rPr>
              <w:t>Oklahoma</w:t>
            </w:r>
          </w:p>
        </w:tc>
        <w:tc>
          <w:tcPr>
            <w:tcW w:w="312" w:type="pct"/>
            <w:tcBorders>
              <w:top w:val="nil"/>
              <w:bottom w:val="nil"/>
            </w:tcBorders>
          </w:tcPr>
          <w:p w14:paraId="4C3D2C3F" w14:textId="77777777" w:rsidR="00B3500A" w:rsidRPr="006F4CD1" w:rsidRDefault="00B3500A" w:rsidP="00D62AD1">
            <w:pPr>
              <w:pStyle w:val="TableParagraph"/>
              <w:ind w:left="97" w:right="89"/>
              <w:rPr>
                <w:sz w:val="16"/>
                <w:szCs w:val="16"/>
              </w:rPr>
            </w:pPr>
            <w:r w:rsidRPr="006F4CD1">
              <w:rPr>
                <w:spacing w:val="-4"/>
                <w:sz w:val="16"/>
                <w:szCs w:val="16"/>
              </w:rPr>
              <w:t>0.51</w:t>
            </w:r>
          </w:p>
        </w:tc>
        <w:tc>
          <w:tcPr>
            <w:tcW w:w="550" w:type="pct"/>
            <w:tcBorders>
              <w:top w:val="nil"/>
              <w:bottom w:val="nil"/>
            </w:tcBorders>
          </w:tcPr>
          <w:p w14:paraId="61D73D48" w14:textId="77777777" w:rsidR="00B3500A" w:rsidRPr="006F4CD1" w:rsidRDefault="00B3500A" w:rsidP="00D62AD1">
            <w:pPr>
              <w:pStyle w:val="TableParagraph"/>
              <w:ind w:left="118" w:right="109"/>
              <w:rPr>
                <w:sz w:val="16"/>
                <w:szCs w:val="16"/>
              </w:rPr>
            </w:pPr>
            <w:r w:rsidRPr="006F4CD1">
              <w:rPr>
                <w:spacing w:val="-4"/>
                <w:sz w:val="16"/>
                <w:szCs w:val="16"/>
              </w:rPr>
              <w:t>0.49</w:t>
            </w:r>
          </w:p>
        </w:tc>
        <w:tc>
          <w:tcPr>
            <w:tcW w:w="367" w:type="pct"/>
            <w:tcBorders>
              <w:top w:val="nil"/>
              <w:bottom w:val="nil"/>
            </w:tcBorders>
          </w:tcPr>
          <w:p w14:paraId="1956EF8A" w14:textId="77777777" w:rsidR="00B3500A" w:rsidRPr="006F4CD1" w:rsidRDefault="00B3500A" w:rsidP="00D62AD1">
            <w:pPr>
              <w:pStyle w:val="TableParagraph"/>
              <w:ind w:left="98" w:right="89"/>
              <w:rPr>
                <w:sz w:val="16"/>
                <w:szCs w:val="16"/>
              </w:rPr>
            </w:pPr>
            <w:r w:rsidRPr="006F4CD1">
              <w:rPr>
                <w:spacing w:val="-4"/>
                <w:sz w:val="16"/>
                <w:szCs w:val="16"/>
              </w:rPr>
              <w:t>0.46</w:t>
            </w:r>
          </w:p>
        </w:tc>
        <w:tc>
          <w:tcPr>
            <w:tcW w:w="413" w:type="pct"/>
            <w:tcBorders>
              <w:top w:val="nil"/>
              <w:bottom w:val="nil"/>
              <w:right w:val="double" w:sz="4" w:space="0" w:color="000000"/>
            </w:tcBorders>
          </w:tcPr>
          <w:p w14:paraId="373048B1" w14:textId="77777777" w:rsidR="00B3500A" w:rsidRPr="006F4CD1" w:rsidRDefault="00B3500A" w:rsidP="00D62AD1">
            <w:pPr>
              <w:pStyle w:val="TableParagraph"/>
              <w:ind w:left="98" w:right="89"/>
              <w:rPr>
                <w:sz w:val="16"/>
                <w:szCs w:val="16"/>
              </w:rPr>
            </w:pPr>
            <w:r w:rsidRPr="006F4CD1">
              <w:rPr>
                <w:spacing w:val="-4"/>
                <w:sz w:val="16"/>
                <w:szCs w:val="16"/>
              </w:rPr>
              <w:t>0.51</w:t>
            </w:r>
          </w:p>
        </w:tc>
        <w:tc>
          <w:tcPr>
            <w:tcW w:w="321" w:type="pct"/>
            <w:tcBorders>
              <w:top w:val="nil"/>
              <w:left w:val="double" w:sz="4" w:space="0" w:color="000000"/>
              <w:bottom w:val="nil"/>
            </w:tcBorders>
          </w:tcPr>
          <w:p w14:paraId="526173AF" w14:textId="77777777" w:rsidR="00B3500A" w:rsidRPr="006F4CD1" w:rsidRDefault="00B3500A" w:rsidP="00D62AD1">
            <w:pPr>
              <w:pStyle w:val="TableParagraph"/>
              <w:ind w:right="102"/>
              <w:rPr>
                <w:sz w:val="16"/>
                <w:szCs w:val="16"/>
              </w:rPr>
            </w:pPr>
            <w:r w:rsidRPr="006F4CD1">
              <w:rPr>
                <w:spacing w:val="-4"/>
                <w:sz w:val="16"/>
                <w:szCs w:val="16"/>
              </w:rPr>
              <w:t>0.58</w:t>
            </w:r>
          </w:p>
        </w:tc>
        <w:tc>
          <w:tcPr>
            <w:tcW w:w="505" w:type="pct"/>
            <w:tcBorders>
              <w:top w:val="nil"/>
              <w:bottom w:val="nil"/>
            </w:tcBorders>
          </w:tcPr>
          <w:p w14:paraId="7F9FE20D"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0.55</w:t>
            </w:r>
          </w:p>
        </w:tc>
        <w:tc>
          <w:tcPr>
            <w:tcW w:w="413" w:type="pct"/>
            <w:tcBorders>
              <w:top w:val="nil"/>
              <w:bottom w:val="nil"/>
            </w:tcBorders>
          </w:tcPr>
          <w:p w14:paraId="33B018FD" w14:textId="77777777" w:rsidR="00B3500A" w:rsidRPr="006F4CD1" w:rsidRDefault="00B3500A" w:rsidP="00D62AD1">
            <w:pPr>
              <w:pStyle w:val="TableParagraph"/>
              <w:ind w:left="271"/>
              <w:jc w:val="left"/>
              <w:rPr>
                <w:sz w:val="16"/>
                <w:szCs w:val="16"/>
              </w:rPr>
            </w:pPr>
            <w:r w:rsidRPr="006F4CD1">
              <w:rPr>
                <w:spacing w:val="-4"/>
                <w:sz w:val="16"/>
                <w:szCs w:val="16"/>
              </w:rPr>
              <w:t>0.54</w:t>
            </w:r>
          </w:p>
        </w:tc>
        <w:tc>
          <w:tcPr>
            <w:tcW w:w="413" w:type="pct"/>
            <w:tcBorders>
              <w:top w:val="nil"/>
              <w:bottom w:val="nil"/>
            </w:tcBorders>
          </w:tcPr>
          <w:p w14:paraId="05BB7CF4" w14:textId="77777777" w:rsidR="00B3500A" w:rsidRPr="006F4CD1" w:rsidRDefault="00B3500A" w:rsidP="00D62AD1">
            <w:pPr>
              <w:pStyle w:val="TableParagraph"/>
              <w:ind w:right="103"/>
              <w:rPr>
                <w:sz w:val="16"/>
                <w:szCs w:val="16"/>
              </w:rPr>
            </w:pPr>
            <w:r w:rsidRPr="006F4CD1">
              <w:rPr>
                <w:spacing w:val="-4"/>
                <w:sz w:val="16"/>
                <w:szCs w:val="16"/>
              </w:rPr>
              <w:t>0.57</w:t>
            </w:r>
          </w:p>
        </w:tc>
        <w:tc>
          <w:tcPr>
            <w:tcW w:w="550" w:type="pct"/>
            <w:tcBorders>
              <w:top w:val="nil"/>
              <w:bottom w:val="nil"/>
            </w:tcBorders>
          </w:tcPr>
          <w:p w14:paraId="04B5445B"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2DE34715" w14:textId="77777777" w:rsidTr="00326B3D">
        <w:trPr>
          <w:trHeight w:val="239"/>
        </w:trPr>
        <w:tc>
          <w:tcPr>
            <w:tcW w:w="246" w:type="pct"/>
            <w:tcBorders>
              <w:top w:val="nil"/>
              <w:left w:val="double" w:sz="4" w:space="0" w:color="000000"/>
              <w:bottom w:val="nil"/>
            </w:tcBorders>
          </w:tcPr>
          <w:p w14:paraId="1F89A999" w14:textId="77777777" w:rsidR="00B3500A" w:rsidRPr="006F4CD1" w:rsidRDefault="00B3500A" w:rsidP="00D62AD1">
            <w:pPr>
              <w:pStyle w:val="TableParagraph"/>
              <w:ind w:left="119" w:right="91"/>
              <w:rPr>
                <w:sz w:val="16"/>
                <w:szCs w:val="16"/>
              </w:rPr>
            </w:pPr>
            <w:r w:rsidRPr="006F4CD1">
              <w:rPr>
                <w:spacing w:val="-5"/>
                <w:sz w:val="16"/>
                <w:szCs w:val="16"/>
              </w:rPr>
              <w:t>38</w:t>
            </w:r>
          </w:p>
        </w:tc>
        <w:tc>
          <w:tcPr>
            <w:tcW w:w="910" w:type="pct"/>
            <w:tcBorders>
              <w:top w:val="nil"/>
              <w:bottom w:val="nil"/>
            </w:tcBorders>
          </w:tcPr>
          <w:p w14:paraId="7F3C0C59" w14:textId="77777777" w:rsidR="00B3500A" w:rsidRPr="006F4CD1" w:rsidRDefault="00B3500A" w:rsidP="00D62AD1">
            <w:pPr>
              <w:pStyle w:val="TableParagraph"/>
              <w:ind w:left="118"/>
              <w:jc w:val="left"/>
              <w:rPr>
                <w:sz w:val="16"/>
                <w:szCs w:val="16"/>
              </w:rPr>
            </w:pPr>
            <w:r w:rsidRPr="006F4CD1">
              <w:rPr>
                <w:spacing w:val="-2"/>
                <w:w w:val="105"/>
                <w:sz w:val="16"/>
                <w:szCs w:val="16"/>
              </w:rPr>
              <w:t>Oregon</w:t>
            </w:r>
          </w:p>
        </w:tc>
        <w:tc>
          <w:tcPr>
            <w:tcW w:w="312" w:type="pct"/>
            <w:tcBorders>
              <w:top w:val="nil"/>
              <w:bottom w:val="nil"/>
            </w:tcBorders>
          </w:tcPr>
          <w:p w14:paraId="3DB2B442" w14:textId="77777777" w:rsidR="00B3500A" w:rsidRPr="006F4CD1" w:rsidRDefault="00B3500A" w:rsidP="00D62AD1">
            <w:pPr>
              <w:pStyle w:val="TableParagraph"/>
              <w:ind w:left="97" w:right="89"/>
              <w:rPr>
                <w:sz w:val="16"/>
                <w:szCs w:val="16"/>
              </w:rPr>
            </w:pPr>
            <w:r w:rsidRPr="006F4CD1">
              <w:rPr>
                <w:spacing w:val="-4"/>
                <w:sz w:val="16"/>
                <w:szCs w:val="16"/>
              </w:rPr>
              <w:t>0.47</w:t>
            </w:r>
          </w:p>
        </w:tc>
        <w:tc>
          <w:tcPr>
            <w:tcW w:w="550" w:type="pct"/>
            <w:tcBorders>
              <w:top w:val="nil"/>
              <w:bottom w:val="nil"/>
            </w:tcBorders>
          </w:tcPr>
          <w:p w14:paraId="0BBA209F" w14:textId="77777777" w:rsidR="00B3500A" w:rsidRPr="006F4CD1" w:rsidRDefault="00B3500A" w:rsidP="00D62AD1">
            <w:pPr>
              <w:pStyle w:val="TableParagraph"/>
              <w:ind w:left="118" w:right="109"/>
              <w:rPr>
                <w:sz w:val="16"/>
                <w:szCs w:val="16"/>
              </w:rPr>
            </w:pPr>
            <w:r w:rsidRPr="006F4CD1">
              <w:rPr>
                <w:spacing w:val="-4"/>
                <w:sz w:val="16"/>
                <w:szCs w:val="16"/>
              </w:rPr>
              <w:t>0.39</w:t>
            </w:r>
          </w:p>
        </w:tc>
        <w:tc>
          <w:tcPr>
            <w:tcW w:w="367" w:type="pct"/>
            <w:tcBorders>
              <w:top w:val="nil"/>
              <w:bottom w:val="nil"/>
            </w:tcBorders>
          </w:tcPr>
          <w:p w14:paraId="7E8222AA" w14:textId="77777777" w:rsidR="00B3500A" w:rsidRPr="006F4CD1" w:rsidRDefault="00B3500A" w:rsidP="00D62AD1">
            <w:pPr>
              <w:pStyle w:val="TableParagraph"/>
              <w:ind w:left="98" w:right="89"/>
              <w:rPr>
                <w:sz w:val="16"/>
                <w:szCs w:val="16"/>
              </w:rPr>
            </w:pPr>
            <w:r w:rsidRPr="006F4CD1">
              <w:rPr>
                <w:spacing w:val="-4"/>
                <w:sz w:val="16"/>
                <w:szCs w:val="16"/>
              </w:rPr>
              <w:t>0.39</w:t>
            </w:r>
          </w:p>
        </w:tc>
        <w:tc>
          <w:tcPr>
            <w:tcW w:w="413" w:type="pct"/>
            <w:tcBorders>
              <w:top w:val="nil"/>
              <w:bottom w:val="nil"/>
              <w:right w:val="double" w:sz="4" w:space="0" w:color="000000"/>
            </w:tcBorders>
          </w:tcPr>
          <w:p w14:paraId="6178C8B8" w14:textId="77777777" w:rsidR="00B3500A" w:rsidRPr="006F4CD1" w:rsidRDefault="00B3500A" w:rsidP="00D62AD1">
            <w:pPr>
              <w:pStyle w:val="TableParagraph"/>
              <w:ind w:left="98" w:right="89"/>
              <w:rPr>
                <w:sz w:val="16"/>
                <w:szCs w:val="16"/>
              </w:rPr>
            </w:pPr>
            <w:r w:rsidRPr="006F4CD1">
              <w:rPr>
                <w:spacing w:val="-4"/>
                <w:sz w:val="16"/>
                <w:szCs w:val="16"/>
              </w:rPr>
              <w:t>0.46</w:t>
            </w:r>
          </w:p>
        </w:tc>
        <w:tc>
          <w:tcPr>
            <w:tcW w:w="321" w:type="pct"/>
            <w:tcBorders>
              <w:top w:val="nil"/>
              <w:left w:val="double" w:sz="4" w:space="0" w:color="000000"/>
              <w:bottom w:val="nil"/>
            </w:tcBorders>
          </w:tcPr>
          <w:p w14:paraId="71B92983" w14:textId="77777777" w:rsidR="00B3500A" w:rsidRPr="006F4CD1" w:rsidRDefault="00B3500A" w:rsidP="00D62AD1">
            <w:pPr>
              <w:pStyle w:val="TableParagraph"/>
              <w:ind w:right="102"/>
              <w:rPr>
                <w:sz w:val="16"/>
                <w:szCs w:val="16"/>
              </w:rPr>
            </w:pPr>
            <w:r w:rsidRPr="006F4CD1">
              <w:rPr>
                <w:spacing w:val="-4"/>
                <w:sz w:val="16"/>
                <w:szCs w:val="16"/>
              </w:rPr>
              <w:t>0.51</w:t>
            </w:r>
          </w:p>
        </w:tc>
        <w:tc>
          <w:tcPr>
            <w:tcW w:w="505" w:type="pct"/>
            <w:tcBorders>
              <w:top w:val="nil"/>
              <w:bottom w:val="nil"/>
            </w:tcBorders>
          </w:tcPr>
          <w:p w14:paraId="677A6B4B"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0.46</w:t>
            </w:r>
          </w:p>
        </w:tc>
        <w:tc>
          <w:tcPr>
            <w:tcW w:w="413" w:type="pct"/>
            <w:tcBorders>
              <w:top w:val="nil"/>
              <w:bottom w:val="nil"/>
            </w:tcBorders>
          </w:tcPr>
          <w:p w14:paraId="5E72FAE1" w14:textId="77777777" w:rsidR="00B3500A" w:rsidRPr="006F4CD1" w:rsidRDefault="00B3500A" w:rsidP="00D62AD1">
            <w:pPr>
              <w:pStyle w:val="TableParagraph"/>
              <w:ind w:left="271"/>
              <w:jc w:val="left"/>
              <w:rPr>
                <w:sz w:val="16"/>
                <w:szCs w:val="16"/>
              </w:rPr>
            </w:pPr>
            <w:r w:rsidRPr="006F4CD1">
              <w:rPr>
                <w:spacing w:val="-4"/>
                <w:sz w:val="16"/>
                <w:szCs w:val="16"/>
              </w:rPr>
              <w:t>0.44</w:t>
            </w:r>
          </w:p>
        </w:tc>
        <w:tc>
          <w:tcPr>
            <w:tcW w:w="413" w:type="pct"/>
            <w:tcBorders>
              <w:top w:val="nil"/>
              <w:bottom w:val="nil"/>
            </w:tcBorders>
          </w:tcPr>
          <w:p w14:paraId="7C0F7362" w14:textId="77777777" w:rsidR="00B3500A" w:rsidRPr="006F4CD1" w:rsidRDefault="00B3500A" w:rsidP="00D62AD1">
            <w:pPr>
              <w:pStyle w:val="TableParagraph"/>
              <w:ind w:right="103"/>
              <w:rPr>
                <w:sz w:val="16"/>
                <w:szCs w:val="16"/>
              </w:rPr>
            </w:pPr>
            <w:r w:rsidRPr="006F4CD1">
              <w:rPr>
                <w:spacing w:val="-4"/>
                <w:sz w:val="16"/>
                <w:szCs w:val="16"/>
              </w:rPr>
              <w:t>0.50</w:t>
            </w:r>
          </w:p>
        </w:tc>
        <w:tc>
          <w:tcPr>
            <w:tcW w:w="550" w:type="pct"/>
            <w:tcBorders>
              <w:top w:val="nil"/>
              <w:bottom w:val="nil"/>
            </w:tcBorders>
          </w:tcPr>
          <w:p w14:paraId="77CA7B26" w14:textId="77777777" w:rsidR="00B3500A" w:rsidRPr="006F4CD1" w:rsidRDefault="00B3500A" w:rsidP="00D62AD1">
            <w:pPr>
              <w:pStyle w:val="TableParagraph"/>
              <w:ind w:left="109" w:right="102"/>
              <w:rPr>
                <w:sz w:val="16"/>
                <w:szCs w:val="16"/>
              </w:rPr>
            </w:pPr>
            <w:r w:rsidRPr="006F4CD1">
              <w:rPr>
                <w:spacing w:val="-4"/>
                <w:w w:val="110"/>
                <w:sz w:val="16"/>
                <w:szCs w:val="16"/>
              </w:rPr>
              <w:t>West</w:t>
            </w:r>
          </w:p>
        </w:tc>
      </w:tr>
      <w:tr w:rsidR="00B3500A" w:rsidRPr="006F4CD1" w14:paraId="1896B7E9" w14:textId="77777777" w:rsidTr="00326B3D">
        <w:trPr>
          <w:trHeight w:val="239"/>
        </w:trPr>
        <w:tc>
          <w:tcPr>
            <w:tcW w:w="246" w:type="pct"/>
            <w:tcBorders>
              <w:top w:val="nil"/>
              <w:left w:val="double" w:sz="4" w:space="0" w:color="000000"/>
              <w:bottom w:val="nil"/>
            </w:tcBorders>
          </w:tcPr>
          <w:p w14:paraId="032AC839" w14:textId="77777777" w:rsidR="00B3500A" w:rsidRPr="006F4CD1" w:rsidRDefault="00B3500A" w:rsidP="00D62AD1">
            <w:pPr>
              <w:pStyle w:val="TableParagraph"/>
              <w:ind w:left="119" w:right="91"/>
              <w:rPr>
                <w:sz w:val="16"/>
                <w:szCs w:val="16"/>
              </w:rPr>
            </w:pPr>
            <w:r w:rsidRPr="006F4CD1">
              <w:rPr>
                <w:spacing w:val="-5"/>
                <w:sz w:val="16"/>
                <w:szCs w:val="16"/>
              </w:rPr>
              <w:t>39</w:t>
            </w:r>
          </w:p>
        </w:tc>
        <w:tc>
          <w:tcPr>
            <w:tcW w:w="910" w:type="pct"/>
            <w:tcBorders>
              <w:top w:val="nil"/>
              <w:bottom w:val="nil"/>
            </w:tcBorders>
          </w:tcPr>
          <w:p w14:paraId="1B4FF326" w14:textId="77777777" w:rsidR="00B3500A" w:rsidRPr="006F4CD1" w:rsidRDefault="00B3500A" w:rsidP="00D62AD1">
            <w:pPr>
              <w:pStyle w:val="TableParagraph"/>
              <w:ind w:left="118"/>
              <w:jc w:val="left"/>
              <w:rPr>
                <w:sz w:val="16"/>
                <w:szCs w:val="16"/>
              </w:rPr>
            </w:pPr>
            <w:r w:rsidRPr="006F4CD1">
              <w:rPr>
                <w:spacing w:val="-2"/>
                <w:w w:val="110"/>
                <w:sz w:val="16"/>
                <w:szCs w:val="16"/>
              </w:rPr>
              <w:t>Pennsylvania</w:t>
            </w:r>
          </w:p>
        </w:tc>
        <w:tc>
          <w:tcPr>
            <w:tcW w:w="312" w:type="pct"/>
            <w:tcBorders>
              <w:top w:val="nil"/>
              <w:bottom w:val="nil"/>
            </w:tcBorders>
          </w:tcPr>
          <w:p w14:paraId="652FB460" w14:textId="77777777" w:rsidR="00B3500A" w:rsidRPr="006F4CD1" w:rsidRDefault="00B3500A" w:rsidP="00D62AD1">
            <w:pPr>
              <w:pStyle w:val="TableParagraph"/>
              <w:ind w:left="97" w:right="89"/>
              <w:rPr>
                <w:sz w:val="16"/>
                <w:szCs w:val="16"/>
              </w:rPr>
            </w:pPr>
            <w:r w:rsidRPr="006F4CD1">
              <w:rPr>
                <w:spacing w:val="-4"/>
                <w:sz w:val="16"/>
                <w:szCs w:val="16"/>
              </w:rPr>
              <w:t>0.49</w:t>
            </w:r>
          </w:p>
        </w:tc>
        <w:tc>
          <w:tcPr>
            <w:tcW w:w="550" w:type="pct"/>
            <w:tcBorders>
              <w:top w:val="nil"/>
              <w:bottom w:val="nil"/>
            </w:tcBorders>
          </w:tcPr>
          <w:p w14:paraId="7227A0DC" w14:textId="77777777" w:rsidR="00B3500A" w:rsidRPr="006F4CD1" w:rsidRDefault="00B3500A" w:rsidP="00D62AD1">
            <w:pPr>
              <w:pStyle w:val="TableParagraph"/>
              <w:ind w:left="118" w:right="109"/>
              <w:rPr>
                <w:sz w:val="16"/>
                <w:szCs w:val="16"/>
              </w:rPr>
            </w:pPr>
            <w:r w:rsidRPr="006F4CD1">
              <w:rPr>
                <w:spacing w:val="-4"/>
                <w:sz w:val="16"/>
                <w:szCs w:val="16"/>
              </w:rPr>
              <w:t>0.46</w:t>
            </w:r>
          </w:p>
        </w:tc>
        <w:tc>
          <w:tcPr>
            <w:tcW w:w="367" w:type="pct"/>
            <w:tcBorders>
              <w:top w:val="nil"/>
              <w:bottom w:val="nil"/>
            </w:tcBorders>
          </w:tcPr>
          <w:p w14:paraId="75531DE4" w14:textId="77777777" w:rsidR="00B3500A" w:rsidRPr="006F4CD1" w:rsidRDefault="00B3500A" w:rsidP="00D62AD1">
            <w:pPr>
              <w:pStyle w:val="TableParagraph"/>
              <w:ind w:left="98" w:right="89"/>
              <w:rPr>
                <w:sz w:val="16"/>
                <w:szCs w:val="16"/>
              </w:rPr>
            </w:pPr>
            <w:r w:rsidRPr="006F4CD1">
              <w:rPr>
                <w:spacing w:val="-4"/>
                <w:sz w:val="16"/>
                <w:szCs w:val="16"/>
              </w:rPr>
              <w:t>0.44</w:t>
            </w:r>
          </w:p>
        </w:tc>
        <w:tc>
          <w:tcPr>
            <w:tcW w:w="413" w:type="pct"/>
            <w:tcBorders>
              <w:top w:val="nil"/>
              <w:bottom w:val="nil"/>
              <w:right w:val="double" w:sz="4" w:space="0" w:color="000000"/>
            </w:tcBorders>
          </w:tcPr>
          <w:p w14:paraId="10AEAB58" w14:textId="77777777" w:rsidR="00B3500A" w:rsidRPr="006F4CD1" w:rsidRDefault="00B3500A" w:rsidP="00D62AD1">
            <w:pPr>
              <w:pStyle w:val="TableParagraph"/>
              <w:ind w:left="98" w:right="89"/>
              <w:rPr>
                <w:sz w:val="16"/>
                <w:szCs w:val="16"/>
              </w:rPr>
            </w:pPr>
            <w:r w:rsidRPr="006F4CD1">
              <w:rPr>
                <w:spacing w:val="-4"/>
                <w:sz w:val="16"/>
                <w:szCs w:val="16"/>
              </w:rPr>
              <w:t>0.48</w:t>
            </w:r>
          </w:p>
        </w:tc>
        <w:tc>
          <w:tcPr>
            <w:tcW w:w="321" w:type="pct"/>
            <w:tcBorders>
              <w:top w:val="nil"/>
              <w:left w:val="double" w:sz="4" w:space="0" w:color="000000"/>
              <w:bottom w:val="nil"/>
            </w:tcBorders>
          </w:tcPr>
          <w:p w14:paraId="17EFF7A8" w14:textId="77777777" w:rsidR="00B3500A" w:rsidRPr="006F4CD1" w:rsidRDefault="00B3500A" w:rsidP="00D62AD1">
            <w:pPr>
              <w:pStyle w:val="TableParagraph"/>
              <w:ind w:right="102"/>
              <w:rPr>
                <w:sz w:val="16"/>
                <w:szCs w:val="16"/>
              </w:rPr>
            </w:pPr>
            <w:r w:rsidRPr="006F4CD1">
              <w:rPr>
                <w:spacing w:val="-4"/>
                <w:sz w:val="16"/>
                <w:szCs w:val="16"/>
              </w:rPr>
              <w:t>0.71</w:t>
            </w:r>
          </w:p>
        </w:tc>
        <w:tc>
          <w:tcPr>
            <w:tcW w:w="505" w:type="pct"/>
            <w:tcBorders>
              <w:top w:val="nil"/>
              <w:bottom w:val="nil"/>
            </w:tcBorders>
          </w:tcPr>
          <w:p w14:paraId="6BFCB3B5"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0.65</w:t>
            </w:r>
          </w:p>
        </w:tc>
        <w:tc>
          <w:tcPr>
            <w:tcW w:w="413" w:type="pct"/>
            <w:tcBorders>
              <w:top w:val="nil"/>
              <w:bottom w:val="nil"/>
            </w:tcBorders>
          </w:tcPr>
          <w:p w14:paraId="58871220" w14:textId="77777777" w:rsidR="00B3500A" w:rsidRPr="006F4CD1" w:rsidRDefault="00B3500A" w:rsidP="00D62AD1">
            <w:pPr>
              <w:pStyle w:val="TableParagraph"/>
              <w:ind w:left="271"/>
              <w:jc w:val="left"/>
              <w:rPr>
                <w:sz w:val="16"/>
                <w:szCs w:val="16"/>
              </w:rPr>
            </w:pPr>
            <w:r w:rsidRPr="006F4CD1">
              <w:rPr>
                <w:spacing w:val="-4"/>
                <w:sz w:val="16"/>
                <w:szCs w:val="16"/>
              </w:rPr>
              <w:t>0.63</w:t>
            </w:r>
          </w:p>
        </w:tc>
        <w:tc>
          <w:tcPr>
            <w:tcW w:w="413" w:type="pct"/>
            <w:tcBorders>
              <w:top w:val="nil"/>
              <w:bottom w:val="nil"/>
            </w:tcBorders>
          </w:tcPr>
          <w:p w14:paraId="50CF3AB4" w14:textId="77777777" w:rsidR="00B3500A" w:rsidRPr="006F4CD1" w:rsidRDefault="00B3500A" w:rsidP="00D62AD1">
            <w:pPr>
              <w:pStyle w:val="TableParagraph"/>
              <w:ind w:right="103"/>
              <w:rPr>
                <w:sz w:val="16"/>
                <w:szCs w:val="16"/>
              </w:rPr>
            </w:pPr>
            <w:r w:rsidRPr="006F4CD1">
              <w:rPr>
                <w:spacing w:val="-4"/>
                <w:sz w:val="16"/>
                <w:szCs w:val="16"/>
              </w:rPr>
              <w:t>0.69</w:t>
            </w:r>
          </w:p>
        </w:tc>
        <w:tc>
          <w:tcPr>
            <w:tcW w:w="550" w:type="pct"/>
            <w:tcBorders>
              <w:top w:val="nil"/>
              <w:bottom w:val="nil"/>
            </w:tcBorders>
          </w:tcPr>
          <w:p w14:paraId="390BE681" w14:textId="77777777" w:rsidR="00B3500A" w:rsidRPr="006F4CD1" w:rsidRDefault="00B3500A" w:rsidP="00D62AD1">
            <w:pPr>
              <w:pStyle w:val="TableParagraph"/>
              <w:ind w:left="109" w:right="102"/>
              <w:rPr>
                <w:sz w:val="16"/>
                <w:szCs w:val="16"/>
              </w:rPr>
            </w:pPr>
            <w:r w:rsidRPr="006F4CD1">
              <w:rPr>
                <w:spacing w:val="-2"/>
                <w:w w:val="110"/>
                <w:sz w:val="16"/>
                <w:szCs w:val="16"/>
              </w:rPr>
              <w:t>Northeast</w:t>
            </w:r>
          </w:p>
        </w:tc>
      </w:tr>
      <w:tr w:rsidR="00B3500A" w:rsidRPr="006F4CD1" w14:paraId="51F0A1B1" w14:textId="77777777" w:rsidTr="00326B3D">
        <w:trPr>
          <w:trHeight w:val="239"/>
        </w:trPr>
        <w:tc>
          <w:tcPr>
            <w:tcW w:w="246" w:type="pct"/>
            <w:tcBorders>
              <w:top w:val="nil"/>
              <w:left w:val="double" w:sz="4" w:space="0" w:color="000000"/>
              <w:bottom w:val="nil"/>
            </w:tcBorders>
          </w:tcPr>
          <w:p w14:paraId="691A1F56" w14:textId="77777777" w:rsidR="00B3500A" w:rsidRPr="006F4CD1" w:rsidRDefault="00B3500A" w:rsidP="00D62AD1">
            <w:pPr>
              <w:pStyle w:val="TableParagraph"/>
              <w:ind w:left="119" w:right="91"/>
              <w:rPr>
                <w:sz w:val="16"/>
                <w:szCs w:val="16"/>
              </w:rPr>
            </w:pPr>
            <w:r w:rsidRPr="006F4CD1">
              <w:rPr>
                <w:spacing w:val="-5"/>
                <w:sz w:val="16"/>
                <w:szCs w:val="16"/>
              </w:rPr>
              <w:t>40</w:t>
            </w:r>
          </w:p>
        </w:tc>
        <w:tc>
          <w:tcPr>
            <w:tcW w:w="910" w:type="pct"/>
            <w:tcBorders>
              <w:top w:val="nil"/>
              <w:bottom w:val="nil"/>
            </w:tcBorders>
          </w:tcPr>
          <w:p w14:paraId="2A312133" w14:textId="77777777" w:rsidR="00B3500A" w:rsidRPr="006F4CD1" w:rsidRDefault="00B3500A" w:rsidP="00D62AD1">
            <w:pPr>
              <w:pStyle w:val="TableParagraph"/>
              <w:ind w:left="118"/>
              <w:jc w:val="left"/>
              <w:rPr>
                <w:sz w:val="16"/>
                <w:szCs w:val="16"/>
              </w:rPr>
            </w:pPr>
            <w:r w:rsidRPr="006F4CD1">
              <w:rPr>
                <w:w w:val="105"/>
                <w:sz w:val="16"/>
                <w:szCs w:val="16"/>
              </w:rPr>
              <w:t>Rhode</w:t>
            </w:r>
            <w:r w:rsidRPr="006F4CD1">
              <w:rPr>
                <w:spacing w:val="25"/>
                <w:w w:val="105"/>
                <w:sz w:val="16"/>
                <w:szCs w:val="16"/>
              </w:rPr>
              <w:t xml:space="preserve"> </w:t>
            </w:r>
            <w:r w:rsidRPr="006F4CD1">
              <w:rPr>
                <w:spacing w:val="-2"/>
                <w:w w:val="105"/>
                <w:sz w:val="16"/>
                <w:szCs w:val="16"/>
              </w:rPr>
              <w:t>Island</w:t>
            </w:r>
          </w:p>
        </w:tc>
        <w:tc>
          <w:tcPr>
            <w:tcW w:w="312" w:type="pct"/>
            <w:tcBorders>
              <w:top w:val="nil"/>
              <w:bottom w:val="nil"/>
            </w:tcBorders>
          </w:tcPr>
          <w:p w14:paraId="39D37E24" w14:textId="77777777" w:rsidR="00B3500A" w:rsidRPr="006F4CD1" w:rsidRDefault="00B3500A" w:rsidP="00D62AD1">
            <w:pPr>
              <w:pStyle w:val="TableParagraph"/>
              <w:ind w:left="97" w:right="89"/>
              <w:rPr>
                <w:sz w:val="16"/>
                <w:szCs w:val="16"/>
              </w:rPr>
            </w:pPr>
            <w:r w:rsidRPr="006F4CD1">
              <w:rPr>
                <w:spacing w:val="-4"/>
                <w:sz w:val="16"/>
                <w:szCs w:val="16"/>
              </w:rPr>
              <w:t>0.44</w:t>
            </w:r>
          </w:p>
        </w:tc>
        <w:tc>
          <w:tcPr>
            <w:tcW w:w="550" w:type="pct"/>
            <w:tcBorders>
              <w:top w:val="nil"/>
              <w:bottom w:val="nil"/>
            </w:tcBorders>
          </w:tcPr>
          <w:p w14:paraId="019AF20A" w14:textId="77777777" w:rsidR="00B3500A" w:rsidRPr="006F4CD1" w:rsidRDefault="00B3500A" w:rsidP="00D62AD1">
            <w:pPr>
              <w:pStyle w:val="TableParagraph"/>
              <w:ind w:left="118" w:right="109"/>
              <w:rPr>
                <w:sz w:val="16"/>
                <w:szCs w:val="16"/>
              </w:rPr>
            </w:pPr>
            <w:r w:rsidRPr="006F4CD1">
              <w:rPr>
                <w:spacing w:val="-4"/>
                <w:sz w:val="16"/>
                <w:szCs w:val="16"/>
              </w:rPr>
              <w:t>0.39</w:t>
            </w:r>
          </w:p>
        </w:tc>
        <w:tc>
          <w:tcPr>
            <w:tcW w:w="367" w:type="pct"/>
            <w:tcBorders>
              <w:top w:val="nil"/>
              <w:bottom w:val="nil"/>
            </w:tcBorders>
          </w:tcPr>
          <w:p w14:paraId="30441DA2" w14:textId="77777777" w:rsidR="00B3500A" w:rsidRPr="006F4CD1" w:rsidRDefault="00B3500A" w:rsidP="00D62AD1">
            <w:pPr>
              <w:pStyle w:val="TableParagraph"/>
              <w:ind w:left="98" w:right="89"/>
              <w:rPr>
                <w:sz w:val="16"/>
                <w:szCs w:val="16"/>
              </w:rPr>
            </w:pPr>
            <w:r w:rsidRPr="006F4CD1">
              <w:rPr>
                <w:spacing w:val="-4"/>
                <w:sz w:val="16"/>
                <w:szCs w:val="16"/>
              </w:rPr>
              <w:t>0.38</w:t>
            </w:r>
          </w:p>
        </w:tc>
        <w:tc>
          <w:tcPr>
            <w:tcW w:w="413" w:type="pct"/>
            <w:tcBorders>
              <w:top w:val="nil"/>
              <w:bottom w:val="nil"/>
              <w:right w:val="double" w:sz="4" w:space="0" w:color="000000"/>
            </w:tcBorders>
          </w:tcPr>
          <w:p w14:paraId="4031ABF1" w14:textId="77777777" w:rsidR="00B3500A" w:rsidRPr="006F4CD1" w:rsidRDefault="00B3500A" w:rsidP="00D62AD1">
            <w:pPr>
              <w:pStyle w:val="TableParagraph"/>
              <w:ind w:left="98" w:right="89"/>
              <w:rPr>
                <w:sz w:val="16"/>
                <w:szCs w:val="16"/>
              </w:rPr>
            </w:pPr>
            <w:r w:rsidRPr="006F4CD1">
              <w:rPr>
                <w:spacing w:val="-4"/>
                <w:sz w:val="16"/>
                <w:szCs w:val="16"/>
              </w:rPr>
              <w:t>0.43</w:t>
            </w:r>
          </w:p>
        </w:tc>
        <w:tc>
          <w:tcPr>
            <w:tcW w:w="321" w:type="pct"/>
            <w:tcBorders>
              <w:top w:val="nil"/>
              <w:left w:val="double" w:sz="4" w:space="0" w:color="000000"/>
              <w:bottom w:val="nil"/>
            </w:tcBorders>
          </w:tcPr>
          <w:p w14:paraId="4C9E0498" w14:textId="77777777" w:rsidR="00B3500A" w:rsidRPr="006F4CD1" w:rsidRDefault="00B3500A" w:rsidP="00D62AD1">
            <w:pPr>
              <w:pStyle w:val="TableParagraph"/>
              <w:ind w:right="102"/>
              <w:rPr>
                <w:sz w:val="16"/>
                <w:szCs w:val="16"/>
              </w:rPr>
            </w:pPr>
            <w:r w:rsidRPr="006F4CD1">
              <w:rPr>
                <w:spacing w:val="-4"/>
                <w:sz w:val="16"/>
                <w:szCs w:val="16"/>
              </w:rPr>
              <w:t>0.56</w:t>
            </w:r>
          </w:p>
        </w:tc>
        <w:tc>
          <w:tcPr>
            <w:tcW w:w="505" w:type="pct"/>
            <w:tcBorders>
              <w:top w:val="nil"/>
              <w:bottom w:val="nil"/>
            </w:tcBorders>
          </w:tcPr>
          <w:p w14:paraId="65231AAD"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0.52</w:t>
            </w:r>
          </w:p>
        </w:tc>
        <w:tc>
          <w:tcPr>
            <w:tcW w:w="413" w:type="pct"/>
            <w:tcBorders>
              <w:top w:val="nil"/>
              <w:bottom w:val="nil"/>
            </w:tcBorders>
          </w:tcPr>
          <w:p w14:paraId="0EC3486D" w14:textId="77777777" w:rsidR="00B3500A" w:rsidRPr="006F4CD1" w:rsidRDefault="00B3500A" w:rsidP="00D62AD1">
            <w:pPr>
              <w:pStyle w:val="TableParagraph"/>
              <w:ind w:left="271"/>
              <w:jc w:val="left"/>
              <w:rPr>
                <w:sz w:val="16"/>
                <w:szCs w:val="16"/>
              </w:rPr>
            </w:pPr>
            <w:r w:rsidRPr="006F4CD1">
              <w:rPr>
                <w:spacing w:val="-4"/>
                <w:sz w:val="16"/>
                <w:szCs w:val="16"/>
              </w:rPr>
              <w:t>0.50</w:t>
            </w:r>
          </w:p>
        </w:tc>
        <w:tc>
          <w:tcPr>
            <w:tcW w:w="413" w:type="pct"/>
            <w:tcBorders>
              <w:top w:val="nil"/>
              <w:bottom w:val="nil"/>
            </w:tcBorders>
          </w:tcPr>
          <w:p w14:paraId="74BE2E73" w14:textId="77777777" w:rsidR="00B3500A" w:rsidRPr="006F4CD1" w:rsidRDefault="00B3500A" w:rsidP="00D62AD1">
            <w:pPr>
              <w:pStyle w:val="TableParagraph"/>
              <w:ind w:right="103"/>
              <w:rPr>
                <w:sz w:val="16"/>
                <w:szCs w:val="16"/>
              </w:rPr>
            </w:pPr>
            <w:r w:rsidRPr="006F4CD1">
              <w:rPr>
                <w:spacing w:val="-4"/>
                <w:sz w:val="16"/>
                <w:szCs w:val="16"/>
              </w:rPr>
              <w:t>0.55</w:t>
            </w:r>
          </w:p>
        </w:tc>
        <w:tc>
          <w:tcPr>
            <w:tcW w:w="550" w:type="pct"/>
            <w:tcBorders>
              <w:top w:val="nil"/>
              <w:bottom w:val="nil"/>
            </w:tcBorders>
          </w:tcPr>
          <w:p w14:paraId="3F08DC1A" w14:textId="77777777" w:rsidR="00B3500A" w:rsidRPr="006F4CD1" w:rsidRDefault="00B3500A" w:rsidP="00D62AD1">
            <w:pPr>
              <w:pStyle w:val="TableParagraph"/>
              <w:ind w:left="109" w:right="102"/>
              <w:rPr>
                <w:sz w:val="16"/>
                <w:szCs w:val="16"/>
              </w:rPr>
            </w:pPr>
            <w:r w:rsidRPr="006F4CD1">
              <w:rPr>
                <w:spacing w:val="-2"/>
                <w:w w:val="110"/>
                <w:sz w:val="16"/>
                <w:szCs w:val="16"/>
              </w:rPr>
              <w:t>Northeast</w:t>
            </w:r>
          </w:p>
        </w:tc>
      </w:tr>
      <w:tr w:rsidR="00B3500A" w:rsidRPr="006F4CD1" w14:paraId="1E99D01D" w14:textId="77777777" w:rsidTr="00326B3D">
        <w:trPr>
          <w:trHeight w:val="239"/>
        </w:trPr>
        <w:tc>
          <w:tcPr>
            <w:tcW w:w="246" w:type="pct"/>
            <w:tcBorders>
              <w:top w:val="nil"/>
              <w:left w:val="double" w:sz="4" w:space="0" w:color="000000"/>
              <w:bottom w:val="nil"/>
            </w:tcBorders>
          </w:tcPr>
          <w:p w14:paraId="1777F1BF" w14:textId="77777777" w:rsidR="00B3500A" w:rsidRPr="006F4CD1" w:rsidRDefault="00B3500A" w:rsidP="00D62AD1">
            <w:pPr>
              <w:pStyle w:val="TableParagraph"/>
              <w:ind w:left="119" w:right="91"/>
              <w:rPr>
                <w:sz w:val="16"/>
                <w:szCs w:val="16"/>
              </w:rPr>
            </w:pPr>
            <w:r w:rsidRPr="006F4CD1">
              <w:rPr>
                <w:spacing w:val="-5"/>
                <w:sz w:val="16"/>
                <w:szCs w:val="16"/>
              </w:rPr>
              <w:t>41</w:t>
            </w:r>
          </w:p>
        </w:tc>
        <w:tc>
          <w:tcPr>
            <w:tcW w:w="910" w:type="pct"/>
            <w:tcBorders>
              <w:top w:val="nil"/>
              <w:bottom w:val="nil"/>
            </w:tcBorders>
          </w:tcPr>
          <w:p w14:paraId="6F81FC2F" w14:textId="77777777" w:rsidR="00B3500A" w:rsidRPr="006F4CD1" w:rsidRDefault="00B3500A" w:rsidP="00D62AD1">
            <w:pPr>
              <w:pStyle w:val="TableParagraph"/>
              <w:ind w:left="118"/>
              <w:jc w:val="left"/>
              <w:rPr>
                <w:sz w:val="16"/>
                <w:szCs w:val="16"/>
              </w:rPr>
            </w:pPr>
            <w:r w:rsidRPr="006F4CD1">
              <w:rPr>
                <w:w w:val="110"/>
                <w:sz w:val="16"/>
                <w:szCs w:val="16"/>
              </w:rPr>
              <w:t>South</w:t>
            </w:r>
            <w:r w:rsidRPr="006F4CD1">
              <w:rPr>
                <w:spacing w:val="1"/>
                <w:w w:val="110"/>
                <w:sz w:val="16"/>
                <w:szCs w:val="16"/>
              </w:rPr>
              <w:t xml:space="preserve"> </w:t>
            </w:r>
            <w:r w:rsidRPr="006F4CD1">
              <w:rPr>
                <w:spacing w:val="-2"/>
                <w:w w:val="110"/>
                <w:sz w:val="16"/>
                <w:szCs w:val="16"/>
              </w:rPr>
              <w:t>Carolina</w:t>
            </w:r>
          </w:p>
        </w:tc>
        <w:tc>
          <w:tcPr>
            <w:tcW w:w="312" w:type="pct"/>
            <w:tcBorders>
              <w:top w:val="nil"/>
              <w:bottom w:val="nil"/>
            </w:tcBorders>
          </w:tcPr>
          <w:p w14:paraId="68B48212" w14:textId="77777777" w:rsidR="00B3500A" w:rsidRPr="006F4CD1" w:rsidRDefault="00B3500A" w:rsidP="00D62AD1">
            <w:pPr>
              <w:pStyle w:val="TableParagraph"/>
              <w:ind w:left="97" w:right="89"/>
              <w:rPr>
                <w:sz w:val="16"/>
                <w:szCs w:val="16"/>
              </w:rPr>
            </w:pPr>
            <w:r w:rsidRPr="006F4CD1">
              <w:rPr>
                <w:spacing w:val="-4"/>
                <w:sz w:val="16"/>
                <w:szCs w:val="16"/>
              </w:rPr>
              <w:t>0.48</w:t>
            </w:r>
          </w:p>
        </w:tc>
        <w:tc>
          <w:tcPr>
            <w:tcW w:w="550" w:type="pct"/>
            <w:tcBorders>
              <w:top w:val="nil"/>
              <w:bottom w:val="nil"/>
            </w:tcBorders>
          </w:tcPr>
          <w:p w14:paraId="6FEED510" w14:textId="77777777" w:rsidR="00B3500A" w:rsidRPr="006F4CD1" w:rsidRDefault="00B3500A" w:rsidP="00D62AD1">
            <w:pPr>
              <w:pStyle w:val="TableParagraph"/>
              <w:ind w:left="118" w:right="109"/>
              <w:rPr>
                <w:sz w:val="16"/>
                <w:szCs w:val="16"/>
              </w:rPr>
            </w:pPr>
            <w:r w:rsidRPr="006F4CD1">
              <w:rPr>
                <w:spacing w:val="-4"/>
                <w:sz w:val="16"/>
                <w:szCs w:val="16"/>
              </w:rPr>
              <w:t>0.45</w:t>
            </w:r>
          </w:p>
        </w:tc>
        <w:tc>
          <w:tcPr>
            <w:tcW w:w="367" w:type="pct"/>
            <w:tcBorders>
              <w:top w:val="nil"/>
              <w:bottom w:val="nil"/>
            </w:tcBorders>
          </w:tcPr>
          <w:p w14:paraId="3870AF90" w14:textId="77777777" w:rsidR="00B3500A" w:rsidRPr="006F4CD1" w:rsidRDefault="00B3500A" w:rsidP="00D62AD1">
            <w:pPr>
              <w:pStyle w:val="TableParagraph"/>
              <w:ind w:left="98" w:right="89"/>
              <w:rPr>
                <w:sz w:val="16"/>
                <w:szCs w:val="16"/>
              </w:rPr>
            </w:pPr>
            <w:r w:rsidRPr="006F4CD1">
              <w:rPr>
                <w:spacing w:val="-4"/>
                <w:sz w:val="16"/>
                <w:szCs w:val="16"/>
              </w:rPr>
              <w:t>0.43</w:t>
            </w:r>
          </w:p>
        </w:tc>
        <w:tc>
          <w:tcPr>
            <w:tcW w:w="413" w:type="pct"/>
            <w:tcBorders>
              <w:top w:val="nil"/>
              <w:bottom w:val="nil"/>
              <w:right w:val="double" w:sz="4" w:space="0" w:color="000000"/>
            </w:tcBorders>
          </w:tcPr>
          <w:p w14:paraId="560BFEC1" w14:textId="77777777" w:rsidR="00B3500A" w:rsidRPr="006F4CD1" w:rsidRDefault="00B3500A" w:rsidP="00D62AD1">
            <w:pPr>
              <w:pStyle w:val="TableParagraph"/>
              <w:ind w:left="98" w:right="89"/>
              <w:rPr>
                <w:sz w:val="16"/>
                <w:szCs w:val="16"/>
              </w:rPr>
            </w:pPr>
            <w:r w:rsidRPr="006F4CD1">
              <w:rPr>
                <w:spacing w:val="-4"/>
                <w:sz w:val="16"/>
                <w:szCs w:val="16"/>
              </w:rPr>
              <w:t>0.47</w:t>
            </w:r>
          </w:p>
        </w:tc>
        <w:tc>
          <w:tcPr>
            <w:tcW w:w="321" w:type="pct"/>
            <w:tcBorders>
              <w:top w:val="nil"/>
              <w:left w:val="double" w:sz="4" w:space="0" w:color="000000"/>
              <w:bottom w:val="nil"/>
            </w:tcBorders>
          </w:tcPr>
          <w:p w14:paraId="25390AFB" w14:textId="77777777" w:rsidR="00B3500A" w:rsidRPr="006F4CD1" w:rsidRDefault="00B3500A" w:rsidP="00D62AD1">
            <w:pPr>
              <w:pStyle w:val="TableParagraph"/>
              <w:ind w:right="102"/>
              <w:rPr>
                <w:sz w:val="16"/>
                <w:szCs w:val="16"/>
              </w:rPr>
            </w:pPr>
            <w:r w:rsidRPr="006F4CD1">
              <w:rPr>
                <w:spacing w:val="-4"/>
                <w:sz w:val="16"/>
                <w:szCs w:val="16"/>
              </w:rPr>
              <w:t>0.52</w:t>
            </w:r>
          </w:p>
        </w:tc>
        <w:tc>
          <w:tcPr>
            <w:tcW w:w="505" w:type="pct"/>
            <w:tcBorders>
              <w:top w:val="nil"/>
              <w:bottom w:val="nil"/>
            </w:tcBorders>
          </w:tcPr>
          <w:p w14:paraId="186702FF"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0.50</w:t>
            </w:r>
          </w:p>
        </w:tc>
        <w:tc>
          <w:tcPr>
            <w:tcW w:w="413" w:type="pct"/>
            <w:tcBorders>
              <w:top w:val="nil"/>
              <w:bottom w:val="nil"/>
            </w:tcBorders>
          </w:tcPr>
          <w:p w14:paraId="42EAB2E0" w14:textId="77777777" w:rsidR="00B3500A" w:rsidRPr="006F4CD1" w:rsidRDefault="00B3500A" w:rsidP="00D62AD1">
            <w:pPr>
              <w:pStyle w:val="TableParagraph"/>
              <w:ind w:left="271"/>
              <w:jc w:val="left"/>
              <w:rPr>
                <w:sz w:val="16"/>
                <w:szCs w:val="16"/>
              </w:rPr>
            </w:pPr>
            <w:r w:rsidRPr="006F4CD1">
              <w:rPr>
                <w:spacing w:val="-4"/>
                <w:sz w:val="16"/>
                <w:szCs w:val="16"/>
              </w:rPr>
              <w:t>0.49</w:t>
            </w:r>
          </w:p>
        </w:tc>
        <w:tc>
          <w:tcPr>
            <w:tcW w:w="413" w:type="pct"/>
            <w:tcBorders>
              <w:top w:val="nil"/>
              <w:bottom w:val="nil"/>
            </w:tcBorders>
          </w:tcPr>
          <w:p w14:paraId="40DD04BB" w14:textId="77777777" w:rsidR="00B3500A" w:rsidRPr="006F4CD1" w:rsidRDefault="00B3500A" w:rsidP="00D62AD1">
            <w:pPr>
              <w:pStyle w:val="TableParagraph"/>
              <w:ind w:right="103"/>
              <w:rPr>
                <w:sz w:val="16"/>
                <w:szCs w:val="16"/>
              </w:rPr>
            </w:pPr>
            <w:r w:rsidRPr="006F4CD1">
              <w:rPr>
                <w:spacing w:val="-4"/>
                <w:sz w:val="16"/>
                <w:szCs w:val="16"/>
              </w:rPr>
              <w:t>0.52</w:t>
            </w:r>
          </w:p>
        </w:tc>
        <w:tc>
          <w:tcPr>
            <w:tcW w:w="550" w:type="pct"/>
            <w:tcBorders>
              <w:top w:val="nil"/>
              <w:bottom w:val="nil"/>
            </w:tcBorders>
          </w:tcPr>
          <w:p w14:paraId="7A0B4D1A"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6BC27C40" w14:textId="77777777" w:rsidTr="00326B3D">
        <w:trPr>
          <w:trHeight w:val="239"/>
        </w:trPr>
        <w:tc>
          <w:tcPr>
            <w:tcW w:w="246" w:type="pct"/>
            <w:tcBorders>
              <w:top w:val="nil"/>
              <w:left w:val="double" w:sz="4" w:space="0" w:color="000000"/>
              <w:bottom w:val="nil"/>
            </w:tcBorders>
          </w:tcPr>
          <w:p w14:paraId="0DD1B125" w14:textId="77777777" w:rsidR="00B3500A" w:rsidRPr="006F4CD1" w:rsidRDefault="00B3500A" w:rsidP="00D62AD1">
            <w:pPr>
              <w:pStyle w:val="TableParagraph"/>
              <w:ind w:left="119" w:right="91"/>
              <w:rPr>
                <w:sz w:val="16"/>
                <w:szCs w:val="16"/>
              </w:rPr>
            </w:pPr>
            <w:r w:rsidRPr="006F4CD1">
              <w:rPr>
                <w:spacing w:val="-5"/>
                <w:sz w:val="16"/>
                <w:szCs w:val="16"/>
              </w:rPr>
              <w:t>42</w:t>
            </w:r>
          </w:p>
        </w:tc>
        <w:tc>
          <w:tcPr>
            <w:tcW w:w="910" w:type="pct"/>
            <w:tcBorders>
              <w:top w:val="nil"/>
              <w:bottom w:val="nil"/>
            </w:tcBorders>
          </w:tcPr>
          <w:p w14:paraId="40858C4B" w14:textId="77777777" w:rsidR="00B3500A" w:rsidRPr="006F4CD1" w:rsidRDefault="00B3500A" w:rsidP="00D62AD1">
            <w:pPr>
              <w:pStyle w:val="TableParagraph"/>
              <w:ind w:left="118"/>
              <w:jc w:val="left"/>
              <w:rPr>
                <w:sz w:val="16"/>
                <w:szCs w:val="16"/>
              </w:rPr>
            </w:pPr>
            <w:r w:rsidRPr="006F4CD1">
              <w:rPr>
                <w:w w:val="110"/>
                <w:sz w:val="16"/>
                <w:szCs w:val="16"/>
              </w:rPr>
              <w:t>South</w:t>
            </w:r>
            <w:r w:rsidRPr="006F4CD1">
              <w:rPr>
                <w:spacing w:val="1"/>
                <w:w w:val="110"/>
                <w:sz w:val="16"/>
                <w:szCs w:val="16"/>
              </w:rPr>
              <w:t xml:space="preserve"> </w:t>
            </w:r>
            <w:r w:rsidRPr="006F4CD1">
              <w:rPr>
                <w:spacing w:val="-2"/>
                <w:w w:val="110"/>
                <w:sz w:val="16"/>
                <w:szCs w:val="16"/>
              </w:rPr>
              <w:t>Dakota</w:t>
            </w:r>
          </w:p>
        </w:tc>
        <w:tc>
          <w:tcPr>
            <w:tcW w:w="312" w:type="pct"/>
            <w:tcBorders>
              <w:top w:val="nil"/>
              <w:bottom w:val="nil"/>
            </w:tcBorders>
          </w:tcPr>
          <w:p w14:paraId="5E63E765" w14:textId="77777777" w:rsidR="00B3500A" w:rsidRPr="006F4CD1" w:rsidRDefault="00B3500A" w:rsidP="00D62AD1">
            <w:pPr>
              <w:pStyle w:val="TableParagraph"/>
              <w:ind w:left="97" w:right="89"/>
              <w:rPr>
                <w:sz w:val="16"/>
                <w:szCs w:val="16"/>
              </w:rPr>
            </w:pPr>
            <w:r w:rsidRPr="006F4CD1">
              <w:rPr>
                <w:spacing w:val="-4"/>
                <w:sz w:val="16"/>
                <w:szCs w:val="16"/>
              </w:rPr>
              <w:t>0.55</w:t>
            </w:r>
          </w:p>
        </w:tc>
        <w:tc>
          <w:tcPr>
            <w:tcW w:w="550" w:type="pct"/>
            <w:tcBorders>
              <w:top w:val="nil"/>
              <w:bottom w:val="nil"/>
            </w:tcBorders>
          </w:tcPr>
          <w:p w14:paraId="39B0F8D7" w14:textId="77777777" w:rsidR="00B3500A" w:rsidRPr="006F4CD1" w:rsidRDefault="00B3500A" w:rsidP="00D62AD1">
            <w:pPr>
              <w:pStyle w:val="TableParagraph"/>
              <w:ind w:left="118" w:right="109"/>
              <w:rPr>
                <w:sz w:val="16"/>
                <w:szCs w:val="16"/>
              </w:rPr>
            </w:pPr>
            <w:r w:rsidRPr="006F4CD1">
              <w:rPr>
                <w:spacing w:val="-4"/>
                <w:sz w:val="16"/>
                <w:szCs w:val="16"/>
              </w:rPr>
              <w:t>0.39</w:t>
            </w:r>
          </w:p>
        </w:tc>
        <w:tc>
          <w:tcPr>
            <w:tcW w:w="367" w:type="pct"/>
            <w:tcBorders>
              <w:top w:val="nil"/>
              <w:bottom w:val="nil"/>
            </w:tcBorders>
          </w:tcPr>
          <w:p w14:paraId="55472034" w14:textId="77777777" w:rsidR="00B3500A" w:rsidRPr="006F4CD1" w:rsidRDefault="00B3500A" w:rsidP="00D62AD1">
            <w:pPr>
              <w:pStyle w:val="TableParagraph"/>
              <w:ind w:left="98" w:right="89"/>
              <w:rPr>
                <w:sz w:val="16"/>
                <w:szCs w:val="16"/>
              </w:rPr>
            </w:pPr>
            <w:r w:rsidRPr="006F4CD1">
              <w:rPr>
                <w:spacing w:val="-4"/>
                <w:sz w:val="16"/>
                <w:szCs w:val="16"/>
              </w:rPr>
              <w:t>0.42</w:t>
            </w:r>
          </w:p>
        </w:tc>
        <w:tc>
          <w:tcPr>
            <w:tcW w:w="413" w:type="pct"/>
            <w:tcBorders>
              <w:top w:val="nil"/>
              <w:bottom w:val="nil"/>
              <w:right w:val="double" w:sz="4" w:space="0" w:color="000000"/>
            </w:tcBorders>
          </w:tcPr>
          <w:p w14:paraId="24AB4B66" w14:textId="77777777" w:rsidR="00B3500A" w:rsidRPr="006F4CD1" w:rsidRDefault="00B3500A" w:rsidP="00D62AD1">
            <w:pPr>
              <w:pStyle w:val="TableParagraph"/>
              <w:ind w:left="98" w:right="89"/>
              <w:rPr>
                <w:sz w:val="16"/>
                <w:szCs w:val="16"/>
              </w:rPr>
            </w:pPr>
            <w:r w:rsidRPr="006F4CD1">
              <w:rPr>
                <w:spacing w:val="-4"/>
                <w:sz w:val="16"/>
                <w:szCs w:val="16"/>
              </w:rPr>
              <w:t>0.53</w:t>
            </w:r>
          </w:p>
        </w:tc>
        <w:tc>
          <w:tcPr>
            <w:tcW w:w="321" w:type="pct"/>
            <w:tcBorders>
              <w:top w:val="nil"/>
              <w:left w:val="double" w:sz="4" w:space="0" w:color="000000"/>
              <w:bottom w:val="nil"/>
            </w:tcBorders>
          </w:tcPr>
          <w:p w14:paraId="5A786018" w14:textId="77777777" w:rsidR="00B3500A" w:rsidRPr="006F4CD1" w:rsidRDefault="00B3500A" w:rsidP="00D62AD1">
            <w:pPr>
              <w:pStyle w:val="TableParagraph"/>
              <w:ind w:right="102"/>
              <w:rPr>
                <w:sz w:val="16"/>
                <w:szCs w:val="16"/>
              </w:rPr>
            </w:pPr>
            <w:r w:rsidRPr="006F4CD1">
              <w:rPr>
                <w:spacing w:val="-4"/>
                <w:sz w:val="16"/>
                <w:szCs w:val="16"/>
              </w:rPr>
              <w:t>0.72</w:t>
            </w:r>
          </w:p>
        </w:tc>
        <w:tc>
          <w:tcPr>
            <w:tcW w:w="505" w:type="pct"/>
            <w:tcBorders>
              <w:top w:val="nil"/>
              <w:bottom w:val="nil"/>
            </w:tcBorders>
          </w:tcPr>
          <w:p w14:paraId="570B62F7"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0.57</w:t>
            </w:r>
          </w:p>
        </w:tc>
        <w:tc>
          <w:tcPr>
            <w:tcW w:w="413" w:type="pct"/>
            <w:tcBorders>
              <w:top w:val="nil"/>
              <w:bottom w:val="nil"/>
            </w:tcBorders>
          </w:tcPr>
          <w:p w14:paraId="6AE08D4C" w14:textId="77777777" w:rsidR="00B3500A" w:rsidRPr="006F4CD1" w:rsidRDefault="00B3500A" w:rsidP="00D62AD1">
            <w:pPr>
              <w:pStyle w:val="TableParagraph"/>
              <w:ind w:left="271"/>
              <w:jc w:val="left"/>
              <w:rPr>
                <w:sz w:val="16"/>
                <w:szCs w:val="16"/>
              </w:rPr>
            </w:pPr>
            <w:r w:rsidRPr="006F4CD1">
              <w:rPr>
                <w:spacing w:val="-4"/>
                <w:sz w:val="16"/>
                <w:szCs w:val="16"/>
              </w:rPr>
              <w:t>0.57</w:t>
            </w:r>
          </w:p>
        </w:tc>
        <w:tc>
          <w:tcPr>
            <w:tcW w:w="413" w:type="pct"/>
            <w:tcBorders>
              <w:top w:val="nil"/>
              <w:bottom w:val="nil"/>
            </w:tcBorders>
          </w:tcPr>
          <w:p w14:paraId="43998835" w14:textId="77777777" w:rsidR="00B3500A" w:rsidRPr="006F4CD1" w:rsidRDefault="00B3500A" w:rsidP="00D62AD1">
            <w:pPr>
              <w:pStyle w:val="TableParagraph"/>
              <w:ind w:right="103"/>
              <w:rPr>
                <w:sz w:val="16"/>
                <w:szCs w:val="16"/>
              </w:rPr>
            </w:pPr>
            <w:r w:rsidRPr="006F4CD1">
              <w:rPr>
                <w:spacing w:val="-4"/>
                <w:sz w:val="16"/>
                <w:szCs w:val="16"/>
              </w:rPr>
              <w:t>0.70</w:t>
            </w:r>
          </w:p>
        </w:tc>
        <w:tc>
          <w:tcPr>
            <w:tcW w:w="550" w:type="pct"/>
            <w:tcBorders>
              <w:top w:val="nil"/>
              <w:bottom w:val="nil"/>
            </w:tcBorders>
          </w:tcPr>
          <w:p w14:paraId="740B2CCC" w14:textId="77777777" w:rsidR="00B3500A" w:rsidRPr="006F4CD1" w:rsidRDefault="00B3500A" w:rsidP="00D62AD1">
            <w:pPr>
              <w:pStyle w:val="TableParagraph"/>
              <w:ind w:left="109" w:right="102"/>
              <w:rPr>
                <w:sz w:val="16"/>
                <w:szCs w:val="16"/>
              </w:rPr>
            </w:pPr>
            <w:r w:rsidRPr="006F4CD1">
              <w:rPr>
                <w:spacing w:val="-2"/>
                <w:w w:val="105"/>
                <w:sz w:val="16"/>
                <w:szCs w:val="16"/>
              </w:rPr>
              <w:t>Midwest</w:t>
            </w:r>
          </w:p>
        </w:tc>
      </w:tr>
      <w:tr w:rsidR="00B3500A" w:rsidRPr="006F4CD1" w14:paraId="723697DD" w14:textId="77777777" w:rsidTr="00326B3D">
        <w:trPr>
          <w:trHeight w:val="239"/>
        </w:trPr>
        <w:tc>
          <w:tcPr>
            <w:tcW w:w="246" w:type="pct"/>
            <w:tcBorders>
              <w:top w:val="nil"/>
              <w:left w:val="double" w:sz="4" w:space="0" w:color="000000"/>
              <w:bottom w:val="nil"/>
            </w:tcBorders>
          </w:tcPr>
          <w:p w14:paraId="1F25A40E" w14:textId="77777777" w:rsidR="00B3500A" w:rsidRPr="006F4CD1" w:rsidRDefault="00B3500A" w:rsidP="00D62AD1">
            <w:pPr>
              <w:pStyle w:val="TableParagraph"/>
              <w:ind w:left="119" w:right="91"/>
              <w:rPr>
                <w:sz w:val="16"/>
                <w:szCs w:val="16"/>
              </w:rPr>
            </w:pPr>
            <w:r w:rsidRPr="006F4CD1">
              <w:rPr>
                <w:spacing w:val="-5"/>
                <w:sz w:val="16"/>
                <w:szCs w:val="16"/>
              </w:rPr>
              <w:t>43</w:t>
            </w:r>
          </w:p>
        </w:tc>
        <w:tc>
          <w:tcPr>
            <w:tcW w:w="910" w:type="pct"/>
            <w:tcBorders>
              <w:top w:val="nil"/>
              <w:bottom w:val="nil"/>
            </w:tcBorders>
          </w:tcPr>
          <w:p w14:paraId="021369DB" w14:textId="77777777" w:rsidR="00B3500A" w:rsidRPr="006F4CD1" w:rsidRDefault="00B3500A" w:rsidP="00D62AD1">
            <w:pPr>
              <w:pStyle w:val="TableParagraph"/>
              <w:ind w:left="118"/>
              <w:jc w:val="left"/>
              <w:rPr>
                <w:sz w:val="16"/>
                <w:szCs w:val="16"/>
              </w:rPr>
            </w:pPr>
            <w:r w:rsidRPr="006F4CD1">
              <w:rPr>
                <w:spacing w:val="-2"/>
                <w:w w:val="105"/>
                <w:sz w:val="16"/>
                <w:szCs w:val="16"/>
              </w:rPr>
              <w:t>Tennessee</w:t>
            </w:r>
          </w:p>
        </w:tc>
        <w:tc>
          <w:tcPr>
            <w:tcW w:w="312" w:type="pct"/>
            <w:tcBorders>
              <w:top w:val="nil"/>
              <w:bottom w:val="nil"/>
            </w:tcBorders>
          </w:tcPr>
          <w:p w14:paraId="3DD0B5F3" w14:textId="77777777" w:rsidR="00B3500A" w:rsidRPr="006F4CD1" w:rsidRDefault="00B3500A" w:rsidP="00D62AD1">
            <w:pPr>
              <w:pStyle w:val="TableParagraph"/>
              <w:ind w:left="97" w:right="89"/>
              <w:rPr>
                <w:sz w:val="16"/>
                <w:szCs w:val="16"/>
              </w:rPr>
            </w:pPr>
            <w:r w:rsidRPr="006F4CD1">
              <w:rPr>
                <w:spacing w:val="-4"/>
                <w:sz w:val="16"/>
                <w:szCs w:val="16"/>
              </w:rPr>
              <w:t>0.47</w:t>
            </w:r>
          </w:p>
        </w:tc>
        <w:tc>
          <w:tcPr>
            <w:tcW w:w="550" w:type="pct"/>
            <w:tcBorders>
              <w:top w:val="nil"/>
              <w:bottom w:val="nil"/>
            </w:tcBorders>
          </w:tcPr>
          <w:p w14:paraId="0AE0F862" w14:textId="77777777" w:rsidR="00B3500A" w:rsidRPr="006F4CD1" w:rsidRDefault="00B3500A" w:rsidP="00D62AD1">
            <w:pPr>
              <w:pStyle w:val="TableParagraph"/>
              <w:ind w:left="118" w:right="109"/>
              <w:rPr>
                <w:sz w:val="16"/>
                <w:szCs w:val="16"/>
              </w:rPr>
            </w:pPr>
            <w:r w:rsidRPr="006F4CD1">
              <w:rPr>
                <w:spacing w:val="-4"/>
                <w:sz w:val="16"/>
                <w:szCs w:val="16"/>
              </w:rPr>
              <w:t>0.45</w:t>
            </w:r>
          </w:p>
        </w:tc>
        <w:tc>
          <w:tcPr>
            <w:tcW w:w="367" w:type="pct"/>
            <w:tcBorders>
              <w:top w:val="nil"/>
              <w:bottom w:val="nil"/>
            </w:tcBorders>
          </w:tcPr>
          <w:p w14:paraId="73A58E8E" w14:textId="77777777" w:rsidR="00B3500A" w:rsidRPr="006F4CD1" w:rsidRDefault="00B3500A" w:rsidP="00D62AD1">
            <w:pPr>
              <w:pStyle w:val="TableParagraph"/>
              <w:ind w:left="98" w:right="89"/>
              <w:rPr>
                <w:sz w:val="16"/>
                <w:szCs w:val="16"/>
              </w:rPr>
            </w:pPr>
            <w:r w:rsidRPr="006F4CD1">
              <w:rPr>
                <w:spacing w:val="-4"/>
                <w:sz w:val="16"/>
                <w:szCs w:val="16"/>
              </w:rPr>
              <w:t>0.43</w:t>
            </w:r>
          </w:p>
        </w:tc>
        <w:tc>
          <w:tcPr>
            <w:tcW w:w="413" w:type="pct"/>
            <w:tcBorders>
              <w:top w:val="nil"/>
              <w:bottom w:val="nil"/>
              <w:right w:val="double" w:sz="4" w:space="0" w:color="000000"/>
            </w:tcBorders>
          </w:tcPr>
          <w:p w14:paraId="315ADE50" w14:textId="77777777" w:rsidR="00B3500A" w:rsidRPr="006F4CD1" w:rsidRDefault="00B3500A" w:rsidP="00D62AD1">
            <w:pPr>
              <w:pStyle w:val="TableParagraph"/>
              <w:ind w:left="98" w:right="89"/>
              <w:rPr>
                <w:sz w:val="16"/>
                <w:szCs w:val="16"/>
              </w:rPr>
            </w:pPr>
            <w:r w:rsidRPr="006F4CD1">
              <w:rPr>
                <w:spacing w:val="-4"/>
                <w:sz w:val="16"/>
                <w:szCs w:val="16"/>
              </w:rPr>
              <w:t>0.46</w:t>
            </w:r>
          </w:p>
        </w:tc>
        <w:tc>
          <w:tcPr>
            <w:tcW w:w="321" w:type="pct"/>
            <w:tcBorders>
              <w:top w:val="nil"/>
              <w:left w:val="double" w:sz="4" w:space="0" w:color="000000"/>
              <w:bottom w:val="nil"/>
            </w:tcBorders>
          </w:tcPr>
          <w:p w14:paraId="060F7F4E" w14:textId="77777777" w:rsidR="00B3500A" w:rsidRPr="006F4CD1" w:rsidRDefault="00B3500A" w:rsidP="00D62AD1">
            <w:pPr>
              <w:pStyle w:val="TableParagraph"/>
              <w:ind w:right="102"/>
              <w:rPr>
                <w:sz w:val="16"/>
                <w:szCs w:val="16"/>
              </w:rPr>
            </w:pPr>
            <w:r w:rsidRPr="006F4CD1">
              <w:rPr>
                <w:spacing w:val="-4"/>
                <w:sz w:val="16"/>
                <w:szCs w:val="16"/>
              </w:rPr>
              <w:t>0.59</w:t>
            </w:r>
          </w:p>
        </w:tc>
        <w:tc>
          <w:tcPr>
            <w:tcW w:w="505" w:type="pct"/>
            <w:tcBorders>
              <w:top w:val="nil"/>
              <w:bottom w:val="nil"/>
            </w:tcBorders>
          </w:tcPr>
          <w:p w14:paraId="1B937774"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0.56</w:t>
            </w:r>
          </w:p>
        </w:tc>
        <w:tc>
          <w:tcPr>
            <w:tcW w:w="413" w:type="pct"/>
            <w:tcBorders>
              <w:top w:val="nil"/>
              <w:bottom w:val="nil"/>
            </w:tcBorders>
          </w:tcPr>
          <w:p w14:paraId="035A65C0" w14:textId="77777777" w:rsidR="00B3500A" w:rsidRPr="006F4CD1" w:rsidRDefault="00B3500A" w:rsidP="00D62AD1">
            <w:pPr>
              <w:pStyle w:val="TableParagraph"/>
              <w:ind w:left="271"/>
              <w:jc w:val="left"/>
              <w:rPr>
                <w:sz w:val="16"/>
                <w:szCs w:val="16"/>
              </w:rPr>
            </w:pPr>
            <w:r w:rsidRPr="006F4CD1">
              <w:rPr>
                <w:spacing w:val="-4"/>
                <w:sz w:val="16"/>
                <w:szCs w:val="16"/>
              </w:rPr>
              <w:t>0.54</w:t>
            </w:r>
          </w:p>
        </w:tc>
        <w:tc>
          <w:tcPr>
            <w:tcW w:w="413" w:type="pct"/>
            <w:tcBorders>
              <w:top w:val="nil"/>
              <w:bottom w:val="nil"/>
            </w:tcBorders>
          </w:tcPr>
          <w:p w14:paraId="3DFE2A9A" w14:textId="77777777" w:rsidR="00B3500A" w:rsidRPr="006F4CD1" w:rsidRDefault="00B3500A" w:rsidP="00D62AD1">
            <w:pPr>
              <w:pStyle w:val="TableParagraph"/>
              <w:ind w:right="103"/>
              <w:rPr>
                <w:sz w:val="16"/>
                <w:szCs w:val="16"/>
              </w:rPr>
            </w:pPr>
            <w:r w:rsidRPr="006F4CD1">
              <w:rPr>
                <w:spacing w:val="-4"/>
                <w:sz w:val="16"/>
                <w:szCs w:val="16"/>
              </w:rPr>
              <w:t>0.58</w:t>
            </w:r>
          </w:p>
        </w:tc>
        <w:tc>
          <w:tcPr>
            <w:tcW w:w="550" w:type="pct"/>
            <w:tcBorders>
              <w:top w:val="nil"/>
              <w:bottom w:val="nil"/>
            </w:tcBorders>
          </w:tcPr>
          <w:p w14:paraId="5AB52418"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7AC0E72D" w14:textId="77777777" w:rsidTr="00326B3D">
        <w:trPr>
          <w:trHeight w:val="239"/>
        </w:trPr>
        <w:tc>
          <w:tcPr>
            <w:tcW w:w="246" w:type="pct"/>
            <w:tcBorders>
              <w:top w:val="nil"/>
              <w:left w:val="double" w:sz="4" w:space="0" w:color="000000"/>
              <w:bottom w:val="nil"/>
            </w:tcBorders>
          </w:tcPr>
          <w:p w14:paraId="336CEFBF" w14:textId="77777777" w:rsidR="00B3500A" w:rsidRPr="006F4CD1" w:rsidRDefault="00B3500A" w:rsidP="00D62AD1">
            <w:pPr>
              <w:pStyle w:val="TableParagraph"/>
              <w:ind w:left="119" w:right="91"/>
              <w:rPr>
                <w:sz w:val="16"/>
                <w:szCs w:val="16"/>
              </w:rPr>
            </w:pPr>
            <w:r w:rsidRPr="006F4CD1">
              <w:rPr>
                <w:spacing w:val="-5"/>
                <w:sz w:val="16"/>
                <w:szCs w:val="16"/>
              </w:rPr>
              <w:t>44</w:t>
            </w:r>
          </w:p>
        </w:tc>
        <w:tc>
          <w:tcPr>
            <w:tcW w:w="910" w:type="pct"/>
            <w:tcBorders>
              <w:top w:val="nil"/>
              <w:bottom w:val="nil"/>
            </w:tcBorders>
          </w:tcPr>
          <w:p w14:paraId="753652F7" w14:textId="77777777" w:rsidR="00B3500A" w:rsidRPr="006F4CD1" w:rsidRDefault="00B3500A" w:rsidP="00D62AD1">
            <w:pPr>
              <w:pStyle w:val="TableParagraph"/>
              <w:ind w:left="118"/>
              <w:jc w:val="left"/>
              <w:rPr>
                <w:sz w:val="16"/>
                <w:szCs w:val="16"/>
              </w:rPr>
            </w:pPr>
            <w:r w:rsidRPr="006F4CD1">
              <w:rPr>
                <w:spacing w:val="-2"/>
                <w:w w:val="105"/>
                <w:sz w:val="16"/>
                <w:szCs w:val="16"/>
              </w:rPr>
              <w:t>Texas</w:t>
            </w:r>
          </w:p>
        </w:tc>
        <w:tc>
          <w:tcPr>
            <w:tcW w:w="312" w:type="pct"/>
            <w:tcBorders>
              <w:top w:val="nil"/>
              <w:bottom w:val="nil"/>
            </w:tcBorders>
          </w:tcPr>
          <w:p w14:paraId="4019D31A" w14:textId="77777777" w:rsidR="00B3500A" w:rsidRPr="006F4CD1" w:rsidRDefault="00B3500A" w:rsidP="00D62AD1">
            <w:pPr>
              <w:pStyle w:val="TableParagraph"/>
              <w:ind w:left="97" w:right="89"/>
              <w:rPr>
                <w:sz w:val="16"/>
                <w:szCs w:val="16"/>
              </w:rPr>
            </w:pPr>
            <w:r w:rsidRPr="006F4CD1">
              <w:rPr>
                <w:spacing w:val="-4"/>
                <w:sz w:val="16"/>
                <w:szCs w:val="16"/>
              </w:rPr>
              <w:t>0.46</w:t>
            </w:r>
          </w:p>
        </w:tc>
        <w:tc>
          <w:tcPr>
            <w:tcW w:w="550" w:type="pct"/>
            <w:tcBorders>
              <w:top w:val="nil"/>
              <w:bottom w:val="nil"/>
            </w:tcBorders>
          </w:tcPr>
          <w:p w14:paraId="39C47293" w14:textId="77777777" w:rsidR="00B3500A" w:rsidRPr="006F4CD1" w:rsidRDefault="00B3500A" w:rsidP="00D62AD1">
            <w:pPr>
              <w:pStyle w:val="TableParagraph"/>
              <w:ind w:left="118" w:right="109"/>
              <w:rPr>
                <w:sz w:val="16"/>
                <w:szCs w:val="16"/>
              </w:rPr>
            </w:pPr>
            <w:r w:rsidRPr="006F4CD1">
              <w:rPr>
                <w:spacing w:val="-4"/>
                <w:sz w:val="16"/>
                <w:szCs w:val="16"/>
              </w:rPr>
              <w:t>0.43</w:t>
            </w:r>
          </w:p>
        </w:tc>
        <w:tc>
          <w:tcPr>
            <w:tcW w:w="367" w:type="pct"/>
            <w:tcBorders>
              <w:top w:val="nil"/>
              <w:bottom w:val="nil"/>
            </w:tcBorders>
          </w:tcPr>
          <w:p w14:paraId="406C3AFB" w14:textId="77777777" w:rsidR="00B3500A" w:rsidRPr="006F4CD1" w:rsidRDefault="00B3500A" w:rsidP="00D62AD1">
            <w:pPr>
              <w:pStyle w:val="TableParagraph"/>
              <w:ind w:left="98" w:right="89"/>
              <w:rPr>
                <w:sz w:val="16"/>
                <w:szCs w:val="16"/>
              </w:rPr>
            </w:pPr>
            <w:r w:rsidRPr="006F4CD1">
              <w:rPr>
                <w:spacing w:val="-4"/>
                <w:sz w:val="16"/>
                <w:szCs w:val="16"/>
              </w:rPr>
              <w:t>0.41</w:t>
            </w:r>
          </w:p>
        </w:tc>
        <w:tc>
          <w:tcPr>
            <w:tcW w:w="413" w:type="pct"/>
            <w:tcBorders>
              <w:top w:val="nil"/>
              <w:bottom w:val="nil"/>
              <w:right w:val="double" w:sz="4" w:space="0" w:color="000000"/>
            </w:tcBorders>
          </w:tcPr>
          <w:p w14:paraId="131F9743" w14:textId="77777777" w:rsidR="00B3500A" w:rsidRPr="006F4CD1" w:rsidRDefault="00B3500A" w:rsidP="00D62AD1">
            <w:pPr>
              <w:pStyle w:val="TableParagraph"/>
              <w:ind w:left="98" w:right="89"/>
              <w:rPr>
                <w:sz w:val="16"/>
                <w:szCs w:val="16"/>
              </w:rPr>
            </w:pPr>
            <w:r w:rsidRPr="006F4CD1">
              <w:rPr>
                <w:spacing w:val="-4"/>
                <w:sz w:val="16"/>
                <w:szCs w:val="16"/>
              </w:rPr>
              <w:t>0.45</w:t>
            </w:r>
          </w:p>
        </w:tc>
        <w:tc>
          <w:tcPr>
            <w:tcW w:w="321" w:type="pct"/>
            <w:tcBorders>
              <w:top w:val="nil"/>
              <w:left w:val="double" w:sz="4" w:space="0" w:color="000000"/>
              <w:bottom w:val="nil"/>
            </w:tcBorders>
          </w:tcPr>
          <w:p w14:paraId="3DFAA448" w14:textId="77777777" w:rsidR="00B3500A" w:rsidRPr="006F4CD1" w:rsidRDefault="00B3500A" w:rsidP="00D62AD1">
            <w:pPr>
              <w:pStyle w:val="TableParagraph"/>
              <w:ind w:right="102"/>
              <w:rPr>
                <w:sz w:val="16"/>
                <w:szCs w:val="16"/>
              </w:rPr>
            </w:pPr>
            <w:r w:rsidRPr="006F4CD1">
              <w:rPr>
                <w:spacing w:val="-4"/>
                <w:sz w:val="16"/>
                <w:szCs w:val="16"/>
              </w:rPr>
              <w:t>0.69</w:t>
            </w:r>
          </w:p>
        </w:tc>
        <w:tc>
          <w:tcPr>
            <w:tcW w:w="505" w:type="pct"/>
            <w:tcBorders>
              <w:top w:val="nil"/>
              <w:bottom w:val="nil"/>
            </w:tcBorders>
          </w:tcPr>
          <w:p w14:paraId="537D27CF"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0.64</w:t>
            </w:r>
          </w:p>
        </w:tc>
        <w:tc>
          <w:tcPr>
            <w:tcW w:w="413" w:type="pct"/>
            <w:tcBorders>
              <w:top w:val="nil"/>
              <w:bottom w:val="nil"/>
            </w:tcBorders>
          </w:tcPr>
          <w:p w14:paraId="036D1F3F" w14:textId="77777777" w:rsidR="00B3500A" w:rsidRPr="006F4CD1" w:rsidRDefault="00B3500A" w:rsidP="00D62AD1">
            <w:pPr>
              <w:pStyle w:val="TableParagraph"/>
              <w:ind w:left="271"/>
              <w:jc w:val="left"/>
              <w:rPr>
                <w:sz w:val="16"/>
                <w:szCs w:val="16"/>
              </w:rPr>
            </w:pPr>
            <w:r w:rsidRPr="006F4CD1">
              <w:rPr>
                <w:spacing w:val="-4"/>
                <w:sz w:val="16"/>
                <w:szCs w:val="16"/>
              </w:rPr>
              <w:t>0.61</w:t>
            </w:r>
          </w:p>
        </w:tc>
        <w:tc>
          <w:tcPr>
            <w:tcW w:w="413" w:type="pct"/>
            <w:tcBorders>
              <w:top w:val="nil"/>
              <w:bottom w:val="nil"/>
            </w:tcBorders>
          </w:tcPr>
          <w:p w14:paraId="0C546EB5" w14:textId="77777777" w:rsidR="00B3500A" w:rsidRPr="006F4CD1" w:rsidRDefault="00B3500A" w:rsidP="00D62AD1">
            <w:pPr>
              <w:pStyle w:val="TableParagraph"/>
              <w:ind w:right="103"/>
              <w:rPr>
                <w:sz w:val="16"/>
                <w:szCs w:val="16"/>
              </w:rPr>
            </w:pPr>
            <w:r w:rsidRPr="006F4CD1">
              <w:rPr>
                <w:spacing w:val="-4"/>
                <w:sz w:val="16"/>
                <w:szCs w:val="16"/>
              </w:rPr>
              <w:t>0.68</w:t>
            </w:r>
          </w:p>
        </w:tc>
        <w:tc>
          <w:tcPr>
            <w:tcW w:w="550" w:type="pct"/>
            <w:tcBorders>
              <w:top w:val="nil"/>
              <w:bottom w:val="nil"/>
            </w:tcBorders>
          </w:tcPr>
          <w:p w14:paraId="1E27DFC9"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63916B58" w14:textId="77777777" w:rsidTr="00326B3D">
        <w:trPr>
          <w:trHeight w:val="239"/>
        </w:trPr>
        <w:tc>
          <w:tcPr>
            <w:tcW w:w="246" w:type="pct"/>
            <w:tcBorders>
              <w:top w:val="nil"/>
              <w:left w:val="double" w:sz="4" w:space="0" w:color="000000"/>
              <w:bottom w:val="nil"/>
            </w:tcBorders>
          </w:tcPr>
          <w:p w14:paraId="55719C49" w14:textId="77777777" w:rsidR="00B3500A" w:rsidRPr="006F4CD1" w:rsidRDefault="00B3500A" w:rsidP="00D62AD1">
            <w:pPr>
              <w:pStyle w:val="TableParagraph"/>
              <w:ind w:left="119" w:right="91"/>
              <w:rPr>
                <w:sz w:val="16"/>
                <w:szCs w:val="16"/>
              </w:rPr>
            </w:pPr>
            <w:r w:rsidRPr="006F4CD1">
              <w:rPr>
                <w:spacing w:val="-5"/>
                <w:sz w:val="16"/>
                <w:szCs w:val="16"/>
              </w:rPr>
              <w:t>45</w:t>
            </w:r>
          </w:p>
        </w:tc>
        <w:tc>
          <w:tcPr>
            <w:tcW w:w="910" w:type="pct"/>
            <w:tcBorders>
              <w:top w:val="nil"/>
              <w:bottom w:val="nil"/>
            </w:tcBorders>
          </w:tcPr>
          <w:p w14:paraId="02858EF0" w14:textId="77777777" w:rsidR="00B3500A" w:rsidRPr="006F4CD1" w:rsidRDefault="00B3500A" w:rsidP="00D62AD1">
            <w:pPr>
              <w:pStyle w:val="TableParagraph"/>
              <w:ind w:left="118"/>
              <w:jc w:val="left"/>
              <w:rPr>
                <w:sz w:val="16"/>
                <w:szCs w:val="16"/>
              </w:rPr>
            </w:pPr>
            <w:r w:rsidRPr="006F4CD1">
              <w:rPr>
                <w:spacing w:val="-4"/>
                <w:w w:val="110"/>
                <w:sz w:val="16"/>
                <w:szCs w:val="16"/>
              </w:rPr>
              <w:t>Utah</w:t>
            </w:r>
          </w:p>
        </w:tc>
        <w:tc>
          <w:tcPr>
            <w:tcW w:w="312" w:type="pct"/>
            <w:tcBorders>
              <w:top w:val="nil"/>
              <w:bottom w:val="nil"/>
            </w:tcBorders>
          </w:tcPr>
          <w:p w14:paraId="58C94EAC" w14:textId="77777777" w:rsidR="00B3500A" w:rsidRPr="006F4CD1" w:rsidRDefault="00B3500A" w:rsidP="00D62AD1">
            <w:pPr>
              <w:pStyle w:val="TableParagraph"/>
              <w:ind w:left="97" w:right="89"/>
              <w:rPr>
                <w:sz w:val="16"/>
                <w:szCs w:val="16"/>
              </w:rPr>
            </w:pPr>
            <w:r w:rsidRPr="006F4CD1">
              <w:rPr>
                <w:spacing w:val="-4"/>
                <w:sz w:val="16"/>
                <w:szCs w:val="16"/>
              </w:rPr>
              <w:t>0.64</w:t>
            </w:r>
          </w:p>
        </w:tc>
        <w:tc>
          <w:tcPr>
            <w:tcW w:w="550" w:type="pct"/>
            <w:tcBorders>
              <w:top w:val="nil"/>
              <w:bottom w:val="nil"/>
            </w:tcBorders>
          </w:tcPr>
          <w:p w14:paraId="3DDC1340" w14:textId="77777777" w:rsidR="00B3500A" w:rsidRPr="006F4CD1" w:rsidRDefault="00B3500A" w:rsidP="00D62AD1">
            <w:pPr>
              <w:pStyle w:val="TableParagraph"/>
              <w:ind w:left="118" w:right="109"/>
              <w:rPr>
                <w:sz w:val="16"/>
                <w:szCs w:val="16"/>
              </w:rPr>
            </w:pPr>
            <w:r w:rsidRPr="006F4CD1">
              <w:rPr>
                <w:spacing w:val="-4"/>
                <w:sz w:val="16"/>
                <w:szCs w:val="16"/>
              </w:rPr>
              <w:t>0.39</w:t>
            </w:r>
          </w:p>
        </w:tc>
        <w:tc>
          <w:tcPr>
            <w:tcW w:w="367" w:type="pct"/>
            <w:tcBorders>
              <w:top w:val="nil"/>
              <w:bottom w:val="nil"/>
            </w:tcBorders>
          </w:tcPr>
          <w:p w14:paraId="3EDB44E8" w14:textId="77777777" w:rsidR="00B3500A" w:rsidRPr="006F4CD1" w:rsidRDefault="00B3500A" w:rsidP="00D62AD1">
            <w:pPr>
              <w:pStyle w:val="TableParagraph"/>
              <w:ind w:left="98" w:right="89"/>
              <w:rPr>
                <w:sz w:val="16"/>
                <w:szCs w:val="16"/>
              </w:rPr>
            </w:pPr>
            <w:r w:rsidRPr="006F4CD1">
              <w:rPr>
                <w:spacing w:val="-4"/>
                <w:sz w:val="16"/>
                <w:szCs w:val="16"/>
              </w:rPr>
              <w:t>0.48</w:t>
            </w:r>
          </w:p>
        </w:tc>
        <w:tc>
          <w:tcPr>
            <w:tcW w:w="413" w:type="pct"/>
            <w:tcBorders>
              <w:top w:val="nil"/>
              <w:bottom w:val="nil"/>
              <w:right w:val="double" w:sz="4" w:space="0" w:color="000000"/>
            </w:tcBorders>
          </w:tcPr>
          <w:p w14:paraId="7CEF5D22" w14:textId="77777777" w:rsidR="00B3500A" w:rsidRPr="006F4CD1" w:rsidRDefault="00B3500A" w:rsidP="00D62AD1">
            <w:pPr>
              <w:pStyle w:val="TableParagraph"/>
              <w:ind w:left="98" w:right="89"/>
              <w:rPr>
                <w:sz w:val="16"/>
                <w:szCs w:val="16"/>
              </w:rPr>
            </w:pPr>
            <w:r w:rsidRPr="006F4CD1">
              <w:rPr>
                <w:spacing w:val="-4"/>
                <w:sz w:val="16"/>
                <w:szCs w:val="16"/>
              </w:rPr>
              <w:t>0.60</w:t>
            </w:r>
          </w:p>
        </w:tc>
        <w:tc>
          <w:tcPr>
            <w:tcW w:w="321" w:type="pct"/>
            <w:tcBorders>
              <w:top w:val="nil"/>
              <w:left w:val="double" w:sz="4" w:space="0" w:color="000000"/>
              <w:bottom w:val="nil"/>
            </w:tcBorders>
          </w:tcPr>
          <w:p w14:paraId="05D4CDED" w14:textId="77777777" w:rsidR="00B3500A" w:rsidRPr="006F4CD1" w:rsidRDefault="00B3500A" w:rsidP="00D62AD1">
            <w:pPr>
              <w:pStyle w:val="TableParagraph"/>
              <w:ind w:right="102"/>
              <w:rPr>
                <w:sz w:val="16"/>
                <w:szCs w:val="16"/>
              </w:rPr>
            </w:pPr>
            <w:r w:rsidRPr="006F4CD1">
              <w:rPr>
                <w:spacing w:val="-4"/>
                <w:sz w:val="16"/>
                <w:szCs w:val="16"/>
              </w:rPr>
              <w:t>0.67</w:t>
            </w:r>
          </w:p>
        </w:tc>
        <w:tc>
          <w:tcPr>
            <w:tcW w:w="505" w:type="pct"/>
            <w:tcBorders>
              <w:top w:val="nil"/>
              <w:bottom w:val="nil"/>
            </w:tcBorders>
          </w:tcPr>
          <w:p w14:paraId="4FECB837"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0.52</w:t>
            </w:r>
          </w:p>
        </w:tc>
        <w:tc>
          <w:tcPr>
            <w:tcW w:w="413" w:type="pct"/>
            <w:tcBorders>
              <w:top w:val="nil"/>
              <w:bottom w:val="nil"/>
            </w:tcBorders>
          </w:tcPr>
          <w:p w14:paraId="4763FBE2" w14:textId="77777777" w:rsidR="00B3500A" w:rsidRPr="006F4CD1" w:rsidRDefault="00B3500A" w:rsidP="00D62AD1">
            <w:pPr>
              <w:pStyle w:val="TableParagraph"/>
              <w:ind w:left="271"/>
              <w:jc w:val="left"/>
              <w:rPr>
                <w:sz w:val="16"/>
                <w:szCs w:val="16"/>
              </w:rPr>
            </w:pPr>
            <w:r w:rsidRPr="006F4CD1">
              <w:rPr>
                <w:spacing w:val="-4"/>
                <w:sz w:val="16"/>
                <w:szCs w:val="16"/>
              </w:rPr>
              <w:t>0.54</w:t>
            </w:r>
          </w:p>
        </w:tc>
        <w:tc>
          <w:tcPr>
            <w:tcW w:w="413" w:type="pct"/>
            <w:tcBorders>
              <w:top w:val="nil"/>
              <w:bottom w:val="nil"/>
            </w:tcBorders>
          </w:tcPr>
          <w:p w14:paraId="61C2E823" w14:textId="77777777" w:rsidR="00B3500A" w:rsidRPr="006F4CD1" w:rsidRDefault="00B3500A" w:rsidP="00D62AD1">
            <w:pPr>
              <w:pStyle w:val="TableParagraph"/>
              <w:ind w:right="103"/>
              <w:rPr>
                <w:sz w:val="16"/>
                <w:szCs w:val="16"/>
              </w:rPr>
            </w:pPr>
            <w:r w:rsidRPr="006F4CD1">
              <w:rPr>
                <w:spacing w:val="-4"/>
                <w:sz w:val="16"/>
                <w:szCs w:val="16"/>
              </w:rPr>
              <w:t>0.66</w:t>
            </w:r>
          </w:p>
        </w:tc>
        <w:tc>
          <w:tcPr>
            <w:tcW w:w="550" w:type="pct"/>
            <w:tcBorders>
              <w:top w:val="nil"/>
              <w:bottom w:val="nil"/>
            </w:tcBorders>
          </w:tcPr>
          <w:p w14:paraId="0D507B28" w14:textId="77777777" w:rsidR="00B3500A" w:rsidRPr="006F4CD1" w:rsidRDefault="00B3500A" w:rsidP="00D62AD1">
            <w:pPr>
              <w:pStyle w:val="TableParagraph"/>
              <w:ind w:left="109" w:right="102"/>
              <w:rPr>
                <w:sz w:val="16"/>
                <w:szCs w:val="16"/>
              </w:rPr>
            </w:pPr>
            <w:r w:rsidRPr="006F4CD1">
              <w:rPr>
                <w:spacing w:val="-4"/>
                <w:w w:val="110"/>
                <w:sz w:val="16"/>
                <w:szCs w:val="16"/>
              </w:rPr>
              <w:t>West</w:t>
            </w:r>
          </w:p>
        </w:tc>
      </w:tr>
      <w:tr w:rsidR="00B3500A" w:rsidRPr="006F4CD1" w14:paraId="3968F5EA" w14:textId="77777777" w:rsidTr="00326B3D">
        <w:trPr>
          <w:trHeight w:val="239"/>
        </w:trPr>
        <w:tc>
          <w:tcPr>
            <w:tcW w:w="246" w:type="pct"/>
            <w:tcBorders>
              <w:top w:val="nil"/>
              <w:left w:val="double" w:sz="4" w:space="0" w:color="000000"/>
              <w:bottom w:val="nil"/>
            </w:tcBorders>
          </w:tcPr>
          <w:p w14:paraId="5CD0098D" w14:textId="77777777" w:rsidR="00B3500A" w:rsidRPr="006F4CD1" w:rsidRDefault="00B3500A" w:rsidP="00D62AD1">
            <w:pPr>
              <w:pStyle w:val="TableParagraph"/>
              <w:ind w:left="119" w:right="91"/>
              <w:rPr>
                <w:sz w:val="16"/>
                <w:szCs w:val="16"/>
              </w:rPr>
            </w:pPr>
            <w:r w:rsidRPr="006F4CD1">
              <w:rPr>
                <w:spacing w:val="-5"/>
                <w:sz w:val="16"/>
                <w:szCs w:val="16"/>
              </w:rPr>
              <w:t>46</w:t>
            </w:r>
          </w:p>
        </w:tc>
        <w:tc>
          <w:tcPr>
            <w:tcW w:w="910" w:type="pct"/>
            <w:tcBorders>
              <w:top w:val="nil"/>
              <w:bottom w:val="nil"/>
            </w:tcBorders>
          </w:tcPr>
          <w:p w14:paraId="340B465B" w14:textId="77777777" w:rsidR="00B3500A" w:rsidRPr="006F4CD1" w:rsidRDefault="00B3500A" w:rsidP="00D62AD1">
            <w:pPr>
              <w:pStyle w:val="TableParagraph"/>
              <w:ind w:left="118"/>
              <w:jc w:val="left"/>
              <w:rPr>
                <w:sz w:val="16"/>
                <w:szCs w:val="16"/>
              </w:rPr>
            </w:pPr>
            <w:r w:rsidRPr="006F4CD1">
              <w:rPr>
                <w:spacing w:val="-2"/>
                <w:w w:val="110"/>
                <w:sz w:val="16"/>
                <w:szCs w:val="16"/>
              </w:rPr>
              <w:t>Vermont</w:t>
            </w:r>
          </w:p>
        </w:tc>
        <w:tc>
          <w:tcPr>
            <w:tcW w:w="312" w:type="pct"/>
            <w:tcBorders>
              <w:top w:val="nil"/>
              <w:bottom w:val="nil"/>
            </w:tcBorders>
          </w:tcPr>
          <w:p w14:paraId="2F96EC9F" w14:textId="77777777" w:rsidR="00B3500A" w:rsidRPr="006F4CD1" w:rsidRDefault="00B3500A" w:rsidP="00D62AD1">
            <w:pPr>
              <w:pStyle w:val="TableParagraph"/>
              <w:ind w:left="97" w:right="89"/>
              <w:rPr>
                <w:sz w:val="16"/>
                <w:szCs w:val="16"/>
              </w:rPr>
            </w:pPr>
            <w:r w:rsidRPr="006F4CD1">
              <w:rPr>
                <w:spacing w:val="-4"/>
                <w:sz w:val="16"/>
                <w:szCs w:val="16"/>
              </w:rPr>
              <w:t>0.45</w:t>
            </w:r>
          </w:p>
        </w:tc>
        <w:tc>
          <w:tcPr>
            <w:tcW w:w="550" w:type="pct"/>
            <w:tcBorders>
              <w:top w:val="nil"/>
              <w:bottom w:val="nil"/>
            </w:tcBorders>
          </w:tcPr>
          <w:p w14:paraId="4C006840" w14:textId="77777777" w:rsidR="00B3500A" w:rsidRPr="006F4CD1" w:rsidRDefault="00B3500A" w:rsidP="00D62AD1">
            <w:pPr>
              <w:pStyle w:val="TableParagraph"/>
              <w:ind w:left="118" w:right="109"/>
              <w:rPr>
                <w:sz w:val="16"/>
                <w:szCs w:val="16"/>
              </w:rPr>
            </w:pPr>
            <w:r w:rsidRPr="006F4CD1">
              <w:rPr>
                <w:spacing w:val="-4"/>
                <w:sz w:val="16"/>
                <w:szCs w:val="16"/>
              </w:rPr>
              <w:t>0.42</w:t>
            </w:r>
          </w:p>
        </w:tc>
        <w:tc>
          <w:tcPr>
            <w:tcW w:w="367" w:type="pct"/>
            <w:tcBorders>
              <w:top w:val="nil"/>
              <w:bottom w:val="nil"/>
            </w:tcBorders>
          </w:tcPr>
          <w:p w14:paraId="46AC4CF2" w14:textId="77777777" w:rsidR="00B3500A" w:rsidRPr="006F4CD1" w:rsidRDefault="00B3500A" w:rsidP="00D62AD1">
            <w:pPr>
              <w:pStyle w:val="TableParagraph"/>
              <w:ind w:left="98" w:right="89"/>
              <w:rPr>
                <w:sz w:val="16"/>
                <w:szCs w:val="16"/>
              </w:rPr>
            </w:pPr>
            <w:r w:rsidRPr="006F4CD1">
              <w:rPr>
                <w:spacing w:val="-4"/>
                <w:sz w:val="16"/>
                <w:szCs w:val="16"/>
              </w:rPr>
              <w:t>0.40</w:t>
            </w:r>
          </w:p>
        </w:tc>
        <w:tc>
          <w:tcPr>
            <w:tcW w:w="413" w:type="pct"/>
            <w:tcBorders>
              <w:top w:val="nil"/>
              <w:bottom w:val="nil"/>
              <w:right w:val="double" w:sz="4" w:space="0" w:color="000000"/>
            </w:tcBorders>
          </w:tcPr>
          <w:p w14:paraId="5B10B6C1" w14:textId="77777777" w:rsidR="00B3500A" w:rsidRPr="006F4CD1" w:rsidRDefault="00B3500A" w:rsidP="00D62AD1">
            <w:pPr>
              <w:pStyle w:val="TableParagraph"/>
              <w:ind w:left="98" w:right="89"/>
              <w:rPr>
                <w:sz w:val="16"/>
                <w:szCs w:val="16"/>
              </w:rPr>
            </w:pPr>
            <w:r w:rsidRPr="006F4CD1">
              <w:rPr>
                <w:spacing w:val="-4"/>
                <w:sz w:val="16"/>
                <w:szCs w:val="16"/>
              </w:rPr>
              <w:t>0.45</w:t>
            </w:r>
          </w:p>
        </w:tc>
        <w:tc>
          <w:tcPr>
            <w:tcW w:w="321" w:type="pct"/>
            <w:tcBorders>
              <w:top w:val="nil"/>
              <w:left w:val="double" w:sz="4" w:space="0" w:color="000000"/>
              <w:bottom w:val="nil"/>
            </w:tcBorders>
          </w:tcPr>
          <w:p w14:paraId="2B3FF7F6" w14:textId="77777777" w:rsidR="00B3500A" w:rsidRPr="006F4CD1" w:rsidRDefault="00B3500A" w:rsidP="00D62AD1">
            <w:pPr>
              <w:pStyle w:val="TableParagraph"/>
              <w:ind w:right="102"/>
              <w:rPr>
                <w:sz w:val="16"/>
                <w:szCs w:val="16"/>
              </w:rPr>
            </w:pPr>
            <w:r w:rsidRPr="006F4CD1">
              <w:rPr>
                <w:spacing w:val="-4"/>
                <w:sz w:val="16"/>
                <w:szCs w:val="16"/>
              </w:rPr>
              <w:t>0.48</w:t>
            </w:r>
          </w:p>
        </w:tc>
        <w:tc>
          <w:tcPr>
            <w:tcW w:w="505" w:type="pct"/>
            <w:tcBorders>
              <w:top w:val="nil"/>
              <w:bottom w:val="nil"/>
            </w:tcBorders>
          </w:tcPr>
          <w:p w14:paraId="501856C8"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0.45</w:t>
            </w:r>
          </w:p>
        </w:tc>
        <w:tc>
          <w:tcPr>
            <w:tcW w:w="413" w:type="pct"/>
            <w:tcBorders>
              <w:top w:val="nil"/>
              <w:bottom w:val="nil"/>
            </w:tcBorders>
          </w:tcPr>
          <w:p w14:paraId="50C61C42" w14:textId="77777777" w:rsidR="00B3500A" w:rsidRPr="006F4CD1" w:rsidRDefault="00B3500A" w:rsidP="00D62AD1">
            <w:pPr>
              <w:pStyle w:val="TableParagraph"/>
              <w:ind w:left="271"/>
              <w:jc w:val="left"/>
              <w:rPr>
                <w:sz w:val="16"/>
                <w:szCs w:val="16"/>
              </w:rPr>
            </w:pPr>
            <w:r w:rsidRPr="006F4CD1">
              <w:rPr>
                <w:spacing w:val="-4"/>
                <w:sz w:val="16"/>
                <w:szCs w:val="16"/>
              </w:rPr>
              <w:t>0.43</w:t>
            </w:r>
          </w:p>
        </w:tc>
        <w:tc>
          <w:tcPr>
            <w:tcW w:w="413" w:type="pct"/>
            <w:tcBorders>
              <w:top w:val="nil"/>
              <w:bottom w:val="nil"/>
            </w:tcBorders>
          </w:tcPr>
          <w:p w14:paraId="5B36F581" w14:textId="77777777" w:rsidR="00B3500A" w:rsidRPr="006F4CD1" w:rsidRDefault="00B3500A" w:rsidP="00D62AD1">
            <w:pPr>
              <w:pStyle w:val="TableParagraph"/>
              <w:ind w:right="103"/>
              <w:rPr>
                <w:sz w:val="16"/>
                <w:szCs w:val="16"/>
              </w:rPr>
            </w:pPr>
            <w:r w:rsidRPr="006F4CD1">
              <w:rPr>
                <w:spacing w:val="-4"/>
                <w:sz w:val="16"/>
                <w:szCs w:val="16"/>
              </w:rPr>
              <w:t>0.48</w:t>
            </w:r>
          </w:p>
        </w:tc>
        <w:tc>
          <w:tcPr>
            <w:tcW w:w="550" w:type="pct"/>
            <w:tcBorders>
              <w:top w:val="nil"/>
              <w:bottom w:val="nil"/>
            </w:tcBorders>
          </w:tcPr>
          <w:p w14:paraId="6675346C" w14:textId="77777777" w:rsidR="00B3500A" w:rsidRPr="006F4CD1" w:rsidRDefault="00B3500A" w:rsidP="00D62AD1">
            <w:pPr>
              <w:pStyle w:val="TableParagraph"/>
              <w:ind w:left="109" w:right="102"/>
              <w:rPr>
                <w:sz w:val="16"/>
                <w:szCs w:val="16"/>
              </w:rPr>
            </w:pPr>
            <w:r w:rsidRPr="006F4CD1">
              <w:rPr>
                <w:spacing w:val="-2"/>
                <w:w w:val="110"/>
                <w:sz w:val="16"/>
                <w:szCs w:val="16"/>
              </w:rPr>
              <w:t>Northeast</w:t>
            </w:r>
          </w:p>
        </w:tc>
      </w:tr>
      <w:tr w:rsidR="00B3500A" w:rsidRPr="006F4CD1" w14:paraId="38EF6529" w14:textId="77777777" w:rsidTr="00326B3D">
        <w:trPr>
          <w:trHeight w:val="239"/>
        </w:trPr>
        <w:tc>
          <w:tcPr>
            <w:tcW w:w="246" w:type="pct"/>
            <w:tcBorders>
              <w:top w:val="nil"/>
              <w:left w:val="double" w:sz="4" w:space="0" w:color="000000"/>
              <w:bottom w:val="nil"/>
            </w:tcBorders>
          </w:tcPr>
          <w:p w14:paraId="0AAEF451" w14:textId="77777777" w:rsidR="00B3500A" w:rsidRPr="006F4CD1" w:rsidRDefault="00B3500A" w:rsidP="00D62AD1">
            <w:pPr>
              <w:pStyle w:val="TableParagraph"/>
              <w:ind w:left="119" w:right="91"/>
              <w:rPr>
                <w:sz w:val="16"/>
                <w:szCs w:val="16"/>
              </w:rPr>
            </w:pPr>
            <w:r w:rsidRPr="006F4CD1">
              <w:rPr>
                <w:spacing w:val="-5"/>
                <w:sz w:val="16"/>
                <w:szCs w:val="16"/>
              </w:rPr>
              <w:t>47</w:t>
            </w:r>
          </w:p>
        </w:tc>
        <w:tc>
          <w:tcPr>
            <w:tcW w:w="910" w:type="pct"/>
            <w:tcBorders>
              <w:top w:val="nil"/>
              <w:bottom w:val="nil"/>
            </w:tcBorders>
          </w:tcPr>
          <w:p w14:paraId="74DF86E3" w14:textId="77777777" w:rsidR="00B3500A" w:rsidRPr="006F4CD1" w:rsidRDefault="00B3500A" w:rsidP="00D62AD1">
            <w:pPr>
              <w:pStyle w:val="TableParagraph"/>
              <w:ind w:left="118"/>
              <w:jc w:val="left"/>
              <w:rPr>
                <w:sz w:val="16"/>
                <w:szCs w:val="16"/>
              </w:rPr>
            </w:pPr>
            <w:r w:rsidRPr="006F4CD1">
              <w:rPr>
                <w:spacing w:val="-2"/>
                <w:w w:val="105"/>
                <w:sz w:val="16"/>
                <w:szCs w:val="16"/>
              </w:rPr>
              <w:t>Virginia</w:t>
            </w:r>
          </w:p>
        </w:tc>
        <w:tc>
          <w:tcPr>
            <w:tcW w:w="312" w:type="pct"/>
            <w:tcBorders>
              <w:top w:val="nil"/>
              <w:bottom w:val="nil"/>
            </w:tcBorders>
          </w:tcPr>
          <w:p w14:paraId="3E46ACE6" w14:textId="77777777" w:rsidR="00B3500A" w:rsidRPr="006F4CD1" w:rsidRDefault="00B3500A" w:rsidP="00D62AD1">
            <w:pPr>
              <w:pStyle w:val="TableParagraph"/>
              <w:ind w:left="97" w:right="89"/>
              <w:rPr>
                <w:sz w:val="16"/>
                <w:szCs w:val="16"/>
              </w:rPr>
            </w:pPr>
            <w:r w:rsidRPr="006F4CD1">
              <w:rPr>
                <w:spacing w:val="-4"/>
                <w:sz w:val="16"/>
                <w:szCs w:val="16"/>
              </w:rPr>
              <w:t>0.50</w:t>
            </w:r>
          </w:p>
        </w:tc>
        <w:tc>
          <w:tcPr>
            <w:tcW w:w="550" w:type="pct"/>
            <w:tcBorders>
              <w:top w:val="nil"/>
              <w:bottom w:val="nil"/>
            </w:tcBorders>
          </w:tcPr>
          <w:p w14:paraId="3863C5E7" w14:textId="77777777" w:rsidR="00B3500A" w:rsidRPr="006F4CD1" w:rsidRDefault="00B3500A" w:rsidP="00D62AD1">
            <w:pPr>
              <w:pStyle w:val="TableParagraph"/>
              <w:ind w:left="118" w:right="109"/>
              <w:rPr>
                <w:sz w:val="16"/>
                <w:szCs w:val="16"/>
              </w:rPr>
            </w:pPr>
            <w:r w:rsidRPr="006F4CD1">
              <w:rPr>
                <w:spacing w:val="-4"/>
                <w:sz w:val="16"/>
                <w:szCs w:val="16"/>
              </w:rPr>
              <w:t>0.43</w:t>
            </w:r>
          </w:p>
        </w:tc>
        <w:tc>
          <w:tcPr>
            <w:tcW w:w="367" w:type="pct"/>
            <w:tcBorders>
              <w:top w:val="nil"/>
              <w:bottom w:val="nil"/>
            </w:tcBorders>
          </w:tcPr>
          <w:p w14:paraId="66ABFA4B" w14:textId="77777777" w:rsidR="00B3500A" w:rsidRPr="006F4CD1" w:rsidRDefault="00B3500A" w:rsidP="00D62AD1">
            <w:pPr>
              <w:pStyle w:val="TableParagraph"/>
              <w:ind w:left="98" w:right="89"/>
              <w:rPr>
                <w:sz w:val="16"/>
                <w:szCs w:val="16"/>
              </w:rPr>
            </w:pPr>
            <w:r w:rsidRPr="006F4CD1">
              <w:rPr>
                <w:spacing w:val="-4"/>
                <w:sz w:val="16"/>
                <w:szCs w:val="16"/>
              </w:rPr>
              <w:t>0.42</w:t>
            </w:r>
          </w:p>
        </w:tc>
        <w:tc>
          <w:tcPr>
            <w:tcW w:w="413" w:type="pct"/>
            <w:tcBorders>
              <w:top w:val="nil"/>
              <w:bottom w:val="nil"/>
              <w:right w:val="double" w:sz="4" w:space="0" w:color="000000"/>
            </w:tcBorders>
          </w:tcPr>
          <w:p w14:paraId="6EAE051B" w14:textId="77777777" w:rsidR="00B3500A" w:rsidRPr="006F4CD1" w:rsidRDefault="00B3500A" w:rsidP="00D62AD1">
            <w:pPr>
              <w:pStyle w:val="TableParagraph"/>
              <w:ind w:left="98" w:right="89"/>
              <w:rPr>
                <w:sz w:val="16"/>
                <w:szCs w:val="16"/>
              </w:rPr>
            </w:pPr>
            <w:r w:rsidRPr="006F4CD1">
              <w:rPr>
                <w:spacing w:val="-4"/>
                <w:sz w:val="16"/>
                <w:szCs w:val="16"/>
              </w:rPr>
              <w:t>0.49</w:t>
            </w:r>
          </w:p>
        </w:tc>
        <w:tc>
          <w:tcPr>
            <w:tcW w:w="321" w:type="pct"/>
            <w:tcBorders>
              <w:top w:val="nil"/>
              <w:left w:val="double" w:sz="4" w:space="0" w:color="000000"/>
              <w:bottom w:val="nil"/>
            </w:tcBorders>
          </w:tcPr>
          <w:p w14:paraId="2506D24C" w14:textId="77777777" w:rsidR="00B3500A" w:rsidRPr="006F4CD1" w:rsidRDefault="00B3500A" w:rsidP="00D62AD1">
            <w:pPr>
              <w:pStyle w:val="TableParagraph"/>
              <w:ind w:right="102"/>
              <w:rPr>
                <w:sz w:val="16"/>
                <w:szCs w:val="16"/>
              </w:rPr>
            </w:pPr>
            <w:r w:rsidRPr="006F4CD1">
              <w:rPr>
                <w:spacing w:val="-4"/>
                <w:sz w:val="16"/>
                <w:szCs w:val="16"/>
              </w:rPr>
              <w:t>0.68</w:t>
            </w:r>
          </w:p>
        </w:tc>
        <w:tc>
          <w:tcPr>
            <w:tcW w:w="505" w:type="pct"/>
            <w:tcBorders>
              <w:top w:val="nil"/>
              <w:bottom w:val="nil"/>
            </w:tcBorders>
          </w:tcPr>
          <w:p w14:paraId="11BE8042"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0.61</w:t>
            </w:r>
          </w:p>
        </w:tc>
        <w:tc>
          <w:tcPr>
            <w:tcW w:w="413" w:type="pct"/>
            <w:tcBorders>
              <w:top w:val="nil"/>
              <w:bottom w:val="nil"/>
            </w:tcBorders>
          </w:tcPr>
          <w:p w14:paraId="544B24DD" w14:textId="77777777" w:rsidR="00B3500A" w:rsidRPr="006F4CD1" w:rsidRDefault="00B3500A" w:rsidP="00D62AD1">
            <w:pPr>
              <w:pStyle w:val="TableParagraph"/>
              <w:ind w:left="271"/>
              <w:jc w:val="left"/>
              <w:rPr>
                <w:sz w:val="16"/>
                <w:szCs w:val="16"/>
              </w:rPr>
            </w:pPr>
            <w:r w:rsidRPr="006F4CD1">
              <w:rPr>
                <w:spacing w:val="-4"/>
                <w:sz w:val="16"/>
                <w:szCs w:val="16"/>
              </w:rPr>
              <w:t>0.60</w:t>
            </w:r>
          </w:p>
        </w:tc>
        <w:tc>
          <w:tcPr>
            <w:tcW w:w="413" w:type="pct"/>
            <w:tcBorders>
              <w:top w:val="nil"/>
              <w:bottom w:val="nil"/>
            </w:tcBorders>
          </w:tcPr>
          <w:p w14:paraId="61D217A9" w14:textId="77777777" w:rsidR="00B3500A" w:rsidRPr="006F4CD1" w:rsidRDefault="00B3500A" w:rsidP="00D62AD1">
            <w:pPr>
              <w:pStyle w:val="TableParagraph"/>
              <w:ind w:right="103"/>
              <w:rPr>
                <w:sz w:val="16"/>
                <w:szCs w:val="16"/>
              </w:rPr>
            </w:pPr>
            <w:r w:rsidRPr="006F4CD1">
              <w:rPr>
                <w:spacing w:val="-4"/>
                <w:sz w:val="16"/>
                <w:szCs w:val="16"/>
              </w:rPr>
              <w:t>0.67</w:t>
            </w:r>
          </w:p>
        </w:tc>
        <w:tc>
          <w:tcPr>
            <w:tcW w:w="550" w:type="pct"/>
            <w:tcBorders>
              <w:top w:val="nil"/>
              <w:bottom w:val="nil"/>
            </w:tcBorders>
          </w:tcPr>
          <w:p w14:paraId="53E2A561"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12F53568" w14:textId="77777777" w:rsidTr="00326B3D">
        <w:trPr>
          <w:trHeight w:val="239"/>
        </w:trPr>
        <w:tc>
          <w:tcPr>
            <w:tcW w:w="246" w:type="pct"/>
            <w:tcBorders>
              <w:top w:val="nil"/>
              <w:left w:val="double" w:sz="4" w:space="0" w:color="000000"/>
              <w:bottom w:val="nil"/>
            </w:tcBorders>
          </w:tcPr>
          <w:p w14:paraId="5308B773" w14:textId="77777777" w:rsidR="00B3500A" w:rsidRPr="006F4CD1" w:rsidRDefault="00B3500A" w:rsidP="00D62AD1">
            <w:pPr>
              <w:pStyle w:val="TableParagraph"/>
              <w:ind w:left="119" w:right="91"/>
              <w:rPr>
                <w:sz w:val="16"/>
                <w:szCs w:val="16"/>
              </w:rPr>
            </w:pPr>
            <w:r w:rsidRPr="006F4CD1">
              <w:rPr>
                <w:spacing w:val="-5"/>
                <w:sz w:val="16"/>
                <w:szCs w:val="16"/>
              </w:rPr>
              <w:t>48</w:t>
            </w:r>
          </w:p>
        </w:tc>
        <w:tc>
          <w:tcPr>
            <w:tcW w:w="910" w:type="pct"/>
            <w:tcBorders>
              <w:top w:val="nil"/>
              <w:bottom w:val="nil"/>
            </w:tcBorders>
          </w:tcPr>
          <w:p w14:paraId="1072A3A7" w14:textId="77777777" w:rsidR="00B3500A" w:rsidRPr="006F4CD1" w:rsidRDefault="00B3500A" w:rsidP="00D62AD1">
            <w:pPr>
              <w:pStyle w:val="TableParagraph"/>
              <w:ind w:left="118"/>
              <w:jc w:val="left"/>
              <w:rPr>
                <w:sz w:val="16"/>
                <w:szCs w:val="16"/>
              </w:rPr>
            </w:pPr>
            <w:r w:rsidRPr="006F4CD1">
              <w:rPr>
                <w:spacing w:val="-2"/>
                <w:w w:val="110"/>
                <w:sz w:val="16"/>
                <w:szCs w:val="16"/>
              </w:rPr>
              <w:t>Washington</w:t>
            </w:r>
          </w:p>
        </w:tc>
        <w:tc>
          <w:tcPr>
            <w:tcW w:w="312" w:type="pct"/>
            <w:tcBorders>
              <w:top w:val="nil"/>
              <w:bottom w:val="nil"/>
            </w:tcBorders>
          </w:tcPr>
          <w:p w14:paraId="18FCEE39" w14:textId="77777777" w:rsidR="00B3500A" w:rsidRPr="006F4CD1" w:rsidRDefault="00B3500A" w:rsidP="00D62AD1">
            <w:pPr>
              <w:pStyle w:val="TableParagraph"/>
              <w:ind w:left="97" w:right="89"/>
              <w:rPr>
                <w:sz w:val="16"/>
                <w:szCs w:val="16"/>
              </w:rPr>
            </w:pPr>
            <w:r w:rsidRPr="006F4CD1">
              <w:rPr>
                <w:spacing w:val="-4"/>
                <w:sz w:val="16"/>
                <w:szCs w:val="16"/>
              </w:rPr>
              <w:t>0.39</w:t>
            </w:r>
          </w:p>
        </w:tc>
        <w:tc>
          <w:tcPr>
            <w:tcW w:w="550" w:type="pct"/>
            <w:tcBorders>
              <w:top w:val="nil"/>
              <w:bottom w:val="nil"/>
            </w:tcBorders>
          </w:tcPr>
          <w:p w14:paraId="3A4BCF28" w14:textId="77777777" w:rsidR="00B3500A" w:rsidRPr="006F4CD1" w:rsidRDefault="00B3500A" w:rsidP="00D62AD1">
            <w:pPr>
              <w:pStyle w:val="TableParagraph"/>
              <w:ind w:left="118" w:right="109"/>
              <w:rPr>
                <w:sz w:val="16"/>
                <w:szCs w:val="16"/>
              </w:rPr>
            </w:pPr>
            <w:r w:rsidRPr="006F4CD1">
              <w:rPr>
                <w:spacing w:val="-4"/>
                <w:sz w:val="16"/>
                <w:szCs w:val="16"/>
              </w:rPr>
              <w:t>0.34</w:t>
            </w:r>
          </w:p>
        </w:tc>
        <w:tc>
          <w:tcPr>
            <w:tcW w:w="367" w:type="pct"/>
            <w:tcBorders>
              <w:top w:val="nil"/>
              <w:bottom w:val="nil"/>
            </w:tcBorders>
          </w:tcPr>
          <w:p w14:paraId="09571231" w14:textId="77777777" w:rsidR="00B3500A" w:rsidRPr="006F4CD1" w:rsidRDefault="00B3500A" w:rsidP="00D62AD1">
            <w:pPr>
              <w:pStyle w:val="TableParagraph"/>
              <w:ind w:left="98" w:right="89"/>
              <w:rPr>
                <w:sz w:val="16"/>
                <w:szCs w:val="16"/>
              </w:rPr>
            </w:pPr>
            <w:r w:rsidRPr="006F4CD1">
              <w:rPr>
                <w:spacing w:val="-4"/>
                <w:sz w:val="16"/>
                <w:szCs w:val="16"/>
              </w:rPr>
              <w:t>0.33</w:t>
            </w:r>
          </w:p>
        </w:tc>
        <w:tc>
          <w:tcPr>
            <w:tcW w:w="413" w:type="pct"/>
            <w:tcBorders>
              <w:top w:val="nil"/>
              <w:bottom w:val="nil"/>
              <w:right w:val="double" w:sz="4" w:space="0" w:color="000000"/>
            </w:tcBorders>
          </w:tcPr>
          <w:p w14:paraId="6C61A16A" w14:textId="77777777" w:rsidR="00B3500A" w:rsidRPr="006F4CD1" w:rsidRDefault="00B3500A" w:rsidP="00D62AD1">
            <w:pPr>
              <w:pStyle w:val="TableParagraph"/>
              <w:ind w:left="98" w:right="89"/>
              <w:rPr>
                <w:sz w:val="16"/>
                <w:szCs w:val="16"/>
              </w:rPr>
            </w:pPr>
            <w:r w:rsidRPr="006F4CD1">
              <w:rPr>
                <w:spacing w:val="-4"/>
                <w:sz w:val="16"/>
                <w:szCs w:val="16"/>
              </w:rPr>
              <w:t>0.38</w:t>
            </w:r>
          </w:p>
        </w:tc>
        <w:tc>
          <w:tcPr>
            <w:tcW w:w="321" w:type="pct"/>
            <w:tcBorders>
              <w:top w:val="nil"/>
              <w:left w:val="double" w:sz="4" w:space="0" w:color="000000"/>
              <w:bottom w:val="nil"/>
            </w:tcBorders>
          </w:tcPr>
          <w:p w14:paraId="787A4183" w14:textId="77777777" w:rsidR="00B3500A" w:rsidRPr="006F4CD1" w:rsidRDefault="00B3500A" w:rsidP="00D62AD1">
            <w:pPr>
              <w:pStyle w:val="TableParagraph"/>
              <w:ind w:right="102"/>
              <w:rPr>
                <w:sz w:val="16"/>
                <w:szCs w:val="16"/>
              </w:rPr>
            </w:pPr>
            <w:r w:rsidRPr="006F4CD1">
              <w:rPr>
                <w:spacing w:val="-4"/>
                <w:sz w:val="16"/>
                <w:szCs w:val="16"/>
              </w:rPr>
              <w:t>0.48</w:t>
            </w:r>
          </w:p>
        </w:tc>
        <w:tc>
          <w:tcPr>
            <w:tcW w:w="505" w:type="pct"/>
            <w:tcBorders>
              <w:top w:val="nil"/>
              <w:bottom w:val="nil"/>
            </w:tcBorders>
          </w:tcPr>
          <w:p w14:paraId="05302EE9"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0.44</w:t>
            </w:r>
          </w:p>
        </w:tc>
        <w:tc>
          <w:tcPr>
            <w:tcW w:w="413" w:type="pct"/>
            <w:tcBorders>
              <w:top w:val="nil"/>
              <w:bottom w:val="nil"/>
            </w:tcBorders>
          </w:tcPr>
          <w:p w14:paraId="24845EE9" w14:textId="77777777" w:rsidR="00B3500A" w:rsidRPr="006F4CD1" w:rsidRDefault="00B3500A" w:rsidP="00D62AD1">
            <w:pPr>
              <w:pStyle w:val="TableParagraph"/>
              <w:ind w:left="271"/>
              <w:jc w:val="left"/>
              <w:rPr>
                <w:sz w:val="16"/>
                <w:szCs w:val="16"/>
              </w:rPr>
            </w:pPr>
            <w:r w:rsidRPr="006F4CD1">
              <w:rPr>
                <w:spacing w:val="-4"/>
                <w:sz w:val="16"/>
                <w:szCs w:val="16"/>
              </w:rPr>
              <w:t>0.42</w:t>
            </w:r>
          </w:p>
        </w:tc>
        <w:tc>
          <w:tcPr>
            <w:tcW w:w="413" w:type="pct"/>
            <w:tcBorders>
              <w:top w:val="nil"/>
              <w:bottom w:val="nil"/>
            </w:tcBorders>
          </w:tcPr>
          <w:p w14:paraId="0539E851" w14:textId="77777777" w:rsidR="00B3500A" w:rsidRPr="006F4CD1" w:rsidRDefault="00B3500A" w:rsidP="00D62AD1">
            <w:pPr>
              <w:pStyle w:val="TableParagraph"/>
              <w:ind w:right="103"/>
              <w:rPr>
                <w:sz w:val="16"/>
                <w:szCs w:val="16"/>
              </w:rPr>
            </w:pPr>
            <w:r w:rsidRPr="006F4CD1">
              <w:rPr>
                <w:spacing w:val="-4"/>
                <w:sz w:val="16"/>
                <w:szCs w:val="16"/>
              </w:rPr>
              <w:t>0.47</w:t>
            </w:r>
          </w:p>
        </w:tc>
        <w:tc>
          <w:tcPr>
            <w:tcW w:w="550" w:type="pct"/>
            <w:tcBorders>
              <w:top w:val="nil"/>
              <w:bottom w:val="nil"/>
            </w:tcBorders>
          </w:tcPr>
          <w:p w14:paraId="19920C79" w14:textId="77777777" w:rsidR="00B3500A" w:rsidRPr="006F4CD1" w:rsidRDefault="00B3500A" w:rsidP="00D62AD1">
            <w:pPr>
              <w:pStyle w:val="TableParagraph"/>
              <w:ind w:left="109" w:right="102"/>
              <w:rPr>
                <w:sz w:val="16"/>
                <w:szCs w:val="16"/>
              </w:rPr>
            </w:pPr>
            <w:r w:rsidRPr="006F4CD1">
              <w:rPr>
                <w:spacing w:val="-4"/>
                <w:w w:val="110"/>
                <w:sz w:val="16"/>
                <w:szCs w:val="16"/>
              </w:rPr>
              <w:t>West</w:t>
            </w:r>
          </w:p>
        </w:tc>
      </w:tr>
      <w:tr w:rsidR="00B3500A" w:rsidRPr="006F4CD1" w14:paraId="71A8AC4D" w14:textId="77777777" w:rsidTr="00326B3D">
        <w:trPr>
          <w:trHeight w:val="239"/>
        </w:trPr>
        <w:tc>
          <w:tcPr>
            <w:tcW w:w="246" w:type="pct"/>
            <w:tcBorders>
              <w:top w:val="nil"/>
              <w:left w:val="double" w:sz="4" w:space="0" w:color="000000"/>
              <w:bottom w:val="nil"/>
            </w:tcBorders>
          </w:tcPr>
          <w:p w14:paraId="640E9A24" w14:textId="77777777" w:rsidR="00B3500A" w:rsidRPr="006F4CD1" w:rsidRDefault="00B3500A" w:rsidP="00D62AD1">
            <w:pPr>
              <w:pStyle w:val="TableParagraph"/>
              <w:ind w:left="119" w:right="91"/>
              <w:rPr>
                <w:sz w:val="16"/>
                <w:szCs w:val="16"/>
              </w:rPr>
            </w:pPr>
            <w:r w:rsidRPr="006F4CD1">
              <w:rPr>
                <w:spacing w:val="-5"/>
                <w:sz w:val="16"/>
                <w:szCs w:val="16"/>
              </w:rPr>
              <w:t>49</w:t>
            </w:r>
          </w:p>
        </w:tc>
        <w:tc>
          <w:tcPr>
            <w:tcW w:w="910" w:type="pct"/>
            <w:tcBorders>
              <w:top w:val="nil"/>
              <w:bottom w:val="nil"/>
            </w:tcBorders>
          </w:tcPr>
          <w:p w14:paraId="1F3C3C3C" w14:textId="77777777" w:rsidR="00B3500A" w:rsidRPr="006F4CD1" w:rsidRDefault="00B3500A" w:rsidP="00D62AD1">
            <w:pPr>
              <w:pStyle w:val="TableParagraph"/>
              <w:ind w:left="118"/>
              <w:jc w:val="left"/>
              <w:rPr>
                <w:sz w:val="16"/>
                <w:szCs w:val="16"/>
              </w:rPr>
            </w:pPr>
            <w:r w:rsidRPr="006F4CD1">
              <w:rPr>
                <w:w w:val="105"/>
                <w:sz w:val="16"/>
                <w:szCs w:val="16"/>
              </w:rPr>
              <w:t>West</w:t>
            </w:r>
            <w:r w:rsidRPr="006F4CD1">
              <w:rPr>
                <w:spacing w:val="11"/>
                <w:w w:val="105"/>
                <w:sz w:val="16"/>
                <w:szCs w:val="16"/>
              </w:rPr>
              <w:t xml:space="preserve"> </w:t>
            </w:r>
            <w:r w:rsidRPr="006F4CD1">
              <w:rPr>
                <w:spacing w:val="-2"/>
                <w:w w:val="105"/>
                <w:sz w:val="16"/>
                <w:szCs w:val="16"/>
              </w:rPr>
              <w:t>Virginia</w:t>
            </w:r>
          </w:p>
        </w:tc>
        <w:tc>
          <w:tcPr>
            <w:tcW w:w="312" w:type="pct"/>
            <w:tcBorders>
              <w:top w:val="nil"/>
              <w:bottom w:val="nil"/>
            </w:tcBorders>
          </w:tcPr>
          <w:p w14:paraId="64DF8583" w14:textId="77777777" w:rsidR="00B3500A" w:rsidRPr="006F4CD1" w:rsidRDefault="00B3500A" w:rsidP="00D62AD1">
            <w:pPr>
              <w:pStyle w:val="TableParagraph"/>
              <w:ind w:left="97" w:right="89"/>
              <w:rPr>
                <w:sz w:val="16"/>
                <w:szCs w:val="16"/>
              </w:rPr>
            </w:pPr>
            <w:r w:rsidRPr="006F4CD1">
              <w:rPr>
                <w:spacing w:val="-4"/>
                <w:sz w:val="16"/>
                <w:szCs w:val="16"/>
              </w:rPr>
              <w:t>0.56</w:t>
            </w:r>
          </w:p>
        </w:tc>
        <w:tc>
          <w:tcPr>
            <w:tcW w:w="550" w:type="pct"/>
            <w:tcBorders>
              <w:top w:val="nil"/>
              <w:bottom w:val="nil"/>
            </w:tcBorders>
          </w:tcPr>
          <w:p w14:paraId="6E11E9E0" w14:textId="77777777" w:rsidR="00B3500A" w:rsidRPr="006F4CD1" w:rsidRDefault="00B3500A" w:rsidP="00D62AD1">
            <w:pPr>
              <w:pStyle w:val="TableParagraph"/>
              <w:ind w:left="118" w:right="109"/>
              <w:rPr>
                <w:sz w:val="16"/>
                <w:szCs w:val="16"/>
              </w:rPr>
            </w:pPr>
            <w:r w:rsidRPr="006F4CD1">
              <w:rPr>
                <w:spacing w:val="-4"/>
                <w:sz w:val="16"/>
                <w:szCs w:val="16"/>
              </w:rPr>
              <w:t>0.50</w:t>
            </w:r>
          </w:p>
        </w:tc>
        <w:tc>
          <w:tcPr>
            <w:tcW w:w="367" w:type="pct"/>
            <w:tcBorders>
              <w:top w:val="nil"/>
              <w:bottom w:val="nil"/>
            </w:tcBorders>
          </w:tcPr>
          <w:p w14:paraId="404616CF" w14:textId="77777777" w:rsidR="00B3500A" w:rsidRPr="006F4CD1" w:rsidRDefault="00B3500A" w:rsidP="00D62AD1">
            <w:pPr>
              <w:pStyle w:val="TableParagraph"/>
              <w:ind w:left="98" w:right="89"/>
              <w:rPr>
                <w:sz w:val="16"/>
                <w:szCs w:val="16"/>
              </w:rPr>
            </w:pPr>
            <w:r w:rsidRPr="006F4CD1">
              <w:rPr>
                <w:spacing w:val="-4"/>
                <w:sz w:val="16"/>
                <w:szCs w:val="16"/>
              </w:rPr>
              <w:t>0.48</w:t>
            </w:r>
          </w:p>
        </w:tc>
        <w:tc>
          <w:tcPr>
            <w:tcW w:w="413" w:type="pct"/>
            <w:tcBorders>
              <w:top w:val="nil"/>
              <w:bottom w:val="nil"/>
              <w:right w:val="double" w:sz="4" w:space="0" w:color="000000"/>
            </w:tcBorders>
          </w:tcPr>
          <w:p w14:paraId="5BE5D458" w14:textId="77777777" w:rsidR="00B3500A" w:rsidRPr="006F4CD1" w:rsidRDefault="00B3500A" w:rsidP="00D62AD1">
            <w:pPr>
              <w:pStyle w:val="TableParagraph"/>
              <w:ind w:left="98" w:right="89"/>
              <w:rPr>
                <w:sz w:val="16"/>
                <w:szCs w:val="16"/>
              </w:rPr>
            </w:pPr>
            <w:r w:rsidRPr="006F4CD1">
              <w:rPr>
                <w:spacing w:val="-4"/>
                <w:sz w:val="16"/>
                <w:szCs w:val="16"/>
              </w:rPr>
              <w:t>0.55</w:t>
            </w:r>
          </w:p>
        </w:tc>
        <w:tc>
          <w:tcPr>
            <w:tcW w:w="321" w:type="pct"/>
            <w:tcBorders>
              <w:top w:val="nil"/>
              <w:left w:val="double" w:sz="4" w:space="0" w:color="000000"/>
              <w:bottom w:val="nil"/>
            </w:tcBorders>
          </w:tcPr>
          <w:p w14:paraId="1B10294F" w14:textId="77777777" w:rsidR="00B3500A" w:rsidRPr="006F4CD1" w:rsidRDefault="00B3500A" w:rsidP="00D62AD1">
            <w:pPr>
              <w:pStyle w:val="TableParagraph"/>
              <w:ind w:right="102"/>
              <w:rPr>
                <w:sz w:val="16"/>
                <w:szCs w:val="16"/>
              </w:rPr>
            </w:pPr>
            <w:r w:rsidRPr="006F4CD1">
              <w:rPr>
                <w:spacing w:val="-4"/>
                <w:sz w:val="16"/>
                <w:szCs w:val="16"/>
              </w:rPr>
              <w:t>0.59</w:t>
            </w:r>
          </w:p>
        </w:tc>
        <w:tc>
          <w:tcPr>
            <w:tcW w:w="505" w:type="pct"/>
            <w:tcBorders>
              <w:top w:val="nil"/>
              <w:bottom w:val="nil"/>
            </w:tcBorders>
          </w:tcPr>
          <w:p w14:paraId="560D8068"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0.54</w:t>
            </w:r>
          </w:p>
        </w:tc>
        <w:tc>
          <w:tcPr>
            <w:tcW w:w="413" w:type="pct"/>
            <w:tcBorders>
              <w:top w:val="nil"/>
              <w:bottom w:val="nil"/>
            </w:tcBorders>
          </w:tcPr>
          <w:p w14:paraId="5F040546" w14:textId="77777777" w:rsidR="00B3500A" w:rsidRPr="006F4CD1" w:rsidRDefault="00B3500A" w:rsidP="00D62AD1">
            <w:pPr>
              <w:pStyle w:val="TableParagraph"/>
              <w:ind w:left="271"/>
              <w:jc w:val="left"/>
              <w:rPr>
                <w:sz w:val="16"/>
                <w:szCs w:val="16"/>
              </w:rPr>
            </w:pPr>
            <w:r w:rsidRPr="006F4CD1">
              <w:rPr>
                <w:spacing w:val="-4"/>
                <w:sz w:val="16"/>
                <w:szCs w:val="16"/>
              </w:rPr>
              <w:t>0.52</w:t>
            </w:r>
          </w:p>
        </w:tc>
        <w:tc>
          <w:tcPr>
            <w:tcW w:w="413" w:type="pct"/>
            <w:tcBorders>
              <w:top w:val="nil"/>
              <w:bottom w:val="nil"/>
            </w:tcBorders>
          </w:tcPr>
          <w:p w14:paraId="384B330F" w14:textId="77777777" w:rsidR="00B3500A" w:rsidRPr="006F4CD1" w:rsidRDefault="00B3500A" w:rsidP="00D62AD1">
            <w:pPr>
              <w:pStyle w:val="TableParagraph"/>
              <w:ind w:right="103"/>
              <w:rPr>
                <w:sz w:val="16"/>
                <w:szCs w:val="16"/>
              </w:rPr>
            </w:pPr>
            <w:r w:rsidRPr="006F4CD1">
              <w:rPr>
                <w:spacing w:val="-4"/>
                <w:sz w:val="16"/>
                <w:szCs w:val="16"/>
              </w:rPr>
              <w:t>0.58</w:t>
            </w:r>
          </w:p>
        </w:tc>
        <w:tc>
          <w:tcPr>
            <w:tcW w:w="550" w:type="pct"/>
            <w:tcBorders>
              <w:top w:val="nil"/>
              <w:bottom w:val="nil"/>
            </w:tcBorders>
          </w:tcPr>
          <w:p w14:paraId="37F29E1E" w14:textId="77777777" w:rsidR="00B3500A" w:rsidRPr="006F4CD1" w:rsidRDefault="00B3500A" w:rsidP="00D62AD1">
            <w:pPr>
              <w:pStyle w:val="TableParagraph"/>
              <w:ind w:left="109" w:right="101"/>
              <w:rPr>
                <w:sz w:val="16"/>
                <w:szCs w:val="16"/>
              </w:rPr>
            </w:pPr>
            <w:r w:rsidRPr="006F4CD1">
              <w:rPr>
                <w:spacing w:val="-2"/>
                <w:w w:val="110"/>
                <w:sz w:val="16"/>
                <w:szCs w:val="16"/>
              </w:rPr>
              <w:t>South</w:t>
            </w:r>
          </w:p>
        </w:tc>
      </w:tr>
      <w:tr w:rsidR="00B3500A" w:rsidRPr="006F4CD1" w14:paraId="4B97A7FE" w14:textId="77777777" w:rsidTr="00326B3D">
        <w:trPr>
          <w:trHeight w:val="239"/>
        </w:trPr>
        <w:tc>
          <w:tcPr>
            <w:tcW w:w="246" w:type="pct"/>
            <w:tcBorders>
              <w:top w:val="nil"/>
              <w:left w:val="double" w:sz="4" w:space="0" w:color="000000"/>
              <w:bottom w:val="nil"/>
            </w:tcBorders>
          </w:tcPr>
          <w:p w14:paraId="6EE70A25" w14:textId="77777777" w:rsidR="00B3500A" w:rsidRPr="006F4CD1" w:rsidRDefault="00B3500A" w:rsidP="00D62AD1">
            <w:pPr>
              <w:pStyle w:val="TableParagraph"/>
              <w:ind w:left="119" w:right="91"/>
              <w:rPr>
                <w:sz w:val="16"/>
                <w:szCs w:val="16"/>
              </w:rPr>
            </w:pPr>
            <w:r w:rsidRPr="006F4CD1">
              <w:rPr>
                <w:spacing w:val="-5"/>
                <w:sz w:val="16"/>
                <w:szCs w:val="16"/>
              </w:rPr>
              <w:t>50</w:t>
            </w:r>
          </w:p>
        </w:tc>
        <w:tc>
          <w:tcPr>
            <w:tcW w:w="910" w:type="pct"/>
            <w:tcBorders>
              <w:top w:val="nil"/>
              <w:bottom w:val="nil"/>
            </w:tcBorders>
          </w:tcPr>
          <w:p w14:paraId="307D172B" w14:textId="77777777" w:rsidR="00B3500A" w:rsidRPr="006F4CD1" w:rsidRDefault="00B3500A" w:rsidP="00D62AD1">
            <w:pPr>
              <w:pStyle w:val="TableParagraph"/>
              <w:ind w:left="118"/>
              <w:jc w:val="left"/>
              <w:rPr>
                <w:sz w:val="16"/>
                <w:szCs w:val="16"/>
              </w:rPr>
            </w:pPr>
            <w:r w:rsidRPr="006F4CD1">
              <w:rPr>
                <w:spacing w:val="-2"/>
                <w:w w:val="105"/>
                <w:sz w:val="16"/>
                <w:szCs w:val="16"/>
              </w:rPr>
              <w:t>Wisconsin</w:t>
            </w:r>
          </w:p>
        </w:tc>
        <w:tc>
          <w:tcPr>
            <w:tcW w:w="312" w:type="pct"/>
            <w:tcBorders>
              <w:top w:val="nil"/>
              <w:bottom w:val="nil"/>
            </w:tcBorders>
          </w:tcPr>
          <w:p w14:paraId="49EE8B7C" w14:textId="77777777" w:rsidR="00B3500A" w:rsidRPr="006F4CD1" w:rsidRDefault="00B3500A" w:rsidP="00D62AD1">
            <w:pPr>
              <w:pStyle w:val="TableParagraph"/>
              <w:ind w:left="97" w:right="89"/>
              <w:rPr>
                <w:sz w:val="16"/>
                <w:szCs w:val="16"/>
              </w:rPr>
            </w:pPr>
            <w:r w:rsidRPr="006F4CD1">
              <w:rPr>
                <w:spacing w:val="-4"/>
                <w:sz w:val="16"/>
                <w:szCs w:val="16"/>
              </w:rPr>
              <w:t>0.48</w:t>
            </w:r>
          </w:p>
        </w:tc>
        <w:tc>
          <w:tcPr>
            <w:tcW w:w="550" w:type="pct"/>
            <w:tcBorders>
              <w:top w:val="nil"/>
              <w:bottom w:val="nil"/>
            </w:tcBorders>
          </w:tcPr>
          <w:p w14:paraId="5F69FD18" w14:textId="77777777" w:rsidR="00B3500A" w:rsidRPr="006F4CD1" w:rsidRDefault="00B3500A" w:rsidP="00D62AD1">
            <w:pPr>
              <w:pStyle w:val="TableParagraph"/>
              <w:ind w:left="118" w:right="109"/>
              <w:rPr>
                <w:sz w:val="16"/>
                <w:szCs w:val="16"/>
              </w:rPr>
            </w:pPr>
            <w:r w:rsidRPr="006F4CD1">
              <w:rPr>
                <w:spacing w:val="-4"/>
                <w:sz w:val="16"/>
                <w:szCs w:val="16"/>
              </w:rPr>
              <w:t>0.46</w:t>
            </w:r>
          </w:p>
        </w:tc>
        <w:tc>
          <w:tcPr>
            <w:tcW w:w="367" w:type="pct"/>
            <w:tcBorders>
              <w:top w:val="nil"/>
              <w:bottom w:val="nil"/>
            </w:tcBorders>
          </w:tcPr>
          <w:p w14:paraId="001F74E3" w14:textId="77777777" w:rsidR="00B3500A" w:rsidRPr="006F4CD1" w:rsidRDefault="00B3500A" w:rsidP="00D62AD1">
            <w:pPr>
              <w:pStyle w:val="TableParagraph"/>
              <w:ind w:left="98" w:right="89"/>
              <w:rPr>
                <w:sz w:val="16"/>
                <w:szCs w:val="16"/>
              </w:rPr>
            </w:pPr>
            <w:r w:rsidRPr="006F4CD1">
              <w:rPr>
                <w:spacing w:val="-4"/>
                <w:sz w:val="16"/>
                <w:szCs w:val="16"/>
              </w:rPr>
              <w:t>0.44</w:t>
            </w:r>
          </w:p>
        </w:tc>
        <w:tc>
          <w:tcPr>
            <w:tcW w:w="413" w:type="pct"/>
            <w:tcBorders>
              <w:top w:val="nil"/>
              <w:bottom w:val="nil"/>
              <w:right w:val="double" w:sz="4" w:space="0" w:color="000000"/>
            </w:tcBorders>
          </w:tcPr>
          <w:p w14:paraId="51D3E2E8" w14:textId="77777777" w:rsidR="00B3500A" w:rsidRPr="006F4CD1" w:rsidRDefault="00B3500A" w:rsidP="00D62AD1">
            <w:pPr>
              <w:pStyle w:val="TableParagraph"/>
              <w:ind w:left="98" w:right="89"/>
              <w:rPr>
                <w:sz w:val="16"/>
                <w:szCs w:val="16"/>
              </w:rPr>
            </w:pPr>
            <w:r w:rsidRPr="006F4CD1">
              <w:rPr>
                <w:spacing w:val="-4"/>
                <w:sz w:val="16"/>
                <w:szCs w:val="16"/>
              </w:rPr>
              <w:t>0.48</w:t>
            </w:r>
          </w:p>
        </w:tc>
        <w:tc>
          <w:tcPr>
            <w:tcW w:w="321" w:type="pct"/>
            <w:tcBorders>
              <w:top w:val="nil"/>
              <w:left w:val="double" w:sz="4" w:space="0" w:color="000000"/>
              <w:bottom w:val="nil"/>
            </w:tcBorders>
          </w:tcPr>
          <w:p w14:paraId="48B4D232" w14:textId="77777777" w:rsidR="00B3500A" w:rsidRPr="006F4CD1" w:rsidRDefault="00B3500A" w:rsidP="00D62AD1">
            <w:pPr>
              <w:pStyle w:val="TableParagraph"/>
              <w:ind w:right="102"/>
              <w:rPr>
                <w:sz w:val="16"/>
                <w:szCs w:val="16"/>
              </w:rPr>
            </w:pPr>
            <w:r w:rsidRPr="006F4CD1">
              <w:rPr>
                <w:spacing w:val="-4"/>
                <w:sz w:val="16"/>
                <w:szCs w:val="16"/>
              </w:rPr>
              <w:t>0.61</w:t>
            </w:r>
          </w:p>
        </w:tc>
        <w:tc>
          <w:tcPr>
            <w:tcW w:w="505" w:type="pct"/>
            <w:tcBorders>
              <w:top w:val="nil"/>
              <w:bottom w:val="nil"/>
            </w:tcBorders>
          </w:tcPr>
          <w:p w14:paraId="5BF0B050"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0.58</w:t>
            </w:r>
          </w:p>
        </w:tc>
        <w:tc>
          <w:tcPr>
            <w:tcW w:w="413" w:type="pct"/>
            <w:tcBorders>
              <w:top w:val="nil"/>
              <w:bottom w:val="nil"/>
            </w:tcBorders>
          </w:tcPr>
          <w:p w14:paraId="3BA8D956" w14:textId="77777777" w:rsidR="00B3500A" w:rsidRPr="006F4CD1" w:rsidRDefault="00B3500A" w:rsidP="00D62AD1">
            <w:pPr>
              <w:pStyle w:val="TableParagraph"/>
              <w:ind w:left="271"/>
              <w:jc w:val="left"/>
              <w:rPr>
                <w:sz w:val="16"/>
                <w:szCs w:val="16"/>
              </w:rPr>
            </w:pPr>
            <w:r w:rsidRPr="006F4CD1">
              <w:rPr>
                <w:spacing w:val="-4"/>
                <w:sz w:val="16"/>
                <w:szCs w:val="16"/>
              </w:rPr>
              <w:t>0.56</w:t>
            </w:r>
          </w:p>
        </w:tc>
        <w:tc>
          <w:tcPr>
            <w:tcW w:w="413" w:type="pct"/>
            <w:tcBorders>
              <w:top w:val="nil"/>
              <w:bottom w:val="nil"/>
            </w:tcBorders>
          </w:tcPr>
          <w:p w14:paraId="57A67DC6" w14:textId="77777777" w:rsidR="00B3500A" w:rsidRPr="006F4CD1" w:rsidRDefault="00B3500A" w:rsidP="00D62AD1">
            <w:pPr>
              <w:pStyle w:val="TableParagraph"/>
              <w:ind w:right="103"/>
              <w:rPr>
                <w:sz w:val="16"/>
                <w:szCs w:val="16"/>
              </w:rPr>
            </w:pPr>
            <w:r w:rsidRPr="006F4CD1">
              <w:rPr>
                <w:spacing w:val="-4"/>
                <w:sz w:val="16"/>
                <w:szCs w:val="16"/>
              </w:rPr>
              <w:t>0.60</w:t>
            </w:r>
          </w:p>
        </w:tc>
        <w:tc>
          <w:tcPr>
            <w:tcW w:w="550" w:type="pct"/>
            <w:tcBorders>
              <w:top w:val="nil"/>
              <w:bottom w:val="nil"/>
            </w:tcBorders>
          </w:tcPr>
          <w:p w14:paraId="2934045A" w14:textId="77777777" w:rsidR="00B3500A" w:rsidRPr="006F4CD1" w:rsidRDefault="00B3500A" w:rsidP="00D62AD1">
            <w:pPr>
              <w:pStyle w:val="TableParagraph"/>
              <w:ind w:left="109" w:right="102"/>
              <w:rPr>
                <w:sz w:val="16"/>
                <w:szCs w:val="16"/>
              </w:rPr>
            </w:pPr>
            <w:r w:rsidRPr="006F4CD1">
              <w:rPr>
                <w:spacing w:val="-2"/>
                <w:w w:val="105"/>
                <w:sz w:val="16"/>
                <w:szCs w:val="16"/>
              </w:rPr>
              <w:t>Midwest</w:t>
            </w:r>
          </w:p>
        </w:tc>
      </w:tr>
      <w:tr w:rsidR="00B3500A" w:rsidRPr="006F4CD1" w14:paraId="6A87AFCA" w14:textId="77777777" w:rsidTr="00326B3D">
        <w:trPr>
          <w:trHeight w:val="240"/>
        </w:trPr>
        <w:tc>
          <w:tcPr>
            <w:tcW w:w="246" w:type="pct"/>
            <w:tcBorders>
              <w:top w:val="nil"/>
              <w:left w:val="double" w:sz="4" w:space="0" w:color="000000"/>
            </w:tcBorders>
          </w:tcPr>
          <w:p w14:paraId="14149710" w14:textId="77777777" w:rsidR="00B3500A" w:rsidRPr="006F4CD1" w:rsidRDefault="00B3500A" w:rsidP="00D62AD1">
            <w:pPr>
              <w:pStyle w:val="TableParagraph"/>
              <w:ind w:left="119" w:right="91"/>
              <w:rPr>
                <w:sz w:val="16"/>
                <w:szCs w:val="16"/>
              </w:rPr>
            </w:pPr>
            <w:r w:rsidRPr="006F4CD1">
              <w:rPr>
                <w:spacing w:val="-5"/>
                <w:sz w:val="16"/>
                <w:szCs w:val="16"/>
              </w:rPr>
              <w:t>51</w:t>
            </w:r>
          </w:p>
        </w:tc>
        <w:tc>
          <w:tcPr>
            <w:tcW w:w="910" w:type="pct"/>
            <w:tcBorders>
              <w:top w:val="nil"/>
            </w:tcBorders>
          </w:tcPr>
          <w:p w14:paraId="74F407D7" w14:textId="77777777" w:rsidR="00B3500A" w:rsidRPr="006F4CD1" w:rsidRDefault="00B3500A" w:rsidP="00D62AD1">
            <w:pPr>
              <w:pStyle w:val="TableParagraph"/>
              <w:ind w:left="118"/>
              <w:jc w:val="left"/>
              <w:rPr>
                <w:sz w:val="16"/>
                <w:szCs w:val="16"/>
              </w:rPr>
            </w:pPr>
            <w:r w:rsidRPr="006F4CD1">
              <w:rPr>
                <w:spacing w:val="-2"/>
                <w:w w:val="105"/>
                <w:sz w:val="16"/>
                <w:szCs w:val="16"/>
              </w:rPr>
              <w:t>Wyoming</w:t>
            </w:r>
          </w:p>
        </w:tc>
        <w:tc>
          <w:tcPr>
            <w:tcW w:w="312" w:type="pct"/>
            <w:tcBorders>
              <w:top w:val="nil"/>
            </w:tcBorders>
          </w:tcPr>
          <w:p w14:paraId="50DDCACD" w14:textId="77777777" w:rsidR="00B3500A" w:rsidRPr="006F4CD1" w:rsidRDefault="00B3500A" w:rsidP="00D62AD1">
            <w:pPr>
              <w:pStyle w:val="TableParagraph"/>
              <w:ind w:left="97" w:right="89"/>
              <w:rPr>
                <w:sz w:val="16"/>
                <w:szCs w:val="16"/>
              </w:rPr>
            </w:pPr>
            <w:r w:rsidRPr="006F4CD1">
              <w:rPr>
                <w:spacing w:val="-4"/>
                <w:sz w:val="16"/>
                <w:szCs w:val="16"/>
              </w:rPr>
              <w:t>0.52</w:t>
            </w:r>
          </w:p>
        </w:tc>
        <w:tc>
          <w:tcPr>
            <w:tcW w:w="550" w:type="pct"/>
            <w:tcBorders>
              <w:top w:val="nil"/>
            </w:tcBorders>
          </w:tcPr>
          <w:p w14:paraId="67B9F283" w14:textId="77777777" w:rsidR="00B3500A" w:rsidRPr="006F4CD1" w:rsidRDefault="00B3500A" w:rsidP="00D62AD1">
            <w:pPr>
              <w:pStyle w:val="TableParagraph"/>
              <w:ind w:left="118" w:right="109"/>
              <w:rPr>
                <w:sz w:val="16"/>
                <w:szCs w:val="16"/>
              </w:rPr>
            </w:pPr>
            <w:r w:rsidRPr="006F4CD1">
              <w:rPr>
                <w:spacing w:val="-4"/>
                <w:sz w:val="16"/>
                <w:szCs w:val="16"/>
              </w:rPr>
              <w:t>0.49</w:t>
            </w:r>
          </w:p>
        </w:tc>
        <w:tc>
          <w:tcPr>
            <w:tcW w:w="367" w:type="pct"/>
            <w:tcBorders>
              <w:top w:val="nil"/>
            </w:tcBorders>
          </w:tcPr>
          <w:p w14:paraId="639975D6" w14:textId="77777777" w:rsidR="00B3500A" w:rsidRPr="006F4CD1" w:rsidRDefault="00B3500A" w:rsidP="00D62AD1">
            <w:pPr>
              <w:pStyle w:val="TableParagraph"/>
              <w:ind w:left="98" w:right="89"/>
              <w:rPr>
                <w:sz w:val="16"/>
                <w:szCs w:val="16"/>
              </w:rPr>
            </w:pPr>
            <w:r w:rsidRPr="006F4CD1">
              <w:rPr>
                <w:spacing w:val="-4"/>
                <w:sz w:val="16"/>
                <w:szCs w:val="16"/>
              </w:rPr>
              <w:t>0.46</w:t>
            </w:r>
          </w:p>
        </w:tc>
        <w:tc>
          <w:tcPr>
            <w:tcW w:w="413" w:type="pct"/>
            <w:tcBorders>
              <w:top w:val="nil"/>
              <w:right w:val="double" w:sz="4" w:space="0" w:color="000000"/>
            </w:tcBorders>
          </w:tcPr>
          <w:p w14:paraId="114A8250" w14:textId="77777777" w:rsidR="00B3500A" w:rsidRPr="006F4CD1" w:rsidRDefault="00B3500A" w:rsidP="00D62AD1">
            <w:pPr>
              <w:pStyle w:val="TableParagraph"/>
              <w:ind w:left="98" w:right="89"/>
              <w:rPr>
                <w:sz w:val="16"/>
                <w:szCs w:val="16"/>
              </w:rPr>
            </w:pPr>
            <w:r w:rsidRPr="006F4CD1">
              <w:rPr>
                <w:spacing w:val="-4"/>
                <w:sz w:val="16"/>
                <w:szCs w:val="16"/>
              </w:rPr>
              <w:t>0.52</w:t>
            </w:r>
          </w:p>
        </w:tc>
        <w:tc>
          <w:tcPr>
            <w:tcW w:w="321" w:type="pct"/>
            <w:tcBorders>
              <w:top w:val="nil"/>
              <w:left w:val="double" w:sz="4" w:space="0" w:color="000000"/>
            </w:tcBorders>
          </w:tcPr>
          <w:p w14:paraId="7275FC4B" w14:textId="77777777" w:rsidR="00B3500A" w:rsidRPr="006F4CD1" w:rsidRDefault="00B3500A" w:rsidP="00D62AD1">
            <w:pPr>
              <w:pStyle w:val="TableParagraph"/>
              <w:ind w:right="102"/>
              <w:rPr>
                <w:sz w:val="16"/>
                <w:szCs w:val="16"/>
              </w:rPr>
            </w:pPr>
            <w:r w:rsidRPr="006F4CD1">
              <w:rPr>
                <w:spacing w:val="-4"/>
                <w:sz w:val="16"/>
                <w:szCs w:val="16"/>
              </w:rPr>
              <w:t>0.55</w:t>
            </w:r>
          </w:p>
        </w:tc>
        <w:tc>
          <w:tcPr>
            <w:tcW w:w="505" w:type="pct"/>
            <w:tcBorders>
              <w:top w:val="nil"/>
            </w:tcBorders>
          </w:tcPr>
          <w:p w14:paraId="335CC328"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0.51</w:t>
            </w:r>
          </w:p>
        </w:tc>
        <w:tc>
          <w:tcPr>
            <w:tcW w:w="413" w:type="pct"/>
            <w:tcBorders>
              <w:top w:val="nil"/>
            </w:tcBorders>
          </w:tcPr>
          <w:p w14:paraId="08B79D64" w14:textId="77777777" w:rsidR="00B3500A" w:rsidRPr="006F4CD1" w:rsidRDefault="00B3500A" w:rsidP="00D62AD1">
            <w:pPr>
              <w:pStyle w:val="TableParagraph"/>
              <w:ind w:left="271"/>
              <w:jc w:val="left"/>
              <w:rPr>
                <w:sz w:val="16"/>
                <w:szCs w:val="16"/>
              </w:rPr>
            </w:pPr>
            <w:r w:rsidRPr="006F4CD1">
              <w:rPr>
                <w:spacing w:val="-4"/>
                <w:sz w:val="16"/>
                <w:szCs w:val="16"/>
              </w:rPr>
              <w:t>0.48</w:t>
            </w:r>
          </w:p>
        </w:tc>
        <w:tc>
          <w:tcPr>
            <w:tcW w:w="413" w:type="pct"/>
            <w:tcBorders>
              <w:top w:val="nil"/>
            </w:tcBorders>
          </w:tcPr>
          <w:p w14:paraId="071DC03A" w14:textId="77777777" w:rsidR="00B3500A" w:rsidRPr="006F4CD1" w:rsidRDefault="00B3500A" w:rsidP="00D62AD1">
            <w:pPr>
              <w:pStyle w:val="TableParagraph"/>
              <w:ind w:right="103"/>
              <w:rPr>
                <w:sz w:val="16"/>
                <w:szCs w:val="16"/>
              </w:rPr>
            </w:pPr>
            <w:r w:rsidRPr="006F4CD1">
              <w:rPr>
                <w:spacing w:val="-4"/>
                <w:sz w:val="16"/>
                <w:szCs w:val="16"/>
              </w:rPr>
              <w:t>0.54</w:t>
            </w:r>
          </w:p>
        </w:tc>
        <w:tc>
          <w:tcPr>
            <w:tcW w:w="550" w:type="pct"/>
            <w:tcBorders>
              <w:top w:val="nil"/>
            </w:tcBorders>
          </w:tcPr>
          <w:p w14:paraId="1B641BB5" w14:textId="77777777" w:rsidR="00B3500A" w:rsidRPr="006F4CD1" w:rsidRDefault="00B3500A" w:rsidP="00D62AD1">
            <w:pPr>
              <w:pStyle w:val="TableParagraph"/>
              <w:ind w:left="109" w:right="102"/>
              <w:rPr>
                <w:sz w:val="16"/>
                <w:szCs w:val="16"/>
              </w:rPr>
            </w:pPr>
            <w:r w:rsidRPr="006F4CD1">
              <w:rPr>
                <w:spacing w:val="-4"/>
                <w:w w:val="110"/>
                <w:sz w:val="16"/>
                <w:szCs w:val="16"/>
              </w:rPr>
              <w:t>West</w:t>
            </w:r>
          </w:p>
        </w:tc>
      </w:tr>
      <w:tr w:rsidR="00B3500A" w:rsidRPr="006F4CD1" w14:paraId="1854D96A" w14:textId="77777777" w:rsidTr="00326B3D">
        <w:trPr>
          <w:trHeight w:val="237"/>
        </w:trPr>
        <w:tc>
          <w:tcPr>
            <w:tcW w:w="246" w:type="pct"/>
            <w:tcBorders>
              <w:left w:val="double" w:sz="4" w:space="0" w:color="000000"/>
            </w:tcBorders>
          </w:tcPr>
          <w:p w14:paraId="726FCBB2" w14:textId="77777777" w:rsidR="00B3500A" w:rsidRPr="006F4CD1" w:rsidRDefault="00B3500A" w:rsidP="00D62AD1">
            <w:pPr>
              <w:pStyle w:val="TableParagraph"/>
              <w:spacing w:line="240" w:lineRule="auto"/>
              <w:ind w:left="0"/>
              <w:jc w:val="left"/>
              <w:rPr>
                <w:sz w:val="16"/>
                <w:szCs w:val="16"/>
              </w:rPr>
            </w:pPr>
          </w:p>
        </w:tc>
        <w:tc>
          <w:tcPr>
            <w:tcW w:w="910" w:type="pct"/>
          </w:tcPr>
          <w:p w14:paraId="45E65A68" w14:textId="77777777" w:rsidR="00B3500A" w:rsidRPr="006F4CD1" w:rsidRDefault="00B3500A" w:rsidP="00D62AD1">
            <w:pPr>
              <w:pStyle w:val="TableParagraph"/>
              <w:spacing w:line="210" w:lineRule="exact"/>
              <w:ind w:left="118"/>
              <w:jc w:val="left"/>
              <w:rPr>
                <w:sz w:val="16"/>
                <w:szCs w:val="16"/>
              </w:rPr>
            </w:pPr>
            <w:r w:rsidRPr="006F4CD1">
              <w:rPr>
                <w:spacing w:val="-2"/>
                <w:w w:val="105"/>
                <w:sz w:val="16"/>
                <w:szCs w:val="16"/>
              </w:rPr>
              <w:t>Average</w:t>
            </w:r>
          </w:p>
        </w:tc>
        <w:tc>
          <w:tcPr>
            <w:tcW w:w="312" w:type="pct"/>
          </w:tcPr>
          <w:p w14:paraId="3127339B" w14:textId="77777777" w:rsidR="00B3500A" w:rsidRPr="006F4CD1" w:rsidRDefault="00B3500A" w:rsidP="00D62AD1">
            <w:pPr>
              <w:pStyle w:val="TableParagraph"/>
              <w:spacing w:line="210" w:lineRule="exact"/>
              <w:ind w:left="97" w:right="89"/>
              <w:rPr>
                <w:sz w:val="16"/>
                <w:szCs w:val="16"/>
              </w:rPr>
            </w:pPr>
            <w:r w:rsidRPr="006F4CD1">
              <w:rPr>
                <w:spacing w:val="-4"/>
                <w:sz w:val="16"/>
                <w:szCs w:val="16"/>
              </w:rPr>
              <w:t>0.49</w:t>
            </w:r>
          </w:p>
        </w:tc>
        <w:tc>
          <w:tcPr>
            <w:tcW w:w="550" w:type="pct"/>
          </w:tcPr>
          <w:p w14:paraId="47F38365" w14:textId="77777777" w:rsidR="00B3500A" w:rsidRPr="006F4CD1" w:rsidRDefault="00B3500A" w:rsidP="00D62AD1">
            <w:pPr>
              <w:pStyle w:val="TableParagraph"/>
              <w:spacing w:line="210" w:lineRule="exact"/>
              <w:ind w:left="118" w:right="109"/>
              <w:rPr>
                <w:sz w:val="16"/>
                <w:szCs w:val="16"/>
              </w:rPr>
            </w:pPr>
            <w:r w:rsidRPr="006F4CD1">
              <w:rPr>
                <w:spacing w:val="-4"/>
                <w:sz w:val="16"/>
                <w:szCs w:val="16"/>
              </w:rPr>
              <w:t>0.44</w:t>
            </w:r>
          </w:p>
        </w:tc>
        <w:tc>
          <w:tcPr>
            <w:tcW w:w="367" w:type="pct"/>
          </w:tcPr>
          <w:p w14:paraId="64049B79" w14:textId="77777777" w:rsidR="00B3500A" w:rsidRPr="006F4CD1" w:rsidRDefault="00B3500A" w:rsidP="00D62AD1">
            <w:pPr>
              <w:pStyle w:val="TableParagraph"/>
              <w:spacing w:line="210" w:lineRule="exact"/>
              <w:ind w:left="98" w:right="89"/>
              <w:rPr>
                <w:sz w:val="16"/>
                <w:szCs w:val="16"/>
              </w:rPr>
            </w:pPr>
            <w:r w:rsidRPr="006F4CD1">
              <w:rPr>
                <w:spacing w:val="-4"/>
                <w:sz w:val="16"/>
                <w:szCs w:val="16"/>
              </w:rPr>
              <w:t>0.43</w:t>
            </w:r>
          </w:p>
        </w:tc>
        <w:tc>
          <w:tcPr>
            <w:tcW w:w="413" w:type="pct"/>
            <w:tcBorders>
              <w:right w:val="double" w:sz="4" w:space="0" w:color="000000"/>
            </w:tcBorders>
          </w:tcPr>
          <w:p w14:paraId="1FCD4C5F" w14:textId="77777777" w:rsidR="00B3500A" w:rsidRPr="006F4CD1" w:rsidRDefault="00B3500A" w:rsidP="00D62AD1">
            <w:pPr>
              <w:pStyle w:val="TableParagraph"/>
              <w:spacing w:line="210" w:lineRule="exact"/>
              <w:ind w:left="98" w:right="89"/>
              <w:rPr>
                <w:sz w:val="16"/>
                <w:szCs w:val="16"/>
              </w:rPr>
            </w:pPr>
            <w:r w:rsidRPr="006F4CD1">
              <w:rPr>
                <w:spacing w:val="-4"/>
                <w:sz w:val="16"/>
                <w:szCs w:val="16"/>
              </w:rPr>
              <w:t>0.48</w:t>
            </w:r>
          </w:p>
        </w:tc>
        <w:tc>
          <w:tcPr>
            <w:tcW w:w="321" w:type="pct"/>
            <w:tcBorders>
              <w:left w:val="double" w:sz="4" w:space="0" w:color="000000"/>
            </w:tcBorders>
          </w:tcPr>
          <w:p w14:paraId="21F7A311" w14:textId="77777777" w:rsidR="00B3500A" w:rsidRPr="006F4CD1" w:rsidRDefault="00B3500A" w:rsidP="00D62AD1">
            <w:pPr>
              <w:pStyle w:val="TableParagraph"/>
              <w:spacing w:line="210" w:lineRule="exact"/>
              <w:ind w:right="102"/>
              <w:rPr>
                <w:sz w:val="16"/>
                <w:szCs w:val="16"/>
              </w:rPr>
            </w:pPr>
            <w:r w:rsidRPr="006F4CD1">
              <w:rPr>
                <w:spacing w:val="-4"/>
                <w:sz w:val="16"/>
                <w:szCs w:val="16"/>
              </w:rPr>
              <w:t>0.61</w:t>
            </w:r>
          </w:p>
        </w:tc>
        <w:tc>
          <w:tcPr>
            <w:tcW w:w="505" w:type="pct"/>
          </w:tcPr>
          <w:p w14:paraId="343792C0" w14:textId="77777777" w:rsidR="00B3500A" w:rsidRPr="006F4CD1" w:rsidRDefault="00B3500A" w:rsidP="00D62AD1">
            <w:pPr>
              <w:pStyle w:val="TableParagraph"/>
              <w:spacing w:line="210" w:lineRule="exact"/>
              <w:ind w:left="118" w:right="109"/>
              <w:rPr>
                <w:spacing w:val="-4"/>
                <w:sz w:val="16"/>
                <w:szCs w:val="16"/>
              </w:rPr>
            </w:pPr>
            <w:r w:rsidRPr="006F4CD1">
              <w:rPr>
                <w:spacing w:val="-4"/>
                <w:sz w:val="16"/>
                <w:szCs w:val="16"/>
              </w:rPr>
              <w:t>0.59</w:t>
            </w:r>
          </w:p>
        </w:tc>
        <w:tc>
          <w:tcPr>
            <w:tcW w:w="413" w:type="pct"/>
          </w:tcPr>
          <w:p w14:paraId="5305A5D7" w14:textId="77777777" w:rsidR="00B3500A" w:rsidRPr="006F4CD1" w:rsidRDefault="00B3500A" w:rsidP="00D62AD1">
            <w:pPr>
              <w:pStyle w:val="TableParagraph"/>
              <w:spacing w:line="210" w:lineRule="exact"/>
              <w:ind w:left="271"/>
              <w:jc w:val="left"/>
              <w:rPr>
                <w:sz w:val="16"/>
                <w:szCs w:val="16"/>
              </w:rPr>
            </w:pPr>
            <w:r w:rsidRPr="006F4CD1">
              <w:rPr>
                <w:spacing w:val="-4"/>
                <w:sz w:val="16"/>
                <w:szCs w:val="16"/>
              </w:rPr>
              <w:t>0.53</w:t>
            </w:r>
          </w:p>
        </w:tc>
        <w:tc>
          <w:tcPr>
            <w:tcW w:w="413" w:type="pct"/>
          </w:tcPr>
          <w:p w14:paraId="1AB81DFF" w14:textId="77777777" w:rsidR="00B3500A" w:rsidRPr="006F4CD1" w:rsidRDefault="00B3500A" w:rsidP="00D62AD1">
            <w:pPr>
              <w:pStyle w:val="TableParagraph"/>
              <w:spacing w:line="210" w:lineRule="exact"/>
              <w:ind w:right="103"/>
              <w:rPr>
                <w:sz w:val="16"/>
                <w:szCs w:val="16"/>
              </w:rPr>
            </w:pPr>
            <w:r w:rsidRPr="006F4CD1">
              <w:rPr>
                <w:spacing w:val="-4"/>
                <w:sz w:val="16"/>
                <w:szCs w:val="16"/>
              </w:rPr>
              <w:t>0.60</w:t>
            </w:r>
          </w:p>
        </w:tc>
        <w:tc>
          <w:tcPr>
            <w:tcW w:w="550" w:type="pct"/>
          </w:tcPr>
          <w:p w14:paraId="246380E7" w14:textId="77777777" w:rsidR="00B3500A" w:rsidRPr="006F4CD1" w:rsidRDefault="00B3500A" w:rsidP="00D62AD1">
            <w:pPr>
              <w:pStyle w:val="TableParagraph"/>
              <w:spacing w:line="240" w:lineRule="auto"/>
              <w:ind w:left="0"/>
              <w:jc w:val="left"/>
              <w:rPr>
                <w:sz w:val="16"/>
                <w:szCs w:val="16"/>
              </w:rPr>
            </w:pPr>
          </w:p>
        </w:tc>
      </w:tr>
    </w:tbl>
    <w:p w14:paraId="0A257387" w14:textId="10D14C3F" w:rsidR="00B3500A" w:rsidRPr="00591939" w:rsidRDefault="00B3500A" w:rsidP="00B3500A">
      <w:pPr>
        <w:jc w:val="both"/>
        <w:rPr>
          <w:i/>
          <w:iCs/>
          <w:color w:val="000000" w:themeColor="text1"/>
          <w:sz w:val="16"/>
          <w:szCs w:val="16"/>
        </w:rPr>
      </w:pPr>
      <w:r w:rsidRPr="00591939">
        <w:rPr>
          <w:i/>
          <w:iCs/>
          <w:color w:val="000000" w:themeColor="text1"/>
          <w:sz w:val="16"/>
          <w:szCs w:val="16"/>
        </w:rPr>
        <w:t xml:space="preserve">Note: </w:t>
      </w:r>
      <w:r w:rsidRPr="00591939">
        <w:rPr>
          <w:color w:val="000000" w:themeColor="text1"/>
          <w:sz w:val="16"/>
          <w:szCs w:val="16"/>
        </w:rPr>
        <w:t>CRS: Constant return to scale efficiency score; VRS: Variable return to scale efficiency score.</w:t>
      </w:r>
    </w:p>
    <w:p w14:paraId="4690C045" w14:textId="4943CD77" w:rsidR="00B3500A" w:rsidRDefault="00B3500A" w:rsidP="00B3500A">
      <w:pPr>
        <w:jc w:val="both"/>
        <w:rPr>
          <w:b/>
          <w:bCs/>
          <w:color w:val="000000" w:themeColor="text1"/>
          <w:sz w:val="22"/>
          <w:szCs w:val="22"/>
        </w:rPr>
      </w:pPr>
      <w:r w:rsidRPr="00CE1CE2">
        <w:rPr>
          <w:b/>
          <w:bCs/>
          <w:color w:val="000000" w:themeColor="text1"/>
          <w:sz w:val="22"/>
          <w:szCs w:val="22"/>
        </w:rPr>
        <w:t>T</w:t>
      </w:r>
      <w:r w:rsidR="008550C6">
        <w:rPr>
          <w:b/>
          <w:bCs/>
          <w:color w:val="000000" w:themeColor="text1"/>
          <w:sz w:val="22"/>
          <w:szCs w:val="22"/>
        </w:rPr>
        <w:t>ABLE</w:t>
      </w:r>
      <w:r w:rsidRPr="00CE1CE2">
        <w:rPr>
          <w:b/>
          <w:bCs/>
          <w:color w:val="000000" w:themeColor="text1"/>
          <w:sz w:val="22"/>
          <w:szCs w:val="22"/>
        </w:rPr>
        <w:t xml:space="preserve"> 5</w:t>
      </w:r>
    </w:p>
    <w:p w14:paraId="3A2CE9A3" w14:textId="3C3CB965" w:rsidR="00B3500A" w:rsidRPr="007107F2" w:rsidRDefault="00B3500A" w:rsidP="00326B3D">
      <w:pPr>
        <w:jc w:val="both"/>
        <w:rPr>
          <w:sz w:val="22"/>
          <w:szCs w:val="22"/>
        </w:rPr>
      </w:pPr>
      <w:r w:rsidRPr="00D65C76">
        <w:rPr>
          <w:sz w:val="22"/>
          <w:szCs w:val="22"/>
        </w:rPr>
        <w:t>Average bootstrap bank efficiency scores of the U.S. banking system from 1972 to 2020</w:t>
      </w:r>
      <w:r w:rsidR="00326B3D" w:rsidRPr="00D65C76">
        <w:rPr>
          <w:sz w:val="22"/>
          <w:szCs w:val="22"/>
        </w:rPr>
        <w:t xml:space="preserve"> </w:t>
      </w:r>
      <w:r w:rsidR="00326B3D" w:rsidRPr="007107F2">
        <w:rPr>
          <w:sz w:val="22"/>
          <w:szCs w:val="22"/>
        </w:rPr>
        <w:t>following the non-parametric Data Envelopment Analysis (DEA).</w:t>
      </w:r>
    </w:p>
    <w:tbl>
      <w:tblPr>
        <w:tblpPr w:leftFromText="180" w:rightFromText="180" w:vertAnchor="text" w:horzAnchor="margin" w:tblpY="11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0"/>
        <w:gridCol w:w="742"/>
        <w:gridCol w:w="1085"/>
        <w:gridCol w:w="1129"/>
        <w:gridCol w:w="1145"/>
        <w:gridCol w:w="752"/>
        <w:gridCol w:w="1165"/>
        <w:gridCol w:w="1165"/>
        <w:gridCol w:w="1163"/>
      </w:tblGrid>
      <w:tr w:rsidR="00B3500A" w:rsidRPr="006F4CD1" w14:paraId="60DA16D9" w14:textId="77777777" w:rsidTr="00326B3D">
        <w:trPr>
          <w:trHeight w:val="476"/>
        </w:trPr>
        <w:tc>
          <w:tcPr>
            <w:tcW w:w="388" w:type="pct"/>
            <w:tcBorders>
              <w:left w:val="double" w:sz="4" w:space="0" w:color="000000"/>
            </w:tcBorders>
          </w:tcPr>
          <w:p w14:paraId="680BF27F" w14:textId="77777777" w:rsidR="00B3500A" w:rsidRPr="007E3420" w:rsidRDefault="00B3500A" w:rsidP="00D62AD1">
            <w:pPr>
              <w:pStyle w:val="TableParagraph"/>
              <w:spacing w:line="210" w:lineRule="exact"/>
              <w:ind w:left="0" w:right="98"/>
              <w:jc w:val="right"/>
              <w:rPr>
                <w:b/>
                <w:bCs/>
                <w:sz w:val="16"/>
                <w:szCs w:val="16"/>
              </w:rPr>
            </w:pPr>
            <w:r w:rsidRPr="007E3420">
              <w:rPr>
                <w:b/>
                <w:bCs/>
                <w:spacing w:val="-4"/>
                <w:w w:val="105"/>
                <w:sz w:val="16"/>
                <w:szCs w:val="16"/>
              </w:rPr>
              <w:t>Year</w:t>
            </w:r>
          </w:p>
        </w:tc>
        <w:tc>
          <w:tcPr>
            <w:tcW w:w="346" w:type="pct"/>
          </w:tcPr>
          <w:p w14:paraId="2D62DBA3" w14:textId="45D9016C" w:rsidR="00B3500A" w:rsidRPr="007E3420" w:rsidRDefault="00B3500A" w:rsidP="00D62AD1">
            <w:pPr>
              <w:pStyle w:val="TableParagraph"/>
              <w:spacing w:line="210" w:lineRule="exact"/>
              <w:ind w:left="98" w:right="90"/>
              <w:rPr>
                <w:b/>
                <w:bCs/>
                <w:sz w:val="16"/>
                <w:szCs w:val="16"/>
              </w:rPr>
            </w:pPr>
            <w:r w:rsidRPr="007E3420">
              <w:rPr>
                <w:b/>
                <w:bCs/>
                <w:spacing w:val="-2"/>
                <w:w w:val="105"/>
                <w:sz w:val="16"/>
                <w:szCs w:val="16"/>
              </w:rPr>
              <w:t>CRS</w:t>
            </w:r>
            <w:r w:rsidR="00326B3D" w:rsidRPr="007E3420">
              <w:rPr>
                <w:b/>
                <w:bCs/>
                <w:spacing w:val="-2"/>
                <w:w w:val="105"/>
                <w:sz w:val="16"/>
                <w:szCs w:val="16"/>
              </w:rPr>
              <w:t xml:space="preserve"> original</w:t>
            </w:r>
          </w:p>
        </w:tc>
        <w:tc>
          <w:tcPr>
            <w:tcW w:w="624" w:type="pct"/>
          </w:tcPr>
          <w:p w14:paraId="4490CC77" w14:textId="77777777" w:rsidR="00B3500A" w:rsidRPr="007E3420" w:rsidRDefault="00B3500A" w:rsidP="00D62AD1">
            <w:pPr>
              <w:pStyle w:val="TableParagraph"/>
              <w:spacing w:line="210" w:lineRule="exact"/>
              <w:ind w:left="114"/>
              <w:rPr>
                <w:b/>
                <w:bCs/>
                <w:sz w:val="16"/>
                <w:szCs w:val="16"/>
              </w:rPr>
            </w:pPr>
            <w:r w:rsidRPr="007E3420">
              <w:rPr>
                <w:b/>
                <w:bCs/>
                <w:spacing w:val="-2"/>
                <w:w w:val="105"/>
                <w:sz w:val="16"/>
                <w:szCs w:val="16"/>
              </w:rPr>
              <w:t>CRS</w:t>
            </w:r>
            <w:r w:rsidRPr="007E3420">
              <w:rPr>
                <w:b/>
                <w:bCs/>
                <w:sz w:val="16"/>
                <w:szCs w:val="16"/>
              </w:rPr>
              <w:t xml:space="preserve"> </w:t>
            </w:r>
            <w:r w:rsidRPr="007E3420">
              <w:rPr>
                <w:b/>
                <w:bCs/>
                <w:w w:val="105"/>
                <w:sz w:val="16"/>
                <w:szCs w:val="16"/>
              </w:rPr>
              <w:t>Bootstrap</w:t>
            </w:r>
          </w:p>
        </w:tc>
        <w:tc>
          <w:tcPr>
            <w:tcW w:w="648" w:type="pct"/>
          </w:tcPr>
          <w:p w14:paraId="0200B951" w14:textId="77777777" w:rsidR="00B3500A" w:rsidRPr="007E3420" w:rsidRDefault="00B3500A" w:rsidP="00D62AD1">
            <w:pPr>
              <w:pStyle w:val="TableParagraph"/>
              <w:spacing w:line="210" w:lineRule="exact"/>
              <w:ind w:right="108"/>
              <w:rPr>
                <w:b/>
                <w:bCs/>
                <w:sz w:val="16"/>
                <w:szCs w:val="16"/>
              </w:rPr>
            </w:pPr>
            <w:r w:rsidRPr="007E3420">
              <w:rPr>
                <w:b/>
                <w:bCs/>
                <w:spacing w:val="-2"/>
                <w:w w:val="105"/>
                <w:sz w:val="16"/>
                <w:szCs w:val="16"/>
              </w:rPr>
              <w:t>CRS</w:t>
            </w:r>
            <w:r w:rsidRPr="007E3420">
              <w:rPr>
                <w:b/>
                <w:bCs/>
                <w:sz w:val="16"/>
                <w:szCs w:val="16"/>
              </w:rPr>
              <w:t xml:space="preserve"> </w:t>
            </w:r>
            <w:r w:rsidRPr="007E3420">
              <w:rPr>
                <w:b/>
                <w:bCs/>
                <w:spacing w:val="-2"/>
                <w:w w:val="105"/>
                <w:sz w:val="16"/>
                <w:szCs w:val="16"/>
              </w:rPr>
              <w:t>Lower</w:t>
            </w:r>
            <w:r w:rsidRPr="007E3420">
              <w:rPr>
                <w:b/>
                <w:bCs/>
                <w:spacing w:val="-5"/>
                <w:w w:val="105"/>
                <w:sz w:val="16"/>
                <w:szCs w:val="16"/>
              </w:rPr>
              <w:t xml:space="preserve"> </w:t>
            </w:r>
            <w:r w:rsidRPr="007E3420">
              <w:rPr>
                <w:b/>
                <w:bCs/>
                <w:spacing w:val="-2"/>
                <w:w w:val="105"/>
                <w:sz w:val="16"/>
                <w:szCs w:val="16"/>
              </w:rPr>
              <w:t>bound</w:t>
            </w:r>
          </w:p>
        </w:tc>
        <w:tc>
          <w:tcPr>
            <w:tcW w:w="657" w:type="pct"/>
            <w:tcBorders>
              <w:right w:val="double" w:sz="4" w:space="0" w:color="000000"/>
            </w:tcBorders>
          </w:tcPr>
          <w:p w14:paraId="70D201DC" w14:textId="77777777" w:rsidR="00B3500A" w:rsidRPr="007E3420" w:rsidRDefault="00B3500A" w:rsidP="00D62AD1">
            <w:pPr>
              <w:pStyle w:val="TableParagraph"/>
              <w:spacing w:line="210" w:lineRule="exact"/>
              <w:ind w:left="103" w:right="96"/>
              <w:rPr>
                <w:b/>
                <w:bCs/>
                <w:sz w:val="16"/>
                <w:szCs w:val="16"/>
              </w:rPr>
            </w:pPr>
            <w:r w:rsidRPr="007E3420">
              <w:rPr>
                <w:b/>
                <w:bCs/>
                <w:spacing w:val="-2"/>
                <w:w w:val="105"/>
                <w:sz w:val="16"/>
                <w:szCs w:val="16"/>
              </w:rPr>
              <w:t>CRS</w:t>
            </w:r>
            <w:r w:rsidRPr="007E3420">
              <w:rPr>
                <w:b/>
                <w:bCs/>
                <w:sz w:val="16"/>
                <w:szCs w:val="16"/>
              </w:rPr>
              <w:t xml:space="preserve"> </w:t>
            </w:r>
            <w:r w:rsidRPr="007E3420">
              <w:rPr>
                <w:b/>
                <w:bCs/>
                <w:w w:val="110"/>
                <w:sz w:val="16"/>
                <w:szCs w:val="16"/>
              </w:rPr>
              <w:t>Upper</w:t>
            </w:r>
            <w:r w:rsidRPr="007E3420">
              <w:rPr>
                <w:b/>
                <w:bCs/>
                <w:spacing w:val="11"/>
                <w:w w:val="110"/>
                <w:sz w:val="16"/>
                <w:szCs w:val="16"/>
              </w:rPr>
              <w:t xml:space="preserve"> </w:t>
            </w:r>
            <w:r w:rsidRPr="007E3420">
              <w:rPr>
                <w:b/>
                <w:bCs/>
                <w:spacing w:val="-2"/>
                <w:w w:val="110"/>
                <w:sz w:val="16"/>
                <w:szCs w:val="16"/>
              </w:rPr>
              <w:t>bound</w:t>
            </w:r>
          </w:p>
        </w:tc>
        <w:tc>
          <w:tcPr>
            <w:tcW w:w="334" w:type="pct"/>
            <w:tcBorders>
              <w:left w:val="double" w:sz="4" w:space="0" w:color="000000"/>
            </w:tcBorders>
          </w:tcPr>
          <w:p w14:paraId="439E3FEC" w14:textId="1D781471" w:rsidR="00B3500A" w:rsidRPr="007E3420" w:rsidRDefault="00B3500A" w:rsidP="00D62AD1">
            <w:pPr>
              <w:pStyle w:val="TableParagraph"/>
              <w:spacing w:line="210" w:lineRule="exact"/>
              <w:ind w:left="110" w:right="104"/>
              <w:rPr>
                <w:b/>
                <w:bCs/>
                <w:sz w:val="16"/>
                <w:szCs w:val="16"/>
              </w:rPr>
            </w:pPr>
            <w:r w:rsidRPr="007E3420">
              <w:rPr>
                <w:b/>
                <w:bCs/>
                <w:spacing w:val="-2"/>
                <w:sz w:val="16"/>
                <w:szCs w:val="16"/>
              </w:rPr>
              <w:t>VRS</w:t>
            </w:r>
            <w:r w:rsidR="00326B3D" w:rsidRPr="007E3420">
              <w:rPr>
                <w:b/>
                <w:bCs/>
                <w:spacing w:val="-2"/>
                <w:sz w:val="16"/>
                <w:szCs w:val="16"/>
              </w:rPr>
              <w:t xml:space="preserve"> original</w:t>
            </w:r>
          </w:p>
        </w:tc>
        <w:tc>
          <w:tcPr>
            <w:tcW w:w="668" w:type="pct"/>
          </w:tcPr>
          <w:p w14:paraId="290719FA" w14:textId="77777777" w:rsidR="00B3500A" w:rsidRPr="007E3420" w:rsidRDefault="00B3500A" w:rsidP="00D62AD1">
            <w:pPr>
              <w:pStyle w:val="TableParagraph"/>
              <w:spacing w:line="210" w:lineRule="exact"/>
              <w:ind w:left="113" w:right="107"/>
              <w:rPr>
                <w:b/>
                <w:bCs/>
                <w:sz w:val="16"/>
                <w:szCs w:val="16"/>
              </w:rPr>
            </w:pPr>
            <w:r w:rsidRPr="007E3420">
              <w:rPr>
                <w:b/>
                <w:bCs/>
                <w:spacing w:val="-2"/>
                <w:sz w:val="16"/>
                <w:szCs w:val="16"/>
              </w:rPr>
              <w:t>VRS</w:t>
            </w:r>
            <w:r w:rsidRPr="007E3420">
              <w:rPr>
                <w:b/>
                <w:bCs/>
                <w:sz w:val="16"/>
                <w:szCs w:val="16"/>
              </w:rPr>
              <w:t xml:space="preserve"> </w:t>
            </w:r>
            <w:r w:rsidRPr="007E3420">
              <w:rPr>
                <w:b/>
                <w:bCs/>
                <w:w w:val="105"/>
                <w:sz w:val="16"/>
                <w:szCs w:val="16"/>
              </w:rPr>
              <w:t>Bootstrap</w:t>
            </w:r>
          </w:p>
        </w:tc>
        <w:tc>
          <w:tcPr>
            <w:tcW w:w="668" w:type="pct"/>
          </w:tcPr>
          <w:p w14:paraId="107C4C1D" w14:textId="77777777" w:rsidR="00B3500A" w:rsidRPr="007E3420" w:rsidRDefault="00B3500A" w:rsidP="00D62AD1">
            <w:pPr>
              <w:pStyle w:val="TableParagraph"/>
              <w:spacing w:line="210" w:lineRule="exact"/>
              <w:ind w:right="110"/>
              <w:rPr>
                <w:b/>
                <w:bCs/>
                <w:sz w:val="16"/>
                <w:szCs w:val="16"/>
              </w:rPr>
            </w:pPr>
            <w:r w:rsidRPr="007E3420">
              <w:rPr>
                <w:b/>
                <w:bCs/>
                <w:spacing w:val="-2"/>
                <w:sz w:val="16"/>
                <w:szCs w:val="16"/>
              </w:rPr>
              <w:t>VRS</w:t>
            </w:r>
            <w:r w:rsidRPr="007E3420">
              <w:rPr>
                <w:b/>
                <w:bCs/>
                <w:sz w:val="16"/>
                <w:szCs w:val="16"/>
              </w:rPr>
              <w:t xml:space="preserve"> </w:t>
            </w:r>
            <w:r w:rsidRPr="007E3420">
              <w:rPr>
                <w:b/>
                <w:bCs/>
                <w:spacing w:val="-2"/>
                <w:w w:val="105"/>
                <w:sz w:val="16"/>
                <w:szCs w:val="16"/>
              </w:rPr>
              <w:t>Lower</w:t>
            </w:r>
            <w:r w:rsidRPr="007E3420">
              <w:rPr>
                <w:b/>
                <w:bCs/>
                <w:spacing w:val="-4"/>
                <w:w w:val="105"/>
                <w:sz w:val="16"/>
                <w:szCs w:val="16"/>
              </w:rPr>
              <w:t xml:space="preserve"> </w:t>
            </w:r>
            <w:r w:rsidRPr="007E3420">
              <w:rPr>
                <w:b/>
                <w:bCs/>
                <w:spacing w:val="-2"/>
                <w:w w:val="105"/>
                <w:sz w:val="16"/>
                <w:szCs w:val="16"/>
              </w:rPr>
              <w:t>bound</w:t>
            </w:r>
          </w:p>
        </w:tc>
        <w:tc>
          <w:tcPr>
            <w:tcW w:w="668" w:type="pct"/>
          </w:tcPr>
          <w:p w14:paraId="0B80A22C" w14:textId="77777777" w:rsidR="00B3500A" w:rsidRPr="007E3420" w:rsidRDefault="00B3500A" w:rsidP="00D62AD1">
            <w:pPr>
              <w:pStyle w:val="TableParagraph"/>
              <w:spacing w:line="210" w:lineRule="exact"/>
              <w:ind w:left="102" w:right="97"/>
              <w:rPr>
                <w:b/>
                <w:bCs/>
                <w:sz w:val="16"/>
                <w:szCs w:val="16"/>
              </w:rPr>
            </w:pPr>
            <w:r w:rsidRPr="007E3420">
              <w:rPr>
                <w:b/>
                <w:bCs/>
                <w:spacing w:val="-2"/>
                <w:sz w:val="16"/>
                <w:szCs w:val="16"/>
              </w:rPr>
              <w:t>VRS</w:t>
            </w:r>
            <w:r w:rsidRPr="007E3420">
              <w:rPr>
                <w:b/>
                <w:bCs/>
                <w:sz w:val="16"/>
                <w:szCs w:val="16"/>
              </w:rPr>
              <w:t xml:space="preserve"> </w:t>
            </w:r>
            <w:r w:rsidRPr="007E3420">
              <w:rPr>
                <w:b/>
                <w:bCs/>
                <w:w w:val="110"/>
                <w:sz w:val="16"/>
                <w:szCs w:val="16"/>
              </w:rPr>
              <w:t>Upper</w:t>
            </w:r>
            <w:r w:rsidRPr="007E3420">
              <w:rPr>
                <w:b/>
                <w:bCs/>
                <w:spacing w:val="11"/>
                <w:w w:val="110"/>
                <w:sz w:val="16"/>
                <w:szCs w:val="16"/>
              </w:rPr>
              <w:t xml:space="preserve"> </w:t>
            </w:r>
            <w:r w:rsidRPr="007E3420">
              <w:rPr>
                <w:b/>
                <w:bCs/>
                <w:spacing w:val="-2"/>
                <w:w w:val="110"/>
                <w:sz w:val="16"/>
                <w:szCs w:val="16"/>
              </w:rPr>
              <w:t>bound</w:t>
            </w:r>
          </w:p>
        </w:tc>
      </w:tr>
      <w:tr w:rsidR="00B3500A" w:rsidRPr="006F4CD1" w14:paraId="02D75C42" w14:textId="77777777" w:rsidTr="00326B3D">
        <w:trPr>
          <w:trHeight w:val="236"/>
        </w:trPr>
        <w:tc>
          <w:tcPr>
            <w:tcW w:w="388" w:type="pct"/>
            <w:tcBorders>
              <w:left w:val="double" w:sz="4" w:space="0" w:color="000000"/>
              <w:bottom w:val="nil"/>
            </w:tcBorders>
          </w:tcPr>
          <w:p w14:paraId="29AB6AC2" w14:textId="77777777" w:rsidR="00B3500A" w:rsidRPr="006F4CD1" w:rsidRDefault="00B3500A" w:rsidP="00D62AD1">
            <w:pPr>
              <w:pStyle w:val="TableParagraph"/>
              <w:spacing w:line="210" w:lineRule="exact"/>
              <w:ind w:left="0" w:right="98"/>
              <w:jc w:val="right"/>
              <w:rPr>
                <w:sz w:val="16"/>
                <w:szCs w:val="16"/>
              </w:rPr>
            </w:pPr>
            <w:r w:rsidRPr="006F4CD1">
              <w:rPr>
                <w:spacing w:val="-4"/>
                <w:sz w:val="16"/>
                <w:szCs w:val="16"/>
              </w:rPr>
              <w:t>1972</w:t>
            </w:r>
          </w:p>
        </w:tc>
        <w:tc>
          <w:tcPr>
            <w:tcW w:w="346" w:type="pct"/>
            <w:tcBorders>
              <w:bottom w:val="nil"/>
            </w:tcBorders>
          </w:tcPr>
          <w:p w14:paraId="302B6BD8" w14:textId="77777777" w:rsidR="00B3500A" w:rsidRPr="006F4CD1" w:rsidRDefault="00B3500A" w:rsidP="00D62AD1">
            <w:pPr>
              <w:pStyle w:val="TableParagraph"/>
              <w:spacing w:line="210" w:lineRule="exact"/>
              <w:ind w:left="98" w:right="90"/>
              <w:rPr>
                <w:sz w:val="16"/>
                <w:szCs w:val="16"/>
              </w:rPr>
            </w:pPr>
            <w:r w:rsidRPr="006F4CD1">
              <w:rPr>
                <w:spacing w:val="-4"/>
                <w:sz w:val="16"/>
                <w:szCs w:val="16"/>
              </w:rPr>
              <w:t>0.59</w:t>
            </w:r>
          </w:p>
        </w:tc>
        <w:tc>
          <w:tcPr>
            <w:tcW w:w="624" w:type="pct"/>
            <w:tcBorders>
              <w:bottom w:val="nil"/>
            </w:tcBorders>
          </w:tcPr>
          <w:p w14:paraId="0CD50F5E" w14:textId="77777777" w:rsidR="00B3500A" w:rsidRPr="006F4CD1" w:rsidRDefault="00B3500A" w:rsidP="00D62AD1">
            <w:pPr>
              <w:pStyle w:val="TableParagraph"/>
              <w:spacing w:line="210" w:lineRule="exact"/>
              <w:ind w:left="114"/>
              <w:rPr>
                <w:sz w:val="16"/>
                <w:szCs w:val="16"/>
              </w:rPr>
            </w:pPr>
            <w:r w:rsidRPr="006F4CD1">
              <w:rPr>
                <w:spacing w:val="-4"/>
                <w:sz w:val="16"/>
                <w:szCs w:val="16"/>
              </w:rPr>
              <w:t>0.56</w:t>
            </w:r>
          </w:p>
        </w:tc>
        <w:tc>
          <w:tcPr>
            <w:tcW w:w="648" w:type="pct"/>
            <w:tcBorders>
              <w:bottom w:val="nil"/>
            </w:tcBorders>
          </w:tcPr>
          <w:p w14:paraId="64BB5114" w14:textId="77777777" w:rsidR="00B3500A" w:rsidRPr="006F4CD1" w:rsidRDefault="00B3500A" w:rsidP="00D62AD1">
            <w:pPr>
              <w:pStyle w:val="TableParagraph"/>
              <w:spacing w:line="210" w:lineRule="exact"/>
              <w:ind w:right="108"/>
              <w:rPr>
                <w:sz w:val="16"/>
                <w:szCs w:val="16"/>
              </w:rPr>
            </w:pPr>
            <w:r w:rsidRPr="006F4CD1">
              <w:rPr>
                <w:spacing w:val="-4"/>
                <w:sz w:val="16"/>
                <w:szCs w:val="16"/>
              </w:rPr>
              <w:t>0.53</w:t>
            </w:r>
          </w:p>
        </w:tc>
        <w:tc>
          <w:tcPr>
            <w:tcW w:w="657" w:type="pct"/>
            <w:tcBorders>
              <w:bottom w:val="nil"/>
              <w:right w:val="double" w:sz="4" w:space="0" w:color="000000"/>
            </w:tcBorders>
          </w:tcPr>
          <w:p w14:paraId="0122547F"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0.58</w:t>
            </w:r>
          </w:p>
        </w:tc>
        <w:tc>
          <w:tcPr>
            <w:tcW w:w="334" w:type="pct"/>
            <w:tcBorders>
              <w:left w:val="double" w:sz="4" w:space="0" w:color="000000"/>
              <w:bottom w:val="nil"/>
            </w:tcBorders>
          </w:tcPr>
          <w:p w14:paraId="1D1032A7" w14:textId="77777777" w:rsidR="00B3500A" w:rsidRPr="006F4CD1" w:rsidRDefault="00B3500A" w:rsidP="00D62AD1">
            <w:pPr>
              <w:pStyle w:val="TableParagraph"/>
              <w:spacing w:line="210" w:lineRule="exact"/>
              <w:ind w:left="110" w:right="103"/>
              <w:rPr>
                <w:sz w:val="16"/>
                <w:szCs w:val="16"/>
              </w:rPr>
            </w:pPr>
            <w:r w:rsidRPr="006F4CD1">
              <w:rPr>
                <w:spacing w:val="-4"/>
                <w:sz w:val="16"/>
                <w:szCs w:val="16"/>
              </w:rPr>
              <w:t>0.63</w:t>
            </w:r>
          </w:p>
        </w:tc>
        <w:tc>
          <w:tcPr>
            <w:tcW w:w="668" w:type="pct"/>
            <w:tcBorders>
              <w:bottom w:val="nil"/>
            </w:tcBorders>
          </w:tcPr>
          <w:p w14:paraId="1173F216" w14:textId="77777777" w:rsidR="00B3500A" w:rsidRPr="006F4CD1" w:rsidRDefault="00B3500A" w:rsidP="00D62AD1">
            <w:pPr>
              <w:pStyle w:val="TableParagraph"/>
              <w:spacing w:line="210" w:lineRule="exact"/>
              <w:ind w:left="113" w:right="107"/>
              <w:rPr>
                <w:sz w:val="16"/>
                <w:szCs w:val="16"/>
              </w:rPr>
            </w:pPr>
            <w:r w:rsidRPr="006F4CD1">
              <w:rPr>
                <w:spacing w:val="-4"/>
                <w:sz w:val="16"/>
                <w:szCs w:val="16"/>
              </w:rPr>
              <w:t>0.58</w:t>
            </w:r>
          </w:p>
        </w:tc>
        <w:tc>
          <w:tcPr>
            <w:tcW w:w="668" w:type="pct"/>
            <w:tcBorders>
              <w:bottom w:val="nil"/>
            </w:tcBorders>
          </w:tcPr>
          <w:p w14:paraId="281AE490" w14:textId="77777777" w:rsidR="00B3500A" w:rsidRPr="006F4CD1" w:rsidRDefault="00B3500A" w:rsidP="00D62AD1">
            <w:pPr>
              <w:pStyle w:val="TableParagraph"/>
              <w:spacing w:line="210" w:lineRule="exact"/>
              <w:ind w:right="110"/>
              <w:rPr>
                <w:sz w:val="16"/>
                <w:szCs w:val="16"/>
              </w:rPr>
            </w:pPr>
            <w:r w:rsidRPr="006F4CD1">
              <w:rPr>
                <w:spacing w:val="-4"/>
                <w:sz w:val="16"/>
                <w:szCs w:val="16"/>
              </w:rPr>
              <w:t>0.57</w:t>
            </w:r>
          </w:p>
        </w:tc>
        <w:tc>
          <w:tcPr>
            <w:tcW w:w="668" w:type="pct"/>
            <w:tcBorders>
              <w:bottom w:val="nil"/>
            </w:tcBorders>
          </w:tcPr>
          <w:p w14:paraId="2ABF2ABD" w14:textId="77777777" w:rsidR="00B3500A" w:rsidRPr="006F4CD1" w:rsidRDefault="00B3500A" w:rsidP="00D62AD1">
            <w:pPr>
              <w:pStyle w:val="TableParagraph"/>
              <w:spacing w:line="210" w:lineRule="exact"/>
              <w:ind w:left="0" w:right="491"/>
              <w:jc w:val="right"/>
              <w:rPr>
                <w:sz w:val="16"/>
                <w:szCs w:val="16"/>
              </w:rPr>
            </w:pPr>
            <w:r w:rsidRPr="006F4CD1">
              <w:rPr>
                <w:spacing w:val="-4"/>
                <w:sz w:val="16"/>
                <w:szCs w:val="16"/>
              </w:rPr>
              <w:t>0.62</w:t>
            </w:r>
          </w:p>
        </w:tc>
      </w:tr>
      <w:tr w:rsidR="00B3500A" w:rsidRPr="006F4CD1" w14:paraId="7F8B752F" w14:textId="77777777" w:rsidTr="00326B3D">
        <w:trPr>
          <w:trHeight w:val="239"/>
        </w:trPr>
        <w:tc>
          <w:tcPr>
            <w:tcW w:w="388" w:type="pct"/>
            <w:tcBorders>
              <w:top w:val="nil"/>
              <w:left w:val="double" w:sz="4" w:space="0" w:color="000000"/>
              <w:bottom w:val="nil"/>
            </w:tcBorders>
          </w:tcPr>
          <w:p w14:paraId="1AFB05AA" w14:textId="77777777" w:rsidR="00B3500A" w:rsidRPr="006F4CD1" w:rsidRDefault="00B3500A" w:rsidP="00D62AD1">
            <w:pPr>
              <w:pStyle w:val="TableParagraph"/>
              <w:ind w:left="0" w:right="98"/>
              <w:jc w:val="right"/>
              <w:rPr>
                <w:sz w:val="16"/>
                <w:szCs w:val="16"/>
              </w:rPr>
            </w:pPr>
            <w:r w:rsidRPr="006F4CD1">
              <w:rPr>
                <w:spacing w:val="-4"/>
                <w:sz w:val="16"/>
                <w:szCs w:val="16"/>
              </w:rPr>
              <w:t>1973</w:t>
            </w:r>
          </w:p>
        </w:tc>
        <w:tc>
          <w:tcPr>
            <w:tcW w:w="346" w:type="pct"/>
            <w:tcBorders>
              <w:top w:val="nil"/>
              <w:bottom w:val="nil"/>
            </w:tcBorders>
          </w:tcPr>
          <w:p w14:paraId="2B151700" w14:textId="77777777" w:rsidR="00B3500A" w:rsidRPr="006F4CD1" w:rsidRDefault="00B3500A" w:rsidP="00D62AD1">
            <w:pPr>
              <w:pStyle w:val="TableParagraph"/>
              <w:ind w:left="98" w:right="90"/>
              <w:rPr>
                <w:sz w:val="16"/>
                <w:szCs w:val="16"/>
              </w:rPr>
            </w:pPr>
            <w:r w:rsidRPr="006F4CD1">
              <w:rPr>
                <w:spacing w:val="-4"/>
                <w:sz w:val="16"/>
                <w:szCs w:val="16"/>
              </w:rPr>
              <w:t>0.56</w:t>
            </w:r>
          </w:p>
        </w:tc>
        <w:tc>
          <w:tcPr>
            <w:tcW w:w="624" w:type="pct"/>
            <w:tcBorders>
              <w:top w:val="nil"/>
              <w:bottom w:val="nil"/>
            </w:tcBorders>
          </w:tcPr>
          <w:p w14:paraId="632031BA" w14:textId="77777777" w:rsidR="00B3500A" w:rsidRPr="006F4CD1" w:rsidRDefault="00B3500A" w:rsidP="00D62AD1">
            <w:pPr>
              <w:pStyle w:val="TableParagraph"/>
              <w:ind w:left="114"/>
              <w:rPr>
                <w:sz w:val="16"/>
                <w:szCs w:val="16"/>
              </w:rPr>
            </w:pPr>
            <w:r w:rsidRPr="006F4CD1">
              <w:rPr>
                <w:spacing w:val="-4"/>
                <w:sz w:val="16"/>
                <w:szCs w:val="16"/>
              </w:rPr>
              <w:t>0.53</w:t>
            </w:r>
          </w:p>
        </w:tc>
        <w:tc>
          <w:tcPr>
            <w:tcW w:w="648" w:type="pct"/>
            <w:tcBorders>
              <w:top w:val="nil"/>
              <w:bottom w:val="nil"/>
            </w:tcBorders>
          </w:tcPr>
          <w:p w14:paraId="6520A324" w14:textId="77777777" w:rsidR="00B3500A" w:rsidRPr="006F4CD1" w:rsidRDefault="00B3500A" w:rsidP="00D62AD1">
            <w:pPr>
              <w:pStyle w:val="TableParagraph"/>
              <w:ind w:right="108"/>
              <w:rPr>
                <w:sz w:val="16"/>
                <w:szCs w:val="16"/>
              </w:rPr>
            </w:pPr>
            <w:r w:rsidRPr="006F4CD1">
              <w:rPr>
                <w:spacing w:val="-4"/>
                <w:sz w:val="16"/>
                <w:szCs w:val="16"/>
              </w:rPr>
              <w:t>0.51</w:t>
            </w:r>
          </w:p>
        </w:tc>
        <w:tc>
          <w:tcPr>
            <w:tcW w:w="657" w:type="pct"/>
            <w:tcBorders>
              <w:top w:val="nil"/>
              <w:bottom w:val="nil"/>
              <w:right w:val="double" w:sz="4" w:space="0" w:color="000000"/>
            </w:tcBorders>
          </w:tcPr>
          <w:p w14:paraId="301F9A42"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0.55</w:t>
            </w:r>
          </w:p>
        </w:tc>
        <w:tc>
          <w:tcPr>
            <w:tcW w:w="334" w:type="pct"/>
            <w:tcBorders>
              <w:top w:val="nil"/>
              <w:left w:val="double" w:sz="4" w:space="0" w:color="000000"/>
              <w:bottom w:val="nil"/>
            </w:tcBorders>
          </w:tcPr>
          <w:p w14:paraId="476DAB52" w14:textId="77777777" w:rsidR="00B3500A" w:rsidRPr="006F4CD1" w:rsidRDefault="00B3500A" w:rsidP="00D62AD1">
            <w:pPr>
              <w:pStyle w:val="TableParagraph"/>
              <w:ind w:left="110" w:right="103"/>
              <w:rPr>
                <w:sz w:val="16"/>
                <w:szCs w:val="16"/>
              </w:rPr>
            </w:pPr>
            <w:r w:rsidRPr="006F4CD1">
              <w:rPr>
                <w:spacing w:val="-4"/>
                <w:sz w:val="16"/>
                <w:szCs w:val="16"/>
              </w:rPr>
              <w:t>0.59</w:t>
            </w:r>
          </w:p>
        </w:tc>
        <w:tc>
          <w:tcPr>
            <w:tcW w:w="668" w:type="pct"/>
            <w:tcBorders>
              <w:top w:val="nil"/>
              <w:bottom w:val="nil"/>
            </w:tcBorders>
          </w:tcPr>
          <w:p w14:paraId="55523E5B" w14:textId="77777777" w:rsidR="00B3500A" w:rsidRPr="006F4CD1" w:rsidRDefault="00B3500A" w:rsidP="00D62AD1">
            <w:pPr>
              <w:pStyle w:val="TableParagraph"/>
              <w:ind w:left="113" w:right="107"/>
              <w:rPr>
                <w:sz w:val="16"/>
                <w:szCs w:val="16"/>
              </w:rPr>
            </w:pPr>
            <w:r w:rsidRPr="006F4CD1">
              <w:rPr>
                <w:spacing w:val="-4"/>
                <w:sz w:val="16"/>
                <w:szCs w:val="16"/>
              </w:rPr>
              <w:t>0.56</w:t>
            </w:r>
          </w:p>
        </w:tc>
        <w:tc>
          <w:tcPr>
            <w:tcW w:w="668" w:type="pct"/>
            <w:tcBorders>
              <w:top w:val="nil"/>
              <w:bottom w:val="nil"/>
            </w:tcBorders>
          </w:tcPr>
          <w:p w14:paraId="4F2F1388" w14:textId="77777777" w:rsidR="00B3500A" w:rsidRPr="006F4CD1" w:rsidRDefault="00B3500A" w:rsidP="00D62AD1">
            <w:pPr>
              <w:pStyle w:val="TableParagraph"/>
              <w:ind w:right="110"/>
              <w:rPr>
                <w:sz w:val="16"/>
                <w:szCs w:val="16"/>
              </w:rPr>
            </w:pPr>
            <w:r w:rsidRPr="006F4CD1">
              <w:rPr>
                <w:spacing w:val="-4"/>
                <w:sz w:val="16"/>
                <w:szCs w:val="16"/>
              </w:rPr>
              <w:t>0.54</w:t>
            </w:r>
          </w:p>
        </w:tc>
        <w:tc>
          <w:tcPr>
            <w:tcW w:w="668" w:type="pct"/>
            <w:tcBorders>
              <w:top w:val="nil"/>
              <w:bottom w:val="nil"/>
            </w:tcBorders>
          </w:tcPr>
          <w:p w14:paraId="5C0D2684" w14:textId="77777777" w:rsidR="00B3500A" w:rsidRPr="006F4CD1" w:rsidRDefault="00B3500A" w:rsidP="00D62AD1">
            <w:pPr>
              <w:pStyle w:val="TableParagraph"/>
              <w:ind w:left="0" w:right="491"/>
              <w:jc w:val="right"/>
              <w:rPr>
                <w:sz w:val="16"/>
                <w:szCs w:val="16"/>
              </w:rPr>
            </w:pPr>
            <w:r w:rsidRPr="006F4CD1">
              <w:rPr>
                <w:spacing w:val="-4"/>
                <w:sz w:val="16"/>
                <w:szCs w:val="16"/>
              </w:rPr>
              <w:t>0.58</w:t>
            </w:r>
          </w:p>
        </w:tc>
      </w:tr>
      <w:tr w:rsidR="00B3500A" w:rsidRPr="006F4CD1" w14:paraId="19345DCA" w14:textId="77777777" w:rsidTr="00326B3D">
        <w:trPr>
          <w:trHeight w:val="239"/>
        </w:trPr>
        <w:tc>
          <w:tcPr>
            <w:tcW w:w="388" w:type="pct"/>
            <w:tcBorders>
              <w:top w:val="nil"/>
              <w:left w:val="double" w:sz="4" w:space="0" w:color="000000"/>
              <w:bottom w:val="nil"/>
            </w:tcBorders>
          </w:tcPr>
          <w:p w14:paraId="241B871C" w14:textId="77777777" w:rsidR="00B3500A" w:rsidRPr="006F4CD1" w:rsidRDefault="00B3500A" w:rsidP="00D62AD1">
            <w:pPr>
              <w:pStyle w:val="TableParagraph"/>
              <w:ind w:left="0" w:right="98"/>
              <w:jc w:val="right"/>
              <w:rPr>
                <w:sz w:val="16"/>
                <w:szCs w:val="16"/>
              </w:rPr>
            </w:pPr>
            <w:r w:rsidRPr="006F4CD1">
              <w:rPr>
                <w:spacing w:val="-4"/>
                <w:sz w:val="16"/>
                <w:szCs w:val="16"/>
              </w:rPr>
              <w:t>1974</w:t>
            </w:r>
          </w:p>
        </w:tc>
        <w:tc>
          <w:tcPr>
            <w:tcW w:w="346" w:type="pct"/>
            <w:tcBorders>
              <w:top w:val="nil"/>
              <w:bottom w:val="nil"/>
            </w:tcBorders>
          </w:tcPr>
          <w:p w14:paraId="4F1AFA8A" w14:textId="77777777" w:rsidR="00B3500A" w:rsidRPr="006F4CD1" w:rsidRDefault="00B3500A" w:rsidP="00D62AD1">
            <w:pPr>
              <w:pStyle w:val="TableParagraph"/>
              <w:ind w:left="98" w:right="90"/>
              <w:rPr>
                <w:sz w:val="16"/>
                <w:szCs w:val="16"/>
              </w:rPr>
            </w:pPr>
            <w:r w:rsidRPr="006F4CD1">
              <w:rPr>
                <w:spacing w:val="-4"/>
                <w:sz w:val="16"/>
                <w:szCs w:val="16"/>
              </w:rPr>
              <w:t>0.55</w:t>
            </w:r>
          </w:p>
        </w:tc>
        <w:tc>
          <w:tcPr>
            <w:tcW w:w="624" w:type="pct"/>
            <w:tcBorders>
              <w:top w:val="nil"/>
              <w:bottom w:val="nil"/>
            </w:tcBorders>
          </w:tcPr>
          <w:p w14:paraId="590A50E8" w14:textId="77777777" w:rsidR="00B3500A" w:rsidRPr="006F4CD1" w:rsidRDefault="00B3500A" w:rsidP="00D62AD1">
            <w:pPr>
              <w:pStyle w:val="TableParagraph"/>
              <w:ind w:left="114"/>
              <w:rPr>
                <w:sz w:val="16"/>
                <w:szCs w:val="16"/>
              </w:rPr>
            </w:pPr>
            <w:r w:rsidRPr="006F4CD1">
              <w:rPr>
                <w:spacing w:val="-4"/>
                <w:sz w:val="16"/>
                <w:szCs w:val="16"/>
              </w:rPr>
              <w:t>0.52</w:t>
            </w:r>
          </w:p>
        </w:tc>
        <w:tc>
          <w:tcPr>
            <w:tcW w:w="648" w:type="pct"/>
            <w:tcBorders>
              <w:top w:val="nil"/>
              <w:bottom w:val="nil"/>
            </w:tcBorders>
          </w:tcPr>
          <w:p w14:paraId="7BCEA6C6" w14:textId="77777777" w:rsidR="00B3500A" w:rsidRPr="006F4CD1" w:rsidRDefault="00B3500A" w:rsidP="00D62AD1">
            <w:pPr>
              <w:pStyle w:val="TableParagraph"/>
              <w:ind w:right="108"/>
              <w:rPr>
                <w:sz w:val="16"/>
                <w:szCs w:val="16"/>
              </w:rPr>
            </w:pPr>
            <w:r w:rsidRPr="006F4CD1">
              <w:rPr>
                <w:spacing w:val="-4"/>
                <w:sz w:val="16"/>
                <w:szCs w:val="16"/>
              </w:rPr>
              <w:t>0.50</w:t>
            </w:r>
          </w:p>
        </w:tc>
        <w:tc>
          <w:tcPr>
            <w:tcW w:w="657" w:type="pct"/>
            <w:tcBorders>
              <w:top w:val="nil"/>
              <w:bottom w:val="nil"/>
              <w:right w:val="double" w:sz="4" w:space="0" w:color="000000"/>
            </w:tcBorders>
          </w:tcPr>
          <w:p w14:paraId="41E0F99C"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0.54</w:t>
            </w:r>
          </w:p>
        </w:tc>
        <w:tc>
          <w:tcPr>
            <w:tcW w:w="334" w:type="pct"/>
            <w:tcBorders>
              <w:top w:val="nil"/>
              <w:left w:val="double" w:sz="4" w:space="0" w:color="000000"/>
              <w:bottom w:val="nil"/>
            </w:tcBorders>
          </w:tcPr>
          <w:p w14:paraId="6ED49CED" w14:textId="77777777" w:rsidR="00B3500A" w:rsidRPr="006F4CD1" w:rsidRDefault="00B3500A" w:rsidP="00D62AD1">
            <w:pPr>
              <w:pStyle w:val="TableParagraph"/>
              <w:ind w:left="110" w:right="103"/>
              <w:rPr>
                <w:sz w:val="16"/>
                <w:szCs w:val="16"/>
              </w:rPr>
            </w:pPr>
            <w:r w:rsidRPr="006F4CD1">
              <w:rPr>
                <w:spacing w:val="-4"/>
                <w:sz w:val="16"/>
                <w:szCs w:val="16"/>
              </w:rPr>
              <w:t>0.58</w:t>
            </w:r>
          </w:p>
        </w:tc>
        <w:tc>
          <w:tcPr>
            <w:tcW w:w="668" w:type="pct"/>
            <w:tcBorders>
              <w:top w:val="nil"/>
              <w:bottom w:val="nil"/>
            </w:tcBorders>
          </w:tcPr>
          <w:p w14:paraId="6D952655" w14:textId="77777777" w:rsidR="00B3500A" w:rsidRPr="006F4CD1" w:rsidRDefault="00B3500A" w:rsidP="00D62AD1">
            <w:pPr>
              <w:pStyle w:val="TableParagraph"/>
              <w:ind w:left="113" w:right="107"/>
              <w:rPr>
                <w:sz w:val="16"/>
                <w:szCs w:val="16"/>
              </w:rPr>
            </w:pPr>
            <w:r w:rsidRPr="006F4CD1">
              <w:rPr>
                <w:spacing w:val="-4"/>
                <w:sz w:val="16"/>
                <w:szCs w:val="16"/>
              </w:rPr>
              <w:t>0.55</w:t>
            </w:r>
          </w:p>
        </w:tc>
        <w:tc>
          <w:tcPr>
            <w:tcW w:w="668" w:type="pct"/>
            <w:tcBorders>
              <w:top w:val="nil"/>
              <w:bottom w:val="nil"/>
            </w:tcBorders>
          </w:tcPr>
          <w:p w14:paraId="0DEC7D00" w14:textId="77777777" w:rsidR="00B3500A" w:rsidRPr="006F4CD1" w:rsidRDefault="00B3500A" w:rsidP="00D62AD1">
            <w:pPr>
              <w:pStyle w:val="TableParagraph"/>
              <w:ind w:right="110"/>
              <w:rPr>
                <w:sz w:val="16"/>
                <w:szCs w:val="16"/>
              </w:rPr>
            </w:pPr>
            <w:r w:rsidRPr="006F4CD1">
              <w:rPr>
                <w:spacing w:val="-4"/>
                <w:sz w:val="16"/>
                <w:szCs w:val="16"/>
              </w:rPr>
              <w:t>0.54</w:t>
            </w:r>
          </w:p>
        </w:tc>
        <w:tc>
          <w:tcPr>
            <w:tcW w:w="668" w:type="pct"/>
            <w:tcBorders>
              <w:top w:val="nil"/>
              <w:bottom w:val="nil"/>
            </w:tcBorders>
          </w:tcPr>
          <w:p w14:paraId="44840EB0" w14:textId="77777777" w:rsidR="00B3500A" w:rsidRPr="006F4CD1" w:rsidRDefault="00B3500A" w:rsidP="00D62AD1">
            <w:pPr>
              <w:pStyle w:val="TableParagraph"/>
              <w:ind w:left="0" w:right="491"/>
              <w:jc w:val="right"/>
              <w:rPr>
                <w:sz w:val="16"/>
                <w:szCs w:val="16"/>
              </w:rPr>
            </w:pPr>
            <w:r w:rsidRPr="006F4CD1">
              <w:rPr>
                <w:spacing w:val="-4"/>
                <w:sz w:val="16"/>
                <w:szCs w:val="16"/>
              </w:rPr>
              <w:t>0.57</w:t>
            </w:r>
          </w:p>
        </w:tc>
      </w:tr>
      <w:tr w:rsidR="00B3500A" w:rsidRPr="006F4CD1" w14:paraId="1C7BEC9C" w14:textId="77777777" w:rsidTr="00326B3D">
        <w:trPr>
          <w:trHeight w:val="239"/>
        </w:trPr>
        <w:tc>
          <w:tcPr>
            <w:tcW w:w="388" w:type="pct"/>
            <w:tcBorders>
              <w:top w:val="nil"/>
              <w:left w:val="double" w:sz="4" w:space="0" w:color="000000"/>
              <w:bottom w:val="nil"/>
            </w:tcBorders>
          </w:tcPr>
          <w:p w14:paraId="08FEDEC9" w14:textId="77777777" w:rsidR="00B3500A" w:rsidRPr="006F4CD1" w:rsidRDefault="00B3500A" w:rsidP="00D62AD1">
            <w:pPr>
              <w:pStyle w:val="TableParagraph"/>
              <w:ind w:left="0" w:right="98"/>
              <w:jc w:val="right"/>
              <w:rPr>
                <w:sz w:val="16"/>
                <w:szCs w:val="16"/>
              </w:rPr>
            </w:pPr>
            <w:r w:rsidRPr="006F4CD1">
              <w:rPr>
                <w:spacing w:val="-4"/>
                <w:sz w:val="16"/>
                <w:szCs w:val="16"/>
              </w:rPr>
              <w:t>1975</w:t>
            </w:r>
          </w:p>
        </w:tc>
        <w:tc>
          <w:tcPr>
            <w:tcW w:w="346" w:type="pct"/>
            <w:tcBorders>
              <w:top w:val="nil"/>
              <w:bottom w:val="nil"/>
            </w:tcBorders>
          </w:tcPr>
          <w:p w14:paraId="34B574AD" w14:textId="77777777" w:rsidR="00B3500A" w:rsidRPr="006F4CD1" w:rsidRDefault="00B3500A" w:rsidP="00D62AD1">
            <w:pPr>
              <w:pStyle w:val="TableParagraph"/>
              <w:ind w:left="98" w:right="90"/>
              <w:rPr>
                <w:sz w:val="16"/>
                <w:szCs w:val="16"/>
              </w:rPr>
            </w:pPr>
            <w:r w:rsidRPr="006F4CD1">
              <w:rPr>
                <w:spacing w:val="-4"/>
                <w:sz w:val="16"/>
                <w:szCs w:val="16"/>
              </w:rPr>
              <w:t>0.58</w:t>
            </w:r>
          </w:p>
        </w:tc>
        <w:tc>
          <w:tcPr>
            <w:tcW w:w="624" w:type="pct"/>
            <w:tcBorders>
              <w:top w:val="nil"/>
              <w:bottom w:val="nil"/>
            </w:tcBorders>
          </w:tcPr>
          <w:p w14:paraId="3049D868" w14:textId="77777777" w:rsidR="00B3500A" w:rsidRPr="006F4CD1" w:rsidRDefault="00B3500A" w:rsidP="00D62AD1">
            <w:pPr>
              <w:pStyle w:val="TableParagraph"/>
              <w:ind w:left="114"/>
              <w:rPr>
                <w:sz w:val="16"/>
                <w:szCs w:val="16"/>
              </w:rPr>
            </w:pPr>
            <w:r w:rsidRPr="006F4CD1">
              <w:rPr>
                <w:spacing w:val="-4"/>
                <w:sz w:val="16"/>
                <w:szCs w:val="16"/>
              </w:rPr>
              <w:t>0.56</w:t>
            </w:r>
          </w:p>
        </w:tc>
        <w:tc>
          <w:tcPr>
            <w:tcW w:w="648" w:type="pct"/>
            <w:tcBorders>
              <w:top w:val="nil"/>
              <w:bottom w:val="nil"/>
            </w:tcBorders>
          </w:tcPr>
          <w:p w14:paraId="1BFFD32B" w14:textId="77777777" w:rsidR="00B3500A" w:rsidRPr="006F4CD1" w:rsidRDefault="00B3500A" w:rsidP="00D62AD1">
            <w:pPr>
              <w:pStyle w:val="TableParagraph"/>
              <w:ind w:right="108"/>
              <w:rPr>
                <w:sz w:val="16"/>
                <w:szCs w:val="16"/>
              </w:rPr>
            </w:pPr>
            <w:r w:rsidRPr="006F4CD1">
              <w:rPr>
                <w:spacing w:val="-4"/>
                <w:sz w:val="16"/>
                <w:szCs w:val="16"/>
              </w:rPr>
              <w:t>0.53</w:t>
            </w:r>
          </w:p>
        </w:tc>
        <w:tc>
          <w:tcPr>
            <w:tcW w:w="657" w:type="pct"/>
            <w:tcBorders>
              <w:top w:val="nil"/>
              <w:bottom w:val="nil"/>
              <w:right w:val="double" w:sz="4" w:space="0" w:color="000000"/>
            </w:tcBorders>
          </w:tcPr>
          <w:p w14:paraId="4054D3BD"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0.58</w:t>
            </w:r>
          </w:p>
        </w:tc>
        <w:tc>
          <w:tcPr>
            <w:tcW w:w="334" w:type="pct"/>
            <w:tcBorders>
              <w:top w:val="nil"/>
              <w:left w:val="double" w:sz="4" w:space="0" w:color="000000"/>
              <w:bottom w:val="nil"/>
            </w:tcBorders>
          </w:tcPr>
          <w:p w14:paraId="114BDF91" w14:textId="77777777" w:rsidR="00B3500A" w:rsidRPr="006F4CD1" w:rsidRDefault="00B3500A" w:rsidP="00D62AD1">
            <w:pPr>
              <w:pStyle w:val="TableParagraph"/>
              <w:ind w:left="110" w:right="103"/>
              <w:rPr>
                <w:sz w:val="16"/>
                <w:szCs w:val="16"/>
              </w:rPr>
            </w:pPr>
            <w:r w:rsidRPr="006F4CD1">
              <w:rPr>
                <w:spacing w:val="-4"/>
                <w:sz w:val="16"/>
                <w:szCs w:val="16"/>
              </w:rPr>
              <w:t>0.61</w:t>
            </w:r>
          </w:p>
        </w:tc>
        <w:tc>
          <w:tcPr>
            <w:tcW w:w="668" w:type="pct"/>
            <w:tcBorders>
              <w:top w:val="nil"/>
              <w:bottom w:val="nil"/>
            </w:tcBorders>
          </w:tcPr>
          <w:p w14:paraId="26CC725A" w14:textId="77777777" w:rsidR="00B3500A" w:rsidRPr="006F4CD1" w:rsidRDefault="00B3500A" w:rsidP="00D62AD1">
            <w:pPr>
              <w:pStyle w:val="TableParagraph"/>
              <w:ind w:left="113" w:right="107"/>
              <w:rPr>
                <w:sz w:val="16"/>
                <w:szCs w:val="16"/>
              </w:rPr>
            </w:pPr>
            <w:r w:rsidRPr="006F4CD1">
              <w:rPr>
                <w:spacing w:val="-4"/>
                <w:sz w:val="16"/>
                <w:szCs w:val="16"/>
              </w:rPr>
              <w:t>0.58</w:t>
            </w:r>
          </w:p>
        </w:tc>
        <w:tc>
          <w:tcPr>
            <w:tcW w:w="668" w:type="pct"/>
            <w:tcBorders>
              <w:top w:val="nil"/>
              <w:bottom w:val="nil"/>
            </w:tcBorders>
          </w:tcPr>
          <w:p w14:paraId="0C4BB4C6" w14:textId="77777777" w:rsidR="00B3500A" w:rsidRPr="006F4CD1" w:rsidRDefault="00B3500A" w:rsidP="00D62AD1">
            <w:pPr>
              <w:pStyle w:val="TableParagraph"/>
              <w:ind w:right="110"/>
              <w:rPr>
                <w:sz w:val="16"/>
                <w:szCs w:val="16"/>
              </w:rPr>
            </w:pPr>
            <w:r w:rsidRPr="006F4CD1">
              <w:rPr>
                <w:spacing w:val="-4"/>
                <w:sz w:val="16"/>
                <w:szCs w:val="16"/>
              </w:rPr>
              <w:t>0.57</w:t>
            </w:r>
          </w:p>
        </w:tc>
        <w:tc>
          <w:tcPr>
            <w:tcW w:w="668" w:type="pct"/>
            <w:tcBorders>
              <w:top w:val="nil"/>
              <w:bottom w:val="nil"/>
            </w:tcBorders>
          </w:tcPr>
          <w:p w14:paraId="4F62CDBF" w14:textId="77777777" w:rsidR="00B3500A" w:rsidRPr="006F4CD1" w:rsidRDefault="00B3500A" w:rsidP="00D62AD1">
            <w:pPr>
              <w:pStyle w:val="TableParagraph"/>
              <w:ind w:left="0" w:right="491"/>
              <w:jc w:val="right"/>
              <w:rPr>
                <w:sz w:val="16"/>
                <w:szCs w:val="16"/>
              </w:rPr>
            </w:pPr>
            <w:r w:rsidRPr="006F4CD1">
              <w:rPr>
                <w:spacing w:val="-4"/>
                <w:sz w:val="16"/>
                <w:szCs w:val="16"/>
              </w:rPr>
              <w:t>0.60</w:t>
            </w:r>
          </w:p>
        </w:tc>
      </w:tr>
      <w:tr w:rsidR="00B3500A" w:rsidRPr="006F4CD1" w14:paraId="7ECB9F29" w14:textId="77777777" w:rsidTr="00326B3D">
        <w:trPr>
          <w:trHeight w:val="239"/>
        </w:trPr>
        <w:tc>
          <w:tcPr>
            <w:tcW w:w="388" w:type="pct"/>
            <w:tcBorders>
              <w:top w:val="nil"/>
              <w:left w:val="double" w:sz="4" w:space="0" w:color="000000"/>
              <w:bottom w:val="nil"/>
            </w:tcBorders>
          </w:tcPr>
          <w:p w14:paraId="5930D671" w14:textId="77777777" w:rsidR="00B3500A" w:rsidRPr="006F4CD1" w:rsidRDefault="00B3500A" w:rsidP="00D62AD1">
            <w:pPr>
              <w:pStyle w:val="TableParagraph"/>
              <w:ind w:left="0" w:right="98"/>
              <w:jc w:val="right"/>
              <w:rPr>
                <w:sz w:val="16"/>
                <w:szCs w:val="16"/>
              </w:rPr>
            </w:pPr>
            <w:r w:rsidRPr="006F4CD1">
              <w:rPr>
                <w:spacing w:val="-4"/>
                <w:sz w:val="16"/>
                <w:szCs w:val="16"/>
              </w:rPr>
              <w:t>1976</w:t>
            </w:r>
          </w:p>
        </w:tc>
        <w:tc>
          <w:tcPr>
            <w:tcW w:w="346" w:type="pct"/>
            <w:tcBorders>
              <w:top w:val="nil"/>
              <w:bottom w:val="nil"/>
            </w:tcBorders>
          </w:tcPr>
          <w:p w14:paraId="419F889D" w14:textId="77777777" w:rsidR="00B3500A" w:rsidRPr="006F4CD1" w:rsidRDefault="00B3500A" w:rsidP="00D62AD1">
            <w:pPr>
              <w:pStyle w:val="TableParagraph"/>
              <w:ind w:left="98" w:right="90"/>
              <w:rPr>
                <w:sz w:val="16"/>
                <w:szCs w:val="16"/>
              </w:rPr>
            </w:pPr>
            <w:r w:rsidRPr="006F4CD1">
              <w:rPr>
                <w:spacing w:val="-4"/>
                <w:sz w:val="16"/>
                <w:szCs w:val="16"/>
              </w:rPr>
              <w:t>0.59</w:t>
            </w:r>
          </w:p>
        </w:tc>
        <w:tc>
          <w:tcPr>
            <w:tcW w:w="624" w:type="pct"/>
            <w:tcBorders>
              <w:top w:val="nil"/>
              <w:bottom w:val="nil"/>
            </w:tcBorders>
          </w:tcPr>
          <w:p w14:paraId="2048C787" w14:textId="77777777" w:rsidR="00B3500A" w:rsidRPr="006F4CD1" w:rsidRDefault="00B3500A" w:rsidP="00D62AD1">
            <w:pPr>
              <w:pStyle w:val="TableParagraph"/>
              <w:ind w:left="114"/>
              <w:rPr>
                <w:sz w:val="16"/>
                <w:szCs w:val="16"/>
              </w:rPr>
            </w:pPr>
            <w:r w:rsidRPr="006F4CD1">
              <w:rPr>
                <w:spacing w:val="-4"/>
                <w:sz w:val="16"/>
                <w:szCs w:val="16"/>
              </w:rPr>
              <w:t>0.56</w:t>
            </w:r>
          </w:p>
        </w:tc>
        <w:tc>
          <w:tcPr>
            <w:tcW w:w="648" w:type="pct"/>
            <w:tcBorders>
              <w:top w:val="nil"/>
              <w:bottom w:val="nil"/>
            </w:tcBorders>
          </w:tcPr>
          <w:p w14:paraId="231B4D60" w14:textId="77777777" w:rsidR="00B3500A" w:rsidRPr="006F4CD1" w:rsidRDefault="00B3500A" w:rsidP="00D62AD1">
            <w:pPr>
              <w:pStyle w:val="TableParagraph"/>
              <w:ind w:right="108"/>
              <w:rPr>
                <w:sz w:val="16"/>
                <w:szCs w:val="16"/>
              </w:rPr>
            </w:pPr>
            <w:r w:rsidRPr="006F4CD1">
              <w:rPr>
                <w:spacing w:val="-4"/>
                <w:sz w:val="16"/>
                <w:szCs w:val="16"/>
              </w:rPr>
              <w:t>0.54</w:t>
            </w:r>
          </w:p>
        </w:tc>
        <w:tc>
          <w:tcPr>
            <w:tcW w:w="657" w:type="pct"/>
            <w:tcBorders>
              <w:top w:val="nil"/>
              <w:bottom w:val="nil"/>
              <w:right w:val="double" w:sz="4" w:space="0" w:color="000000"/>
            </w:tcBorders>
          </w:tcPr>
          <w:p w14:paraId="697432B7"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0.58</w:t>
            </w:r>
          </w:p>
        </w:tc>
        <w:tc>
          <w:tcPr>
            <w:tcW w:w="334" w:type="pct"/>
            <w:tcBorders>
              <w:top w:val="nil"/>
              <w:left w:val="double" w:sz="4" w:space="0" w:color="000000"/>
              <w:bottom w:val="nil"/>
            </w:tcBorders>
          </w:tcPr>
          <w:p w14:paraId="29CA8454" w14:textId="77777777" w:rsidR="00B3500A" w:rsidRPr="006F4CD1" w:rsidRDefault="00B3500A" w:rsidP="00D62AD1">
            <w:pPr>
              <w:pStyle w:val="TableParagraph"/>
              <w:ind w:left="110" w:right="103"/>
              <w:rPr>
                <w:sz w:val="16"/>
                <w:szCs w:val="16"/>
              </w:rPr>
            </w:pPr>
            <w:r w:rsidRPr="006F4CD1">
              <w:rPr>
                <w:spacing w:val="-4"/>
                <w:sz w:val="16"/>
                <w:szCs w:val="16"/>
              </w:rPr>
              <w:t>0.61</w:t>
            </w:r>
          </w:p>
        </w:tc>
        <w:tc>
          <w:tcPr>
            <w:tcW w:w="668" w:type="pct"/>
            <w:tcBorders>
              <w:top w:val="nil"/>
              <w:bottom w:val="nil"/>
            </w:tcBorders>
          </w:tcPr>
          <w:p w14:paraId="594348EE" w14:textId="77777777" w:rsidR="00B3500A" w:rsidRPr="006F4CD1" w:rsidRDefault="00B3500A" w:rsidP="00D62AD1">
            <w:pPr>
              <w:pStyle w:val="TableParagraph"/>
              <w:ind w:left="113" w:right="107"/>
              <w:rPr>
                <w:sz w:val="16"/>
                <w:szCs w:val="16"/>
              </w:rPr>
            </w:pPr>
            <w:r w:rsidRPr="006F4CD1">
              <w:rPr>
                <w:spacing w:val="-4"/>
                <w:sz w:val="16"/>
                <w:szCs w:val="16"/>
              </w:rPr>
              <w:t>0.58</w:t>
            </w:r>
          </w:p>
        </w:tc>
        <w:tc>
          <w:tcPr>
            <w:tcW w:w="668" w:type="pct"/>
            <w:tcBorders>
              <w:top w:val="nil"/>
              <w:bottom w:val="nil"/>
            </w:tcBorders>
          </w:tcPr>
          <w:p w14:paraId="0551B811" w14:textId="77777777" w:rsidR="00B3500A" w:rsidRPr="006F4CD1" w:rsidRDefault="00B3500A" w:rsidP="00D62AD1">
            <w:pPr>
              <w:pStyle w:val="TableParagraph"/>
              <w:ind w:right="110"/>
              <w:rPr>
                <w:sz w:val="16"/>
                <w:szCs w:val="16"/>
              </w:rPr>
            </w:pPr>
            <w:r w:rsidRPr="006F4CD1">
              <w:rPr>
                <w:spacing w:val="-4"/>
                <w:sz w:val="16"/>
                <w:szCs w:val="16"/>
              </w:rPr>
              <w:t>0.57</w:t>
            </w:r>
          </w:p>
        </w:tc>
        <w:tc>
          <w:tcPr>
            <w:tcW w:w="668" w:type="pct"/>
            <w:tcBorders>
              <w:top w:val="nil"/>
              <w:bottom w:val="nil"/>
            </w:tcBorders>
          </w:tcPr>
          <w:p w14:paraId="2B0F2358" w14:textId="77777777" w:rsidR="00B3500A" w:rsidRPr="006F4CD1" w:rsidRDefault="00B3500A" w:rsidP="00D62AD1">
            <w:pPr>
              <w:pStyle w:val="TableParagraph"/>
              <w:ind w:left="0" w:right="491"/>
              <w:jc w:val="right"/>
              <w:rPr>
                <w:sz w:val="16"/>
                <w:szCs w:val="16"/>
              </w:rPr>
            </w:pPr>
            <w:r w:rsidRPr="006F4CD1">
              <w:rPr>
                <w:spacing w:val="-4"/>
                <w:sz w:val="16"/>
                <w:szCs w:val="16"/>
              </w:rPr>
              <w:t>0.60</w:t>
            </w:r>
          </w:p>
        </w:tc>
      </w:tr>
      <w:tr w:rsidR="00B3500A" w:rsidRPr="006F4CD1" w14:paraId="116FA6EF" w14:textId="77777777" w:rsidTr="00326B3D">
        <w:trPr>
          <w:trHeight w:val="239"/>
        </w:trPr>
        <w:tc>
          <w:tcPr>
            <w:tcW w:w="388" w:type="pct"/>
            <w:tcBorders>
              <w:top w:val="nil"/>
              <w:left w:val="double" w:sz="4" w:space="0" w:color="000000"/>
              <w:bottom w:val="nil"/>
            </w:tcBorders>
          </w:tcPr>
          <w:p w14:paraId="64A5F0F0" w14:textId="77777777" w:rsidR="00B3500A" w:rsidRPr="006F4CD1" w:rsidRDefault="00B3500A" w:rsidP="00D62AD1">
            <w:pPr>
              <w:pStyle w:val="TableParagraph"/>
              <w:ind w:left="0" w:right="98"/>
              <w:jc w:val="right"/>
              <w:rPr>
                <w:sz w:val="16"/>
                <w:szCs w:val="16"/>
              </w:rPr>
            </w:pPr>
            <w:r w:rsidRPr="006F4CD1">
              <w:rPr>
                <w:spacing w:val="-4"/>
                <w:sz w:val="16"/>
                <w:szCs w:val="16"/>
              </w:rPr>
              <w:t>1977</w:t>
            </w:r>
          </w:p>
        </w:tc>
        <w:tc>
          <w:tcPr>
            <w:tcW w:w="346" w:type="pct"/>
            <w:tcBorders>
              <w:top w:val="nil"/>
              <w:bottom w:val="nil"/>
            </w:tcBorders>
          </w:tcPr>
          <w:p w14:paraId="4D190991" w14:textId="77777777" w:rsidR="00B3500A" w:rsidRPr="006F4CD1" w:rsidRDefault="00B3500A" w:rsidP="00D62AD1">
            <w:pPr>
              <w:pStyle w:val="TableParagraph"/>
              <w:ind w:left="98" w:right="90"/>
              <w:rPr>
                <w:sz w:val="16"/>
                <w:szCs w:val="16"/>
              </w:rPr>
            </w:pPr>
            <w:r w:rsidRPr="006F4CD1">
              <w:rPr>
                <w:spacing w:val="-4"/>
                <w:sz w:val="16"/>
                <w:szCs w:val="16"/>
              </w:rPr>
              <w:t>0.56</w:t>
            </w:r>
          </w:p>
        </w:tc>
        <w:tc>
          <w:tcPr>
            <w:tcW w:w="624" w:type="pct"/>
            <w:tcBorders>
              <w:top w:val="nil"/>
              <w:bottom w:val="nil"/>
            </w:tcBorders>
          </w:tcPr>
          <w:p w14:paraId="5490EC79" w14:textId="77777777" w:rsidR="00B3500A" w:rsidRPr="006F4CD1" w:rsidRDefault="00B3500A" w:rsidP="00D62AD1">
            <w:pPr>
              <w:pStyle w:val="TableParagraph"/>
              <w:ind w:left="114"/>
              <w:rPr>
                <w:sz w:val="16"/>
                <w:szCs w:val="16"/>
              </w:rPr>
            </w:pPr>
            <w:r w:rsidRPr="006F4CD1">
              <w:rPr>
                <w:spacing w:val="-4"/>
                <w:sz w:val="16"/>
                <w:szCs w:val="16"/>
              </w:rPr>
              <w:t>0.54</w:t>
            </w:r>
          </w:p>
        </w:tc>
        <w:tc>
          <w:tcPr>
            <w:tcW w:w="648" w:type="pct"/>
            <w:tcBorders>
              <w:top w:val="nil"/>
              <w:bottom w:val="nil"/>
            </w:tcBorders>
          </w:tcPr>
          <w:p w14:paraId="56CCADE8" w14:textId="77777777" w:rsidR="00B3500A" w:rsidRPr="006F4CD1" w:rsidRDefault="00B3500A" w:rsidP="00D62AD1">
            <w:pPr>
              <w:pStyle w:val="TableParagraph"/>
              <w:ind w:right="108"/>
              <w:rPr>
                <w:sz w:val="16"/>
                <w:szCs w:val="16"/>
              </w:rPr>
            </w:pPr>
            <w:r w:rsidRPr="006F4CD1">
              <w:rPr>
                <w:spacing w:val="-4"/>
                <w:sz w:val="16"/>
                <w:szCs w:val="16"/>
              </w:rPr>
              <w:t>0.51</w:t>
            </w:r>
          </w:p>
        </w:tc>
        <w:tc>
          <w:tcPr>
            <w:tcW w:w="657" w:type="pct"/>
            <w:tcBorders>
              <w:top w:val="nil"/>
              <w:bottom w:val="nil"/>
              <w:right w:val="double" w:sz="4" w:space="0" w:color="000000"/>
            </w:tcBorders>
          </w:tcPr>
          <w:p w14:paraId="05386FDB"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0.56</w:t>
            </w:r>
          </w:p>
        </w:tc>
        <w:tc>
          <w:tcPr>
            <w:tcW w:w="334" w:type="pct"/>
            <w:tcBorders>
              <w:top w:val="nil"/>
              <w:left w:val="double" w:sz="4" w:space="0" w:color="000000"/>
              <w:bottom w:val="nil"/>
            </w:tcBorders>
          </w:tcPr>
          <w:p w14:paraId="6127DE7A" w14:textId="77777777" w:rsidR="00B3500A" w:rsidRPr="006F4CD1" w:rsidRDefault="00B3500A" w:rsidP="00D62AD1">
            <w:pPr>
              <w:pStyle w:val="TableParagraph"/>
              <w:ind w:left="110" w:right="103"/>
              <w:rPr>
                <w:sz w:val="16"/>
                <w:szCs w:val="16"/>
              </w:rPr>
            </w:pPr>
            <w:r w:rsidRPr="006F4CD1">
              <w:rPr>
                <w:spacing w:val="-4"/>
                <w:sz w:val="16"/>
                <w:szCs w:val="16"/>
              </w:rPr>
              <w:t>0.58</w:t>
            </w:r>
          </w:p>
        </w:tc>
        <w:tc>
          <w:tcPr>
            <w:tcW w:w="668" w:type="pct"/>
            <w:tcBorders>
              <w:top w:val="nil"/>
              <w:bottom w:val="nil"/>
            </w:tcBorders>
          </w:tcPr>
          <w:p w14:paraId="518ED7D2" w14:textId="77777777" w:rsidR="00B3500A" w:rsidRPr="006F4CD1" w:rsidRDefault="00B3500A" w:rsidP="00D62AD1">
            <w:pPr>
              <w:pStyle w:val="TableParagraph"/>
              <w:ind w:left="113" w:right="107"/>
              <w:rPr>
                <w:sz w:val="16"/>
                <w:szCs w:val="16"/>
              </w:rPr>
            </w:pPr>
            <w:r w:rsidRPr="006F4CD1">
              <w:rPr>
                <w:spacing w:val="-4"/>
                <w:sz w:val="16"/>
                <w:szCs w:val="16"/>
              </w:rPr>
              <w:t>0.56</w:t>
            </w:r>
          </w:p>
        </w:tc>
        <w:tc>
          <w:tcPr>
            <w:tcW w:w="668" w:type="pct"/>
            <w:tcBorders>
              <w:top w:val="nil"/>
              <w:bottom w:val="nil"/>
            </w:tcBorders>
          </w:tcPr>
          <w:p w14:paraId="6FFA6389" w14:textId="77777777" w:rsidR="00B3500A" w:rsidRPr="006F4CD1" w:rsidRDefault="00B3500A" w:rsidP="00D62AD1">
            <w:pPr>
              <w:pStyle w:val="TableParagraph"/>
              <w:ind w:right="110"/>
              <w:rPr>
                <w:sz w:val="16"/>
                <w:szCs w:val="16"/>
              </w:rPr>
            </w:pPr>
            <w:r w:rsidRPr="006F4CD1">
              <w:rPr>
                <w:spacing w:val="-4"/>
                <w:sz w:val="16"/>
                <w:szCs w:val="16"/>
              </w:rPr>
              <w:t>0.54</w:t>
            </w:r>
          </w:p>
        </w:tc>
        <w:tc>
          <w:tcPr>
            <w:tcW w:w="668" w:type="pct"/>
            <w:tcBorders>
              <w:top w:val="nil"/>
              <w:bottom w:val="nil"/>
            </w:tcBorders>
          </w:tcPr>
          <w:p w14:paraId="73C96D36" w14:textId="77777777" w:rsidR="00B3500A" w:rsidRPr="006F4CD1" w:rsidRDefault="00B3500A" w:rsidP="00D62AD1">
            <w:pPr>
              <w:pStyle w:val="TableParagraph"/>
              <w:ind w:left="0" w:right="491"/>
              <w:jc w:val="right"/>
              <w:rPr>
                <w:sz w:val="16"/>
                <w:szCs w:val="16"/>
              </w:rPr>
            </w:pPr>
            <w:r w:rsidRPr="006F4CD1">
              <w:rPr>
                <w:spacing w:val="-4"/>
                <w:sz w:val="16"/>
                <w:szCs w:val="16"/>
              </w:rPr>
              <w:t>0.58</w:t>
            </w:r>
          </w:p>
        </w:tc>
      </w:tr>
      <w:tr w:rsidR="00B3500A" w:rsidRPr="006F4CD1" w14:paraId="105C0EA3" w14:textId="77777777" w:rsidTr="00326B3D">
        <w:trPr>
          <w:trHeight w:val="239"/>
        </w:trPr>
        <w:tc>
          <w:tcPr>
            <w:tcW w:w="388" w:type="pct"/>
            <w:tcBorders>
              <w:top w:val="nil"/>
              <w:left w:val="double" w:sz="4" w:space="0" w:color="000000"/>
              <w:bottom w:val="nil"/>
            </w:tcBorders>
          </w:tcPr>
          <w:p w14:paraId="0363CB1C" w14:textId="77777777" w:rsidR="00B3500A" w:rsidRPr="006F4CD1" w:rsidRDefault="00B3500A" w:rsidP="00D62AD1">
            <w:pPr>
              <w:pStyle w:val="TableParagraph"/>
              <w:ind w:left="0" w:right="98"/>
              <w:jc w:val="right"/>
              <w:rPr>
                <w:sz w:val="16"/>
                <w:szCs w:val="16"/>
              </w:rPr>
            </w:pPr>
            <w:r w:rsidRPr="006F4CD1">
              <w:rPr>
                <w:spacing w:val="-4"/>
                <w:sz w:val="16"/>
                <w:szCs w:val="16"/>
              </w:rPr>
              <w:t>1978</w:t>
            </w:r>
          </w:p>
        </w:tc>
        <w:tc>
          <w:tcPr>
            <w:tcW w:w="346" w:type="pct"/>
            <w:tcBorders>
              <w:top w:val="nil"/>
              <w:bottom w:val="nil"/>
            </w:tcBorders>
          </w:tcPr>
          <w:p w14:paraId="2673B210" w14:textId="77777777" w:rsidR="00B3500A" w:rsidRPr="006F4CD1" w:rsidRDefault="00B3500A" w:rsidP="00D62AD1">
            <w:pPr>
              <w:pStyle w:val="TableParagraph"/>
              <w:ind w:left="98" w:right="90"/>
              <w:rPr>
                <w:sz w:val="16"/>
                <w:szCs w:val="16"/>
              </w:rPr>
            </w:pPr>
            <w:r w:rsidRPr="006F4CD1">
              <w:rPr>
                <w:spacing w:val="-4"/>
                <w:sz w:val="16"/>
                <w:szCs w:val="16"/>
              </w:rPr>
              <w:t>0.54</w:t>
            </w:r>
          </w:p>
        </w:tc>
        <w:tc>
          <w:tcPr>
            <w:tcW w:w="624" w:type="pct"/>
            <w:tcBorders>
              <w:top w:val="nil"/>
              <w:bottom w:val="nil"/>
            </w:tcBorders>
          </w:tcPr>
          <w:p w14:paraId="3F82CED4" w14:textId="77777777" w:rsidR="00B3500A" w:rsidRPr="006F4CD1" w:rsidRDefault="00B3500A" w:rsidP="00D62AD1">
            <w:pPr>
              <w:pStyle w:val="TableParagraph"/>
              <w:ind w:left="114"/>
              <w:rPr>
                <w:sz w:val="16"/>
                <w:szCs w:val="16"/>
              </w:rPr>
            </w:pPr>
            <w:r w:rsidRPr="006F4CD1">
              <w:rPr>
                <w:spacing w:val="-4"/>
                <w:sz w:val="16"/>
                <w:szCs w:val="16"/>
              </w:rPr>
              <w:t>0.52</w:t>
            </w:r>
          </w:p>
        </w:tc>
        <w:tc>
          <w:tcPr>
            <w:tcW w:w="648" w:type="pct"/>
            <w:tcBorders>
              <w:top w:val="nil"/>
              <w:bottom w:val="nil"/>
            </w:tcBorders>
          </w:tcPr>
          <w:p w14:paraId="18456BA4" w14:textId="77777777" w:rsidR="00B3500A" w:rsidRPr="006F4CD1" w:rsidRDefault="00B3500A" w:rsidP="00D62AD1">
            <w:pPr>
              <w:pStyle w:val="TableParagraph"/>
              <w:ind w:right="108"/>
              <w:rPr>
                <w:sz w:val="16"/>
                <w:szCs w:val="16"/>
              </w:rPr>
            </w:pPr>
            <w:r w:rsidRPr="006F4CD1">
              <w:rPr>
                <w:spacing w:val="-4"/>
                <w:sz w:val="16"/>
                <w:szCs w:val="16"/>
              </w:rPr>
              <w:t>0.49</w:t>
            </w:r>
          </w:p>
        </w:tc>
        <w:tc>
          <w:tcPr>
            <w:tcW w:w="657" w:type="pct"/>
            <w:tcBorders>
              <w:top w:val="nil"/>
              <w:bottom w:val="nil"/>
              <w:right w:val="double" w:sz="4" w:space="0" w:color="000000"/>
            </w:tcBorders>
          </w:tcPr>
          <w:p w14:paraId="3A3F3723"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0.54</w:t>
            </w:r>
          </w:p>
        </w:tc>
        <w:tc>
          <w:tcPr>
            <w:tcW w:w="334" w:type="pct"/>
            <w:tcBorders>
              <w:top w:val="nil"/>
              <w:left w:val="double" w:sz="4" w:space="0" w:color="000000"/>
              <w:bottom w:val="nil"/>
            </w:tcBorders>
          </w:tcPr>
          <w:p w14:paraId="26331B46" w14:textId="77777777" w:rsidR="00B3500A" w:rsidRPr="006F4CD1" w:rsidRDefault="00B3500A" w:rsidP="00D62AD1">
            <w:pPr>
              <w:pStyle w:val="TableParagraph"/>
              <w:ind w:left="110" w:right="103"/>
              <w:rPr>
                <w:sz w:val="16"/>
                <w:szCs w:val="16"/>
              </w:rPr>
            </w:pPr>
            <w:r w:rsidRPr="006F4CD1">
              <w:rPr>
                <w:spacing w:val="-4"/>
                <w:sz w:val="16"/>
                <w:szCs w:val="16"/>
              </w:rPr>
              <w:t>0.57</w:t>
            </w:r>
          </w:p>
        </w:tc>
        <w:tc>
          <w:tcPr>
            <w:tcW w:w="668" w:type="pct"/>
            <w:tcBorders>
              <w:top w:val="nil"/>
              <w:bottom w:val="nil"/>
            </w:tcBorders>
          </w:tcPr>
          <w:p w14:paraId="11AA12F1" w14:textId="77777777" w:rsidR="00B3500A" w:rsidRPr="006F4CD1" w:rsidRDefault="00B3500A" w:rsidP="00D62AD1">
            <w:pPr>
              <w:pStyle w:val="TableParagraph"/>
              <w:ind w:left="113" w:right="107"/>
              <w:rPr>
                <w:sz w:val="16"/>
                <w:szCs w:val="16"/>
              </w:rPr>
            </w:pPr>
            <w:r w:rsidRPr="006F4CD1">
              <w:rPr>
                <w:spacing w:val="-4"/>
                <w:sz w:val="16"/>
                <w:szCs w:val="16"/>
              </w:rPr>
              <w:t>0.54</w:t>
            </w:r>
          </w:p>
        </w:tc>
        <w:tc>
          <w:tcPr>
            <w:tcW w:w="668" w:type="pct"/>
            <w:tcBorders>
              <w:top w:val="nil"/>
              <w:bottom w:val="nil"/>
            </w:tcBorders>
          </w:tcPr>
          <w:p w14:paraId="44A5581B" w14:textId="77777777" w:rsidR="00B3500A" w:rsidRPr="006F4CD1" w:rsidRDefault="00B3500A" w:rsidP="00D62AD1">
            <w:pPr>
              <w:pStyle w:val="TableParagraph"/>
              <w:ind w:right="110"/>
              <w:rPr>
                <w:sz w:val="16"/>
                <w:szCs w:val="16"/>
              </w:rPr>
            </w:pPr>
            <w:r w:rsidRPr="006F4CD1">
              <w:rPr>
                <w:spacing w:val="-4"/>
                <w:sz w:val="16"/>
                <w:szCs w:val="16"/>
              </w:rPr>
              <w:t>0.53</w:t>
            </w:r>
          </w:p>
        </w:tc>
        <w:tc>
          <w:tcPr>
            <w:tcW w:w="668" w:type="pct"/>
            <w:tcBorders>
              <w:top w:val="nil"/>
              <w:bottom w:val="nil"/>
            </w:tcBorders>
          </w:tcPr>
          <w:p w14:paraId="1631D243" w14:textId="77777777" w:rsidR="00B3500A" w:rsidRPr="006F4CD1" w:rsidRDefault="00B3500A" w:rsidP="00D62AD1">
            <w:pPr>
              <w:pStyle w:val="TableParagraph"/>
              <w:ind w:left="0" w:right="491"/>
              <w:jc w:val="right"/>
              <w:rPr>
                <w:sz w:val="16"/>
                <w:szCs w:val="16"/>
              </w:rPr>
            </w:pPr>
            <w:r w:rsidRPr="006F4CD1">
              <w:rPr>
                <w:spacing w:val="-4"/>
                <w:sz w:val="16"/>
                <w:szCs w:val="16"/>
              </w:rPr>
              <w:t>0.56</w:t>
            </w:r>
          </w:p>
        </w:tc>
      </w:tr>
      <w:tr w:rsidR="00B3500A" w:rsidRPr="006F4CD1" w14:paraId="78F30BEE" w14:textId="77777777" w:rsidTr="00326B3D">
        <w:trPr>
          <w:trHeight w:val="239"/>
        </w:trPr>
        <w:tc>
          <w:tcPr>
            <w:tcW w:w="388" w:type="pct"/>
            <w:tcBorders>
              <w:top w:val="nil"/>
              <w:left w:val="double" w:sz="4" w:space="0" w:color="000000"/>
              <w:bottom w:val="nil"/>
            </w:tcBorders>
          </w:tcPr>
          <w:p w14:paraId="36AA42D4" w14:textId="77777777" w:rsidR="00B3500A" w:rsidRPr="006F4CD1" w:rsidRDefault="00B3500A" w:rsidP="00D62AD1">
            <w:pPr>
              <w:pStyle w:val="TableParagraph"/>
              <w:ind w:left="0" w:right="98"/>
              <w:jc w:val="right"/>
              <w:rPr>
                <w:sz w:val="16"/>
                <w:szCs w:val="16"/>
              </w:rPr>
            </w:pPr>
            <w:r w:rsidRPr="006F4CD1">
              <w:rPr>
                <w:spacing w:val="-4"/>
                <w:sz w:val="16"/>
                <w:szCs w:val="16"/>
              </w:rPr>
              <w:t>1979</w:t>
            </w:r>
          </w:p>
        </w:tc>
        <w:tc>
          <w:tcPr>
            <w:tcW w:w="346" w:type="pct"/>
            <w:tcBorders>
              <w:top w:val="nil"/>
              <w:bottom w:val="nil"/>
            </w:tcBorders>
          </w:tcPr>
          <w:p w14:paraId="3CD2A106" w14:textId="77777777" w:rsidR="00B3500A" w:rsidRPr="006F4CD1" w:rsidRDefault="00B3500A" w:rsidP="00D62AD1">
            <w:pPr>
              <w:pStyle w:val="TableParagraph"/>
              <w:ind w:left="98" w:right="90"/>
              <w:rPr>
                <w:sz w:val="16"/>
                <w:szCs w:val="16"/>
              </w:rPr>
            </w:pPr>
            <w:r w:rsidRPr="006F4CD1">
              <w:rPr>
                <w:spacing w:val="-4"/>
                <w:sz w:val="16"/>
                <w:szCs w:val="16"/>
              </w:rPr>
              <w:t>0.53</w:t>
            </w:r>
          </w:p>
        </w:tc>
        <w:tc>
          <w:tcPr>
            <w:tcW w:w="624" w:type="pct"/>
            <w:tcBorders>
              <w:top w:val="nil"/>
              <w:bottom w:val="nil"/>
            </w:tcBorders>
          </w:tcPr>
          <w:p w14:paraId="77782D21" w14:textId="77777777" w:rsidR="00B3500A" w:rsidRPr="006F4CD1" w:rsidRDefault="00B3500A" w:rsidP="00D62AD1">
            <w:pPr>
              <w:pStyle w:val="TableParagraph"/>
              <w:ind w:left="114"/>
              <w:rPr>
                <w:sz w:val="16"/>
                <w:szCs w:val="16"/>
              </w:rPr>
            </w:pPr>
            <w:r w:rsidRPr="006F4CD1">
              <w:rPr>
                <w:spacing w:val="-4"/>
                <w:sz w:val="16"/>
                <w:szCs w:val="16"/>
              </w:rPr>
              <w:t>0.51</w:t>
            </w:r>
          </w:p>
        </w:tc>
        <w:tc>
          <w:tcPr>
            <w:tcW w:w="648" w:type="pct"/>
            <w:tcBorders>
              <w:top w:val="nil"/>
              <w:bottom w:val="nil"/>
            </w:tcBorders>
          </w:tcPr>
          <w:p w14:paraId="586855E7" w14:textId="77777777" w:rsidR="00B3500A" w:rsidRPr="006F4CD1" w:rsidRDefault="00B3500A" w:rsidP="00D62AD1">
            <w:pPr>
              <w:pStyle w:val="TableParagraph"/>
              <w:ind w:right="108"/>
              <w:rPr>
                <w:sz w:val="16"/>
                <w:szCs w:val="16"/>
              </w:rPr>
            </w:pPr>
            <w:r w:rsidRPr="006F4CD1">
              <w:rPr>
                <w:spacing w:val="-4"/>
                <w:sz w:val="16"/>
                <w:szCs w:val="16"/>
              </w:rPr>
              <w:t>0.48</w:t>
            </w:r>
          </w:p>
        </w:tc>
        <w:tc>
          <w:tcPr>
            <w:tcW w:w="657" w:type="pct"/>
            <w:tcBorders>
              <w:top w:val="nil"/>
              <w:bottom w:val="nil"/>
              <w:right w:val="double" w:sz="4" w:space="0" w:color="000000"/>
            </w:tcBorders>
          </w:tcPr>
          <w:p w14:paraId="35B47621"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0.53</w:t>
            </w:r>
          </w:p>
        </w:tc>
        <w:tc>
          <w:tcPr>
            <w:tcW w:w="334" w:type="pct"/>
            <w:tcBorders>
              <w:top w:val="nil"/>
              <w:left w:val="double" w:sz="4" w:space="0" w:color="000000"/>
              <w:bottom w:val="nil"/>
            </w:tcBorders>
          </w:tcPr>
          <w:p w14:paraId="6724A973" w14:textId="77777777" w:rsidR="00B3500A" w:rsidRPr="006F4CD1" w:rsidRDefault="00B3500A" w:rsidP="00D62AD1">
            <w:pPr>
              <w:pStyle w:val="TableParagraph"/>
              <w:ind w:left="110" w:right="103"/>
              <w:rPr>
                <w:sz w:val="16"/>
                <w:szCs w:val="16"/>
              </w:rPr>
            </w:pPr>
            <w:r w:rsidRPr="006F4CD1">
              <w:rPr>
                <w:spacing w:val="-4"/>
                <w:sz w:val="16"/>
                <w:szCs w:val="16"/>
              </w:rPr>
              <w:t>0.56</w:t>
            </w:r>
          </w:p>
        </w:tc>
        <w:tc>
          <w:tcPr>
            <w:tcW w:w="668" w:type="pct"/>
            <w:tcBorders>
              <w:top w:val="nil"/>
              <w:bottom w:val="nil"/>
            </w:tcBorders>
          </w:tcPr>
          <w:p w14:paraId="04859C57" w14:textId="77777777" w:rsidR="00B3500A" w:rsidRPr="006F4CD1" w:rsidRDefault="00B3500A" w:rsidP="00D62AD1">
            <w:pPr>
              <w:pStyle w:val="TableParagraph"/>
              <w:ind w:left="113" w:right="107"/>
              <w:rPr>
                <w:sz w:val="16"/>
                <w:szCs w:val="16"/>
              </w:rPr>
            </w:pPr>
            <w:r w:rsidRPr="006F4CD1">
              <w:rPr>
                <w:spacing w:val="-4"/>
                <w:sz w:val="16"/>
                <w:szCs w:val="16"/>
              </w:rPr>
              <w:t>0.54</w:t>
            </w:r>
          </w:p>
        </w:tc>
        <w:tc>
          <w:tcPr>
            <w:tcW w:w="668" w:type="pct"/>
            <w:tcBorders>
              <w:top w:val="nil"/>
              <w:bottom w:val="nil"/>
            </w:tcBorders>
          </w:tcPr>
          <w:p w14:paraId="14CB56E0" w14:textId="77777777" w:rsidR="00B3500A" w:rsidRPr="006F4CD1" w:rsidRDefault="00B3500A" w:rsidP="00D62AD1">
            <w:pPr>
              <w:pStyle w:val="TableParagraph"/>
              <w:ind w:right="110"/>
              <w:rPr>
                <w:sz w:val="16"/>
                <w:szCs w:val="16"/>
              </w:rPr>
            </w:pPr>
            <w:r w:rsidRPr="006F4CD1">
              <w:rPr>
                <w:spacing w:val="-4"/>
                <w:sz w:val="16"/>
                <w:szCs w:val="16"/>
              </w:rPr>
              <w:t>0.52</w:t>
            </w:r>
          </w:p>
        </w:tc>
        <w:tc>
          <w:tcPr>
            <w:tcW w:w="668" w:type="pct"/>
            <w:tcBorders>
              <w:top w:val="nil"/>
              <w:bottom w:val="nil"/>
            </w:tcBorders>
          </w:tcPr>
          <w:p w14:paraId="57D09BBA" w14:textId="77777777" w:rsidR="00B3500A" w:rsidRPr="006F4CD1" w:rsidRDefault="00B3500A" w:rsidP="00D62AD1">
            <w:pPr>
              <w:pStyle w:val="TableParagraph"/>
              <w:ind w:left="0" w:right="491"/>
              <w:jc w:val="right"/>
              <w:rPr>
                <w:sz w:val="16"/>
                <w:szCs w:val="16"/>
              </w:rPr>
            </w:pPr>
            <w:r w:rsidRPr="006F4CD1">
              <w:rPr>
                <w:spacing w:val="-4"/>
                <w:sz w:val="16"/>
                <w:szCs w:val="16"/>
              </w:rPr>
              <w:t>0.56</w:t>
            </w:r>
          </w:p>
        </w:tc>
      </w:tr>
      <w:tr w:rsidR="00B3500A" w:rsidRPr="006F4CD1" w14:paraId="04BBF632" w14:textId="77777777" w:rsidTr="00326B3D">
        <w:trPr>
          <w:trHeight w:val="239"/>
        </w:trPr>
        <w:tc>
          <w:tcPr>
            <w:tcW w:w="388" w:type="pct"/>
            <w:tcBorders>
              <w:top w:val="nil"/>
              <w:left w:val="double" w:sz="4" w:space="0" w:color="000000"/>
              <w:bottom w:val="nil"/>
            </w:tcBorders>
          </w:tcPr>
          <w:p w14:paraId="1F1D8FBE" w14:textId="77777777" w:rsidR="00B3500A" w:rsidRPr="006F4CD1" w:rsidRDefault="00B3500A" w:rsidP="00D62AD1">
            <w:pPr>
              <w:pStyle w:val="TableParagraph"/>
              <w:ind w:left="0" w:right="98"/>
              <w:jc w:val="right"/>
              <w:rPr>
                <w:sz w:val="16"/>
                <w:szCs w:val="16"/>
              </w:rPr>
            </w:pPr>
            <w:r w:rsidRPr="006F4CD1">
              <w:rPr>
                <w:spacing w:val="-4"/>
                <w:sz w:val="16"/>
                <w:szCs w:val="16"/>
              </w:rPr>
              <w:t>1980</w:t>
            </w:r>
          </w:p>
        </w:tc>
        <w:tc>
          <w:tcPr>
            <w:tcW w:w="346" w:type="pct"/>
            <w:tcBorders>
              <w:top w:val="nil"/>
              <w:bottom w:val="nil"/>
            </w:tcBorders>
          </w:tcPr>
          <w:p w14:paraId="4C201D40" w14:textId="77777777" w:rsidR="00B3500A" w:rsidRPr="006F4CD1" w:rsidRDefault="00B3500A" w:rsidP="00D62AD1">
            <w:pPr>
              <w:pStyle w:val="TableParagraph"/>
              <w:ind w:left="98" w:right="90"/>
              <w:rPr>
                <w:sz w:val="16"/>
                <w:szCs w:val="16"/>
              </w:rPr>
            </w:pPr>
            <w:r w:rsidRPr="006F4CD1">
              <w:rPr>
                <w:spacing w:val="-4"/>
                <w:sz w:val="16"/>
                <w:szCs w:val="16"/>
              </w:rPr>
              <w:t>0.56</w:t>
            </w:r>
          </w:p>
        </w:tc>
        <w:tc>
          <w:tcPr>
            <w:tcW w:w="624" w:type="pct"/>
            <w:tcBorders>
              <w:top w:val="nil"/>
              <w:bottom w:val="nil"/>
            </w:tcBorders>
          </w:tcPr>
          <w:p w14:paraId="070F070E" w14:textId="77777777" w:rsidR="00B3500A" w:rsidRPr="006F4CD1" w:rsidRDefault="00B3500A" w:rsidP="00D62AD1">
            <w:pPr>
              <w:pStyle w:val="TableParagraph"/>
              <w:ind w:left="114"/>
              <w:rPr>
                <w:sz w:val="16"/>
                <w:szCs w:val="16"/>
              </w:rPr>
            </w:pPr>
            <w:r w:rsidRPr="006F4CD1">
              <w:rPr>
                <w:spacing w:val="-4"/>
                <w:sz w:val="16"/>
                <w:szCs w:val="16"/>
              </w:rPr>
              <w:t>0.52</w:t>
            </w:r>
          </w:p>
        </w:tc>
        <w:tc>
          <w:tcPr>
            <w:tcW w:w="648" w:type="pct"/>
            <w:tcBorders>
              <w:top w:val="nil"/>
              <w:bottom w:val="nil"/>
            </w:tcBorders>
          </w:tcPr>
          <w:p w14:paraId="668E5FA7" w14:textId="77777777" w:rsidR="00B3500A" w:rsidRPr="006F4CD1" w:rsidRDefault="00B3500A" w:rsidP="00D62AD1">
            <w:pPr>
              <w:pStyle w:val="TableParagraph"/>
              <w:ind w:right="108"/>
              <w:rPr>
                <w:sz w:val="16"/>
                <w:szCs w:val="16"/>
              </w:rPr>
            </w:pPr>
            <w:r w:rsidRPr="006F4CD1">
              <w:rPr>
                <w:spacing w:val="-4"/>
                <w:sz w:val="16"/>
                <w:szCs w:val="16"/>
              </w:rPr>
              <w:t>0.50</w:t>
            </w:r>
          </w:p>
        </w:tc>
        <w:tc>
          <w:tcPr>
            <w:tcW w:w="657" w:type="pct"/>
            <w:tcBorders>
              <w:top w:val="nil"/>
              <w:bottom w:val="nil"/>
              <w:right w:val="double" w:sz="4" w:space="0" w:color="000000"/>
            </w:tcBorders>
          </w:tcPr>
          <w:p w14:paraId="7EF87303"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0.55</w:t>
            </w:r>
          </w:p>
        </w:tc>
        <w:tc>
          <w:tcPr>
            <w:tcW w:w="334" w:type="pct"/>
            <w:tcBorders>
              <w:top w:val="nil"/>
              <w:left w:val="double" w:sz="4" w:space="0" w:color="000000"/>
              <w:bottom w:val="nil"/>
            </w:tcBorders>
          </w:tcPr>
          <w:p w14:paraId="1C614921" w14:textId="77777777" w:rsidR="00B3500A" w:rsidRPr="006F4CD1" w:rsidRDefault="00B3500A" w:rsidP="00D62AD1">
            <w:pPr>
              <w:pStyle w:val="TableParagraph"/>
              <w:ind w:left="110" w:right="103"/>
              <w:rPr>
                <w:sz w:val="16"/>
                <w:szCs w:val="16"/>
              </w:rPr>
            </w:pPr>
            <w:r w:rsidRPr="006F4CD1">
              <w:rPr>
                <w:spacing w:val="-4"/>
                <w:sz w:val="16"/>
                <w:szCs w:val="16"/>
              </w:rPr>
              <w:t>0.58</w:t>
            </w:r>
          </w:p>
        </w:tc>
        <w:tc>
          <w:tcPr>
            <w:tcW w:w="668" w:type="pct"/>
            <w:tcBorders>
              <w:top w:val="nil"/>
              <w:bottom w:val="nil"/>
            </w:tcBorders>
          </w:tcPr>
          <w:p w14:paraId="5B3F4763" w14:textId="77777777" w:rsidR="00B3500A" w:rsidRPr="006F4CD1" w:rsidRDefault="00B3500A" w:rsidP="00D62AD1">
            <w:pPr>
              <w:pStyle w:val="TableParagraph"/>
              <w:ind w:left="113" w:right="107"/>
              <w:rPr>
                <w:sz w:val="16"/>
                <w:szCs w:val="16"/>
              </w:rPr>
            </w:pPr>
            <w:r w:rsidRPr="006F4CD1">
              <w:rPr>
                <w:spacing w:val="-4"/>
                <w:sz w:val="16"/>
                <w:szCs w:val="16"/>
              </w:rPr>
              <w:t>0.55</w:t>
            </w:r>
          </w:p>
        </w:tc>
        <w:tc>
          <w:tcPr>
            <w:tcW w:w="668" w:type="pct"/>
            <w:tcBorders>
              <w:top w:val="nil"/>
              <w:bottom w:val="nil"/>
            </w:tcBorders>
          </w:tcPr>
          <w:p w14:paraId="25A276FC" w14:textId="77777777" w:rsidR="00B3500A" w:rsidRPr="006F4CD1" w:rsidRDefault="00B3500A" w:rsidP="00D62AD1">
            <w:pPr>
              <w:pStyle w:val="TableParagraph"/>
              <w:ind w:right="110"/>
              <w:rPr>
                <w:sz w:val="16"/>
                <w:szCs w:val="16"/>
              </w:rPr>
            </w:pPr>
            <w:r w:rsidRPr="006F4CD1">
              <w:rPr>
                <w:spacing w:val="-4"/>
                <w:sz w:val="16"/>
                <w:szCs w:val="16"/>
              </w:rPr>
              <w:t>0.54</w:t>
            </w:r>
          </w:p>
        </w:tc>
        <w:tc>
          <w:tcPr>
            <w:tcW w:w="668" w:type="pct"/>
            <w:tcBorders>
              <w:top w:val="nil"/>
              <w:bottom w:val="nil"/>
            </w:tcBorders>
          </w:tcPr>
          <w:p w14:paraId="64BB691A" w14:textId="77777777" w:rsidR="00B3500A" w:rsidRPr="006F4CD1" w:rsidRDefault="00B3500A" w:rsidP="00D62AD1">
            <w:pPr>
              <w:pStyle w:val="TableParagraph"/>
              <w:ind w:left="0" w:right="491"/>
              <w:jc w:val="right"/>
              <w:rPr>
                <w:sz w:val="16"/>
                <w:szCs w:val="16"/>
              </w:rPr>
            </w:pPr>
            <w:r w:rsidRPr="006F4CD1">
              <w:rPr>
                <w:spacing w:val="-4"/>
                <w:sz w:val="16"/>
                <w:szCs w:val="16"/>
              </w:rPr>
              <w:t>0.58</w:t>
            </w:r>
          </w:p>
        </w:tc>
      </w:tr>
      <w:tr w:rsidR="00B3500A" w:rsidRPr="006F4CD1" w14:paraId="75C21066" w14:textId="77777777" w:rsidTr="00326B3D">
        <w:trPr>
          <w:trHeight w:val="239"/>
        </w:trPr>
        <w:tc>
          <w:tcPr>
            <w:tcW w:w="388" w:type="pct"/>
            <w:tcBorders>
              <w:top w:val="nil"/>
              <w:left w:val="double" w:sz="4" w:space="0" w:color="000000"/>
              <w:bottom w:val="nil"/>
            </w:tcBorders>
          </w:tcPr>
          <w:p w14:paraId="39E09748" w14:textId="77777777" w:rsidR="00B3500A" w:rsidRPr="006F4CD1" w:rsidRDefault="00B3500A" w:rsidP="00D62AD1">
            <w:pPr>
              <w:pStyle w:val="TableParagraph"/>
              <w:ind w:left="0" w:right="98"/>
              <w:jc w:val="right"/>
              <w:rPr>
                <w:sz w:val="16"/>
                <w:szCs w:val="16"/>
              </w:rPr>
            </w:pPr>
            <w:r w:rsidRPr="006F4CD1">
              <w:rPr>
                <w:spacing w:val="-4"/>
                <w:sz w:val="16"/>
                <w:szCs w:val="16"/>
              </w:rPr>
              <w:t>1981</w:t>
            </w:r>
          </w:p>
        </w:tc>
        <w:tc>
          <w:tcPr>
            <w:tcW w:w="346" w:type="pct"/>
            <w:tcBorders>
              <w:top w:val="nil"/>
              <w:bottom w:val="nil"/>
            </w:tcBorders>
          </w:tcPr>
          <w:p w14:paraId="78188B0E" w14:textId="77777777" w:rsidR="00B3500A" w:rsidRPr="006F4CD1" w:rsidRDefault="00B3500A" w:rsidP="00D62AD1">
            <w:pPr>
              <w:pStyle w:val="TableParagraph"/>
              <w:ind w:left="98" w:right="90"/>
              <w:rPr>
                <w:sz w:val="16"/>
                <w:szCs w:val="16"/>
              </w:rPr>
            </w:pPr>
            <w:r w:rsidRPr="006F4CD1">
              <w:rPr>
                <w:spacing w:val="-4"/>
                <w:sz w:val="16"/>
                <w:szCs w:val="16"/>
              </w:rPr>
              <w:t>0.55</w:t>
            </w:r>
          </w:p>
        </w:tc>
        <w:tc>
          <w:tcPr>
            <w:tcW w:w="624" w:type="pct"/>
            <w:tcBorders>
              <w:top w:val="nil"/>
              <w:bottom w:val="nil"/>
            </w:tcBorders>
          </w:tcPr>
          <w:p w14:paraId="609B997C" w14:textId="77777777" w:rsidR="00B3500A" w:rsidRPr="006F4CD1" w:rsidRDefault="00B3500A" w:rsidP="00D62AD1">
            <w:pPr>
              <w:pStyle w:val="TableParagraph"/>
              <w:ind w:left="114"/>
              <w:rPr>
                <w:sz w:val="16"/>
                <w:szCs w:val="16"/>
              </w:rPr>
            </w:pPr>
            <w:r w:rsidRPr="006F4CD1">
              <w:rPr>
                <w:spacing w:val="-4"/>
                <w:sz w:val="16"/>
                <w:szCs w:val="16"/>
              </w:rPr>
              <w:t>0.52</w:t>
            </w:r>
          </w:p>
        </w:tc>
        <w:tc>
          <w:tcPr>
            <w:tcW w:w="648" w:type="pct"/>
            <w:tcBorders>
              <w:top w:val="nil"/>
              <w:bottom w:val="nil"/>
            </w:tcBorders>
          </w:tcPr>
          <w:p w14:paraId="4C5C1E8F" w14:textId="77777777" w:rsidR="00B3500A" w:rsidRPr="006F4CD1" w:rsidRDefault="00B3500A" w:rsidP="00D62AD1">
            <w:pPr>
              <w:pStyle w:val="TableParagraph"/>
              <w:ind w:right="108"/>
              <w:rPr>
                <w:sz w:val="16"/>
                <w:szCs w:val="16"/>
              </w:rPr>
            </w:pPr>
            <w:r w:rsidRPr="006F4CD1">
              <w:rPr>
                <w:spacing w:val="-4"/>
                <w:sz w:val="16"/>
                <w:szCs w:val="16"/>
              </w:rPr>
              <w:t>0.49</w:t>
            </w:r>
          </w:p>
        </w:tc>
        <w:tc>
          <w:tcPr>
            <w:tcW w:w="657" w:type="pct"/>
            <w:tcBorders>
              <w:top w:val="nil"/>
              <w:bottom w:val="nil"/>
              <w:right w:val="double" w:sz="4" w:space="0" w:color="000000"/>
            </w:tcBorders>
          </w:tcPr>
          <w:p w14:paraId="050D3F1A"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0.54</w:t>
            </w:r>
          </w:p>
        </w:tc>
        <w:tc>
          <w:tcPr>
            <w:tcW w:w="334" w:type="pct"/>
            <w:tcBorders>
              <w:top w:val="nil"/>
              <w:left w:val="double" w:sz="4" w:space="0" w:color="000000"/>
              <w:bottom w:val="nil"/>
            </w:tcBorders>
          </w:tcPr>
          <w:p w14:paraId="683A722E" w14:textId="77777777" w:rsidR="00B3500A" w:rsidRPr="006F4CD1" w:rsidRDefault="00B3500A" w:rsidP="00D62AD1">
            <w:pPr>
              <w:pStyle w:val="TableParagraph"/>
              <w:ind w:left="110" w:right="103"/>
              <w:rPr>
                <w:sz w:val="16"/>
                <w:szCs w:val="16"/>
              </w:rPr>
            </w:pPr>
            <w:r w:rsidRPr="006F4CD1">
              <w:rPr>
                <w:spacing w:val="-4"/>
                <w:sz w:val="16"/>
                <w:szCs w:val="16"/>
              </w:rPr>
              <w:t>0.58</w:t>
            </w:r>
          </w:p>
        </w:tc>
        <w:tc>
          <w:tcPr>
            <w:tcW w:w="668" w:type="pct"/>
            <w:tcBorders>
              <w:top w:val="nil"/>
              <w:bottom w:val="nil"/>
            </w:tcBorders>
          </w:tcPr>
          <w:p w14:paraId="253B2F38" w14:textId="77777777" w:rsidR="00B3500A" w:rsidRPr="006F4CD1" w:rsidRDefault="00B3500A" w:rsidP="00D62AD1">
            <w:pPr>
              <w:pStyle w:val="TableParagraph"/>
              <w:ind w:left="113" w:right="107"/>
              <w:rPr>
                <w:sz w:val="16"/>
                <w:szCs w:val="16"/>
              </w:rPr>
            </w:pPr>
            <w:r w:rsidRPr="006F4CD1">
              <w:rPr>
                <w:spacing w:val="-4"/>
                <w:sz w:val="16"/>
                <w:szCs w:val="16"/>
              </w:rPr>
              <w:t>0.55</w:t>
            </w:r>
          </w:p>
        </w:tc>
        <w:tc>
          <w:tcPr>
            <w:tcW w:w="668" w:type="pct"/>
            <w:tcBorders>
              <w:top w:val="nil"/>
              <w:bottom w:val="nil"/>
            </w:tcBorders>
          </w:tcPr>
          <w:p w14:paraId="6A8F4F62" w14:textId="77777777" w:rsidR="00B3500A" w:rsidRPr="006F4CD1" w:rsidRDefault="00B3500A" w:rsidP="00D62AD1">
            <w:pPr>
              <w:pStyle w:val="TableParagraph"/>
              <w:ind w:right="110"/>
              <w:rPr>
                <w:sz w:val="16"/>
                <w:szCs w:val="16"/>
              </w:rPr>
            </w:pPr>
            <w:r w:rsidRPr="006F4CD1">
              <w:rPr>
                <w:spacing w:val="-4"/>
                <w:sz w:val="16"/>
                <w:szCs w:val="16"/>
              </w:rPr>
              <w:t>0.53</w:t>
            </w:r>
          </w:p>
        </w:tc>
        <w:tc>
          <w:tcPr>
            <w:tcW w:w="668" w:type="pct"/>
            <w:tcBorders>
              <w:top w:val="nil"/>
              <w:bottom w:val="nil"/>
            </w:tcBorders>
          </w:tcPr>
          <w:p w14:paraId="16E54CDA" w14:textId="77777777" w:rsidR="00B3500A" w:rsidRPr="006F4CD1" w:rsidRDefault="00B3500A" w:rsidP="00D62AD1">
            <w:pPr>
              <w:pStyle w:val="TableParagraph"/>
              <w:ind w:left="0" w:right="491"/>
              <w:jc w:val="right"/>
              <w:rPr>
                <w:sz w:val="16"/>
                <w:szCs w:val="16"/>
              </w:rPr>
            </w:pPr>
            <w:r w:rsidRPr="006F4CD1">
              <w:rPr>
                <w:spacing w:val="-4"/>
                <w:sz w:val="16"/>
                <w:szCs w:val="16"/>
              </w:rPr>
              <w:t>0.58</w:t>
            </w:r>
          </w:p>
        </w:tc>
      </w:tr>
      <w:tr w:rsidR="00B3500A" w:rsidRPr="006F4CD1" w14:paraId="7E971A55" w14:textId="77777777" w:rsidTr="00326B3D">
        <w:trPr>
          <w:trHeight w:val="239"/>
        </w:trPr>
        <w:tc>
          <w:tcPr>
            <w:tcW w:w="388" w:type="pct"/>
            <w:tcBorders>
              <w:top w:val="nil"/>
              <w:left w:val="double" w:sz="4" w:space="0" w:color="000000"/>
              <w:bottom w:val="nil"/>
            </w:tcBorders>
          </w:tcPr>
          <w:p w14:paraId="30FC04A7" w14:textId="77777777" w:rsidR="00B3500A" w:rsidRPr="006F4CD1" w:rsidRDefault="00B3500A" w:rsidP="00D62AD1">
            <w:pPr>
              <w:pStyle w:val="TableParagraph"/>
              <w:ind w:left="0" w:right="98"/>
              <w:jc w:val="right"/>
              <w:rPr>
                <w:sz w:val="16"/>
                <w:szCs w:val="16"/>
              </w:rPr>
            </w:pPr>
            <w:r w:rsidRPr="006F4CD1">
              <w:rPr>
                <w:spacing w:val="-4"/>
                <w:sz w:val="16"/>
                <w:szCs w:val="16"/>
              </w:rPr>
              <w:t>1982</w:t>
            </w:r>
          </w:p>
        </w:tc>
        <w:tc>
          <w:tcPr>
            <w:tcW w:w="346" w:type="pct"/>
            <w:tcBorders>
              <w:top w:val="nil"/>
              <w:bottom w:val="nil"/>
            </w:tcBorders>
          </w:tcPr>
          <w:p w14:paraId="4F4B4E36" w14:textId="77777777" w:rsidR="00B3500A" w:rsidRPr="006F4CD1" w:rsidRDefault="00B3500A" w:rsidP="00D62AD1">
            <w:pPr>
              <w:pStyle w:val="TableParagraph"/>
              <w:ind w:left="98" w:right="90"/>
              <w:rPr>
                <w:sz w:val="16"/>
                <w:szCs w:val="16"/>
              </w:rPr>
            </w:pPr>
            <w:r w:rsidRPr="006F4CD1">
              <w:rPr>
                <w:spacing w:val="-4"/>
                <w:sz w:val="16"/>
                <w:szCs w:val="16"/>
              </w:rPr>
              <w:t>0.55</w:t>
            </w:r>
          </w:p>
        </w:tc>
        <w:tc>
          <w:tcPr>
            <w:tcW w:w="624" w:type="pct"/>
            <w:tcBorders>
              <w:top w:val="nil"/>
              <w:bottom w:val="nil"/>
            </w:tcBorders>
          </w:tcPr>
          <w:p w14:paraId="17045BC4" w14:textId="77777777" w:rsidR="00B3500A" w:rsidRPr="006F4CD1" w:rsidRDefault="00B3500A" w:rsidP="00D62AD1">
            <w:pPr>
              <w:pStyle w:val="TableParagraph"/>
              <w:ind w:left="114"/>
              <w:rPr>
                <w:sz w:val="16"/>
                <w:szCs w:val="16"/>
              </w:rPr>
            </w:pPr>
            <w:r w:rsidRPr="006F4CD1">
              <w:rPr>
                <w:spacing w:val="-4"/>
                <w:sz w:val="16"/>
                <w:szCs w:val="16"/>
              </w:rPr>
              <w:t>0.51</w:t>
            </w:r>
          </w:p>
        </w:tc>
        <w:tc>
          <w:tcPr>
            <w:tcW w:w="648" w:type="pct"/>
            <w:tcBorders>
              <w:top w:val="nil"/>
              <w:bottom w:val="nil"/>
            </w:tcBorders>
          </w:tcPr>
          <w:p w14:paraId="1D412222" w14:textId="77777777" w:rsidR="00B3500A" w:rsidRPr="006F4CD1" w:rsidRDefault="00B3500A" w:rsidP="00D62AD1">
            <w:pPr>
              <w:pStyle w:val="TableParagraph"/>
              <w:ind w:right="108"/>
              <w:rPr>
                <w:sz w:val="16"/>
                <w:szCs w:val="16"/>
              </w:rPr>
            </w:pPr>
            <w:r w:rsidRPr="006F4CD1">
              <w:rPr>
                <w:spacing w:val="-4"/>
                <w:sz w:val="16"/>
                <w:szCs w:val="16"/>
              </w:rPr>
              <w:t>0.49</w:t>
            </w:r>
          </w:p>
        </w:tc>
        <w:tc>
          <w:tcPr>
            <w:tcW w:w="657" w:type="pct"/>
            <w:tcBorders>
              <w:top w:val="nil"/>
              <w:bottom w:val="nil"/>
              <w:right w:val="double" w:sz="4" w:space="0" w:color="000000"/>
            </w:tcBorders>
          </w:tcPr>
          <w:p w14:paraId="66C7211B"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0.54</w:t>
            </w:r>
          </w:p>
        </w:tc>
        <w:tc>
          <w:tcPr>
            <w:tcW w:w="334" w:type="pct"/>
            <w:tcBorders>
              <w:top w:val="nil"/>
              <w:left w:val="double" w:sz="4" w:space="0" w:color="000000"/>
              <w:bottom w:val="nil"/>
            </w:tcBorders>
          </w:tcPr>
          <w:p w14:paraId="004DEFD7" w14:textId="77777777" w:rsidR="00B3500A" w:rsidRPr="006F4CD1" w:rsidRDefault="00B3500A" w:rsidP="00D62AD1">
            <w:pPr>
              <w:pStyle w:val="TableParagraph"/>
              <w:ind w:left="110" w:right="103"/>
              <w:rPr>
                <w:sz w:val="16"/>
                <w:szCs w:val="16"/>
              </w:rPr>
            </w:pPr>
            <w:r w:rsidRPr="006F4CD1">
              <w:rPr>
                <w:spacing w:val="-4"/>
                <w:sz w:val="16"/>
                <w:szCs w:val="16"/>
              </w:rPr>
              <w:t>0.58</w:t>
            </w:r>
          </w:p>
        </w:tc>
        <w:tc>
          <w:tcPr>
            <w:tcW w:w="668" w:type="pct"/>
            <w:tcBorders>
              <w:top w:val="nil"/>
              <w:bottom w:val="nil"/>
            </w:tcBorders>
          </w:tcPr>
          <w:p w14:paraId="48F6B537" w14:textId="77777777" w:rsidR="00B3500A" w:rsidRPr="006F4CD1" w:rsidRDefault="00B3500A" w:rsidP="00D62AD1">
            <w:pPr>
              <w:pStyle w:val="TableParagraph"/>
              <w:ind w:left="113" w:right="107"/>
              <w:rPr>
                <w:sz w:val="16"/>
                <w:szCs w:val="16"/>
              </w:rPr>
            </w:pPr>
            <w:r w:rsidRPr="006F4CD1">
              <w:rPr>
                <w:spacing w:val="-4"/>
                <w:sz w:val="16"/>
                <w:szCs w:val="16"/>
              </w:rPr>
              <w:t>0.54</w:t>
            </w:r>
          </w:p>
        </w:tc>
        <w:tc>
          <w:tcPr>
            <w:tcW w:w="668" w:type="pct"/>
            <w:tcBorders>
              <w:top w:val="nil"/>
              <w:bottom w:val="nil"/>
            </w:tcBorders>
          </w:tcPr>
          <w:p w14:paraId="3B92DBF8" w14:textId="77777777" w:rsidR="00B3500A" w:rsidRPr="006F4CD1" w:rsidRDefault="00B3500A" w:rsidP="00D62AD1">
            <w:pPr>
              <w:pStyle w:val="TableParagraph"/>
              <w:ind w:right="110"/>
              <w:rPr>
                <w:sz w:val="16"/>
                <w:szCs w:val="16"/>
              </w:rPr>
            </w:pPr>
            <w:r w:rsidRPr="006F4CD1">
              <w:rPr>
                <w:spacing w:val="-4"/>
                <w:sz w:val="16"/>
                <w:szCs w:val="16"/>
              </w:rPr>
              <w:t>0.53</w:t>
            </w:r>
          </w:p>
        </w:tc>
        <w:tc>
          <w:tcPr>
            <w:tcW w:w="668" w:type="pct"/>
            <w:tcBorders>
              <w:top w:val="nil"/>
              <w:bottom w:val="nil"/>
            </w:tcBorders>
          </w:tcPr>
          <w:p w14:paraId="0C0D8AEB" w14:textId="77777777" w:rsidR="00B3500A" w:rsidRPr="006F4CD1" w:rsidRDefault="00B3500A" w:rsidP="00D62AD1">
            <w:pPr>
              <w:pStyle w:val="TableParagraph"/>
              <w:ind w:left="0" w:right="491"/>
              <w:jc w:val="right"/>
              <w:rPr>
                <w:sz w:val="16"/>
                <w:szCs w:val="16"/>
              </w:rPr>
            </w:pPr>
            <w:r w:rsidRPr="006F4CD1">
              <w:rPr>
                <w:spacing w:val="-4"/>
                <w:sz w:val="16"/>
                <w:szCs w:val="16"/>
              </w:rPr>
              <w:t>0.57</w:t>
            </w:r>
          </w:p>
        </w:tc>
      </w:tr>
      <w:tr w:rsidR="00B3500A" w:rsidRPr="006F4CD1" w14:paraId="0702BF54" w14:textId="77777777" w:rsidTr="00326B3D">
        <w:trPr>
          <w:trHeight w:val="239"/>
        </w:trPr>
        <w:tc>
          <w:tcPr>
            <w:tcW w:w="388" w:type="pct"/>
            <w:tcBorders>
              <w:top w:val="nil"/>
              <w:left w:val="double" w:sz="4" w:space="0" w:color="000000"/>
              <w:bottom w:val="nil"/>
            </w:tcBorders>
          </w:tcPr>
          <w:p w14:paraId="05DA1B3B" w14:textId="77777777" w:rsidR="00B3500A" w:rsidRPr="006F4CD1" w:rsidRDefault="00B3500A" w:rsidP="00D62AD1">
            <w:pPr>
              <w:pStyle w:val="TableParagraph"/>
              <w:ind w:left="0" w:right="98"/>
              <w:jc w:val="right"/>
              <w:rPr>
                <w:sz w:val="16"/>
                <w:szCs w:val="16"/>
              </w:rPr>
            </w:pPr>
            <w:r w:rsidRPr="006F4CD1">
              <w:rPr>
                <w:spacing w:val="-4"/>
                <w:sz w:val="16"/>
                <w:szCs w:val="16"/>
              </w:rPr>
              <w:t>1983</w:t>
            </w:r>
          </w:p>
        </w:tc>
        <w:tc>
          <w:tcPr>
            <w:tcW w:w="346" w:type="pct"/>
            <w:tcBorders>
              <w:top w:val="nil"/>
              <w:bottom w:val="nil"/>
            </w:tcBorders>
          </w:tcPr>
          <w:p w14:paraId="1B534CB9" w14:textId="77777777" w:rsidR="00B3500A" w:rsidRPr="006F4CD1" w:rsidRDefault="00B3500A" w:rsidP="00D62AD1">
            <w:pPr>
              <w:pStyle w:val="TableParagraph"/>
              <w:ind w:left="98" w:right="90"/>
              <w:rPr>
                <w:sz w:val="16"/>
                <w:szCs w:val="16"/>
              </w:rPr>
            </w:pPr>
            <w:r w:rsidRPr="006F4CD1">
              <w:rPr>
                <w:spacing w:val="-4"/>
                <w:sz w:val="16"/>
                <w:szCs w:val="16"/>
              </w:rPr>
              <w:t>0.57</w:t>
            </w:r>
          </w:p>
        </w:tc>
        <w:tc>
          <w:tcPr>
            <w:tcW w:w="624" w:type="pct"/>
            <w:tcBorders>
              <w:top w:val="nil"/>
              <w:bottom w:val="nil"/>
            </w:tcBorders>
          </w:tcPr>
          <w:p w14:paraId="65B32813" w14:textId="77777777" w:rsidR="00B3500A" w:rsidRPr="006F4CD1" w:rsidRDefault="00B3500A" w:rsidP="00D62AD1">
            <w:pPr>
              <w:pStyle w:val="TableParagraph"/>
              <w:ind w:left="114"/>
              <w:rPr>
                <w:sz w:val="16"/>
                <w:szCs w:val="16"/>
              </w:rPr>
            </w:pPr>
            <w:r w:rsidRPr="006F4CD1">
              <w:rPr>
                <w:spacing w:val="-4"/>
                <w:sz w:val="16"/>
                <w:szCs w:val="16"/>
              </w:rPr>
              <w:t>0.52</w:t>
            </w:r>
          </w:p>
        </w:tc>
        <w:tc>
          <w:tcPr>
            <w:tcW w:w="648" w:type="pct"/>
            <w:tcBorders>
              <w:top w:val="nil"/>
              <w:bottom w:val="nil"/>
            </w:tcBorders>
          </w:tcPr>
          <w:p w14:paraId="25155D0F" w14:textId="77777777" w:rsidR="00B3500A" w:rsidRPr="006F4CD1" w:rsidRDefault="00B3500A" w:rsidP="00D62AD1">
            <w:pPr>
              <w:pStyle w:val="TableParagraph"/>
              <w:ind w:right="108"/>
              <w:rPr>
                <w:sz w:val="16"/>
                <w:szCs w:val="16"/>
              </w:rPr>
            </w:pPr>
            <w:r w:rsidRPr="006F4CD1">
              <w:rPr>
                <w:spacing w:val="-4"/>
                <w:sz w:val="16"/>
                <w:szCs w:val="16"/>
              </w:rPr>
              <w:t>0.50</w:t>
            </w:r>
          </w:p>
        </w:tc>
        <w:tc>
          <w:tcPr>
            <w:tcW w:w="657" w:type="pct"/>
            <w:tcBorders>
              <w:top w:val="nil"/>
              <w:bottom w:val="nil"/>
              <w:right w:val="double" w:sz="4" w:space="0" w:color="000000"/>
            </w:tcBorders>
          </w:tcPr>
          <w:p w14:paraId="3F9FE177"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0.56</w:t>
            </w:r>
          </w:p>
        </w:tc>
        <w:tc>
          <w:tcPr>
            <w:tcW w:w="334" w:type="pct"/>
            <w:tcBorders>
              <w:top w:val="nil"/>
              <w:left w:val="double" w:sz="4" w:space="0" w:color="000000"/>
              <w:bottom w:val="nil"/>
            </w:tcBorders>
          </w:tcPr>
          <w:p w14:paraId="739963F9" w14:textId="77777777" w:rsidR="00B3500A" w:rsidRPr="006F4CD1" w:rsidRDefault="00B3500A" w:rsidP="00D62AD1">
            <w:pPr>
              <w:pStyle w:val="TableParagraph"/>
              <w:ind w:left="110" w:right="103"/>
              <w:rPr>
                <w:sz w:val="16"/>
                <w:szCs w:val="16"/>
              </w:rPr>
            </w:pPr>
            <w:r w:rsidRPr="006F4CD1">
              <w:rPr>
                <w:spacing w:val="-4"/>
                <w:sz w:val="16"/>
                <w:szCs w:val="16"/>
              </w:rPr>
              <w:t>0.60</w:t>
            </w:r>
          </w:p>
        </w:tc>
        <w:tc>
          <w:tcPr>
            <w:tcW w:w="668" w:type="pct"/>
            <w:tcBorders>
              <w:top w:val="nil"/>
              <w:bottom w:val="nil"/>
            </w:tcBorders>
          </w:tcPr>
          <w:p w14:paraId="5E9D4E2D" w14:textId="77777777" w:rsidR="00B3500A" w:rsidRPr="006F4CD1" w:rsidRDefault="00B3500A" w:rsidP="00D62AD1">
            <w:pPr>
              <w:pStyle w:val="TableParagraph"/>
              <w:ind w:left="113" w:right="107"/>
              <w:rPr>
                <w:sz w:val="16"/>
                <w:szCs w:val="16"/>
              </w:rPr>
            </w:pPr>
            <w:r w:rsidRPr="006F4CD1">
              <w:rPr>
                <w:spacing w:val="-4"/>
                <w:sz w:val="16"/>
                <w:szCs w:val="16"/>
              </w:rPr>
              <w:t>0.56</w:t>
            </w:r>
          </w:p>
        </w:tc>
        <w:tc>
          <w:tcPr>
            <w:tcW w:w="668" w:type="pct"/>
            <w:tcBorders>
              <w:top w:val="nil"/>
              <w:bottom w:val="nil"/>
            </w:tcBorders>
          </w:tcPr>
          <w:p w14:paraId="53CD04F7" w14:textId="77777777" w:rsidR="00B3500A" w:rsidRPr="006F4CD1" w:rsidRDefault="00B3500A" w:rsidP="00D62AD1">
            <w:pPr>
              <w:pStyle w:val="TableParagraph"/>
              <w:ind w:right="110"/>
              <w:rPr>
                <w:sz w:val="16"/>
                <w:szCs w:val="16"/>
              </w:rPr>
            </w:pPr>
            <w:r w:rsidRPr="006F4CD1">
              <w:rPr>
                <w:spacing w:val="-4"/>
                <w:sz w:val="16"/>
                <w:szCs w:val="16"/>
              </w:rPr>
              <w:t>0.54</w:t>
            </w:r>
          </w:p>
        </w:tc>
        <w:tc>
          <w:tcPr>
            <w:tcW w:w="668" w:type="pct"/>
            <w:tcBorders>
              <w:top w:val="nil"/>
              <w:bottom w:val="nil"/>
            </w:tcBorders>
          </w:tcPr>
          <w:p w14:paraId="7B4451CA" w14:textId="77777777" w:rsidR="00B3500A" w:rsidRPr="006F4CD1" w:rsidRDefault="00B3500A" w:rsidP="00D62AD1">
            <w:pPr>
              <w:pStyle w:val="TableParagraph"/>
              <w:ind w:left="0" w:right="491"/>
              <w:jc w:val="right"/>
              <w:rPr>
                <w:sz w:val="16"/>
                <w:szCs w:val="16"/>
              </w:rPr>
            </w:pPr>
            <w:r w:rsidRPr="006F4CD1">
              <w:rPr>
                <w:spacing w:val="-4"/>
                <w:sz w:val="16"/>
                <w:szCs w:val="16"/>
              </w:rPr>
              <w:t>0.59</w:t>
            </w:r>
          </w:p>
        </w:tc>
      </w:tr>
      <w:tr w:rsidR="00B3500A" w:rsidRPr="006F4CD1" w14:paraId="4C1459B1" w14:textId="77777777" w:rsidTr="00326B3D">
        <w:trPr>
          <w:trHeight w:val="239"/>
        </w:trPr>
        <w:tc>
          <w:tcPr>
            <w:tcW w:w="388" w:type="pct"/>
            <w:tcBorders>
              <w:top w:val="nil"/>
              <w:left w:val="double" w:sz="4" w:space="0" w:color="000000"/>
              <w:bottom w:val="nil"/>
            </w:tcBorders>
          </w:tcPr>
          <w:p w14:paraId="0F72A042" w14:textId="77777777" w:rsidR="00B3500A" w:rsidRPr="006F4CD1" w:rsidRDefault="00B3500A" w:rsidP="00D62AD1">
            <w:pPr>
              <w:pStyle w:val="TableParagraph"/>
              <w:ind w:left="0" w:right="98"/>
              <w:jc w:val="right"/>
              <w:rPr>
                <w:sz w:val="16"/>
                <w:szCs w:val="16"/>
              </w:rPr>
            </w:pPr>
            <w:r w:rsidRPr="006F4CD1">
              <w:rPr>
                <w:spacing w:val="-4"/>
                <w:sz w:val="16"/>
                <w:szCs w:val="16"/>
              </w:rPr>
              <w:t>1984</w:t>
            </w:r>
          </w:p>
        </w:tc>
        <w:tc>
          <w:tcPr>
            <w:tcW w:w="346" w:type="pct"/>
            <w:tcBorders>
              <w:top w:val="nil"/>
              <w:bottom w:val="nil"/>
            </w:tcBorders>
          </w:tcPr>
          <w:p w14:paraId="3B7AB3EE" w14:textId="77777777" w:rsidR="00B3500A" w:rsidRPr="006F4CD1" w:rsidRDefault="00B3500A" w:rsidP="00D62AD1">
            <w:pPr>
              <w:pStyle w:val="TableParagraph"/>
              <w:ind w:left="98" w:right="90"/>
              <w:rPr>
                <w:sz w:val="16"/>
                <w:szCs w:val="16"/>
              </w:rPr>
            </w:pPr>
            <w:r w:rsidRPr="006F4CD1">
              <w:rPr>
                <w:spacing w:val="-4"/>
                <w:sz w:val="16"/>
                <w:szCs w:val="16"/>
              </w:rPr>
              <w:t>0.38</w:t>
            </w:r>
          </w:p>
        </w:tc>
        <w:tc>
          <w:tcPr>
            <w:tcW w:w="624" w:type="pct"/>
            <w:tcBorders>
              <w:top w:val="nil"/>
              <w:bottom w:val="nil"/>
            </w:tcBorders>
          </w:tcPr>
          <w:p w14:paraId="6D5594E3" w14:textId="77777777" w:rsidR="00B3500A" w:rsidRPr="006F4CD1" w:rsidRDefault="00B3500A" w:rsidP="00D62AD1">
            <w:pPr>
              <w:pStyle w:val="TableParagraph"/>
              <w:ind w:left="114"/>
              <w:rPr>
                <w:sz w:val="16"/>
                <w:szCs w:val="16"/>
              </w:rPr>
            </w:pPr>
            <w:r w:rsidRPr="006F4CD1">
              <w:rPr>
                <w:spacing w:val="-4"/>
                <w:sz w:val="16"/>
                <w:szCs w:val="16"/>
              </w:rPr>
              <w:t>0.35</w:t>
            </w:r>
          </w:p>
        </w:tc>
        <w:tc>
          <w:tcPr>
            <w:tcW w:w="648" w:type="pct"/>
            <w:tcBorders>
              <w:top w:val="nil"/>
              <w:bottom w:val="nil"/>
            </w:tcBorders>
          </w:tcPr>
          <w:p w14:paraId="073DCA18" w14:textId="77777777" w:rsidR="00B3500A" w:rsidRPr="006F4CD1" w:rsidRDefault="00B3500A" w:rsidP="00D62AD1">
            <w:pPr>
              <w:pStyle w:val="TableParagraph"/>
              <w:ind w:right="108"/>
              <w:rPr>
                <w:sz w:val="16"/>
                <w:szCs w:val="16"/>
              </w:rPr>
            </w:pPr>
            <w:r w:rsidRPr="006F4CD1">
              <w:rPr>
                <w:spacing w:val="-4"/>
                <w:sz w:val="16"/>
                <w:szCs w:val="16"/>
              </w:rPr>
              <w:t>0.34</w:t>
            </w:r>
          </w:p>
        </w:tc>
        <w:tc>
          <w:tcPr>
            <w:tcW w:w="657" w:type="pct"/>
            <w:tcBorders>
              <w:top w:val="nil"/>
              <w:bottom w:val="nil"/>
              <w:right w:val="double" w:sz="4" w:space="0" w:color="000000"/>
            </w:tcBorders>
          </w:tcPr>
          <w:p w14:paraId="687EB77C"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0.38</w:t>
            </w:r>
          </w:p>
        </w:tc>
        <w:tc>
          <w:tcPr>
            <w:tcW w:w="334" w:type="pct"/>
            <w:tcBorders>
              <w:top w:val="nil"/>
              <w:left w:val="double" w:sz="4" w:space="0" w:color="000000"/>
              <w:bottom w:val="nil"/>
            </w:tcBorders>
          </w:tcPr>
          <w:p w14:paraId="6051F5CC" w14:textId="77777777" w:rsidR="00B3500A" w:rsidRPr="006F4CD1" w:rsidRDefault="00B3500A" w:rsidP="00D62AD1">
            <w:pPr>
              <w:pStyle w:val="TableParagraph"/>
              <w:ind w:left="110" w:right="103"/>
              <w:rPr>
                <w:sz w:val="16"/>
                <w:szCs w:val="16"/>
              </w:rPr>
            </w:pPr>
            <w:r w:rsidRPr="006F4CD1">
              <w:rPr>
                <w:spacing w:val="-4"/>
                <w:sz w:val="16"/>
                <w:szCs w:val="16"/>
              </w:rPr>
              <w:t>0.44</w:t>
            </w:r>
          </w:p>
        </w:tc>
        <w:tc>
          <w:tcPr>
            <w:tcW w:w="668" w:type="pct"/>
            <w:tcBorders>
              <w:top w:val="nil"/>
              <w:bottom w:val="nil"/>
            </w:tcBorders>
          </w:tcPr>
          <w:p w14:paraId="434F8693" w14:textId="77777777" w:rsidR="00B3500A" w:rsidRPr="006F4CD1" w:rsidRDefault="00B3500A" w:rsidP="00D62AD1">
            <w:pPr>
              <w:pStyle w:val="TableParagraph"/>
              <w:ind w:left="113" w:right="107"/>
              <w:rPr>
                <w:sz w:val="16"/>
                <w:szCs w:val="16"/>
              </w:rPr>
            </w:pPr>
            <w:r w:rsidRPr="006F4CD1">
              <w:rPr>
                <w:spacing w:val="-4"/>
                <w:sz w:val="16"/>
                <w:szCs w:val="16"/>
              </w:rPr>
              <w:t>0.41</w:t>
            </w:r>
          </w:p>
        </w:tc>
        <w:tc>
          <w:tcPr>
            <w:tcW w:w="668" w:type="pct"/>
            <w:tcBorders>
              <w:top w:val="nil"/>
              <w:bottom w:val="nil"/>
            </w:tcBorders>
          </w:tcPr>
          <w:p w14:paraId="5CEA8BB8" w14:textId="77777777" w:rsidR="00B3500A" w:rsidRPr="006F4CD1" w:rsidRDefault="00B3500A" w:rsidP="00D62AD1">
            <w:pPr>
              <w:pStyle w:val="TableParagraph"/>
              <w:ind w:right="110"/>
              <w:rPr>
                <w:sz w:val="16"/>
                <w:szCs w:val="16"/>
              </w:rPr>
            </w:pPr>
            <w:r w:rsidRPr="006F4CD1">
              <w:rPr>
                <w:spacing w:val="-4"/>
                <w:sz w:val="16"/>
                <w:szCs w:val="16"/>
              </w:rPr>
              <w:t>0.39</w:t>
            </w:r>
          </w:p>
        </w:tc>
        <w:tc>
          <w:tcPr>
            <w:tcW w:w="668" w:type="pct"/>
            <w:tcBorders>
              <w:top w:val="nil"/>
              <w:bottom w:val="nil"/>
            </w:tcBorders>
          </w:tcPr>
          <w:p w14:paraId="2CFEF546" w14:textId="77777777" w:rsidR="00B3500A" w:rsidRPr="006F4CD1" w:rsidRDefault="00B3500A" w:rsidP="00D62AD1">
            <w:pPr>
              <w:pStyle w:val="TableParagraph"/>
              <w:ind w:left="0" w:right="491"/>
              <w:jc w:val="right"/>
              <w:rPr>
                <w:sz w:val="16"/>
                <w:szCs w:val="16"/>
              </w:rPr>
            </w:pPr>
            <w:r w:rsidRPr="006F4CD1">
              <w:rPr>
                <w:spacing w:val="-4"/>
                <w:sz w:val="16"/>
                <w:szCs w:val="16"/>
              </w:rPr>
              <w:t>0.43</w:t>
            </w:r>
          </w:p>
        </w:tc>
      </w:tr>
      <w:tr w:rsidR="00B3500A" w:rsidRPr="006F4CD1" w14:paraId="49079C51" w14:textId="77777777" w:rsidTr="00326B3D">
        <w:trPr>
          <w:trHeight w:val="239"/>
        </w:trPr>
        <w:tc>
          <w:tcPr>
            <w:tcW w:w="388" w:type="pct"/>
            <w:tcBorders>
              <w:top w:val="nil"/>
              <w:left w:val="double" w:sz="4" w:space="0" w:color="000000"/>
              <w:bottom w:val="nil"/>
            </w:tcBorders>
          </w:tcPr>
          <w:p w14:paraId="43C1BE48" w14:textId="77777777" w:rsidR="00B3500A" w:rsidRPr="006F4CD1" w:rsidRDefault="00B3500A" w:rsidP="00D62AD1">
            <w:pPr>
              <w:pStyle w:val="TableParagraph"/>
              <w:ind w:left="0" w:right="98"/>
              <w:jc w:val="right"/>
              <w:rPr>
                <w:sz w:val="16"/>
                <w:szCs w:val="16"/>
              </w:rPr>
            </w:pPr>
            <w:r w:rsidRPr="006F4CD1">
              <w:rPr>
                <w:spacing w:val="-4"/>
                <w:sz w:val="16"/>
                <w:szCs w:val="16"/>
              </w:rPr>
              <w:t>1985</w:t>
            </w:r>
          </w:p>
        </w:tc>
        <w:tc>
          <w:tcPr>
            <w:tcW w:w="346" w:type="pct"/>
            <w:tcBorders>
              <w:top w:val="nil"/>
              <w:bottom w:val="nil"/>
            </w:tcBorders>
          </w:tcPr>
          <w:p w14:paraId="7AADA7F8" w14:textId="77777777" w:rsidR="00B3500A" w:rsidRPr="006F4CD1" w:rsidRDefault="00B3500A" w:rsidP="00D62AD1">
            <w:pPr>
              <w:pStyle w:val="TableParagraph"/>
              <w:ind w:left="98" w:right="90"/>
              <w:rPr>
                <w:sz w:val="16"/>
                <w:szCs w:val="16"/>
              </w:rPr>
            </w:pPr>
            <w:r w:rsidRPr="006F4CD1">
              <w:rPr>
                <w:spacing w:val="-4"/>
                <w:sz w:val="16"/>
                <w:szCs w:val="16"/>
              </w:rPr>
              <w:t>0.39</w:t>
            </w:r>
          </w:p>
        </w:tc>
        <w:tc>
          <w:tcPr>
            <w:tcW w:w="624" w:type="pct"/>
            <w:tcBorders>
              <w:top w:val="nil"/>
              <w:bottom w:val="nil"/>
            </w:tcBorders>
          </w:tcPr>
          <w:p w14:paraId="7311D0CC" w14:textId="77777777" w:rsidR="00B3500A" w:rsidRPr="006F4CD1" w:rsidRDefault="00B3500A" w:rsidP="00D62AD1">
            <w:pPr>
              <w:pStyle w:val="TableParagraph"/>
              <w:ind w:left="114"/>
              <w:rPr>
                <w:sz w:val="16"/>
                <w:szCs w:val="16"/>
              </w:rPr>
            </w:pPr>
            <w:r w:rsidRPr="006F4CD1">
              <w:rPr>
                <w:spacing w:val="-4"/>
                <w:sz w:val="16"/>
                <w:szCs w:val="16"/>
              </w:rPr>
              <w:t>0.36</w:t>
            </w:r>
          </w:p>
        </w:tc>
        <w:tc>
          <w:tcPr>
            <w:tcW w:w="648" w:type="pct"/>
            <w:tcBorders>
              <w:top w:val="nil"/>
              <w:bottom w:val="nil"/>
            </w:tcBorders>
          </w:tcPr>
          <w:p w14:paraId="0D841E1E" w14:textId="77777777" w:rsidR="00B3500A" w:rsidRPr="006F4CD1" w:rsidRDefault="00B3500A" w:rsidP="00D62AD1">
            <w:pPr>
              <w:pStyle w:val="TableParagraph"/>
              <w:ind w:right="108"/>
              <w:rPr>
                <w:sz w:val="16"/>
                <w:szCs w:val="16"/>
              </w:rPr>
            </w:pPr>
            <w:r w:rsidRPr="006F4CD1">
              <w:rPr>
                <w:spacing w:val="-4"/>
                <w:sz w:val="16"/>
                <w:szCs w:val="16"/>
              </w:rPr>
              <w:t>0.34</w:t>
            </w:r>
          </w:p>
        </w:tc>
        <w:tc>
          <w:tcPr>
            <w:tcW w:w="657" w:type="pct"/>
            <w:tcBorders>
              <w:top w:val="nil"/>
              <w:bottom w:val="nil"/>
              <w:right w:val="double" w:sz="4" w:space="0" w:color="000000"/>
            </w:tcBorders>
          </w:tcPr>
          <w:p w14:paraId="2084300E"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0.39</w:t>
            </w:r>
          </w:p>
        </w:tc>
        <w:tc>
          <w:tcPr>
            <w:tcW w:w="334" w:type="pct"/>
            <w:tcBorders>
              <w:top w:val="nil"/>
              <w:left w:val="double" w:sz="4" w:space="0" w:color="000000"/>
              <w:bottom w:val="nil"/>
            </w:tcBorders>
          </w:tcPr>
          <w:p w14:paraId="0A3443AF" w14:textId="77777777" w:rsidR="00B3500A" w:rsidRPr="006F4CD1" w:rsidRDefault="00B3500A" w:rsidP="00D62AD1">
            <w:pPr>
              <w:pStyle w:val="TableParagraph"/>
              <w:ind w:left="110" w:right="103"/>
              <w:rPr>
                <w:sz w:val="16"/>
                <w:szCs w:val="16"/>
              </w:rPr>
            </w:pPr>
            <w:r w:rsidRPr="006F4CD1">
              <w:rPr>
                <w:spacing w:val="-4"/>
                <w:sz w:val="16"/>
                <w:szCs w:val="16"/>
              </w:rPr>
              <w:t>0.45</w:t>
            </w:r>
          </w:p>
        </w:tc>
        <w:tc>
          <w:tcPr>
            <w:tcW w:w="668" w:type="pct"/>
            <w:tcBorders>
              <w:top w:val="nil"/>
              <w:bottom w:val="nil"/>
            </w:tcBorders>
          </w:tcPr>
          <w:p w14:paraId="121545B4" w14:textId="77777777" w:rsidR="00B3500A" w:rsidRPr="006F4CD1" w:rsidRDefault="00B3500A" w:rsidP="00D62AD1">
            <w:pPr>
              <w:pStyle w:val="TableParagraph"/>
              <w:ind w:left="113" w:right="107"/>
              <w:rPr>
                <w:sz w:val="16"/>
                <w:szCs w:val="16"/>
              </w:rPr>
            </w:pPr>
            <w:r w:rsidRPr="006F4CD1">
              <w:rPr>
                <w:spacing w:val="-4"/>
                <w:sz w:val="16"/>
                <w:szCs w:val="16"/>
              </w:rPr>
              <w:t>0.42</w:t>
            </w:r>
          </w:p>
        </w:tc>
        <w:tc>
          <w:tcPr>
            <w:tcW w:w="668" w:type="pct"/>
            <w:tcBorders>
              <w:top w:val="nil"/>
              <w:bottom w:val="nil"/>
            </w:tcBorders>
          </w:tcPr>
          <w:p w14:paraId="551FB58C" w14:textId="77777777" w:rsidR="00B3500A" w:rsidRPr="006F4CD1" w:rsidRDefault="00B3500A" w:rsidP="00D62AD1">
            <w:pPr>
              <w:pStyle w:val="TableParagraph"/>
              <w:ind w:right="110"/>
              <w:rPr>
                <w:sz w:val="16"/>
                <w:szCs w:val="16"/>
              </w:rPr>
            </w:pPr>
            <w:r w:rsidRPr="006F4CD1">
              <w:rPr>
                <w:spacing w:val="-4"/>
                <w:sz w:val="16"/>
                <w:szCs w:val="16"/>
              </w:rPr>
              <w:t>0.40</w:t>
            </w:r>
          </w:p>
        </w:tc>
        <w:tc>
          <w:tcPr>
            <w:tcW w:w="668" w:type="pct"/>
            <w:tcBorders>
              <w:top w:val="nil"/>
              <w:bottom w:val="nil"/>
            </w:tcBorders>
          </w:tcPr>
          <w:p w14:paraId="3C84ADAD" w14:textId="77777777" w:rsidR="00B3500A" w:rsidRPr="006F4CD1" w:rsidRDefault="00B3500A" w:rsidP="00D62AD1">
            <w:pPr>
              <w:pStyle w:val="TableParagraph"/>
              <w:ind w:left="0" w:right="491"/>
              <w:jc w:val="right"/>
              <w:rPr>
                <w:sz w:val="16"/>
                <w:szCs w:val="16"/>
              </w:rPr>
            </w:pPr>
            <w:r w:rsidRPr="006F4CD1">
              <w:rPr>
                <w:spacing w:val="-4"/>
                <w:sz w:val="16"/>
                <w:szCs w:val="16"/>
              </w:rPr>
              <w:t>0.44</w:t>
            </w:r>
          </w:p>
        </w:tc>
      </w:tr>
      <w:tr w:rsidR="00B3500A" w:rsidRPr="006F4CD1" w14:paraId="40224EB4" w14:textId="77777777" w:rsidTr="00326B3D">
        <w:trPr>
          <w:trHeight w:val="239"/>
        </w:trPr>
        <w:tc>
          <w:tcPr>
            <w:tcW w:w="388" w:type="pct"/>
            <w:tcBorders>
              <w:top w:val="nil"/>
              <w:left w:val="double" w:sz="4" w:space="0" w:color="000000"/>
              <w:bottom w:val="nil"/>
            </w:tcBorders>
          </w:tcPr>
          <w:p w14:paraId="44049A6E" w14:textId="77777777" w:rsidR="00B3500A" w:rsidRPr="006F4CD1" w:rsidRDefault="00B3500A" w:rsidP="00D62AD1">
            <w:pPr>
              <w:pStyle w:val="TableParagraph"/>
              <w:ind w:left="0" w:right="98"/>
              <w:jc w:val="right"/>
              <w:rPr>
                <w:sz w:val="16"/>
                <w:szCs w:val="16"/>
              </w:rPr>
            </w:pPr>
            <w:r w:rsidRPr="006F4CD1">
              <w:rPr>
                <w:spacing w:val="-4"/>
                <w:sz w:val="16"/>
                <w:szCs w:val="16"/>
              </w:rPr>
              <w:t>1986</w:t>
            </w:r>
          </w:p>
        </w:tc>
        <w:tc>
          <w:tcPr>
            <w:tcW w:w="346" w:type="pct"/>
            <w:tcBorders>
              <w:top w:val="nil"/>
              <w:bottom w:val="nil"/>
            </w:tcBorders>
          </w:tcPr>
          <w:p w14:paraId="7FA540FA" w14:textId="77777777" w:rsidR="00B3500A" w:rsidRPr="006F4CD1" w:rsidRDefault="00B3500A" w:rsidP="00D62AD1">
            <w:pPr>
              <w:pStyle w:val="TableParagraph"/>
              <w:ind w:left="98" w:right="90"/>
              <w:rPr>
                <w:sz w:val="16"/>
                <w:szCs w:val="16"/>
              </w:rPr>
            </w:pPr>
            <w:r w:rsidRPr="006F4CD1">
              <w:rPr>
                <w:spacing w:val="-4"/>
                <w:sz w:val="16"/>
                <w:szCs w:val="16"/>
              </w:rPr>
              <w:t>0.39</w:t>
            </w:r>
          </w:p>
        </w:tc>
        <w:tc>
          <w:tcPr>
            <w:tcW w:w="624" w:type="pct"/>
            <w:tcBorders>
              <w:top w:val="nil"/>
              <w:bottom w:val="nil"/>
            </w:tcBorders>
          </w:tcPr>
          <w:p w14:paraId="01BAC0EB" w14:textId="77777777" w:rsidR="00B3500A" w:rsidRPr="006F4CD1" w:rsidRDefault="00B3500A" w:rsidP="00D62AD1">
            <w:pPr>
              <w:pStyle w:val="TableParagraph"/>
              <w:ind w:left="114"/>
              <w:rPr>
                <w:sz w:val="16"/>
                <w:szCs w:val="16"/>
              </w:rPr>
            </w:pPr>
            <w:r w:rsidRPr="006F4CD1">
              <w:rPr>
                <w:spacing w:val="-4"/>
                <w:sz w:val="16"/>
                <w:szCs w:val="16"/>
              </w:rPr>
              <w:t>0.36</w:t>
            </w:r>
          </w:p>
        </w:tc>
        <w:tc>
          <w:tcPr>
            <w:tcW w:w="648" w:type="pct"/>
            <w:tcBorders>
              <w:top w:val="nil"/>
              <w:bottom w:val="nil"/>
            </w:tcBorders>
          </w:tcPr>
          <w:p w14:paraId="7487A1DA" w14:textId="77777777" w:rsidR="00B3500A" w:rsidRPr="006F4CD1" w:rsidRDefault="00B3500A" w:rsidP="00D62AD1">
            <w:pPr>
              <w:pStyle w:val="TableParagraph"/>
              <w:ind w:right="108"/>
              <w:rPr>
                <w:sz w:val="16"/>
                <w:szCs w:val="16"/>
              </w:rPr>
            </w:pPr>
            <w:r w:rsidRPr="006F4CD1">
              <w:rPr>
                <w:spacing w:val="-4"/>
                <w:sz w:val="16"/>
                <w:szCs w:val="16"/>
              </w:rPr>
              <w:t>0.35</w:t>
            </w:r>
          </w:p>
        </w:tc>
        <w:tc>
          <w:tcPr>
            <w:tcW w:w="657" w:type="pct"/>
            <w:tcBorders>
              <w:top w:val="nil"/>
              <w:bottom w:val="nil"/>
              <w:right w:val="double" w:sz="4" w:space="0" w:color="000000"/>
            </w:tcBorders>
          </w:tcPr>
          <w:p w14:paraId="12592807"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0.39</w:t>
            </w:r>
          </w:p>
        </w:tc>
        <w:tc>
          <w:tcPr>
            <w:tcW w:w="334" w:type="pct"/>
            <w:tcBorders>
              <w:top w:val="nil"/>
              <w:left w:val="double" w:sz="4" w:space="0" w:color="000000"/>
              <w:bottom w:val="nil"/>
            </w:tcBorders>
          </w:tcPr>
          <w:p w14:paraId="01615A75" w14:textId="77777777" w:rsidR="00B3500A" w:rsidRPr="006F4CD1" w:rsidRDefault="00B3500A" w:rsidP="00D62AD1">
            <w:pPr>
              <w:pStyle w:val="TableParagraph"/>
              <w:ind w:left="110" w:right="103"/>
              <w:rPr>
                <w:sz w:val="16"/>
                <w:szCs w:val="16"/>
              </w:rPr>
            </w:pPr>
            <w:r w:rsidRPr="006F4CD1">
              <w:rPr>
                <w:spacing w:val="-4"/>
                <w:sz w:val="16"/>
                <w:szCs w:val="16"/>
              </w:rPr>
              <w:t>0.46</w:t>
            </w:r>
          </w:p>
        </w:tc>
        <w:tc>
          <w:tcPr>
            <w:tcW w:w="668" w:type="pct"/>
            <w:tcBorders>
              <w:top w:val="nil"/>
              <w:bottom w:val="nil"/>
            </w:tcBorders>
          </w:tcPr>
          <w:p w14:paraId="0ED7D9AD" w14:textId="77777777" w:rsidR="00B3500A" w:rsidRPr="006F4CD1" w:rsidRDefault="00B3500A" w:rsidP="00D62AD1">
            <w:pPr>
              <w:pStyle w:val="TableParagraph"/>
              <w:ind w:left="113" w:right="107"/>
              <w:rPr>
                <w:sz w:val="16"/>
                <w:szCs w:val="16"/>
              </w:rPr>
            </w:pPr>
            <w:r w:rsidRPr="006F4CD1">
              <w:rPr>
                <w:spacing w:val="-4"/>
                <w:sz w:val="16"/>
                <w:szCs w:val="16"/>
              </w:rPr>
              <w:t>0.43</w:t>
            </w:r>
          </w:p>
        </w:tc>
        <w:tc>
          <w:tcPr>
            <w:tcW w:w="668" w:type="pct"/>
            <w:tcBorders>
              <w:top w:val="nil"/>
              <w:bottom w:val="nil"/>
            </w:tcBorders>
          </w:tcPr>
          <w:p w14:paraId="09C68AE8" w14:textId="77777777" w:rsidR="00B3500A" w:rsidRPr="006F4CD1" w:rsidRDefault="00B3500A" w:rsidP="00D62AD1">
            <w:pPr>
              <w:pStyle w:val="TableParagraph"/>
              <w:ind w:right="110"/>
              <w:rPr>
                <w:sz w:val="16"/>
                <w:szCs w:val="16"/>
              </w:rPr>
            </w:pPr>
            <w:r w:rsidRPr="006F4CD1">
              <w:rPr>
                <w:spacing w:val="-4"/>
                <w:sz w:val="16"/>
                <w:szCs w:val="16"/>
              </w:rPr>
              <w:t>0.41</w:t>
            </w:r>
          </w:p>
        </w:tc>
        <w:tc>
          <w:tcPr>
            <w:tcW w:w="668" w:type="pct"/>
            <w:tcBorders>
              <w:top w:val="nil"/>
              <w:bottom w:val="nil"/>
            </w:tcBorders>
          </w:tcPr>
          <w:p w14:paraId="20CBA915" w14:textId="77777777" w:rsidR="00B3500A" w:rsidRPr="006F4CD1" w:rsidRDefault="00B3500A" w:rsidP="00D62AD1">
            <w:pPr>
              <w:pStyle w:val="TableParagraph"/>
              <w:ind w:left="0" w:right="491"/>
              <w:jc w:val="right"/>
              <w:rPr>
                <w:sz w:val="16"/>
                <w:szCs w:val="16"/>
              </w:rPr>
            </w:pPr>
            <w:r w:rsidRPr="006F4CD1">
              <w:rPr>
                <w:spacing w:val="-4"/>
                <w:sz w:val="16"/>
                <w:szCs w:val="16"/>
              </w:rPr>
              <w:t>0.45</w:t>
            </w:r>
          </w:p>
        </w:tc>
      </w:tr>
      <w:tr w:rsidR="00B3500A" w:rsidRPr="006F4CD1" w14:paraId="4D88CECB" w14:textId="77777777" w:rsidTr="00326B3D">
        <w:trPr>
          <w:trHeight w:val="239"/>
        </w:trPr>
        <w:tc>
          <w:tcPr>
            <w:tcW w:w="388" w:type="pct"/>
            <w:tcBorders>
              <w:top w:val="nil"/>
              <w:left w:val="double" w:sz="4" w:space="0" w:color="000000"/>
              <w:bottom w:val="nil"/>
            </w:tcBorders>
          </w:tcPr>
          <w:p w14:paraId="7F3216D5" w14:textId="77777777" w:rsidR="00B3500A" w:rsidRPr="006F4CD1" w:rsidRDefault="00B3500A" w:rsidP="00D62AD1">
            <w:pPr>
              <w:pStyle w:val="TableParagraph"/>
              <w:ind w:left="0" w:right="98"/>
              <w:jc w:val="right"/>
              <w:rPr>
                <w:sz w:val="16"/>
                <w:szCs w:val="16"/>
              </w:rPr>
            </w:pPr>
            <w:r w:rsidRPr="006F4CD1">
              <w:rPr>
                <w:spacing w:val="-4"/>
                <w:sz w:val="16"/>
                <w:szCs w:val="16"/>
              </w:rPr>
              <w:t>1987</w:t>
            </w:r>
          </w:p>
        </w:tc>
        <w:tc>
          <w:tcPr>
            <w:tcW w:w="346" w:type="pct"/>
            <w:tcBorders>
              <w:top w:val="nil"/>
              <w:bottom w:val="nil"/>
            </w:tcBorders>
          </w:tcPr>
          <w:p w14:paraId="3FA2DDD1" w14:textId="77777777" w:rsidR="00B3500A" w:rsidRPr="006F4CD1" w:rsidRDefault="00B3500A" w:rsidP="00D62AD1">
            <w:pPr>
              <w:pStyle w:val="TableParagraph"/>
              <w:ind w:left="98" w:right="90"/>
              <w:rPr>
                <w:sz w:val="16"/>
                <w:szCs w:val="16"/>
              </w:rPr>
            </w:pPr>
            <w:r w:rsidRPr="006F4CD1">
              <w:rPr>
                <w:spacing w:val="-4"/>
                <w:sz w:val="16"/>
                <w:szCs w:val="16"/>
              </w:rPr>
              <w:t>0.41</w:t>
            </w:r>
          </w:p>
        </w:tc>
        <w:tc>
          <w:tcPr>
            <w:tcW w:w="624" w:type="pct"/>
            <w:tcBorders>
              <w:top w:val="nil"/>
              <w:bottom w:val="nil"/>
            </w:tcBorders>
          </w:tcPr>
          <w:p w14:paraId="66247F41" w14:textId="77777777" w:rsidR="00B3500A" w:rsidRPr="006F4CD1" w:rsidRDefault="00B3500A" w:rsidP="00D62AD1">
            <w:pPr>
              <w:pStyle w:val="TableParagraph"/>
              <w:ind w:left="114"/>
              <w:rPr>
                <w:sz w:val="16"/>
                <w:szCs w:val="16"/>
              </w:rPr>
            </w:pPr>
            <w:r w:rsidRPr="006F4CD1">
              <w:rPr>
                <w:spacing w:val="-4"/>
                <w:sz w:val="16"/>
                <w:szCs w:val="16"/>
              </w:rPr>
              <w:t>0.38</w:t>
            </w:r>
          </w:p>
        </w:tc>
        <w:tc>
          <w:tcPr>
            <w:tcW w:w="648" w:type="pct"/>
            <w:tcBorders>
              <w:top w:val="nil"/>
              <w:bottom w:val="nil"/>
            </w:tcBorders>
          </w:tcPr>
          <w:p w14:paraId="2132C2C6" w14:textId="77777777" w:rsidR="00B3500A" w:rsidRPr="006F4CD1" w:rsidRDefault="00B3500A" w:rsidP="00D62AD1">
            <w:pPr>
              <w:pStyle w:val="TableParagraph"/>
              <w:ind w:right="108"/>
              <w:rPr>
                <w:sz w:val="16"/>
                <w:szCs w:val="16"/>
              </w:rPr>
            </w:pPr>
            <w:r w:rsidRPr="006F4CD1">
              <w:rPr>
                <w:spacing w:val="-4"/>
                <w:sz w:val="16"/>
                <w:szCs w:val="16"/>
              </w:rPr>
              <w:t>0.36</w:t>
            </w:r>
          </w:p>
        </w:tc>
        <w:tc>
          <w:tcPr>
            <w:tcW w:w="657" w:type="pct"/>
            <w:tcBorders>
              <w:top w:val="nil"/>
              <w:bottom w:val="nil"/>
              <w:right w:val="double" w:sz="4" w:space="0" w:color="000000"/>
            </w:tcBorders>
          </w:tcPr>
          <w:p w14:paraId="3366D775"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0.41</w:t>
            </w:r>
          </w:p>
        </w:tc>
        <w:tc>
          <w:tcPr>
            <w:tcW w:w="334" w:type="pct"/>
            <w:tcBorders>
              <w:top w:val="nil"/>
              <w:left w:val="double" w:sz="4" w:space="0" w:color="000000"/>
              <w:bottom w:val="nil"/>
            </w:tcBorders>
          </w:tcPr>
          <w:p w14:paraId="0B647FD2" w14:textId="77777777" w:rsidR="00B3500A" w:rsidRPr="006F4CD1" w:rsidRDefault="00B3500A" w:rsidP="00D62AD1">
            <w:pPr>
              <w:pStyle w:val="TableParagraph"/>
              <w:ind w:left="110" w:right="103"/>
              <w:rPr>
                <w:sz w:val="16"/>
                <w:szCs w:val="16"/>
              </w:rPr>
            </w:pPr>
            <w:r w:rsidRPr="006F4CD1">
              <w:rPr>
                <w:spacing w:val="-4"/>
                <w:sz w:val="16"/>
                <w:szCs w:val="16"/>
              </w:rPr>
              <w:t>0.48</w:t>
            </w:r>
          </w:p>
        </w:tc>
        <w:tc>
          <w:tcPr>
            <w:tcW w:w="668" w:type="pct"/>
            <w:tcBorders>
              <w:top w:val="nil"/>
              <w:bottom w:val="nil"/>
            </w:tcBorders>
          </w:tcPr>
          <w:p w14:paraId="29884660" w14:textId="77777777" w:rsidR="00B3500A" w:rsidRPr="006F4CD1" w:rsidRDefault="00B3500A" w:rsidP="00D62AD1">
            <w:pPr>
              <w:pStyle w:val="TableParagraph"/>
              <w:ind w:left="113" w:right="107"/>
              <w:rPr>
                <w:sz w:val="16"/>
                <w:szCs w:val="16"/>
              </w:rPr>
            </w:pPr>
            <w:r w:rsidRPr="006F4CD1">
              <w:rPr>
                <w:spacing w:val="-4"/>
                <w:sz w:val="16"/>
                <w:szCs w:val="16"/>
              </w:rPr>
              <w:t>0.45</w:t>
            </w:r>
          </w:p>
        </w:tc>
        <w:tc>
          <w:tcPr>
            <w:tcW w:w="668" w:type="pct"/>
            <w:tcBorders>
              <w:top w:val="nil"/>
              <w:bottom w:val="nil"/>
            </w:tcBorders>
          </w:tcPr>
          <w:p w14:paraId="6C00955B" w14:textId="77777777" w:rsidR="00B3500A" w:rsidRPr="006F4CD1" w:rsidRDefault="00B3500A" w:rsidP="00D62AD1">
            <w:pPr>
              <w:pStyle w:val="TableParagraph"/>
              <w:ind w:right="110"/>
              <w:rPr>
                <w:sz w:val="16"/>
                <w:szCs w:val="16"/>
              </w:rPr>
            </w:pPr>
            <w:r w:rsidRPr="006F4CD1">
              <w:rPr>
                <w:spacing w:val="-4"/>
                <w:sz w:val="16"/>
                <w:szCs w:val="16"/>
              </w:rPr>
              <w:t>0.44</w:t>
            </w:r>
          </w:p>
        </w:tc>
        <w:tc>
          <w:tcPr>
            <w:tcW w:w="668" w:type="pct"/>
            <w:tcBorders>
              <w:top w:val="nil"/>
              <w:bottom w:val="nil"/>
            </w:tcBorders>
          </w:tcPr>
          <w:p w14:paraId="6D6EC502" w14:textId="77777777" w:rsidR="00B3500A" w:rsidRPr="006F4CD1" w:rsidRDefault="00B3500A" w:rsidP="00D62AD1">
            <w:pPr>
              <w:pStyle w:val="TableParagraph"/>
              <w:ind w:left="0" w:right="491"/>
              <w:jc w:val="right"/>
              <w:rPr>
                <w:sz w:val="16"/>
                <w:szCs w:val="16"/>
              </w:rPr>
            </w:pPr>
            <w:r w:rsidRPr="006F4CD1">
              <w:rPr>
                <w:spacing w:val="-4"/>
                <w:sz w:val="16"/>
                <w:szCs w:val="16"/>
              </w:rPr>
              <w:t>0.47</w:t>
            </w:r>
          </w:p>
        </w:tc>
      </w:tr>
      <w:tr w:rsidR="00B3500A" w:rsidRPr="006F4CD1" w14:paraId="2C2B8CD8" w14:textId="77777777" w:rsidTr="00326B3D">
        <w:trPr>
          <w:trHeight w:val="239"/>
        </w:trPr>
        <w:tc>
          <w:tcPr>
            <w:tcW w:w="388" w:type="pct"/>
            <w:tcBorders>
              <w:top w:val="nil"/>
              <w:left w:val="double" w:sz="4" w:space="0" w:color="000000"/>
              <w:bottom w:val="nil"/>
            </w:tcBorders>
          </w:tcPr>
          <w:p w14:paraId="14721F56" w14:textId="77777777" w:rsidR="00B3500A" w:rsidRPr="006F4CD1" w:rsidRDefault="00B3500A" w:rsidP="00D62AD1">
            <w:pPr>
              <w:pStyle w:val="TableParagraph"/>
              <w:ind w:left="0" w:right="98"/>
              <w:jc w:val="right"/>
              <w:rPr>
                <w:sz w:val="16"/>
                <w:szCs w:val="16"/>
              </w:rPr>
            </w:pPr>
            <w:r w:rsidRPr="006F4CD1">
              <w:rPr>
                <w:spacing w:val="-4"/>
                <w:sz w:val="16"/>
                <w:szCs w:val="16"/>
              </w:rPr>
              <w:t>1988</w:t>
            </w:r>
          </w:p>
        </w:tc>
        <w:tc>
          <w:tcPr>
            <w:tcW w:w="346" w:type="pct"/>
            <w:tcBorders>
              <w:top w:val="nil"/>
              <w:bottom w:val="nil"/>
            </w:tcBorders>
          </w:tcPr>
          <w:p w14:paraId="7928D4B2" w14:textId="77777777" w:rsidR="00B3500A" w:rsidRPr="006F4CD1" w:rsidRDefault="00B3500A" w:rsidP="00D62AD1">
            <w:pPr>
              <w:pStyle w:val="TableParagraph"/>
              <w:ind w:left="98" w:right="90"/>
              <w:rPr>
                <w:sz w:val="16"/>
                <w:szCs w:val="16"/>
              </w:rPr>
            </w:pPr>
            <w:r w:rsidRPr="006F4CD1">
              <w:rPr>
                <w:spacing w:val="-4"/>
                <w:sz w:val="16"/>
                <w:szCs w:val="16"/>
              </w:rPr>
              <w:t>0.42</w:t>
            </w:r>
          </w:p>
        </w:tc>
        <w:tc>
          <w:tcPr>
            <w:tcW w:w="624" w:type="pct"/>
            <w:tcBorders>
              <w:top w:val="nil"/>
              <w:bottom w:val="nil"/>
            </w:tcBorders>
          </w:tcPr>
          <w:p w14:paraId="2E74A22F" w14:textId="77777777" w:rsidR="00B3500A" w:rsidRPr="006F4CD1" w:rsidRDefault="00B3500A" w:rsidP="00D62AD1">
            <w:pPr>
              <w:pStyle w:val="TableParagraph"/>
              <w:ind w:left="114"/>
              <w:rPr>
                <w:sz w:val="16"/>
                <w:szCs w:val="16"/>
              </w:rPr>
            </w:pPr>
            <w:r w:rsidRPr="006F4CD1">
              <w:rPr>
                <w:spacing w:val="-4"/>
                <w:sz w:val="16"/>
                <w:szCs w:val="16"/>
              </w:rPr>
              <w:t>0.38</w:t>
            </w:r>
          </w:p>
        </w:tc>
        <w:tc>
          <w:tcPr>
            <w:tcW w:w="648" w:type="pct"/>
            <w:tcBorders>
              <w:top w:val="nil"/>
              <w:bottom w:val="nil"/>
            </w:tcBorders>
          </w:tcPr>
          <w:p w14:paraId="4B7E9FBE" w14:textId="77777777" w:rsidR="00B3500A" w:rsidRPr="006F4CD1" w:rsidRDefault="00B3500A" w:rsidP="00D62AD1">
            <w:pPr>
              <w:pStyle w:val="TableParagraph"/>
              <w:ind w:right="108"/>
              <w:rPr>
                <w:sz w:val="16"/>
                <w:szCs w:val="16"/>
              </w:rPr>
            </w:pPr>
            <w:r w:rsidRPr="006F4CD1">
              <w:rPr>
                <w:spacing w:val="-4"/>
                <w:sz w:val="16"/>
                <w:szCs w:val="16"/>
              </w:rPr>
              <w:t>0.37</w:t>
            </w:r>
          </w:p>
        </w:tc>
        <w:tc>
          <w:tcPr>
            <w:tcW w:w="657" w:type="pct"/>
            <w:tcBorders>
              <w:top w:val="nil"/>
              <w:bottom w:val="nil"/>
              <w:right w:val="double" w:sz="4" w:space="0" w:color="000000"/>
            </w:tcBorders>
          </w:tcPr>
          <w:p w14:paraId="53C31E7A"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0.41</w:t>
            </w:r>
          </w:p>
        </w:tc>
        <w:tc>
          <w:tcPr>
            <w:tcW w:w="334" w:type="pct"/>
            <w:tcBorders>
              <w:top w:val="nil"/>
              <w:left w:val="double" w:sz="4" w:space="0" w:color="000000"/>
              <w:bottom w:val="nil"/>
            </w:tcBorders>
          </w:tcPr>
          <w:p w14:paraId="7F752215" w14:textId="77777777" w:rsidR="00B3500A" w:rsidRPr="006F4CD1" w:rsidRDefault="00B3500A" w:rsidP="00D62AD1">
            <w:pPr>
              <w:pStyle w:val="TableParagraph"/>
              <w:ind w:left="110" w:right="103"/>
              <w:rPr>
                <w:sz w:val="16"/>
                <w:szCs w:val="16"/>
              </w:rPr>
            </w:pPr>
            <w:r w:rsidRPr="006F4CD1">
              <w:rPr>
                <w:spacing w:val="-4"/>
                <w:sz w:val="16"/>
                <w:szCs w:val="16"/>
              </w:rPr>
              <w:t>0.49</w:t>
            </w:r>
          </w:p>
        </w:tc>
        <w:tc>
          <w:tcPr>
            <w:tcW w:w="668" w:type="pct"/>
            <w:tcBorders>
              <w:top w:val="nil"/>
              <w:bottom w:val="nil"/>
            </w:tcBorders>
          </w:tcPr>
          <w:p w14:paraId="4BA971D2" w14:textId="77777777" w:rsidR="00B3500A" w:rsidRPr="006F4CD1" w:rsidRDefault="00B3500A" w:rsidP="00D62AD1">
            <w:pPr>
              <w:pStyle w:val="TableParagraph"/>
              <w:ind w:left="113" w:right="107"/>
              <w:rPr>
                <w:sz w:val="16"/>
                <w:szCs w:val="16"/>
              </w:rPr>
            </w:pPr>
            <w:r w:rsidRPr="006F4CD1">
              <w:rPr>
                <w:spacing w:val="-4"/>
                <w:sz w:val="16"/>
                <w:szCs w:val="16"/>
              </w:rPr>
              <w:t>0.46</w:t>
            </w:r>
          </w:p>
        </w:tc>
        <w:tc>
          <w:tcPr>
            <w:tcW w:w="668" w:type="pct"/>
            <w:tcBorders>
              <w:top w:val="nil"/>
              <w:bottom w:val="nil"/>
            </w:tcBorders>
          </w:tcPr>
          <w:p w14:paraId="3E80583C" w14:textId="77777777" w:rsidR="00B3500A" w:rsidRPr="006F4CD1" w:rsidRDefault="00B3500A" w:rsidP="00D62AD1">
            <w:pPr>
              <w:pStyle w:val="TableParagraph"/>
              <w:ind w:right="110"/>
              <w:rPr>
                <w:sz w:val="16"/>
                <w:szCs w:val="16"/>
              </w:rPr>
            </w:pPr>
            <w:r w:rsidRPr="006F4CD1">
              <w:rPr>
                <w:spacing w:val="-4"/>
                <w:sz w:val="16"/>
                <w:szCs w:val="16"/>
              </w:rPr>
              <w:t>0.45</w:t>
            </w:r>
          </w:p>
        </w:tc>
        <w:tc>
          <w:tcPr>
            <w:tcW w:w="668" w:type="pct"/>
            <w:tcBorders>
              <w:top w:val="nil"/>
              <w:bottom w:val="nil"/>
            </w:tcBorders>
          </w:tcPr>
          <w:p w14:paraId="5CC5D28F" w14:textId="77777777" w:rsidR="00B3500A" w:rsidRPr="006F4CD1" w:rsidRDefault="00B3500A" w:rsidP="00D62AD1">
            <w:pPr>
              <w:pStyle w:val="TableParagraph"/>
              <w:ind w:left="0" w:right="491"/>
              <w:jc w:val="right"/>
              <w:rPr>
                <w:sz w:val="16"/>
                <w:szCs w:val="16"/>
              </w:rPr>
            </w:pPr>
            <w:r w:rsidRPr="006F4CD1">
              <w:rPr>
                <w:spacing w:val="-4"/>
                <w:sz w:val="16"/>
                <w:szCs w:val="16"/>
              </w:rPr>
              <w:t>0.48</w:t>
            </w:r>
          </w:p>
        </w:tc>
      </w:tr>
      <w:tr w:rsidR="00B3500A" w:rsidRPr="006F4CD1" w14:paraId="2A0DB2CC" w14:textId="77777777" w:rsidTr="00326B3D">
        <w:trPr>
          <w:trHeight w:val="239"/>
        </w:trPr>
        <w:tc>
          <w:tcPr>
            <w:tcW w:w="388" w:type="pct"/>
            <w:tcBorders>
              <w:top w:val="nil"/>
              <w:left w:val="double" w:sz="4" w:space="0" w:color="000000"/>
              <w:bottom w:val="nil"/>
            </w:tcBorders>
          </w:tcPr>
          <w:p w14:paraId="1DC70C98" w14:textId="77777777" w:rsidR="00B3500A" w:rsidRPr="006F4CD1" w:rsidRDefault="00B3500A" w:rsidP="00D62AD1">
            <w:pPr>
              <w:pStyle w:val="TableParagraph"/>
              <w:ind w:left="0" w:right="98"/>
              <w:jc w:val="right"/>
              <w:rPr>
                <w:sz w:val="16"/>
                <w:szCs w:val="16"/>
              </w:rPr>
            </w:pPr>
            <w:r w:rsidRPr="006F4CD1">
              <w:rPr>
                <w:spacing w:val="-4"/>
                <w:sz w:val="16"/>
                <w:szCs w:val="16"/>
              </w:rPr>
              <w:t>1989</w:t>
            </w:r>
          </w:p>
        </w:tc>
        <w:tc>
          <w:tcPr>
            <w:tcW w:w="346" w:type="pct"/>
            <w:tcBorders>
              <w:top w:val="nil"/>
              <w:bottom w:val="nil"/>
            </w:tcBorders>
          </w:tcPr>
          <w:p w14:paraId="783AD9B0" w14:textId="77777777" w:rsidR="00B3500A" w:rsidRPr="006F4CD1" w:rsidRDefault="00B3500A" w:rsidP="00D62AD1">
            <w:pPr>
              <w:pStyle w:val="TableParagraph"/>
              <w:ind w:left="98" w:right="90"/>
              <w:rPr>
                <w:sz w:val="16"/>
                <w:szCs w:val="16"/>
              </w:rPr>
            </w:pPr>
            <w:r w:rsidRPr="006F4CD1">
              <w:rPr>
                <w:spacing w:val="-4"/>
                <w:sz w:val="16"/>
                <w:szCs w:val="16"/>
              </w:rPr>
              <w:t>0.42</w:t>
            </w:r>
          </w:p>
        </w:tc>
        <w:tc>
          <w:tcPr>
            <w:tcW w:w="624" w:type="pct"/>
            <w:tcBorders>
              <w:top w:val="nil"/>
              <w:bottom w:val="nil"/>
            </w:tcBorders>
          </w:tcPr>
          <w:p w14:paraId="04BE372B" w14:textId="77777777" w:rsidR="00B3500A" w:rsidRPr="006F4CD1" w:rsidRDefault="00B3500A" w:rsidP="00D62AD1">
            <w:pPr>
              <w:pStyle w:val="TableParagraph"/>
              <w:ind w:left="114"/>
              <w:rPr>
                <w:sz w:val="16"/>
                <w:szCs w:val="16"/>
              </w:rPr>
            </w:pPr>
            <w:r w:rsidRPr="006F4CD1">
              <w:rPr>
                <w:spacing w:val="-4"/>
                <w:sz w:val="16"/>
                <w:szCs w:val="16"/>
              </w:rPr>
              <w:t>0.38</w:t>
            </w:r>
          </w:p>
        </w:tc>
        <w:tc>
          <w:tcPr>
            <w:tcW w:w="648" w:type="pct"/>
            <w:tcBorders>
              <w:top w:val="nil"/>
              <w:bottom w:val="nil"/>
            </w:tcBorders>
          </w:tcPr>
          <w:p w14:paraId="10571469" w14:textId="77777777" w:rsidR="00B3500A" w:rsidRPr="006F4CD1" w:rsidRDefault="00B3500A" w:rsidP="00D62AD1">
            <w:pPr>
              <w:pStyle w:val="TableParagraph"/>
              <w:ind w:right="108"/>
              <w:rPr>
                <w:sz w:val="16"/>
                <w:szCs w:val="16"/>
              </w:rPr>
            </w:pPr>
            <w:r w:rsidRPr="006F4CD1">
              <w:rPr>
                <w:spacing w:val="-4"/>
                <w:sz w:val="16"/>
                <w:szCs w:val="16"/>
              </w:rPr>
              <w:t>0.36</w:t>
            </w:r>
          </w:p>
        </w:tc>
        <w:tc>
          <w:tcPr>
            <w:tcW w:w="657" w:type="pct"/>
            <w:tcBorders>
              <w:top w:val="nil"/>
              <w:bottom w:val="nil"/>
              <w:right w:val="double" w:sz="4" w:space="0" w:color="000000"/>
            </w:tcBorders>
          </w:tcPr>
          <w:p w14:paraId="77B6C4ED"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0.41</w:t>
            </w:r>
          </w:p>
        </w:tc>
        <w:tc>
          <w:tcPr>
            <w:tcW w:w="334" w:type="pct"/>
            <w:tcBorders>
              <w:top w:val="nil"/>
              <w:left w:val="double" w:sz="4" w:space="0" w:color="000000"/>
              <w:bottom w:val="nil"/>
            </w:tcBorders>
          </w:tcPr>
          <w:p w14:paraId="39ADAE8F" w14:textId="77777777" w:rsidR="00B3500A" w:rsidRPr="006F4CD1" w:rsidRDefault="00B3500A" w:rsidP="00D62AD1">
            <w:pPr>
              <w:pStyle w:val="TableParagraph"/>
              <w:ind w:left="110" w:right="103"/>
              <w:rPr>
                <w:sz w:val="16"/>
                <w:szCs w:val="16"/>
              </w:rPr>
            </w:pPr>
            <w:r w:rsidRPr="006F4CD1">
              <w:rPr>
                <w:spacing w:val="-4"/>
                <w:sz w:val="16"/>
                <w:szCs w:val="16"/>
              </w:rPr>
              <w:t>0.50</w:t>
            </w:r>
          </w:p>
        </w:tc>
        <w:tc>
          <w:tcPr>
            <w:tcW w:w="668" w:type="pct"/>
            <w:tcBorders>
              <w:top w:val="nil"/>
              <w:bottom w:val="nil"/>
            </w:tcBorders>
          </w:tcPr>
          <w:p w14:paraId="570E8488" w14:textId="77777777" w:rsidR="00B3500A" w:rsidRPr="006F4CD1" w:rsidRDefault="00B3500A" w:rsidP="00D62AD1">
            <w:pPr>
              <w:pStyle w:val="TableParagraph"/>
              <w:ind w:left="113" w:right="107"/>
              <w:rPr>
                <w:sz w:val="16"/>
                <w:szCs w:val="16"/>
              </w:rPr>
            </w:pPr>
            <w:r w:rsidRPr="006F4CD1">
              <w:rPr>
                <w:spacing w:val="-4"/>
                <w:sz w:val="16"/>
                <w:szCs w:val="16"/>
              </w:rPr>
              <w:t>0.47</w:t>
            </w:r>
          </w:p>
        </w:tc>
        <w:tc>
          <w:tcPr>
            <w:tcW w:w="668" w:type="pct"/>
            <w:tcBorders>
              <w:top w:val="nil"/>
              <w:bottom w:val="nil"/>
            </w:tcBorders>
          </w:tcPr>
          <w:p w14:paraId="62FF346A" w14:textId="77777777" w:rsidR="00B3500A" w:rsidRPr="006F4CD1" w:rsidRDefault="00B3500A" w:rsidP="00D62AD1">
            <w:pPr>
              <w:pStyle w:val="TableParagraph"/>
              <w:ind w:right="110"/>
              <w:rPr>
                <w:sz w:val="16"/>
                <w:szCs w:val="16"/>
              </w:rPr>
            </w:pPr>
            <w:r w:rsidRPr="006F4CD1">
              <w:rPr>
                <w:spacing w:val="-4"/>
                <w:sz w:val="16"/>
                <w:szCs w:val="16"/>
              </w:rPr>
              <w:t>0.45</w:t>
            </w:r>
          </w:p>
        </w:tc>
        <w:tc>
          <w:tcPr>
            <w:tcW w:w="668" w:type="pct"/>
            <w:tcBorders>
              <w:top w:val="nil"/>
              <w:bottom w:val="nil"/>
            </w:tcBorders>
          </w:tcPr>
          <w:p w14:paraId="738AACA2" w14:textId="77777777" w:rsidR="00B3500A" w:rsidRPr="006F4CD1" w:rsidRDefault="00B3500A" w:rsidP="00D62AD1">
            <w:pPr>
              <w:pStyle w:val="TableParagraph"/>
              <w:ind w:left="0" w:right="491"/>
              <w:jc w:val="right"/>
              <w:rPr>
                <w:sz w:val="16"/>
                <w:szCs w:val="16"/>
              </w:rPr>
            </w:pPr>
            <w:r w:rsidRPr="006F4CD1">
              <w:rPr>
                <w:spacing w:val="-4"/>
                <w:sz w:val="16"/>
                <w:szCs w:val="16"/>
              </w:rPr>
              <w:t>0.49</w:t>
            </w:r>
          </w:p>
        </w:tc>
      </w:tr>
      <w:tr w:rsidR="00B3500A" w:rsidRPr="006F4CD1" w14:paraId="0BEFBC46" w14:textId="77777777" w:rsidTr="00326B3D">
        <w:trPr>
          <w:trHeight w:val="239"/>
        </w:trPr>
        <w:tc>
          <w:tcPr>
            <w:tcW w:w="388" w:type="pct"/>
            <w:tcBorders>
              <w:top w:val="nil"/>
              <w:left w:val="double" w:sz="4" w:space="0" w:color="000000"/>
              <w:bottom w:val="nil"/>
            </w:tcBorders>
          </w:tcPr>
          <w:p w14:paraId="6A90FDF8" w14:textId="77777777" w:rsidR="00B3500A" w:rsidRPr="006F4CD1" w:rsidRDefault="00B3500A" w:rsidP="00D62AD1">
            <w:pPr>
              <w:pStyle w:val="TableParagraph"/>
              <w:ind w:left="0" w:right="98"/>
              <w:jc w:val="right"/>
              <w:rPr>
                <w:sz w:val="16"/>
                <w:szCs w:val="16"/>
              </w:rPr>
            </w:pPr>
            <w:r w:rsidRPr="006F4CD1">
              <w:rPr>
                <w:spacing w:val="-4"/>
                <w:sz w:val="16"/>
                <w:szCs w:val="16"/>
              </w:rPr>
              <w:t>1990</w:t>
            </w:r>
          </w:p>
        </w:tc>
        <w:tc>
          <w:tcPr>
            <w:tcW w:w="346" w:type="pct"/>
            <w:tcBorders>
              <w:top w:val="nil"/>
              <w:bottom w:val="nil"/>
            </w:tcBorders>
          </w:tcPr>
          <w:p w14:paraId="576C0655" w14:textId="77777777" w:rsidR="00B3500A" w:rsidRPr="006F4CD1" w:rsidRDefault="00B3500A" w:rsidP="00D62AD1">
            <w:pPr>
              <w:pStyle w:val="TableParagraph"/>
              <w:ind w:left="98" w:right="90"/>
              <w:rPr>
                <w:sz w:val="16"/>
                <w:szCs w:val="16"/>
              </w:rPr>
            </w:pPr>
            <w:r w:rsidRPr="006F4CD1">
              <w:rPr>
                <w:spacing w:val="-4"/>
                <w:sz w:val="16"/>
                <w:szCs w:val="16"/>
              </w:rPr>
              <w:t>0.42</w:t>
            </w:r>
          </w:p>
        </w:tc>
        <w:tc>
          <w:tcPr>
            <w:tcW w:w="624" w:type="pct"/>
            <w:tcBorders>
              <w:top w:val="nil"/>
              <w:bottom w:val="nil"/>
            </w:tcBorders>
          </w:tcPr>
          <w:p w14:paraId="663BD2A7" w14:textId="77777777" w:rsidR="00B3500A" w:rsidRPr="006F4CD1" w:rsidRDefault="00B3500A" w:rsidP="00D62AD1">
            <w:pPr>
              <w:pStyle w:val="TableParagraph"/>
              <w:ind w:left="114"/>
              <w:rPr>
                <w:sz w:val="16"/>
                <w:szCs w:val="16"/>
              </w:rPr>
            </w:pPr>
            <w:r w:rsidRPr="006F4CD1">
              <w:rPr>
                <w:spacing w:val="-4"/>
                <w:sz w:val="16"/>
                <w:szCs w:val="16"/>
              </w:rPr>
              <w:t>0.38</w:t>
            </w:r>
          </w:p>
        </w:tc>
        <w:tc>
          <w:tcPr>
            <w:tcW w:w="648" w:type="pct"/>
            <w:tcBorders>
              <w:top w:val="nil"/>
              <w:bottom w:val="nil"/>
            </w:tcBorders>
          </w:tcPr>
          <w:p w14:paraId="200D4077" w14:textId="77777777" w:rsidR="00B3500A" w:rsidRPr="006F4CD1" w:rsidRDefault="00B3500A" w:rsidP="00D62AD1">
            <w:pPr>
              <w:pStyle w:val="TableParagraph"/>
              <w:ind w:right="108"/>
              <w:rPr>
                <w:sz w:val="16"/>
                <w:szCs w:val="16"/>
              </w:rPr>
            </w:pPr>
            <w:r w:rsidRPr="006F4CD1">
              <w:rPr>
                <w:spacing w:val="-4"/>
                <w:sz w:val="16"/>
                <w:szCs w:val="16"/>
              </w:rPr>
              <w:t>0.37</w:t>
            </w:r>
          </w:p>
        </w:tc>
        <w:tc>
          <w:tcPr>
            <w:tcW w:w="657" w:type="pct"/>
            <w:tcBorders>
              <w:top w:val="nil"/>
              <w:bottom w:val="nil"/>
              <w:right w:val="double" w:sz="4" w:space="0" w:color="000000"/>
            </w:tcBorders>
          </w:tcPr>
          <w:p w14:paraId="376EC902"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0.41</w:t>
            </w:r>
          </w:p>
        </w:tc>
        <w:tc>
          <w:tcPr>
            <w:tcW w:w="334" w:type="pct"/>
            <w:tcBorders>
              <w:top w:val="nil"/>
              <w:left w:val="double" w:sz="4" w:space="0" w:color="000000"/>
              <w:bottom w:val="nil"/>
            </w:tcBorders>
          </w:tcPr>
          <w:p w14:paraId="302218E9" w14:textId="77777777" w:rsidR="00B3500A" w:rsidRPr="006F4CD1" w:rsidRDefault="00B3500A" w:rsidP="00D62AD1">
            <w:pPr>
              <w:pStyle w:val="TableParagraph"/>
              <w:ind w:left="110" w:right="103"/>
              <w:rPr>
                <w:sz w:val="16"/>
                <w:szCs w:val="16"/>
              </w:rPr>
            </w:pPr>
            <w:r w:rsidRPr="006F4CD1">
              <w:rPr>
                <w:spacing w:val="-4"/>
                <w:sz w:val="16"/>
                <w:szCs w:val="16"/>
              </w:rPr>
              <w:t>0.50</w:t>
            </w:r>
          </w:p>
        </w:tc>
        <w:tc>
          <w:tcPr>
            <w:tcW w:w="668" w:type="pct"/>
            <w:tcBorders>
              <w:top w:val="nil"/>
              <w:bottom w:val="nil"/>
            </w:tcBorders>
          </w:tcPr>
          <w:p w14:paraId="27226B8D" w14:textId="77777777" w:rsidR="00B3500A" w:rsidRPr="006F4CD1" w:rsidRDefault="00B3500A" w:rsidP="00D62AD1">
            <w:pPr>
              <w:pStyle w:val="TableParagraph"/>
              <w:ind w:left="113" w:right="107"/>
              <w:rPr>
                <w:sz w:val="16"/>
                <w:szCs w:val="16"/>
              </w:rPr>
            </w:pPr>
            <w:r w:rsidRPr="006F4CD1">
              <w:rPr>
                <w:spacing w:val="-4"/>
                <w:sz w:val="16"/>
                <w:szCs w:val="16"/>
              </w:rPr>
              <w:t>0.47</w:t>
            </w:r>
          </w:p>
        </w:tc>
        <w:tc>
          <w:tcPr>
            <w:tcW w:w="668" w:type="pct"/>
            <w:tcBorders>
              <w:top w:val="nil"/>
              <w:bottom w:val="nil"/>
            </w:tcBorders>
          </w:tcPr>
          <w:p w14:paraId="6E84CFF2" w14:textId="77777777" w:rsidR="00B3500A" w:rsidRPr="006F4CD1" w:rsidRDefault="00B3500A" w:rsidP="00D62AD1">
            <w:pPr>
              <w:pStyle w:val="TableParagraph"/>
              <w:ind w:right="110"/>
              <w:rPr>
                <w:sz w:val="16"/>
                <w:szCs w:val="16"/>
              </w:rPr>
            </w:pPr>
            <w:r w:rsidRPr="006F4CD1">
              <w:rPr>
                <w:spacing w:val="-4"/>
                <w:sz w:val="16"/>
                <w:szCs w:val="16"/>
              </w:rPr>
              <w:t>0.46</w:t>
            </w:r>
          </w:p>
        </w:tc>
        <w:tc>
          <w:tcPr>
            <w:tcW w:w="668" w:type="pct"/>
            <w:tcBorders>
              <w:top w:val="nil"/>
              <w:bottom w:val="nil"/>
            </w:tcBorders>
          </w:tcPr>
          <w:p w14:paraId="782A5AF1" w14:textId="77777777" w:rsidR="00B3500A" w:rsidRPr="006F4CD1" w:rsidRDefault="00B3500A" w:rsidP="00D62AD1">
            <w:pPr>
              <w:pStyle w:val="TableParagraph"/>
              <w:ind w:left="0" w:right="491"/>
              <w:jc w:val="right"/>
              <w:rPr>
                <w:sz w:val="16"/>
                <w:szCs w:val="16"/>
              </w:rPr>
            </w:pPr>
            <w:r w:rsidRPr="006F4CD1">
              <w:rPr>
                <w:spacing w:val="-4"/>
                <w:sz w:val="16"/>
                <w:szCs w:val="16"/>
              </w:rPr>
              <w:t>0.50</w:t>
            </w:r>
          </w:p>
        </w:tc>
      </w:tr>
      <w:tr w:rsidR="00B3500A" w:rsidRPr="006F4CD1" w14:paraId="09811AF4" w14:textId="77777777" w:rsidTr="00326B3D">
        <w:trPr>
          <w:trHeight w:val="239"/>
        </w:trPr>
        <w:tc>
          <w:tcPr>
            <w:tcW w:w="388" w:type="pct"/>
            <w:tcBorders>
              <w:top w:val="nil"/>
              <w:left w:val="double" w:sz="4" w:space="0" w:color="000000"/>
              <w:bottom w:val="nil"/>
            </w:tcBorders>
          </w:tcPr>
          <w:p w14:paraId="0716927D" w14:textId="77777777" w:rsidR="00B3500A" w:rsidRPr="006F4CD1" w:rsidRDefault="00B3500A" w:rsidP="00D62AD1">
            <w:pPr>
              <w:pStyle w:val="TableParagraph"/>
              <w:ind w:left="0" w:right="98"/>
              <w:jc w:val="right"/>
              <w:rPr>
                <w:sz w:val="16"/>
                <w:szCs w:val="16"/>
              </w:rPr>
            </w:pPr>
            <w:r w:rsidRPr="006F4CD1">
              <w:rPr>
                <w:spacing w:val="-4"/>
                <w:sz w:val="16"/>
                <w:szCs w:val="16"/>
              </w:rPr>
              <w:t>1991</w:t>
            </w:r>
          </w:p>
        </w:tc>
        <w:tc>
          <w:tcPr>
            <w:tcW w:w="346" w:type="pct"/>
            <w:tcBorders>
              <w:top w:val="nil"/>
              <w:bottom w:val="nil"/>
            </w:tcBorders>
          </w:tcPr>
          <w:p w14:paraId="07FE7CB6" w14:textId="77777777" w:rsidR="00B3500A" w:rsidRPr="006F4CD1" w:rsidRDefault="00B3500A" w:rsidP="00D62AD1">
            <w:pPr>
              <w:pStyle w:val="TableParagraph"/>
              <w:ind w:left="98" w:right="90"/>
              <w:rPr>
                <w:sz w:val="16"/>
                <w:szCs w:val="16"/>
              </w:rPr>
            </w:pPr>
            <w:r w:rsidRPr="006F4CD1">
              <w:rPr>
                <w:spacing w:val="-4"/>
                <w:sz w:val="16"/>
                <w:szCs w:val="16"/>
              </w:rPr>
              <w:t>0.45</w:t>
            </w:r>
          </w:p>
        </w:tc>
        <w:tc>
          <w:tcPr>
            <w:tcW w:w="624" w:type="pct"/>
            <w:tcBorders>
              <w:top w:val="nil"/>
              <w:bottom w:val="nil"/>
            </w:tcBorders>
          </w:tcPr>
          <w:p w14:paraId="4903078A" w14:textId="77777777" w:rsidR="00B3500A" w:rsidRPr="006F4CD1" w:rsidRDefault="00B3500A" w:rsidP="00D62AD1">
            <w:pPr>
              <w:pStyle w:val="TableParagraph"/>
              <w:ind w:left="114"/>
              <w:rPr>
                <w:sz w:val="16"/>
                <w:szCs w:val="16"/>
              </w:rPr>
            </w:pPr>
            <w:r w:rsidRPr="006F4CD1">
              <w:rPr>
                <w:spacing w:val="-4"/>
                <w:sz w:val="16"/>
                <w:szCs w:val="16"/>
              </w:rPr>
              <w:t>0.41</w:t>
            </w:r>
          </w:p>
        </w:tc>
        <w:tc>
          <w:tcPr>
            <w:tcW w:w="648" w:type="pct"/>
            <w:tcBorders>
              <w:top w:val="nil"/>
              <w:bottom w:val="nil"/>
            </w:tcBorders>
          </w:tcPr>
          <w:p w14:paraId="14452688" w14:textId="77777777" w:rsidR="00B3500A" w:rsidRPr="006F4CD1" w:rsidRDefault="00B3500A" w:rsidP="00D62AD1">
            <w:pPr>
              <w:pStyle w:val="TableParagraph"/>
              <w:ind w:right="108"/>
              <w:rPr>
                <w:sz w:val="16"/>
                <w:szCs w:val="16"/>
              </w:rPr>
            </w:pPr>
            <w:r w:rsidRPr="006F4CD1">
              <w:rPr>
                <w:spacing w:val="-4"/>
                <w:sz w:val="16"/>
                <w:szCs w:val="16"/>
              </w:rPr>
              <w:t>0.39</w:t>
            </w:r>
          </w:p>
        </w:tc>
        <w:tc>
          <w:tcPr>
            <w:tcW w:w="657" w:type="pct"/>
            <w:tcBorders>
              <w:top w:val="nil"/>
              <w:bottom w:val="nil"/>
              <w:right w:val="double" w:sz="4" w:space="0" w:color="000000"/>
            </w:tcBorders>
          </w:tcPr>
          <w:p w14:paraId="3BE3EA60"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0.44</w:t>
            </w:r>
          </w:p>
        </w:tc>
        <w:tc>
          <w:tcPr>
            <w:tcW w:w="334" w:type="pct"/>
            <w:tcBorders>
              <w:top w:val="nil"/>
              <w:left w:val="double" w:sz="4" w:space="0" w:color="000000"/>
              <w:bottom w:val="nil"/>
            </w:tcBorders>
          </w:tcPr>
          <w:p w14:paraId="31A33CD8" w14:textId="77777777" w:rsidR="00B3500A" w:rsidRPr="006F4CD1" w:rsidRDefault="00B3500A" w:rsidP="00D62AD1">
            <w:pPr>
              <w:pStyle w:val="TableParagraph"/>
              <w:ind w:left="110" w:right="103"/>
              <w:rPr>
                <w:sz w:val="16"/>
                <w:szCs w:val="16"/>
              </w:rPr>
            </w:pPr>
            <w:r w:rsidRPr="006F4CD1">
              <w:rPr>
                <w:spacing w:val="-4"/>
                <w:sz w:val="16"/>
                <w:szCs w:val="16"/>
              </w:rPr>
              <w:t>0.53</w:t>
            </w:r>
          </w:p>
        </w:tc>
        <w:tc>
          <w:tcPr>
            <w:tcW w:w="668" w:type="pct"/>
            <w:tcBorders>
              <w:top w:val="nil"/>
              <w:bottom w:val="nil"/>
            </w:tcBorders>
          </w:tcPr>
          <w:p w14:paraId="5E61E762" w14:textId="77777777" w:rsidR="00B3500A" w:rsidRPr="006F4CD1" w:rsidRDefault="00B3500A" w:rsidP="00D62AD1">
            <w:pPr>
              <w:pStyle w:val="TableParagraph"/>
              <w:ind w:left="113" w:right="107"/>
              <w:rPr>
                <w:sz w:val="16"/>
                <w:szCs w:val="16"/>
              </w:rPr>
            </w:pPr>
            <w:r w:rsidRPr="006F4CD1">
              <w:rPr>
                <w:spacing w:val="-4"/>
                <w:sz w:val="16"/>
                <w:szCs w:val="16"/>
              </w:rPr>
              <w:t>0.50</w:t>
            </w:r>
          </w:p>
        </w:tc>
        <w:tc>
          <w:tcPr>
            <w:tcW w:w="668" w:type="pct"/>
            <w:tcBorders>
              <w:top w:val="nil"/>
              <w:bottom w:val="nil"/>
            </w:tcBorders>
          </w:tcPr>
          <w:p w14:paraId="6CF68E4A" w14:textId="77777777" w:rsidR="00B3500A" w:rsidRPr="006F4CD1" w:rsidRDefault="00B3500A" w:rsidP="00D62AD1">
            <w:pPr>
              <w:pStyle w:val="TableParagraph"/>
              <w:ind w:right="110"/>
              <w:rPr>
                <w:sz w:val="16"/>
                <w:szCs w:val="16"/>
              </w:rPr>
            </w:pPr>
            <w:r w:rsidRPr="006F4CD1">
              <w:rPr>
                <w:spacing w:val="-4"/>
                <w:sz w:val="16"/>
                <w:szCs w:val="16"/>
              </w:rPr>
              <w:t>0.48</w:t>
            </w:r>
          </w:p>
        </w:tc>
        <w:tc>
          <w:tcPr>
            <w:tcW w:w="668" w:type="pct"/>
            <w:tcBorders>
              <w:top w:val="nil"/>
              <w:bottom w:val="nil"/>
            </w:tcBorders>
          </w:tcPr>
          <w:p w14:paraId="49BD981B" w14:textId="77777777" w:rsidR="00B3500A" w:rsidRPr="006F4CD1" w:rsidRDefault="00B3500A" w:rsidP="00D62AD1">
            <w:pPr>
              <w:pStyle w:val="TableParagraph"/>
              <w:ind w:left="0" w:right="491"/>
              <w:jc w:val="right"/>
              <w:rPr>
                <w:sz w:val="16"/>
                <w:szCs w:val="16"/>
              </w:rPr>
            </w:pPr>
            <w:r w:rsidRPr="006F4CD1">
              <w:rPr>
                <w:spacing w:val="-4"/>
                <w:sz w:val="16"/>
                <w:szCs w:val="16"/>
              </w:rPr>
              <w:t>0.52</w:t>
            </w:r>
          </w:p>
        </w:tc>
      </w:tr>
      <w:tr w:rsidR="00B3500A" w:rsidRPr="006F4CD1" w14:paraId="20563071" w14:textId="77777777" w:rsidTr="00326B3D">
        <w:trPr>
          <w:trHeight w:val="239"/>
        </w:trPr>
        <w:tc>
          <w:tcPr>
            <w:tcW w:w="388" w:type="pct"/>
            <w:tcBorders>
              <w:top w:val="nil"/>
              <w:left w:val="double" w:sz="4" w:space="0" w:color="000000"/>
              <w:bottom w:val="nil"/>
            </w:tcBorders>
          </w:tcPr>
          <w:p w14:paraId="38F3BFA2" w14:textId="77777777" w:rsidR="00B3500A" w:rsidRPr="006F4CD1" w:rsidRDefault="00B3500A" w:rsidP="00D62AD1">
            <w:pPr>
              <w:pStyle w:val="TableParagraph"/>
              <w:ind w:left="0" w:right="98"/>
              <w:jc w:val="right"/>
              <w:rPr>
                <w:sz w:val="16"/>
                <w:szCs w:val="16"/>
              </w:rPr>
            </w:pPr>
            <w:r w:rsidRPr="006F4CD1">
              <w:rPr>
                <w:spacing w:val="-4"/>
                <w:sz w:val="16"/>
                <w:szCs w:val="16"/>
              </w:rPr>
              <w:t>1992</w:t>
            </w:r>
          </w:p>
        </w:tc>
        <w:tc>
          <w:tcPr>
            <w:tcW w:w="346" w:type="pct"/>
            <w:tcBorders>
              <w:top w:val="nil"/>
              <w:bottom w:val="nil"/>
            </w:tcBorders>
          </w:tcPr>
          <w:p w14:paraId="7A0B7E25" w14:textId="77777777" w:rsidR="00B3500A" w:rsidRPr="006F4CD1" w:rsidRDefault="00B3500A" w:rsidP="00D62AD1">
            <w:pPr>
              <w:pStyle w:val="TableParagraph"/>
              <w:ind w:left="98" w:right="90"/>
              <w:rPr>
                <w:sz w:val="16"/>
                <w:szCs w:val="16"/>
              </w:rPr>
            </w:pPr>
            <w:r w:rsidRPr="006F4CD1">
              <w:rPr>
                <w:spacing w:val="-4"/>
                <w:sz w:val="16"/>
                <w:szCs w:val="16"/>
              </w:rPr>
              <w:t>0.47</w:t>
            </w:r>
          </w:p>
        </w:tc>
        <w:tc>
          <w:tcPr>
            <w:tcW w:w="624" w:type="pct"/>
            <w:tcBorders>
              <w:top w:val="nil"/>
              <w:bottom w:val="nil"/>
            </w:tcBorders>
          </w:tcPr>
          <w:p w14:paraId="25F3388B" w14:textId="77777777" w:rsidR="00B3500A" w:rsidRPr="006F4CD1" w:rsidRDefault="00B3500A" w:rsidP="00D62AD1">
            <w:pPr>
              <w:pStyle w:val="TableParagraph"/>
              <w:ind w:left="114"/>
              <w:rPr>
                <w:sz w:val="16"/>
                <w:szCs w:val="16"/>
              </w:rPr>
            </w:pPr>
            <w:r w:rsidRPr="006F4CD1">
              <w:rPr>
                <w:spacing w:val="-4"/>
                <w:sz w:val="16"/>
                <w:szCs w:val="16"/>
              </w:rPr>
              <w:t>0.44</w:t>
            </w:r>
          </w:p>
        </w:tc>
        <w:tc>
          <w:tcPr>
            <w:tcW w:w="648" w:type="pct"/>
            <w:tcBorders>
              <w:top w:val="nil"/>
              <w:bottom w:val="nil"/>
            </w:tcBorders>
          </w:tcPr>
          <w:p w14:paraId="7ECD03EF" w14:textId="77777777" w:rsidR="00B3500A" w:rsidRPr="006F4CD1" w:rsidRDefault="00B3500A" w:rsidP="00D62AD1">
            <w:pPr>
              <w:pStyle w:val="TableParagraph"/>
              <w:ind w:right="108"/>
              <w:rPr>
                <w:sz w:val="16"/>
                <w:szCs w:val="16"/>
              </w:rPr>
            </w:pPr>
            <w:r w:rsidRPr="006F4CD1">
              <w:rPr>
                <w:spacing w:val="-4"/>
                <w:sz w:val="16"/>
                <w:szCs w:val="16"/>
              </w:rPr>
              <w:t>0.41</w:t>
            </w:r>
          </w:p>
        </w:tc>
        <w:tc>
          <w:tcPr>
            <w:tcW w:w="657" w:type="pct"/>
            <w:tcBorders>
              <w:top w:val="nil"/>
              <w:bottom w:val="nil"/>
              <w:right w:val="double" w:sz="4" w:space="0" w:color="000000"/>
            </w:tcBorders>
          </w:tcPr>
          <w:p w14:paraId="1A1CE70E"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0.47</w:t>
            </w:r>
          </w:p>
        </w:tc>
        <w:tc>
          <w:tcPr>
            <w:tcW w:w="334" w:type="pct"/>
            <w:tcBorders>
              <w:top w:val="nil"/>
              <w:left w:val="double" w:sz="4" w:space="0" w:color="000000"/>
              <w:bottom w:val="nil"/>
            </w:tcBorders>
          </w:tcPr>
          <w:p w14:paraId="61D8C80B" w14:textId="77777777" w:rsidR="00B3500A" w:rsidRPr="006F4CD1" w:rsidRDefault="00B3500A" w:rsidP="00D62AD1">
            <w:pPr>
              <w:pStyle w:val="TableParagraph"/>
              <w:ind w:left="110" w:right="103"/>
              <w:rPr>
                <w:sz w:val="16"/>
                <w:szCs w:val="16"/>
              </w:rPr>
            </w:pPr>
            <w:r w:rsidRPr="006F4CD1">
              <w:rPr>
                <w:spacing w:val="-4"/>
                <w:sz w:val="16"/>
                <w:szCs w:val="16"/>
              </w:rPr>
              <w:t>0.56</w:t>
            </w:r>
          </w:p>
        </w:tc>
        <w:tc>
          <w:tcPr>
            <w:tcW w:w="668" w:type="pct"/>
            <w:tcBorders>
              <w:top w:val="nil"/>
              <w:bottom w:val="nil"/>
            </w:tcBorders>
          </w:tcPr>
          <w:p w14:paraId="547F4488" w14:textId="77777777" w:rsidR="00B3500A" w:rsidRPr="006F4CD1" w:rsidRDefault="00B3500A" w:rsidP="00D62AD1">
            <w:pPr>
              <w:pStyle w:val="TableParagraph"/>
              <w:ind w:left="113" w:right="107"/>
              <w:rPr>
                <w:sz w:val="16"/>
                <w:szCs w:val="16"/>
              </w:rPr>
            </w:pPr>
            <w:r w:rsidRPr="006F4CD1">
              <w:rPr>
                <w:spacing w:val="-4"/>
                <w:sz w:val="16"/>
                <w:szCs w:val="16"/>
              </w:rPr>
              <w:t>0.52</w:t>
            </w:r>
          </w:p>
        </w:tc>
        <w:tc>
          <w:tcPr>
            <w:tcW w:w="668" w:type="pct"/>
            <w:tcBorders>
              <w:top w:val="nil"/>
              <w:bottom w:val="nil"/>
            </w:tcBorders>
          </w:tcPr>
          <w:p w14:paraId="3174FCE2" w14:textId="77777777" w:rsidR="00B3500A" w:rsidRPr="006F4CD1" w:rsidRDefault="00B3500A" w:rsidP="00D62AD1">
            <w:pPr>
              <w:pStyle w:val="TableParagraph"/>
              <w:ind w:right="110"/>
              <w:rPr>
                <w:sz w:val="16"/>
                <w:szCs w:val="16"/>
              </w:rPr>
            </w:pPr>
            <w:r w:rsidRPr="006F4CD1">
              <w:rPr>
                <w:spacing w:val="-4"/>
                <w:sz w:val="16"/>
                <w:szCs w:val="16"/>
              </w:rPr>
              <w:t>0.50</w:t>
            </w:r>
          </w:p>
        </w:tc>
        <w:tc>
          <w:tcPr>
            <w:tcW w:w="668" w:type="pct"/>
            <w:tcBorders>
              <w:top w:val="nil"/>
              <w:bottom w:val="nil"/>
            </w:tcBorders>
          </w:tcPr>
          <w:p w14:paraId="70163E05" w14:textId="77777777" w:rsidR="00B3500A" w:rsidRPr="006F4CD1" w:rsidRDefault="00B3500A" w:rsidP="00D62AD1">
            <w:pPr>
              <w:pStyle w:val="TableParagraph"/>
              <w:ind w:left="0" w:right="491"/>
              <w:jc w:val="right"/>
              <w:rPr>
                <w:sz w:val="16"/>
                <w:szCs w:val="16"/>
              </w:rPr>
            </w:pPr>
            <w:r w:rsidRPr="006F4CD1">
              <w:rPr>
                <w:spacing w:val="-4"/>
                <w:sz w:val="16"/>
                <w:szCs w:val="16"/>
              </w:rPr>
              <w:t>0.55</w:t>
            </w:r>
          </w:p>
        </w:tc>
      </w:tr>
      <w:tr w:rsidR="00B3500A" w:rsidRPr="006F4CD1" w14:paraId="348C6C98" w14:textId="77777777" w:rsidTr="00326B3D">
        <w:trPr>
          <w:trHeight w:val="239"/>
        </w:trPr>
        <w:tc>
          <w:tcPr>
            <w:tcW w:w="388" w:type="pct"/>
            <w:tcBorders>
              <w:top w:val="nil"/>
              <w:left w:val="double" w:sz="4" w:space="0" w:color="000000"/>
              <w:bottom w:val="nil"/>
            </w:tcBorders>
          </w:tcPr>
          <w:p w14:paraId="258D24D0" w14:textId="77777777" w:rsidR="00B3500A" w:rsidRPr="006F4CD1" w:rsidRDefault="00B3500A" w:rsidP="00D62AD1">
            <w:pPr>
              <w:pStyle w:val="TableParagraph"/>
              <w:ind w:left="0" w:right="98"/>
              <w:jc w:val="right"/>
              <w:rPr>
                <w:sz w:val="16"/>
                <w:szCs w:val="16"/>
              </w:rPr>
            </w:pPr>
            <w:r w:rsidRPr="006F4CD1">
              <w:rPr>
                <w:spacing w:val="-4"/>
                <w:sz w:val="16"/>
                <w:szCs w:val="16"/>
              </w:rPr>
              <w:t>1993</w:t>
            </w:r>
          </w:p>
        </w:tc>
        <w:tc>
          <w:tcPr>
            <w:tcW w:w="346" w:type="pct"/>
            <w:tcBorders>
              <w:top w:val="nil"/>
              <w:bottom w:val="nil"/>
            </w:tcBorders>
          </w:tcPr>
          <w:p w14:paraId="32C9F729" w14:textId="77777777" w:rsidR="00B3500A" w:rsidRPr="006F4CD1" w:rsidRDefault="00B3500A" w:rsidP="00D62AD1">
            <w:pPr>
              <w:pStyle w:val="TableParagraph"/>
              <w:ind w:left="98" w:right="90"/>
              <w:rPr>
                <w:sz w:val="16"/>
                <w:szCs w:val="16"/>
              </w:rPr>
            </w:pPr>
            <w:r w:rsidRPr="006F4CD1">
              <w:rPr>
                <w:spacing w:val="-4"/>
                <w:sz w:val="16"/>
                <w:szCs w:val="16"/>
              </w:rPr>
              <w:t>0.50</w:t>
            </w:r>
          </w:p>
        </w:tc>
        <w:tc>
          <w:tcPr>
            <w:tcW w:w="624" w:type="pct"/>
            <w:tcBorders>
              <w:top w:val="nil"/>
              <w:bottom w:val="nil"/>
            </w:tcBorders>
          </w:tcPr>
          <w:p w14:paraId="091BB132" w14:textId="77777777" w:rsidR="00B3500A" w:rsidRPr="006F4CD1" w:rsidRDefault="00B3500A" w:rsidP="00D62AD1">
            <w:pPr>
              <w:pStyle w:val="TableParagraph"/>
              <w:ind w:left="114"/>
              <w:rPr>
                <w:sz w:val="16"/>
                <w:szCs w:val="16"/>
              </w:rPr>
            </w:pPr>
            <w:r w:rsidRPr="006F4CD1">
              <w:rPr>
                <w:spacing w:val="-4"/>
                <w:sz w:val="16"/>
                <w:szCs w:val="16"/>
              </w:rPr>
              <w:t>0.46</w:t>
            </w:r>
          </w:p>
        </w:tc>
        <w:tc>
          <w:tcPr>
            <w:tcW w:w="648" w:type="pct"/>
            <w:tcBorders>
              <w:top w:val="nil"/>
              <w:bottom w:val="nil"/>
            </w:tcBorders>
          </w:tcPr>
          <w:p w14:paraId="066981B7" w14:textId="77777777" w:rsidR="00B3500A" w:rsidRPr="006F4CD1" w:rsidRDefault="00B3500A" w:rsidP="00D62AD1">
            <w:pPr>
              <w:pStyle w:val="TableParagraph"/>
              <w:ind w:right="108"/>
              <w:rPr>
                <w:sz w:val="16"/>
                <w:szCs w:val="16"/>
              </w:rPr>
            </w:pPr>
            <w:r w:rsidRPr="006F4CD1">
              <w:rPr>
                <w:spacing w:val="-4"/>
                <w:sz w:val="16"/>
                <w:szCs w:val="16"/>
              </w:rPr>
              <w:t>0.44</w:t>
            </w:r>
          </w:p>
        </w:tc>
        <w:tc>
          <w:tcPr>
            <w:tcW w:w="657" w:type="pct"/>
            <w:tcBorders>
              <w:top w:val="nil"/>
              <w:bottom w:val="nil"/>
              <w:right w:val="double" w:sz="4" w:space="0" w:color="000000"/>
            </w:tcBorders>
          </w:tcPr>
          <w:p w14:paraId="18A205F3"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0.49</w:t>
            </w:r>
          </w:p>
        </w:tc>
        <w:tc>
          <w:tcPr>
            <w:tcW w:w="334" w:type="pct"/>
            <w:tcBorders>
              <w:top w:val="nil"/>
              <w:left w:val="double" w:sz="4" w:space="0" w:color="000000"/>
              <w:bottom w:val="nil"/>
            </w:tcBorders>
          </w:tcPr>
          <w:p w14:paraId="1ACB0529" w14:textId="77777777" w:rsidR="00B3500A" w:rsidRPr="006F4CD1" w:rsidRDefault="00B3500A" w:rsidP="00D62AD1">
            <w:pPr>
              <w:pStyle w:val="TableParagraph"/>
              <w:ind w:left="110" w:right="103"/>
              <w:rPr>
                <w:sz w:val="16"/>
                <w:szCs w:val="16"/>
              </w:rPr>
            </w:pPr>
            <w:r w:rsidRPr="006F4CD1">
              <w:rPr>
                <w:spacing w:val="-4"/>
                <w:sz w:val="16"/>
                <w:szCs w:val="16"/>
              </w:rPr>
              <w:t>0.59</w:t>
            </w:r>
          </w:p>
        </w:tc>
        <w:tc>
          <w:tcPr>
            <w:tcW w:w="668" w:type="pct"/>
            <w:tcBorders>
              <w:top w:val="nil"/>
              <w:bottom w:val="nil"/>
            </w:tcBorders>
          </w:tcPr>
          <w:p w14:paraId="7991AD1D" w14:textId="77777777" w:rsidR="00B3500A" w:rsidRPr="006F4CD1" w:rsidRDefault="00B3500A" w:rsidP="00D62AD1">
            <w:pPr>
              <w:pStyle w:val="TableParagraph"/>
              <w:ind w:left="113" w:right="107"/>
              <w:rPr>
                <w:sz w:val="16"/>
                <w:szCs w:val="16"/>
              </w:rPr>
            </w:pPr>
            <w:r w:rsidRPr="006F4CD1">
              <w:rPr>
                <w:spacing w:val="-4"/>
                <w:sz w:val="16"/>
                <w:szCs w:val="16"/>
              </w:rPr>
              <w:t>0.55</w:t>
            </w:r>
          </w:p>
        </w:tc>
        <w:tc>
          <w:tcPr>
            <w:tcW w:w="668" w:type="pct"/>
            <w:tcBorders>
              <w:top w:val="nil"/>
              <w:bottom w:val="nil"/>
            </w:tcBorders>
          </w:tcPr>
          <w:p w14:paraId="64AB2CB7" w14:textId="77777777" w:rsidR="00B3500A" w:rsidRPr="006F4CD1" w:rsidRDefault="00B3500A" w:rsidP="00D62AD1">
            <w:pPr>
              <w:pStyle w:val="TableParagraph"/>
              <w:ind w:right="110"/>
              <w:rPr>
                <w:sz w:val="16"/>
                <w:szCs w:val="16"/>
              </w:rPr>
            </w:pPr>
            <w:r w:rsidRPr="006F4CD1">
              <w:rPr>
                <w:spacing w:val="-4"/>
                <w:sz w:val="16"/>
                <w:szCs w:val="16"/>
              </w:rPr>
              <w:t>0.53</w:t>
            </w:r>
          </w:p>
        </w:tc>
        <w:tc>
          <w:tcPr>
            <w:tcW w:w="668" w:type="pct"/>
            <w:tcBorders>
              <w:top w:val="nil"/>
              <w:bottom w:val="nil"/>
            </w:tcBorders>
          </w:tcPr>
          <w:p w14:paraId="15DF5A00" w14:textId="77777777" w:rsidR="00B3500A" w:rsidRPr="006F4CD1" w:rsidRDefault="00B3500A" w:rsidP="00D62AD1">
            <w:pPr>
              <w:pStyle w:val="TableParagraph"/>
              <w:ind w:left="0" w:right="491"/>
              <w:jc w:val="right"/>
              <w:rPr>
                <w:sz w:val="16"/>
                <w:szCs w:val="16"/>
              </w:rPr>
            </w:pPr>
            <w:r w:rsidRPr="006F4CD1">
              <w:rPr>
                <w:spacing w:val="-4"/>
                <w:sz w:val="16"/>
                <w:szCs w:val="16"/>
              </w:rPr>
              <w:t>0.58</w:t>
            </w:r>
          </w:p>
        </w:tc>
      </w:tr>
      <w:tr w:rsidR="00B3500A" w:rsidRPr="006F4CD1" w14:paraId="1F50295A" w14:textId="77777777" w:rsidTr="00326B3D">
        <w:trPr>
          <w:trHeight w:val="239"/>
        </w:trPr>
        <w:tc>
          <w:tcPr>
            <w:tcW w:w="388" w:type="pct"/>
            <w:tcBorders>
              <w:top w:val="nil"/>
              <w:left w:val="double" w:sz="4" w:space="0" w:color="000000"/>
              <w:bottom w:val="nil"/>
            </w:tcBorders>
          </w:tcPr>
          <w:p w14:paraId="0A2EDEB6" w14:textId="77777777" w:rsidR="00B3500A" w:rsidRPr="006F4CD1" w:rsidRDefault="00B3500A" w:rsidP="00D62AD1">
            <w:pPr>
              <w:pStyle w:val="TableParagraph"/>
              <w:ind w:left="0" w:right="98"/>
              <w:jc w:val="right"/>
              <w:rPr>
                <w:sz w:val="16"/>
                <w:szCs w:val="16"/>
              </w:rPr>
            </w:pPr>
            <w:r w:rsidRPr="006F4CD1">
              <w:rPr>
                <w:spacing w:val="-4"/>
                <w:sz w:val="16"/>
                <w:szCs w:val="16"/>
              </w:rPr>
              <w:t>1994</w:t>
            </w:r>
          </w:p>
        </w:tc>
        <w:tc>
          <w:tcPr>
            <w:tcW w:w="346" w:type="pct"/>
            <w:tcBorders>
              <w:top w:val="nil"/>
              <w:bottom w:val="nil"/>
            </w:tcBorders>
          </w:tcPr>
          <w:p w14:paraId="43229747" w14:textId="77777777" w:rsidR="00B3500A" w:rsidRPr="006F4CD1" w:rsidRDefault="00B3500A" w:rsidP="00D62AD1">
            <w:pPr>
              <w:pStyle w:val="TableParagraph"/>
              <w:ind w:left="98" w:right="90"/>
              <w:rPr>
                <w:sz w:val="16"/>
                <w:szCs w:val="16"/>
              </w:rPr>
            </w:pPr>
            <w:r w:rsidRPr="006F4CD1">
              <w:rPr>
                <w:spacing w:val="-4"/>
                <w:sz w:val="16"/>
                <w:szCs w:val="16"/>
              </w:rPr>
              <w:t>0.49</w:t>
            </w:r>
          </w:p>
        </w:tc>
        <w:tc>
          <w:tcPr>
            <w:tcW w:w="624" w:type="pct"/>
            <w:tcBorders>
              <w:top w:val="nil"/>
              <w:bottom w:val="nil"/>
            </w:tcBorders>
          </w:tcPr>
          <w:p w14:paraId="21124A3F" w14:textId="77777777" w:rsidR="00B3500A" w:rsidRPr="006F4CD1" w:rsidRDefault="00B3500A" w:rsidP="00D62AD1">
            <w:pPr>
              <w:pStyle w:val="TableParagraph"/>
              <w:ind w:left="114"/>
              <w:rPr>
                <w:sz w:val="16"/>
                <w:szCs w:val="16"/>
              </w:rPr>
            </w:pPr>
            <w:r w:rsidRPr="006F4CD1">
              <w:rPr>
                <w:spacing w:val="-4"/>
                <w:sz w:val="16"/>
                <w:szCs w:val="16"/>
              </w:rPr>
              <w:t>0.46</w:t>
            </w:r>
          </w:p>
        </w:tc>
        <w:tc>
          <w:tcPr>
            <w:tcW w:w="648" w:type="pct"/>
            <w:tcBorders>
              <w:top w:val="nil"/>
              <w:bottom w:val="nil"/>
            </w:tcBorders>
          </w:tcPr>
          <w:p w14:paraId="55B7295A" w14:textId="77777777" w:rsidR="00B3500A" w:rsidRPr="006F4CD1" w:rsidRDefault="00B3500A" w:rsidP="00D62AD1">
            <w:pPr>
              <w:pStyle w:val="TableParagraph"/>
              <w:ind w:right="108"/>
              <w:rPr>
                <w:sz w:val="16"/>
                <w:szCs w:val="16"/>
              </w:rPr>
            </w:pPr>
            <w:r w:rsidRPr="006F4CD1">
              <w:rPr>
                <w:spacing w:val="-4"/>
                <w:sz w:val="16"/>
                <w:szCs w:val="16"/>
              </w:rPr>
              <w:t>0.44</w:t>
            </w:r>
          </w:p>
        </w:tc>
        <w:tc>
          <w:tcPr>
            <w:tcW w:w="657" w:type="pct"/>
            <w:tcBorders>
              <w:top w:val="nil"/>
              <w:bottom w:val="nil"/>
              <w:right w:val="double" w:sz="4" w:space="0" w:color="000000"/>
            </w:tcBorders>
          </w:tcPr>
          <w:p w14:paraId="6EBA530F"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0.49</w:t>
            </w:r>
          </w:p>
        </w:tc>
        <w:tc>
          <w:tcPr>
            <w:tcW w:w="334" w:type="pct"/>
            <w:tcBorders>
              <w:top w:val="nil"/>
              <w:left w:val="double" w:sz="4" w:space="0" w:color="000000"/>
              <w:bottom w:val="nil"/>
            </w:tcBorders>
          </w:tcPr>
          <w:p w14:paraId="7D115FD4" w14:textId="77777777" w:rsidR="00B3500A" w:rsidRPr="006F4CD1" w:rsidRDefault="00B3500A" w:rsidP="00D62AD1">
            <w:pPr>
              <w:pStyle w:val="TableParagraph"/>
              <w:ind w:left="110" w:right="103"/>
              <w:rPr>
                <w:sz w:val="16"/>
                <w:szCs w:val="16"/>
              </w:rPr>
            </w:pPr>
            <w:r w:rsidRPr="006F4CD1">
              <w:rPr>
                <w:spacing w:val="-4"/>
                <w:sz w:val="16"/>
                <w:szCs w:val="16"/>
              </w:rPr>
              <w:t>0.59</w:t>
            </w:r>
          </w:p>
        </w:tc>
        <w:tc>
          <w:tcPr>
            <w:tcW w:w="668" w:type="pct"/>
            <w:tcBorders>
              <w:top w:val="nil"/>
              <w:bottom w:val="nil"/>
            </w:tcBorders>
          </w:tcPr>
          <w:p w14:paraId="1E96521C" w14:textId="77777777" w:rsidR="00B3500A" w:rsidRPr="006F4CD1" w:rsidRDefault="00B3500A" w:rsidP="00D62AD1">
            <w:pPr>
              <w:pStyle w:val="TableParagraph"/>
              <w:ind w:left="113" w:right="107"/>
              <w:rPr>
                <w:sz w:val="16"/>
                <w:szCs w:val="16"/>
              </w:rPr>
            </w:pPr>
            <w:r w:rsidRPr="006F4CD1">
              <w:rPr>
                <w:spacing w:val="-4"/>
                <w:sz w:val="16"/>
                <w:szCs w:val="16"/>
              </w:rPr>
              <w:t>0.55</w:t>
            </w:r>
          </w:p>
        </w:tc>
        <w:tc>
          <w:tcPr>
            <w:tcW w:w="668" w:type="pct"/>
            <w:tcBorders>
              <w:top w:val="nil"/>
              <w:bottom w:val="nil"/>
            </w:tcBorders>
          </w:tcPr>
          <w:p w14:paraId="07D8CD06" w14:textId="77777777" w:rsidR="00B3500A" w:rsidRPr="006F4CD1" w:rsidRDefault="00B3500A" w:rsidP="00D62AD1">
            <w:pPr>
              <w:pStyle w:val="TableParagraph"/>
              <w:ind w:right="110"/>
              <w:rPr>
                <w:sz w:val="16"/>
                <w:szCs w:val="16"/>
              </w:rPr>
            </w:pPr>
            <w:r w:rsidRPr="006F4CD1">
              <w:rPr>
                <w:spacing w:val="-4"/>
                <w:sz w:val="16"/>
                <w:szCs w:val="16"/>
              </w:rPr>
              <w:t>0.53</w:t>
            </w:r>
          </w:p>
        </w:tc>
        <w:tc>
          <w:tcPr>
            <w:tcW w:w="668" w:type="pct"/>
            <w:tcBorders>
              <w:top w:val="nil"/>
              <w:bottom w:val="nil"/>
            </w:tcBorders>
          </w:tcPr>
          <w:p w14:paraId="233E1248" w14:textId="77777777" w:rsidR="00B3500A" w:rsidRPr="006F4CD1" w:rsidRDefault="00B3500A" w:rsidP="00D62AD1">
            <w:pPr>
              <w:pStyle w:val="TableParagraph"/>
              <w:ind w:left="0" w:right="491"/>
              <w:jc w:val="right"/>
              <w:rPr>
                <w:sz w:val="16"/>
                <w:szCs w:val="16"/>
              </w:rPr>
            </w:pPr>
            <w:r w:rsidRPr="006F4CD1">
              <w:rPr>
                <w:spacing w:val="-4"/>
                <w:sz w:val="16"/>
                <w:szCs w:val="16"/>
              </w:rPr>
              <w:t>0.58</w:t>
            </w:r>
          </w:p>
        </w:tc>
      </w:tr>
      <w:tr w:rsidR="00B3500A" w:rsidRPr="006F4CD1" w14:paraId="6A27A70B" w14:textId="77777777" w:rsidTr="00326B3D">
        <w:trPr>
          <w:trHeight w:val="239"/>
        </w:trPr>
        <w:tc>
          <w:tcPr>
            <w:tcW w:w="388" w:type="pct"/>
            <w:tcBorders>
              <w:top w:val="nil"/>
              <w:left w:val="double" w:sz="4" w:space="0" w:color="000000"/>
              <w:bottom w:val="nil"/>
            </w:tcBorders>
          </w:tcPr>
          <w:p w14:paraId="614F2953" w14:textId="77777777" w:rsidR="00B3500A" w:rsidRPr="006F4CD1" w:rsidRDefault="00B3500A" w:rsidP="00D62AD1">
            <w:pPr>
              <w:pStyle w:val="TableParagraph"/>
              <w:ind w:left="0" w:right="98"/>
              <w:jc w:val="right"/>
              <w:rPr>
                <w:sz w:val="16"/>
                <w:szCs w:val="16"/>
              </w:rPr>
            </w:pPr>
            <w:r w:rsidRPr="006F4CD1">
              <w:rPr>
                <w:spacing w:val="-4"/>
                <w:sz w:val="16"/>
                <w:szCs w:val="16"/>
              </w:rPr>
              <w:t>1995</w:t>
            </w:r>
          </w:p>
        </w:tc>
        <w:tc>
          <w:tcPr>
            <w:tcW w:w="346" w:type="pct"/>
            <w:tcBorders>
              <w:top w:val="nil"/>
              <w:bottom w:val="nil"/>
            </w:tcBorders>
          </w:tcPr>
          <w:p w14:paraId="34F147DE" w14:textId="77777777" w:rsidR="00B3500A" w:rsidRPr="006F4CD1" w:rsidRDefault="00B3500A" w:rsidP="00D62AD1">
            <w:pPr>
              <w:pStyle w:val="TableParagraph"/>
              <w:ind w:left="98" w:right="90"/>
              <w:rPr>
                <w:sz w:val="16"/>
                <w:szCs w:val="16"/>
              </w:rPr>
            </w:pPr>
            <w:r w:rsidRPr="006F4CD1">
              <w:rPr>
                <w:spacing w:val="-4"/>
                <w:sz w:val="16"/>
                <w:szCs w:val="16"/>
              </w:rPr>
              <w:t>0.47</w:t>
            </w:r>
          </w:p>
        </w:tc>
        <w:tc>
          <w:tcPr>
            <w:tcW w:w="624" w:type="pct"/>
            <w:tcBorders>
              <w:top w:val="nil"/>
              <w:bottom w:val="nil"/>
            </w:tcBorders>
          </w:tcPr>
          <w:p w14:paraId="275EED03" w14:textId="77777777" w:rsidR="00B3500A" w:rsidRPr="006F4CD1" w:rsidRDefault="00B3500A" w:rsidP="00D62AD1">
            <w:pPr>
              <w:pStyle w:val="TableParagraph"/>
              <w:ind w:left="114"/>
              <w:rPr>
                <w:sz w:val="16"/>
                <w:szCs w:val="16"/>
              </w:rPr>
            </w:pPr>
            <w:r w:rsidRPr="006F4CD1">
              <w:rPr>
                <w:spacing w:val="-4"/>
                <w:sz w:val="16"/>
                <w:szCs w:val="16"/>
              </w:rPr>
              <w:t>0.44</w:t>
            </w:r>
          </w:p>
        </w:tc>
        <w:tc>
          <w:tcPr>
            <w:tcW w:w="648" w:type="pct"/>
            <w:tcBorders>
              <w:top w:val="nil"/>
              <w:bottom w:val="nil"/>
            </w:tcBorders>
          </w:tcPr>
          <w:p w14:paraId="7FB74C00" w14:textId="77777777" w:rsidR="00B3500A" w:rsidRPr="006F4CD1" w:rsidRDefault="00B3500A" w:rsidP="00D62AD1">
            <w:pPr>
              <w:pStyle w:val="TableParagraph"/>
              <w:ind w:right="108"/>
              <w:rPr>
                <w:sz w:val="16"/>
                <w:szCs w:val="16"/>
              </w:rPr>
            </w:pPr>
            <w:r w:rsidRPr="006F4CD1">
              <w:rPr>
                <w:spacing w:val="-4"/>
                <w:sz w:val="16"/>
                <w:szCs w:val="16"/>
              </w:rPr>
              <w:t>0.42</w:t>
            </w:r>
          </w:p>
        </w:tc>
        <w:tc>
          <w:tcPr>
            <w:tcW w:w="657" w:type="pct"/>
            <w:tcBorders>
              <w:top w:val="nil"/>
              <w:bottom w:val="nil"/>
              <w:right w:val="double" w:sz="4" w:space="0" w:color="000000"/>
            </w:tcBorders>
          </w:tcPr>
          <w:p w14:paraId="35EB99E1"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0.46</w:t>
            </w:r>
          </w:p>
        </w:tc>
        <w:tc>
          <w:tcPr>
            <w:tcW w:w="334" w:type="pct"/>
            <w:tcBorders>
              <w:top w:val="nil"/>
              <w:left w:val="double" w:sz="4" w:space="0" w:color="000000"/>
              <w:bottom w:val="nil"/>
            </w:tcBorders>
          </w:tcPr>
          <w:p w14:paraId="2A7B2C93" w14:textId="77777777" w:rsidR="00B3500A" w:rsidRPr="006F4CD1" w:rsidRDefault="00B3500A" w:rsidP="00D62AD1">
            <w:pPr>
              <w:pStyle w:val="TableParagraph"/>
              <w:ind w:left="110" w:right="103"/>
              <w:rPr>
                <w:sz w:val="16"/>
                <w:szCs w:val="16"/>
              </w:rPr>
            </w:pPr>
            <w:r w:rsidRPr="006F4CD1">
              <w:rPr>
                <w:spacing w:val="-4"/>
                <w:sz w:val="16"/>
                <w:szCs w:val="16"/>
              </w:rPr>
              <w:t>0.58</w:t>
            </w:r>
          </w:p>
        </w:tc>
        <w:tc>
          <w:tcPr>
            <w:tcW w:w="668" w:type="pct"/>
            <w:tcBorders>
              <w:top w:val="nil"/>
              <w:bottom w:val="nil"/>
            </w:tcBorders>
          </w:tcPr>
          <w:p w14:paraId="5269C317" w14:textId="77777777" w:rsidR="00B3500A" w:rsidRPr="006F4CD1" w:rsidRDefault="00B3500A" w:rsidP="00D62AD1">
            <w:pPr>
              <w:pStyle w:val="TableParagraph"/>
              <w:ind w:left="113" w:right="107"/>
              <w:rPr>
                <w:sz w:val="16"/>
                <w:szCs w:val="16"/>
              </w:rPr>
            </w:pPr>
            <w:r w:rsidRPr="006F4CD1">
              <w:rPr>
                <w:spacing w:val="-4"/>
                <w:sz w:val="16"/>
                <w:szCs w:val="16"/>
              </w:rPr>
              <w:t>0.54</w:t>
            </w:r>
          </w:p>
        </w:tc>
        <w:tc>
          <w:tcPr>
            <w:tcW w:w="668" w:type="pct"/>
            <w:tcBorders>
              <w:top w:val="nil"/>
              <w:bottom w:val="nil"/>
            </w:tcBorders>
          </w:tcPr>
          <w:p w14:paraId="3E6E3255" w14:textId="77777777" w:rsidR="00B3500A" w:rsidRPr="006F4CD1" w:rsidRDefault="00B3500A" w:rsidP="00D62AD1">
            <w:pPr>
              <w:pStyle w:val="TableParagraph"/>
              <w:ind w:right="110"/>
              <w:rPr>
                <w:sz w:val="16"/>
                <w:szCs w:val="16"/>
              </w:rPr>
            </w:pPr>
            <w:r w:rsidRPr="006F4CD1">
              <w:rPr>
                <w:spacing w:val="-4"/>
                <w:sz w:val="16"/>
                <w:szCs w:val="16"/>
              </w:rPr>
              <w:t>0.52</w:t>
            </w:r>
          </w:p>
        </w:tc>
        <w:tc>
          <w:tcPr>
            <w:tcW w:w="668" w:type="pct"/>
            <w:tcBorders>
              <w:top w:val="nil"/>
              <w:bottom w:val="nil"/>
            </w:tcBorders>
          </w:tcPr>
          <w:p w14:paraId="248DACB7" w14:textId="77777777" w:rsidR="00B3500A" w:rsidRPr="006F4CD1" w:rsidRDefault="00B3500A" w:rsidP="00D62AD1">
            <w:pPr>
              <w:pStyle w:val="TableParagraph"/>
              <w:ind w:left="0" w:right="491"/>
              <w:jc w:val="right"/>
              <w:rPr>
                <w:sz w:val="16"/>
                <w:szCs w:val="16"/>
              </w:rPr>
            </w:pPr>
            <w:r w:rsidRPr="006F4CD1">
              <w:rPr>
                <w:spacing w:val="-4"/>
                <w:sz w:val="16"/>
                <w:szCs w:val="16"/>
              </w:rPr>
              <w:t>0.57</w:t>
            </w:r>
          </w:p>
        </w:tc>
      </w:tr>
      <w:tr w:rsidR="00B3500A" w:rsidRPr="006F4CD1" w14:paraId="5EAF3541" w14:textId="77777777" w:rsidTr="00326B3D">
        <w:trPr>
          <w:trHeight w:val="239"/>
        </w:trPr>
        <w:tc>
          <w:tcPr>
            <w:tcW w:w="388" w:type="pct"/>
            <w:tcBorders>
              <w:top w:val="nil"/>
              <w:left w:val="double" w:sz="4" w:space="0" w:color="000000"/>
              <w:bottom w:val="nil"/>
            </w:tcBorders>
          </w:tcPr>
          <w:p w14:paraId="0E40448A" w14:textId="77777777" w:rsidR="00B3500A" w:rsidRPr="006F4CD1" w:rsidRDefault="00B3500A" w:rsidP="00D62AD1">
            <w:pPr>
              <w:pStyle w:val="TableParagraph"/>
              <w:ind w:left="0" w:right="98"/>
              <w:jc w:val="right"/>
              <w:rPr>
                <w:sz w:val="16"/>
                <w:szCs w:val="16"/>
              </w:rPr>
            </w:pPr>
            <w:r w:rsidRPr="006F4CD1">
              <w:rPr>
                <w:spacing w:val="-4"/>
                <w:sz w:val="16"/>
                <w:szCs w:val="16"/>
              </w:rPr>
              <w:t>1996</w:t>
            </w:r>
          </w:p>
        </w:tc>
        <w:tc>
          <w:tcPr>
            <w:tcW w:w="346" w:type="pct"/>
            <w:tcBorders>
              <w:top w:val="nil"/>
              <w:bottom w:val="nil"/>
            </w:tcBorders>
          </w:tcPr>
          <w:p w14:paraId="5292190E" w14:textId="77777777" w:rsidR="00B3500A" w:rsidRPr="006F4CD1" w:rsidRDefault="00B3500A" w:rsidP="00D62AD1">
            <w:pPr>
              <w:pStyle w:val="TableParagraph"/>
              <w:ind w:left="98" w:right="90"/>
              <w:rPr>
                <w:sz w:val="16"/>
                <w:szCs w:val="16"/>
              </w:rPr>
            </w:pPr>
            <w:r w:rsidRPr="006F4CD1">
              <w:rPr>
                <w:spacing w:val="-4"/>
                <w:sz w:val="16"/>
                <w:szCs w:val="16"/>
              </w:rPr>
              <w:t>0.45</w:t>
            </w:r>
          </w:p>
        </w:tc>
        <w:tc>
          <w:tcPr>
            <w:tcW w:w="624" w:type="pct"/>
            <w:tcBorders>
              <w:top w:val="nil"/>
              <w:bottom w:val="nil"/>
            </w:tcBorders>
          </w:tcPr>
          <w:p w14:paraId="49D80D65" w14:textId="77777777" w:rsidR="00B3500A" w:rsidRPr="006F4CD1" w:rsidRDefault="00B3500A" w:rsidP="00D62AD1">
            <w:pPr>
              <w:pStyle w:val="TableParagraph"/>
              <w:ind w:left="114"/>
              <w:rPr>
                <w:sz w:val="16"/>
                <w:szCs w:val="16"/>
              </w:rPr>
            </w:pPr>
            <w:r w:rsidRPr="006F4CD1">
              <w:rPr>
                <w:spacing w:val="-4"/>
                <w:sz w:val="16"/>
                <w:szCs w:val="16"/>
              </w:rPr>
              <w:t>0.41</w:t>
            </w:r>
          </w:p>
        </w:tc>
        <w:tc>
          <w:tcPr>
            <w:tcW w:w="648" w:type="pct"/>
            <w:tcBorders>
              <w:top w:val="nil"/>
              <w:bottom w:val="nil"/>
            </w:tcBorders>
          </w:tcPr>
          <w:p w14:paraId="0086B755" w14:textId="77777777" w:rsidR="00B3500A" w:rsidRPr="006F4CD1" w:rsidRDefault="00B3500A" w:rsidP="00D62AD1">
            <w:pPr>
              <w:pStyle w:val="TableParagraph"/>
              <w:ind w:right="108"/>
              <w:rPr>
                <w:sz w:val="16"/>
                <w:szCs w:val="16"/>
              </w:rPr>
            </w:pPr>
            <w:r w:rsidRPr="006F4CD1">
              <w:rPr>
                <w:spacing w:val="-4"/>
                <w:sz w:val="16"/>
                <w:szCs w:val="16"/>
              </w:rPr>
              <w:t>0.40</w:t>
            </w:r>
          </w:p>
        </w:tc>
        <w:tc>
          <w:tcPr>
            <w:tcW w:w="657" w:type="pct"/>
            <w:tcBorders>
              <w:top w:val="nil"/>
              <w:bottom w:val="nil"/>
              <w:right w:val="double" w:sz="4" w:space="0" w:color="000000"/>
            </w:tcBorders>
          </w:tcPr>
          <w:p w14:paraId="4B33F0F9"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0.44</w:t>
            </w:r>
          </w:p>
        </w:tc>
        <w:tc>
          <w:tcPr>
            <w:tcW w:w="334" w:type="pct"/>
            <w:tcBorders>
              <w:top w:val="nil"/>
              <w:left w:val="double" w:sz="4" w:space="0" w:color="000000"/>
              <w:bottom w:val="nil"/>
            </w:tcBorders>
          </w:tcPr>
          <w:p w14:paraId="22B06A09" w14:textId="77777777" w:rsidR="00B3500A" w:rsidRPr="006F4CD1" w:rsidRDefault="00B3500A" w:rsidP="00D62AD1">
            <w:pPr>
              <w:pStyle w:val="TableParagraph"/>
              <w:ind w:left="110" w:right="103"/>
              <w:rPr>
                <w:sz w:val="16"/>
                <w:szCs w:val="16"/>
              </w:rPr>
            </w:pPr>
            <w:r w:rsidRPr="006F4CD1">
              <w:rPr>
                <w:spacing w:val="-4"/>
                <w:sz w:val="16"/>
                <w:szCs w:val="16"/>
              </w:rPr>
              <w:t>0.56</w:t>
            </w:r>
          </w:p>
        </w:tc>
        <w:tc>
          <w:tcPr>
            <w:tcW w:w="668" w:type="pct"/>
            <w:tcBorders>
              <w:top w:val="nil"/>
              <w:bottom w:val="nil"/>
            </w:tcBorders>
          </w:tcPr>
          <w:p w14:paraId="64E09796" w14:textId="77777777" w:rsidR="00B3500A" w:rsidRPr="006F4CD1" w:rsidRDefault="00B3500A" w:rsidP="00D62AD1">
            <w:pPr>
              <w:pStyle w:val="TableParagraph"/>
              <w:ind w:left="113" w:right="107"/>
              <w:rPr>
                <w:sz w:val="16"/>
                <w:szCs w:val="16"/>
              </w:rPr>
            </w:pPr>
            <w:r w:rsidRPr="006F4CD1">
              <w:rPr>
                <w:spacing w:val="-4"/>
                <w:sz w:val="16"/>
                <w:szCs w:val="16"/>
              </w:rPr>
              <w:t>0.52</w:t>
            </w:r>
          </w:p>
        </w:tc>
        <w:tc>
          <w:tcPr>
            <w:tcW w:w="668" w:type="pct"/>
            <w:tcBorders>
              <w:top w:val="nil"/>
              <w:bottom w:val="nil"/>
            </w:tcBorders>
          </w:tcPr>
          <w:p w14:paraId="172437CD" w14:textId="77777777" w:rsidR="00B3500A" w:rsidRPr="006F4CD1" w:rsidRDefault="00B3500A" w:rsidP="00D62AD1">
            <w:pPr>
              <w:pStyle w:val="TableParagraph"/>
              <w:ind w:right="110"/>
              <w:rPr>
                <w:sz w:val="16"/>
                <w:szCs w:val="16"/>
              </w:rPr>
            </w:pPr>
            <w:r w:rsidRPr="006F4CD1">
              <w:rPr>
                <w:spacing w:val="-4"/>
                <w:sz w:val="16"/>
                <w:szCs w:val="16"/>
              </w:rPr>
              <w:t>0.50</w:t>
            </w:r>
          </w:p>
        </w:tc>
        <w:tc>
          <w:tcPr>
            <w:tcW w:w="668" w:type="pct"/>
            <w:tcBorders>
              <w:top w:val="nil"/>
              <w:bottom w:val="nil"/>
            </w:tcBorders>
          </w:tcPr>
          <w:p w14:paraId="637D72EF" w14:textId="77777777" w:rsidR="00B3500A" w:rsidRPr="006F4CD1" w:rsidRDefault="00B3500A" w:rsidP="00D62AD1">
            <w:pPr>
              <w:pStyle w:val="TableParagraph"/>
              <w:ind w:left="0" w:right="491"/>
              <w:jc w:val="right"/>
              <w:rPr>
                <w:sz w:val="16"/>
                <w:szCs w:val="16"/>
              </w:rPr>
            </w:pPr>
            <w:r w:rsidRPr="006F4CD1">
              <w:rPr>
                <w:spacing w:val="-4"/>
                <w:sz w:val="16"/>
                <w:szCs w:val="16"/>
              </w:rPr>
              <w:t>0.55</w:t>
            </w:r>
          </w:p>
        </w:tc>
      </w:tr>
      <w:tr w:rsidR="00B3500A" w:rsidRPr="006F4CD1" w14:paraId="6422CFA7" w14:textId="77777777" w:rsidTr="00326B3D">
        <w:trPr>
          <w:trHeight w:val="239"/>
        </w:trPr>
        <w:tc>
          <w:tcPr>
            <w:tcW w:w="388" w:type="pct"/>
            <w:tcBorders>
              <w:top w:val="nil"/>
              <w:left w:val="double" w:sz="4" w:space="0" w:color="000000"/>
              <w:bottom w:val="nil"/>
            </w:tcBorders>
          </w:tcPr>
          <w:p w14:paraId="029AF72D" w14:textId="77777777" w:rsidR="00B3500A" w:rsidRPr="006F4CD1" w:rsidRDefault="00B3500A" w:rsidP="00D62AD1">
            <w:pPr>
              <w:pStyle w:val="TableParagraph"/>
              <w:ind w:left="0" w:right="98"/>
              <w:jc w:val="right"/>
              <w:rPr>
                <w:sz w:val="16"/>
                <w:szCs w:val="16"/>
              </w:rPr>
            </w:pPr>
            <w:r w:rsidRPr="006F4CD1">
              <w:rPr>
                <w:spacing w:val="-4"/>
                <w:sz w:val="16"/>
                <w:szCs w:val="16"/>
              </w:rPr>
              <w:t>1997</w:t>
            </w:r>
          </w:p>
        </w:tc>
        <w:tc>
          <w:tcPr>
            <w:tcW w:w="346" w:type="pct"/>
            <w:tcBorders>
              <w:top w:val="nil"/>
              <w:bottom w:val="nil"/>
            </w:tcBorders>
          </w:tcPr>
          <w:p w14:paraId="0E0936CB" w14:textId="77777777" w:rsidR="00B3500A" w:rsidRPr="006F4CD1" w:rsidRDefault="00B3500A" w:rsidP="00D62AD1">
            <w:pPr>
              <w:pStyle w:val="TableParagraph"/>
              <w:ind w:left="98" w:right="90"/>
              <w:rPr>
                <w:sz w:val="16"/>
                <w:szCs w:val="16"/>
              </w:rPr>
            </w:pPr>
            <w:r w:rsidRPr="006F4CD1">
              <w:rPr>
                <w:spacing w:val="-4"/>
                <w:sz w:val="16"/>
                <w:szCs w:val="16"/>
              </w:rPr>
              <w:t>0.46</w:t>
            </w:r>
          </w:p>
        </w:tc>
        <w:tc>
          <w:tcPr>
            <w:tcW w:w="624" w:type="pct"/>
            <w:tcBorders>
              <w:top w:val="nil"/>
              <w:bottom w:val="nil"/>
            </w:tcBorders>
          </w:tcPr>
          <w:p w14:paraId="1287BB21" w14:textId="77777777" w:rsidR="00B3500A" w:rsidRPr="006F4CD1" w:rsidRDefault="00B3500A" w:rsidP="00D62AD1">
            <w:pPr>
              <w:pStyle w:val="TableParagraph"/>
              <w:ind w:left="114"/>
              <w:rPr>
                <w:sz w:val="16"/>
                <w:szCs w:val="16"/>
              </w:rPr>
            </w:pPr>
            <w:r w:rsidRPr="006F4CD1">
              <w:rPr>
                <w:spacing w:val="-4"/>
                <w:sz w:val="16"/>
                <w:szCs w:val="16"/>
              </w:rPr>
              <w:t>0.42</w:t>
            </w:r>
          </w:p>
        </w:tc>
        <w:tc>
          <w:tcPr>
            <w:tcW w:w="648" w:type="pct"/>
            <w:tcBorders>
              <w:top w:val="nil"/>
              <w:bottom w:val="nil"/>
            </w:tcBorders>
          </w:tcPr>
          <w:p w14:paraId="7C22A000" w14:textId="77777777" w:rsidR="00B3500A" w:rsidRPr="006F4CD1" w:rsidRDefault="00B3500A" w:rsidP="00D62AD1">
            <w:pPr>
              <w:pStyle w:val="TableParagraph"/>
              <w:ind w:right="108"/>
              <w:rPr>
                <w:sz w:val="16"/>
                <w:szCs w:val="16"/>
              </w:rPr>
            </w:pPr>
            <w:r w:rsidRPr="006F4CD1">
              <w:rPr>
                <w:spacing w:val="-4"/>
                <w:sz w:val="16"/>
                <w:szCs w:val="16"/>
              </w:rPr>
              <w:t>0.41</w:t>
            </w:r>
          </w:p>
        </w:tc>
        <w:tc>
          <w:tcPr>
            <w:tcW w:w="657" w:type="pct"/>
            <w:tcBorders>
              <w:top w:val="nil"/>
              <w:bottom w:val="nil"/>
              <w:right w:val="double" w:sz="4" w:space="0" w:color="000000"/>
            </w:tcBorders>
          </w:tcPr>
          <w:p w14:paraId="576116FC"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0.45</w:t>
            </w:r>
          </w:p>
        </w:tc>
        <w:tc>
          <w:tcPr>
            <w:tcW w:w="334" w:type="pct"/>
            <w:tcBorders>
              <w:top w:val="nil"/>
              <w:left w:val="double" w:sz="4" w:space="0" w:color="000000"/>
              <w:bottom w:val="nil"/>
            </w:tcBorders>
          </w:tcPr>
          <w:p w14:paraId="42BBAC78" w14:textId="77777777" w:rsidR="00B3500A" w:rsidRPr="006F4CD1" w:rsidRDefault="00B3500A" w:rsidP="00D62AD1">
            <w:pPr>
              <w:pStyle w:val="TableParagraph"/>
              <w:ind w:left="110" w:right="103"/>
              <w:rPr>
                <w:sz w:val="16"/>
                <w:szCs w:val="16"/>
              </w:rPr>
            </w:pPr>
            <w:r w:rsidRPr="006F4CD1">
              <w:rPr>
                <w:spacing w:val="-4"/>
                <w:sz w:val="16"/>
                <w:szCs w:val="16"/>
              </w:rPr>
              <w:t>0.58</w:t>
            </w:r>
          </w:p>
        </w:tc>
        <w:tc>
          <w:tcPr>
            <w:tcW w:w="668" w:type="pct"/>
            <w:tcBorders>
              <w:top w:val="nil"/>
              <w:bottom w:val="nil"/>
            </w:tcBorders>
          </w:tcPr>
          <w:p w14:paraId="34D45927" w14:textId="77777777" w:rsidR="00B3500A" w:rsidRPr="006F4CD1" w:rsidRDefault="00B3500A" w:rsidP="00D62AD1">
            <w:pPr>
              <w:pStyle w:val="TableParagraph"/>
              <w:ind w:left="113" w:right="107"/>
              <w:rPr>
                <w:sz w:val="16"/>
                <w:szCs w:val="16"/>
              </w:rPr>
            </w:pPr>
            <w:r w:rsidRPr="006F4CD1">
              <w:rPr>
                <w:spacing w:val="-4"/>
                <w:sz w:val="16"/>
                <w:szCs w:val="16"/>
              </w:rPr>
              <w:t>0.54</w:t>
            </w:r>
          </w:p>
        </w:tc>
        <w:tc>
          <w:tcPr>
            <w:tcW w:w="668" w:type="pct"/>
            <w:tcBorders>
              <w:top w:val="nil"/>
              <w:bottom w:val="nil"/>
            </w:tcBorders>
          </w:tcPr>
          <w:p w14:paraId="516CF3AD" w14:textId="77777777" w:rsidR="00B3500A" w:rsidRPr="006F4CD1" w:rsidRDefault="00B3500A" w:rsidP="00D62AD1">
            <w:pPr>
              <w:pStyle w:val="TableParagraph"/>
              <w:ind w:right="110"/>
              <w:rPr>
                <w:sz w:val="16"/>
                <w:szCs w:val="16"/>
              </w:rPr>
            </w:pPr>
            <w:r w:rsidRPr="006F4CD1">
              <w:rPr>
                <w:spacing w:val="-4"/>
                <w:sz w:val="16"/>
                <w:szCs w:val="16"/>
              </w:rPr>
              <w:t>0.52</w:t>
            </w:r>
          </w:p>
        </w:tc>
        <w:tc>
          <w:tcPr>
            <w:tcW w:w="668" w:type="pct"/>
            <w:tcBorders>
              <w:top w:val="nil"/>
              <w:bottom w:val="nil"/>
            </w:tcBorders>
          </w:tcPr>
          <w:p w14:paraId="5BCD0AC3" w14:textId="77777777" w:rsidR="00B3500A" w:rsidRPr="006F4CD1" w:rsidRDefault="00B3500A" w:rsidP="00D62AD1">
            <w:pPr>
              <w:pStyle w:val="TableParagraph"/>
              <w:ind w:left="0" w:right="491"/>
              <w:jc w:val="right"/>
              <w:rPr>
                <w:sz w:val="16"/>
                <w:szCs w:val="16"/>
              </w:rPr>
            </w:pPr>
            <w:r w:rsidRPr="006F4CD1">
              <w:rPr>
                <w:spacing w:val="-4"/>
                <w:sz w:val="16"/>
                <w:szCs w:val="16"/>
              </w:rPr>
              <w:t>0.57</w:t>
            </w:r>
          </w:p>
        </w:tc>
      </w:tr>
      <w:tr w:rsidR="00B3500A" w:rsidRPr="006F4CD1" w14:paraId="29E5BA6B" w14:textId="77777777" w:rsidTr="00326B3D">
        <w:trPr>
          <w:trHeight w:val="239"/>
        </w:trPr>
        <w:tc>
          <w:tcPr>
            <w:tcW w:w="388" w:type="pct"/>
            <w:tcBorders>
              <w:top w:val="nil"/>
              <w:left w:val="double" w:sz="4" w:space="0" w:color="000000"/>
              <w:bottom w:val="nil"/>
            </w:tcBorders>
          </w:tcPr>
          <w:p w14:paraId="26851A54" w14:textId="77777777" w:rsidR="00B3500A" w:rsidRPr="006F4CD1" w:rsidRDefault="00B3500A" w:rsidP="00D62AD1">
            <w:pPr>
              <w:pStyle w:val="TableParagraph"/>
              <w:ind w:left="0" w:right="98"/>
              <w:jc w:val="right"/>
              <w:rPr>
                <w:sz w:val="16"/>
                <w:szCs w:val="16"/>
              </w:rPr>
            </w:pPr>
            <w:r w:rsidRPr="006F4CD1">
              <w:rPr>
                <w:spacing w:val="-4"/>
                <w:sz w:val="16"/>
                <w:szCs w:val="16"/>
              </w:rPr>
              <w:t>1998</w:t>
            </w:r>
          </w:p>
        </w:tc>
        <w:tc>
          <w:tcPr>
            <w:tcW w:w="346" w:type="pct"/>
            <w:tcBorders>
              <w:top w:val="nil"/>
              <w:bottom w:val="nil"/>
            </w:tcBorders>
          </w:tcPr>
          <w:p w14:paraId="5B4FC821" w14:textId="77777777" w:rsidR="00B3500A" w:rsidRPr="006F4CD1" w:rsidRDefault="00B3500A" w:rsidP="00D62AD1">
            <w:pPr>
              <w:pStyle w:val="TableParagraph"/>
              <w:ind w:left="98" w:right="90"/>
              <w:rPr>
                <w:sz w:val="16"/>
                <w:szCs w:val="16"/>
              </w:rPr>
            </w:pPr>
            <w:r w:rsidRPr="006F4CD1">
              <w:rPr>
                <w:spacing w:val="-4"/>
                <w:sz w:val="16"/>
                <w:szCs w:val="16"/>
              </w:rPr>
              <w:t>0.47</w:t>
            </w:r>
          </w:p>
        </w:tc>
        <w:tc>
          <w:tcPr>
            <w:tcW w:w="624" w:type="pct"/>
            <w:tcBorders>
              <w:top w:val="nil"/>
              <w:bottom w:val="nil"/>
            </w:tcBorders>
          </w:tcPr>
          <w:p w14:paraId="1EBD7BFF" w14:textId="77777777" w:rsidR="00B3500A" w:rsidRPr="006F4CD1" w:rsidRDefault="00B3500A" w:rsidP="00D62AD1">
            <w:pPr>
              <w:pStyle w:val="TableParagraph"/>
              <w:ind w:left="114"/>
              <w:rPr>
                <w:sz w:val="16"/>
                <w:szCs w:val="16"/>
              </w:rPr>
            </w:pPr>
            <w:r w:rsidRPr="006F4CD1">
              <w:rPr>
                <w:spacing w:val="-4"/>
                <w:sz w:val="16"/>
                <w:szCs w:val="16"/>
              </w:rPr>
              <w:t>0.42</w:t>
            </w:r>
          </w:p>
        </w:tc>
        <w:tc>
          <w:tcPr>
            <w:tcW w:w="648" w:type="pct"/>
            <w:tcBorders>
              <w:top w:val="nil"/>
              <w:bottom w:val="nil"/>
            </w:tcBorders>
          </w:tcPr>
          <w:p w14:paraId="664AAF97" w14:textId="77777777" w:rsidR="00B3500A" w:rsidRPr="006F4CD1" w:rsidRDefault="00B3500A" w:rsidP="00D62AD1">
            <w:pPr>
              <w:pStyle w:val="TableParagraph"/>
              <w:ind w:right="108"/>
              <w:rPr>
                <w:sz w:val="16"/>
                <w:szCs w:val="16"/>
              </w:rPr>
            </w:pPr>
            <w:r w:rsidRPr="006F4CD1">
              <w:rPr>
                <w:spacing w:val="-4"/>
                <w:sz w:val="16"/>
                <w:szCs w:val="16"/>
              </w:rPr>
              <w:t>0.41</w:t>
            </w:r>
          </w:p>
        </w:tc>
        <w:tc>
          <w:tcPr>
            <w:tcW w:w="657" w:type="pct"/>
            <w:tcBorders>
              <w:top w:val="nil"/>
              <w:bottom w:val="nil"/>
              <w:right w:val="double" w:sz="4" w:space="0" w:color="000000"/>
            </w:tcBorders>
          </w:tcPr>
          <w:p w14:paraId="5A3F1868"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0.46</w:t>
            </w:r>
          </w:p>
        </w:tc>
        <w:tc>
          <w:tcPr>
            <w:tcW w:w="334" w:type="pct"/>
            <w:tcBorders>
              <w:top w:val="nil"/>
              <w:left w:val="double" w:sz="4" w:space="0" w:color="000000"/>
              <w:bottom w:val="nil"/>
            </w:tcBorders>
          </w:tcPr>
          <w:p w14:paraId="419844D8" w14:textId="77777777" w:rsidR="00B3500A" w:rsidRPr="006F4CD1" w:rsidRDefault="00B3500A" w:rsidP="00D62AD1">
            <w:pPr>
              <w:pStyle w:val="TableParagraph"/>
              <w:ind w:left="110" w:right="103"/>
              <w:rPr>
                <w:sz w:val="16"/>
                <w:szCs w:val="16"/>
              </w:rPr>
            </w:pPr>
            <w:r w:rsidRPr="006F4CD1">
              <w:rPr>
                <w:spacing w:val="-4"/>
                <w:sz w:val="16"/>
                <w:szCs w:val="16"/>
              </w:rPr>
              <w:t>0.59</w:t>
            </w:r>
          </w:p>
        </w:tc>
        <w:tc>
          <w:tcPr>
            <w:tcW w:w="668" w:type="pct"/>
            <w:tcBorders>
              <w:top w:val="nil"/>
              <w:bottom w:val="nil"/>
            </w:tcBorders>
          </w:tcPr>
          <w:p w14:paraId="0995DE00" w14:textId="77777777" w:rsidR="00B3500A" w:rsidRPr="006F4CD1" w:rsidRDefault="00B3500A" w:rsidP="00D62AD1">
            <w:pPr>
              <w:pStyle w:val="TableParagraph"/>
              <w:ind w:left="113" w:right="107"/>
              <w:rPr>
                <w:sz w:val="16"/>
                <w:szCs w:val="16"/>
              </w:rPr>
            </w:pPr>
            <w:r w:rsidRPr="006F4CD1">
              <w:rPr>
                <w:spacing w:val="-4"/>
                <w:sz w:val="16"/>
                <w:szCs w:val="16"/>
              </w:rPr>
              <w:t>0.55</w:t>
            </w:r>
          </w:p>
        </w:tc>
        <w:tc>
          <w:tcPr>
            <w:tcW w:w="668" w:type="pct"/>
            <w:tcBorders>
              <w:top w:val="nil"/>
              <w:bottom w:val="nil"/>
            </w:tcBorders>
          </w:tcPr>
          <w:p w14:paraId="55725D12" w14:textId="77777777" w:rsidR="00B3500A" w:rsidRPr="006F4CD1" w:rsidRDefault="00B3500A" w:rsidP="00D62AD1">
            <w:pPr>
              <w:pStyle w:val="TableParagraph"/>
              <w:ind w:right="110"/>
              <w:rPr>
                <w:sz w:val="16"/>
                <w:szCs w:val="16"/>
              </w:rPr>
            </w:pPr>
            <w:r w:rsidRPr="006F4CD1">
              <w:rPr>
                <w:spacing w:val="-4"/>
                <w:sz w:val="16"/>
                <w:szCs w:val="16"/>
              </w:rPr>
              <w:t>0.53</w:t>
            </w:r>
          </w:p>
        </w:tc>
        <w:tc>
          <w:tcPr>
            <w:tcW w:w="668" w:type="pct"/>
            <w:tcBorders>
              <w:top w:val="nil"/>
              <w:bottom w:val="nil"/>
            </w:tcBorders>
          </w:tcPr>
          <w:p w14:paraId="1F6968C9" w14:textId="77777777" w:rsidR="00B3500A" w:rsidRPr="006F4CD1" w:rsidRDefault="00B3500A" w:rsidP="00D62AD1">
            <w:pPr>
              <w:pStyle w:val="TableParagraph"/>
              <w:ind w:left="0" w:right="491"/>
              <w:jc w:val="right"/>
              <w:rPr>
                <w:sz w:val="16"/>
                <w:szCs w:val="16"/>
              </w:rPr>
            </w:pPr>
            <w:r w:rsidRPr="006F4CD1">
              <w:rPr>
                <w:spacing w:val="-4"/>
                <w:sz w:val="16"/>
                <w:szCs w:val="16"/>
              </w:rPr>
              <w:t>0.58</w:t>
            </w:r>
          </w:p>
        </w:tc>
      </w:tr>
      <w:tr w:rsidR="00B3500A" w:rsidRPr="006F4CD1" w14:paraId="06C10FE7" w14:textId="77777777" w:rsidTr="00326B3D">
        <w:trPr>
          <w:trHeight w:val="239"/>
        </w:trPr>
        <w:tc>
          <w:tcPr>
            <w:tcW w:w="388" w:type="pct"/>
            <w:tcBorders>
              <w:top w:val="nil"/>
              <w:left w:val="double" w:sz="4" w:space="0" w:color="000000"/>
              <w:bottom w:val="nil"/>
            </w:tcBorders>
          </w:tcPr>
          <w:p w14:paraId="6D2D54B7" w14:textId="77777777" w:rsidR="00B3500A" w:rsidRPr="006F4CD1" w:rsidRDefault="00B3500A" w:rsidP="00D62AD1">
            <w:pPr>
              <w:pStyle w:val="TableParagraph"/>
              <w:ind w:left="0" w:right="98"/>
              <w:jc w:val="right"/>
              <w:rPr>
                <w:sz w:val="16"/>
                <w:szCs w:val="16"/>
              </w:rPr>
            </w:pPr>
            <w:r w:rsidRPr="006F4CD1">
              <w:rPr>
                <w:spacing w:val="-4"/>
                <w:sz w:val="16"/>
                <w:szCs w:val="16"/>
              </w:rPr>
              <w:t>1999</w:t>
            </w:r>
          </w:p>
        </w:tc>
        <w:tc>
          <w:tcPr>
            <w:tcW w:w="346" w:type="pct"/>
            <w:tcBorders>
              <w:top w:val="nil"/>
              <w:bottom w:val="nil"/>
            </w:tcBorders>
          </w:tcPr>
          <w:p w14:paraId="7F17D302" w14:textId="77777777" w:rsidR="00B3500A" w:rsidRPr="006F4CD1" w:rsidRDefault="00B3500A" w:rsidP="00D62AD1">
            <w:pPr>
              <w:pStyle w:val="TableParagraph"/>
              <w:ind w:left="98" w:right="90"/>
              <w:rPr>
                <w:sz w:val="16"/>
                <w:szCs w:val="16"/>
              </w:rPr>
            </w:pPr>
            <w:r w:rsidRPr="006F4CD1">
              <w:rPr>
                <w:spacing w:val="-4"/>
                <w:sz w:val="16"/>
                <w:szCs w:val="16"/>
              </w:rPr>
              <w:t>0.50</w:t>
            </w:r>
          </w:p>
        </w:tc>
        <w:tc>
          <w:tcPr>
            <w:tcW w:w="624" w:type="pct"/>
            <w:tcBorders>
              <w:top w:val="nil"/>
              <w:bottom w:val="nil"/>
            </w:tcBorders>
          </w:tcPr>
          <w:p w14:paraId="5006EE89" w14:textId="77777777" w:rsidR="00B3500A" w:rsidRPr="006F4CD1" w:rsidRDefault="00B3500A" w:rsidP="00D62AD1">
            <w:pPr>
              <w:pStyle w:val="TableParagraph"/>
              <w:ind w:left="114"/>
              <w:rPr>
                <w:sz w:val="16"/>
                <w:szCs w:val="16"/>
              </w:rPr>
            </w:pPr>
            <w:r w:rsidRPr="006F4CD1">
              <w:rPr>
                <w:spacing w:val="-4"/>
                <w:sz w:val="16"/>
                <w:szCs w:val="16"/>
              </w:rPr>
              <w:t>0.45</w:t>
            </w:r>
          </w:p>
        </w:tc>
        <w:tc>
          <w:tcPr>
            <w:tcW w:w="648" w:type="pct"/>
            <w:tcBorders>
              <w:top w:val="nil"/>
              <w:bottom w:val="nil"/>
            </w:tcBorders>
          </w:tcPr>
          <w:p w14:paraId="34F9CC85" w14:textId="77777777" w:rsidR="00B3500A" w:rsidRPr="006F4CD1" w:rsidRDefault="00B3500A" w:rsidP="00D62AD1">
            <w:pPr>
              <w:pStyle w:val="TableParagraph"/>
              <w:ind w:right="108"/>
              <w:rPr>
                <w:sz w:val="16"/>
                <w:szCs w:val="16"/>
              </w:rPr>
            </w:pPr>
            <w:r w:rsidRPr="006F4CD1">
              <w:rPr>
                <w:spacing w:val="-4"/>
                <w:sz w:val="16"/>
                <w:szCs w:val="16"/>
              </w:rPr>
              <w:t>0.44</w:t>
            </w:r>
          </w:p>
        </w:tc>
        <w:tc>
          <w:tcPr>
            <w:tcW w:w="657" w:type="pct"/>
            <w:tcBorders>
              <w:top w:val="nil"/>
              <w:bottom w:val="nil"/>
              <w:right w:val="double" w:sz="4" w:space="0" w:color="000000"/>
            </w:tcBorders>
          </w:tcPr>
          <w:p w14:paraId="6E27E07B"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0.49</w:t>
            </w:r>
          </w:p>
        </w:tc>
        <w:tc>
          <w:tcPr>
            <w:tcW w:w="334" w:type="pct"/>
            <w:tcBorders>
              <w:top w:val="nil"/>
              <w:left w:val="double" w:sz="4" w:space="0" w:color="000000"/>
              <w:bottom w:val="nil"/>
            </w:tcBorders>
          </w:tcPr>
          <w:p w14:paraId="0ADBCA8B" w14:textId="77777777" w:rsidR="00B3500A" w:rsidRPr="006F4CD1" w:rsidRDefault="00B3500A" w:rsidP="00D62AD1">
            <w:pPr>
              <w:pStyle w:val="TableParagraph"/>
              <w:ind w:left="110" w:right="103"/>
              <w:rPr>
                <w:sz w:val="16"/>
                <w:szCs w:val="16"/>
              </w:rPr>
            </w:pPr>
            <w:r w:rsidRPr="006F4CD1">
              <w:rPr>
                <w:spacing w:val="-4"/>
                <w:sz w:val="16"/>
                <w:szCs w:val="16"/>
              </w:rPr>
              <w:t>0.63</w:t>
            </w:r>
          </w:p>
        </w:tc>
        <w:tc>
          <w:tcPr>
            <w:tcW w:w="668" w:type="pct"/>
            <w:tcBorders>
              <w:top w:val="nil"/>
              <w:bottom w:val="nil"/>
            </w:tcBorders>
          </w:tcPr>
          <w:p w14:paraId="2CF5F3B7" w14:textId="77777777" w:rsidR="00B3500A" w:rsidRPr="006F4CD1" w:rsidRDefault="00B3500A" w:rsidP="00D62AD1">
            <w:pPr>
              <w:pStyle w:val="TableParagraph"/>
              <w:ind w:left="113" w:right="107"/>
              <w:rPr>
                <w:sz w:val="16"/>
                <w:szCs w:val="16"/>
              </w:rPr>
            </w:pPr>
            <w:r w:rsidRPr="006F4CD1">
              <w:rPr>
                <w:spacing w:val="-4"/>
                <w:sz w:val="16"/>
                <w:szCs w:val="16"/>
              </w:rPr>
              <w:t>0.58</w:t>
            </w:r>
          </w:p>
        </w:tc>
        <w:tc>
          <w:tcPr>
            <w:tcW w:w="668" w:type="pct"/>
            <w:tcBorders>
              <w:top w:val="nil"/>
              <w:bottom w:val="nil"/>
            </w:tcBorders>
          </w:tcPr>
          <w:p w14:paraId="72937650" w14:textId="77777777" w:rsidR="00B3500A" w:rsidRPr="006F4CD1" w:rsidRDefault="00B3500A" w:rsidP="00D62AD1">
            <w:pPr>
              <w:pStyle w:val="TableParagraph"/>
              <w:ind w:right="110"/>
              <w:rPr>
                <w:sz w:val="16"/>
                <w:szCs w:val="16"/>
              </w:rPr>
            </w:pPr>
            <w:r w:rsidRPr="006F4CD1">
              <w:rPr>
                <w:spacing w:val="-4"/>
                <w:sz w:val="16"/>
                <w:szCs w:val="16"/>
              </w:rPr>
              <w:t>0.56</w:t>
            </w:r>
          </w:p>
        </w:tc>
        <w:tc>
          <w:tcPr>
            <w:tcW w:w="668" w:type="pct"/>
            <w:tcBorders>
              <w:top w:val="nil"/>
              <w:bottom w:val="nil"/>
            </w:tcBorders>
          </w:tcPr>
          <w:p w14:paraId="1E2EDC2B" w14:textId="77777777" w:rsidR="00B3500A" w:rsidRPr="006F4CD1" w:rsidRDefault="00B3500A" w:rsidP="00D62AD1">
            <w:pPr>
              <w:pStyle w:val="TableParagraph"/>
              <w:ind w:left="0" w:right="491"/>
              <w:jc w:val="right"/>
              <w:rPr>
                <w:sz w:val="16"/>
                <w:szCs w:val="16"/>
              </w:rPr>
            </w:pPr>
            <w:r w:rsidRPr="006F4CD1">
              <w:rPr>
                <w:spacing w:val="-4"/>
                <w:sz w:val="16"/>
                <w:szCs w:val="16"/>
              </w:rPr>
              <w:t>0.62</w:t>
            </w:r>
          </w:p>
        </w:tc>
      </w:tr>
      <w:tr w:rsidR="00B3500A" w:rsidRPr="006F4CD1" w14:paraId="04F227BC" w14:textId="77777777" w:rsidTr="00326B3D">
        <w:trPr>
          <w:trHeight w:val="239"/>
        </w:trPr>
        <w:tc>
          <w:tcPr>
            <w:tcW w:w="388" w:type="pct"/>
            <w:tcBorders>
              <w:top w:val="nil"/>
              <w:left w:val="double" w:sz="4" w:space="0" w:color="000000"/>
              <w:bottom w:val="nil"/>
            </w:tcBorders>
          </w:tcPr>
          <w:p w14:paraId="378BBFD3" w14:textId="77777777" w:rsidR="00B3500A" w:rsidRPr="006F4CD1" w:rsidRDefault="00B3500A" w:rsidP="00D62AD1">
            <w:pPr>
              <w:pStyle w:val="TableParagraph"/>
              <w:ind w:left="0" w:right="98"/>
              <w:jc w:val="right"/>
              <w:rPr>
                <w:sz w:val="16"/>
                <w:szCs w:val="16"/>
              </w:rPr>
            </w:pPr>
            <w:r w:rsidRPr="006F4CD1">
              <w:rPr>
                <w:spacing w:val="-4"/>
                <w:sz w:val="16"/>
                <w:szCs w:val="16"/>
              </w:rPr>
              <w:t>2000</w:t>
            </w:r>
          </w:p>
        </w:tc>
        <w:tc>
          <w:tcPr>
            <w:tcW w:w="346" w:type="pct"/>
            <w:tcBorders>
              <w:top w:val="nil"/>
              <w:bottom w:val="nil"/>
            </w:tcBorders>
          </w:tcPr>
          <w:p w14:paraId="074AD042" w14:textId="77777777" w:rsidR="00B3500A" w:rsidRPr="006F4CD1" w:rsidRDefault="00B3500A" w:rsidP="00D62AD1">
            <w:pPr>
              <w:pStyle w:val="TableParagraph"/>
              <w:ind w:left="98" w:right="90"/>
              <w:rPr>
                <w:sz w:val="16"/>
                <w:szCs w:val="16"/>
              </w:rPr>
            </w:pPr>
            <w:r w:rsidRPr="006F4CD1">
              <w:rPr>
                <w:spacing w:val="-4"/>
                <w:sz w:val="16"/>
                <w:szCs w:val="16"/>
              </w:rPr>
              <w:t>0.49</w:t>
            </w:r>
          </w:p>
        </w:tc>
        <w:tc>
          <w:tcPr>
            <w:tcW w:w="624" w:type="pct"/>
            <w:tcBorders>
              <w:top w:val="nil"/>
              <w:bottom w:val="nil"/>
            </w:tcBorders>
          </w:tcPr>
          <w:p w14:paraId="5C2415D8" w14:textId="77777777" w:rsidR="00B3500A" w:rsidRPr="006F4CD1" w:rsidRDefault="00B3500A" w:rsidP="00D62AD1">
            <w:pPr>
              <w:pStyle w:val="TableParagraph"/>
              <w:ind w:left="114"/>
              <w:rPr>
                <w:sz w:val="16"/>
                <w:szCs w:val="16"/>
              </w:rPr>
            </w:pPr>
            <w:r w:rsidRPr="006F4CD1">
              <w:rPr>
                <w:spacing w:val="-4"/>
                <w:sz w:val="16"/>
                <w:szCs w:val="16"/>
              </w:rPr>
              <w:t>0.43</w:t>
            </w:r>
          </w:p>
        </w:tc>
        <w:tc>
          <w:tcPr>
            <w:tcW w:w="648" w:type="pct"/>
            <w:tcBorders>
              <w:top w:val="nil"/>
              <w:bottom w:val="nil"/>
            </w:tcBorders>
          </w:tcPr>
          <w:p w14:paraId="6F66DD34" w14:textId="77777777" w:rsidR="00B3500A" w:rsidRPr="006F4CD1" w:rsidRDefault="00B3500A" w:rsidP="00D62AD1">
            <w:pPr>
              <w:pStyle w:val="TableParagraph"/>
              <w:ind w:right="108"/>
              <w:rPr>
                <w:sz w:val="16"/>
                <w:szCs w:val="16"/>
              </w:rPr>
            </w:pPr>
            <w:r w:rsidRPr="006F4CD1">
              <w:rPr>
                <w:spacing w:val="-4"/>
                <w:sz w:val="16"/>
                <w:szCs w:val="16"/>
              </w:rPr>
              <w:t>0.43</w:t>
            </w:r>
          </w:p>
        </w:tc>
        <w:tc>
          <w:tcPr>
            <w:tcW w:w="657" w:type="pct"/>
            <w:tcBorders>
              <w:top w:val="nil"/>
              <w:bottom w:val="nil"/>
              <w:right w:val="double" w:sz="4" w:space="0" w:color="000000"/>
            </w:tcBorders>
          </w:tcPr>
          <w:p w14:paraId="5840F6A5"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0.48</w:t>
            </w:r>
          </w:p>
        </w:tc>
        <w:tc>
          <w:tcPr>
            <w:tcW w:w="334" w:type="pct"/>
            <w:tcBorders>
              <w:top w:val="nil"/>
              <w:left w:val="double" w:sz="4" w:space="0" w:color="000000"/>
              <w:bottom w:val="nil"/>
            </w:tcBorders>
          </w:tcPr>
          <w:p w14:paraId="4F43015D" w14:textId="77777777" w:rsidR="00B3500A" w:rsidRPr="006F4CD1" w:rsidRDefault="00B3500A" w:rsidP="00D62AD1">
            <w:pPr>
              <w:pStyle w:val="TableParagraph"/>
              <w:ind w:left="110" w:right="103"/>
              <w:rPr>
                <w:sz w:val="16"/>
                <w:szCs w:val="16"/>
              </w:rPr>
            </w:pPr>
            <w:r w:rsidRPr="006F4CD1">
              <w:rPr>
                <w:spacing w:val="-4"/>
                <w:sz w:val="16"/>
                <w:szCs w:val="16"/>
              </w:rPr>
              <w:t>0.62</w:t>
            </w:r>
          </w:p>
        </w:tc>
        <w:tc>
          <w:tcPr>
            <w:tcW w:w="668" w:type="pct"/>
            <w:tcBorders>
              <w:top w:val="nil"/>
              <w:bottom w:val="nil"/>
            </w:tcBorders>
          </w:tcPr>
          <w:p w14:paraId="58983C6D" w14:textId="77777777" w:rsidR="00B3500A" w:rsidRPr="006F4CD1" w:rsidRDefault="00B3500A" w:rsidP="00D62AD1">
            <w:pPr>
              <w:pStyle w:val="TableParagraph"/>
              <w:ind w:left="113" w:right="107"/>
              <w:rPr>
                <w:sz w:val="16"/>
                <w:szCs w:val="16"/>
              </w:rPr>
            </w:pPr>
            <w:r w:rsidRPr="006F4CD1">
              <w:rPr>
                <w:spacing w:val="-4"/>
                <w:sz w:val="16"/>
                <w:szCs w:val="16"/>
              </w:rPr>
              <w:t>0.57</w:t>
            </w:r>
          </w:p>
        </w:tc>
        <w:tc>
          <w:tcPr>
            <w:tcW w:w="668" w:type="pct"/>
            <w:tcBorders>
              <w:top w:val="nil"/>
              <w:bottom w:val="nil"/>
            </w:tcBorders>
          </w:tcPr>
          <w:p w14:paraId="63531429" w14:textId="77777777" w:rsidR="00B3500A" w:rsidRPr="006F4CD1" w:rsidRDefault="00B3500A" w:rsidP="00D62AD1">
            <w:pPr>
              <w:pStyle w:val="TableParagraph"/>
              <w:ind w:right="110"/>
              <w:rPr>
                <w:sz w:val="16"/>
                <w:szCs w:val="16"/>
              </w:rPr>
            </w:pPr>
            <w:r w:rsidRPr="006F4CD1">
              <w:rPr>
                <w:spacing w:val="-4"/>
                <w:sz w:val="16"/>
                <w:szCs w:val="16"/>
              </w:rPr>
              <w:t>0.55</w:t>
            </w:r>
          </w:p>
        </w:tc>
        <w:tc>
          <w:tcPr>
            <w:tcW w:w="668" w:type="pct"/>
            <w:tcBorders>
              <w:top w:val="nil"/>
              <w:bottom w:val="nil"/>
            </w:tcBorders>
          </w:tcPr>
          <w:p w14:paraId="05395EB0" w14:textId="77777777" w:rsidR="00B3500A" w:rsidRPr="006F4CD1" w:rsidRDefault="00B3500A" w:rsidP="00D62AD1">
            <w:pPr>
              <w:pStyle w:val="TableParagraph"/>
              <w:ind w:left="0" w:right="491"/>
              <w:jc w:val="right"/>
              <w:rPr>
                <w:sz w:val="16"/>
                <w:szCs w:val="16"/>
              </w:rPr>
            </w:pPr>
            <w:r w:rsidRPr="006F4CD1">
              <w:rPr>
                <w:spacing w:val="-4"/>
                <w:sz w:val="16"/>
                <w:szCs w:val="16"/>
              </w:rPr>
              <w:t>0.61</w:t>
            </w:r>
          </w:p>
        </w:tc>
      </w:tr>
      <w:tr w:rsidR="00B3500A" w:rsidRPr="006F4CD1" w14:paraId="527CAAC5" w14:textId="77777777" w:rsidTr="00326B3D">
        <w:trPr>
          <w:trHeight w:val="239"/>
        </w:trPr>
        <w:tc>
          <w:tcPr>
            <w:tcW w:w="388" w:type="pct"/>
            <w:tcBorders>
              <w:top w:val="nil"/>
              <w:left w:val="double" w:sz="4" w:space="0" w:color="000000"/>
              <w:bottom w:val="nil"/>
            </w:tcBorders>
          </w:tcPr>
          <w:p w14:paraId="58EB07B3" w14:textId="77777777" w:rsidR="00B3500A" w:rsidRPr="006F4CD1" w:rsidRDefault="00B3500A" w:rsidP="00D62AD1">
            <w:pPr>
              <w:pStyle w:val="TableParagraph"/>
              <w:ind w:left="0" w:right="98"/>
              <w:jc w:val="right"/>
              <w:rPr>
                <w:sz w:val="16"/>
                <w:szCs w:val="16"/>
              </w:rPr>
            </w:pPr>
            <w:r w:rsidRPr="006F4CD1">
              <w:rPr>
                <w:spacing w:val="-4"/>
                <w:sz w:val="16"/>
                <w:szCs w:val="16"/>
              </w:rPr>
              <w:t>2001</w:t>
            </w:r>
          </w:p>
        </w:tc>
        <w:tc>
          <w:tcPr>
            <w:tcW w:w="346" w:type="pct"/>
            <w:tcBorders>
              <w:top w:val="nil"/>
              <w:bottom w:val="nil"/>
            </w:tcBorders>
          </w:tcPr>
          <w:p w14:paraId="4B9344E7" w14:textId="77777777" w:rsidR="00B3500A" w:rsidRPr="006F4CD1" w:rsidRDefault="00B3500A" w:rsidP="00D62AD1">
            <w:pPr>
              <w:pStyle w:val="TableParagraph"/>
              <w:ind w:left="98" w:right="90"/>
              <w:rPr>
                <w:sz w:val="16"/>
                <w:szCs w:val="16"/>
              </w:rPr>
            </w:pPr>
            <w:r w:rsidRPr="006F4CD1">
              <w:rPr>
                <w:spacing w:val="-4"/>
                <w:sz w:val="16"/>
                <w:szCs w:val="16"/>
              </w:rPr>
              <w:t>0.50</w:t>
            </w:r>
          </w:p>
        </w:tc>
        <w:tc>
          <w:tcPr>
            <w:tcW w:w="624" w:type="pct"/>
            <w:tcBorders>
              <w:top w:val="nil"/>
              <w:bottom w:val="nil"/>
            </w:tcBorders>
          </w:tcPr>
          <w:p w14:paraId="6BC73AD1" w14:textId="77777777" w:rsidR="00B3500A" w:rsidRPr="006F4CD1" w:rsidRDefault="00B3500A" w:rsidP="00D62AD1">
            <w:pPr>
              <w:pStyle w:val="TableParagraph"/>
              <w:ind w:left="114"/>
              <w:rPr>
                <w:sz w:val="16"/>
                <w:szCs w:val="16"/>
              </w:rPr>
            </w:pPr>
            <w:r w:rsidRPr="006F4CD1">
              <w:rPr>
                <w:spacing w:val="-4"/>
                <w:sz w:val="16"/>
                <w:szCs w:val="16"/>
              </w:rPr>
              <w:t>0.43</w:t>
            </w:r>
          </w:p>
        </w:tc>
        <w:tc>
          <w:tcPr>
            <w:tcW w:w="648" w:type="pct"/>
            <w:tcBorders>
              <w:top w:val="nil"/>
              <w:bottom w:val="nil"/>
            </w:tcBorders>
          </w:tcPr>
          <w:p w14:paraId="55284927" w14:textId="77777777" w:rsidR="00B3500A" w:rsidRPr="006F4CD1" w:rsidRDefault="00B3500A" w:rsidP="00D62AD1">
            <w:pPr>
              <w:pStyle w:val="TableParagraph"/>
              <w:ind w:right="108"/>
              <w:rPr>
                <w:sz w:val="16"/>
                <w:szCs w:val="16"/>
              </w:rPr>
            </w:pPr>
            <w:r w:rsidRPr="006F4CD1">
              <w:rPr>
                <w:spacing w:val="-4"/>
                <w:sz w:val="16"/>
                <w:szCs w:val="16"/>
              </w:rPr>
              <w:t>0.43</w:t>
            </w:r>
          </w:p>
        </w:tc>
        <w:tc>
          <w:tcPr>
            <w:tcW w:w="657" w:type="pct"/>
            <w:tcBorders>
              <w:top w:val="nil"/>
              <w:bottom w:val="nil"/>
              <w:right w:val="double" w:sz="4" w:space="0" w:color="000000"/>
            </w:tcBorders>
          </w:tcPr>
          <w:p w14:paraId="058B464C"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0.49</w:t>
            </w:r>
          </w:p>
        </w:tc>
        <w:tc>
          <w:tcPr>
            <w:tcW w:w="334" w:type="pct"/>
            <w:tcBorders>
              <w:top w:val="nil"/>
              <w:left w:val="double" w:sz="4" w:space="0" w:color="000000"/>
              <w:bottom w:val="nil"/>
            </w:tcBorders>
          </w:tcPr>
          <w:p w14:paraId="4B147F04" w14:textId="77777777" w:rsidR="00B3500A" w:rsidRPr="006F4CD1" w:rsidRDefault="00B3500A" w:rsidP="00D62AD1">
            <w:pPr>
              <w:pStyle w:val="TableParagraph"/>
              <w:ind w:left="110" w:right="103"/>
              <w:rPr>
                <w:sz w:val="16"/>
                <w:szCs w:val="16"/>
              </w:rPr>
            </w:pPr>
            <w:r w:rsidRPr="006F4CD1">
              <w:rPr>
                <w:spacing w:val="-4"/>
                <w:sz w:val="16"/>
                <w:szCs w:val="16"/>
              </w:rPr>
              <w:t>0.65</w:t>
            </w:r>
          </w:p>
        </w:tc>
        <w:tc>
          <w:tcPr>
            <w:tcW w:w="668" w:type="pct"/>
            <w:tcBorders>
              <w:top w:val="nil"/>
              <w:bottom w:val="nil"/>
            </w:tcBorders>
          </w:tcPr>
          <w:p w14:paraId="6C599923" w14:textId="77777777" w:rsidR="00B3500A" w:rsidRPr="006F4CD1" w:rsidRDefault="00B3500A" w:rsidP="00D62AD1">
            <w:pPr>
              <w:pStyle w:val="TableParagraph"/>
              <w:ind w:left="113" w:right="107"/>
              <w:rPr>
                <w:sz w:val="16"/>
                <w:szCs w:val="16"/>
              </w:rPr>
            </w:pPr>
            <w:r w:rsidRPr="006F4CD1">
              <w:rPr>
                <w:spacing w:val="-4"/>
                <w:sz w:val="16"/>
                <w:szCs w:val="16"/>
              </w:rPr>
              <w:t>0.57</w:t>
            </w:r>
          </w:p>
        </w:tc>
        <w:tc>
          <w:tcPr>
            <w:tcW w:w="668" w:type="pct"/>
            <w:tcBorders>
              <w:top w:val="nil"/>
              <w:bottom w:val="nil"/>
            </w:tcBorders>
          </w:tcPr>
          <w:p w14:paraId="4454C801" w14:textId="77777777" w:rsidR="00B3500A" w:rsidRPr="006F4CD1" w:rsidRDefault="00B3500A" w:rsidP="00D62AD1">
            <w:pPr>
              <w:pStyle w:val="TableParagraph"/>
              <w:ind w:right="110"/>
              <w:rPr>
                <w:sz w:val="16"/>
                <w:szCs w:val="16"/>
              </w:rPr>
            </w:pPr>
            <w:r w:rsidRPr="006F4CD1">
              <w:rPr>
                <w:spacing w:val="-4"/>
                <w:sz w:val="16"/>
                <w:szCs w:val="16"/>
              </w:rPr>
              <w:t>0.56</w:t>
            </w:r>
          </w:p>
        </w:tc>
        <w:tc>
          <w:tcPr>
            <w:tcW w:w="668" w:type="pct"/>
            <w:tcBorders>
              <w:top w:val="nil"/>
              <w:bottom w:val="nil"/>
            </w:tcBorders>
          </w:tcPr>
          <w:p w14:paraId="0389A49C" w14:textId="77777777" w:rsidR="00B3500A" w:rsidRPr="006F4CD1" w:rsidRDefault="00B3500A" w:rsidP="00D62AD1">
            <w:pPr>
              <w:pStyle w:val="TableParagraph"/>
              <w:ind w:left="0" w:right="491"/>
              <w:jc w:val="right"/>
              <w:rPr>
                <w:sz w:val="16"/>
                <w:szCs w:val="16"/>
              </w:rPr>
            </w:pPr>
            <w:r w:rsidRPr="006F4CD1">
              <w:rPr>
                <w:spacing w:val="-4"/>
                <w:sz w:val="16"/>
                <w:szCs w:val="16"/>
              </w:rPr>
              <w:t>0.64</w:t>
            </w:r>
          </w:p>
        </w:tc>
      </w:tr>
      <w:tr w:rsidR="00B3500A" w:rsidRPr="006F4CD1" w14:paraId="503C0088" w14:textId="77777777" w:rsidTr="00326B3D">
        <w:trPr>
          <w:trHeight w:val="239"/>
        </w:trPr>
        <w:tc>
          <w:tcPr>
            <w:tcW w:w="388" w:type="pct"/>
            <w:tcBorders>
              <w:top w:val="nil"/>
              <w:left w:val="double" w:sz="4" w:space="0" w:color="000000"/>
              <w:bottom w:val="nil"/>
            </w:tcBorders>
          </w:tcPr>
          <w:p w14:paraId="13B026F4" w14:textId="77777777" w:rsidR="00B3500A" w:rsidRPr="006F4CD1" w:rsidRDefault="00B3500A" w:rsidP="00D62AD1">
            <w:pPr>
              <w:pStyle w:val="TableParagraph"/>
              <w:ind w:left="0" w:right="98"/>
              <w:jc w:val="right"/>
              <w:rPr>
                <w:sz w:val="16"/>
                <w:szCs w:val="16"/>
              </w:rPr>
            </w:pPr>
            <w:r w:rsidRPr="006F4CD1">
              <w:rPr>
                <w:spacing w:val="-4"/>
                <w:sz w:val="16"/>
                <w:szCs w:val="16"/>
              </w:rPr>
              <w:t>2002</w:t>
            </w:r>
          </w:p>
        </w:tc>
        <w:tc>
          <w:tcPr>
            <w:tcW w:w="346" w:type="pct"/>
            <w:tcBorders>
              <w:top w:val="nil"/>
              <w:bottom w:val="nil"/>
            </w:tcBorders>
          </w:tcPr>
          <w:p w14:paraId="67D31AE2" w14:textId="77777777" w:rsidR="00B3500A" w:rsidRPr="006F4CD1" w:rsidRDefault="00B3500A" w:rsidP="00D62AD1">
            <w:pPr>
              <w:pStyle w:val="TableParagraph"/>
              <w:ind w:left="98" w:right="90"/>
              <w:rPr>
                <w:sz w:val="16"/>
                <w:szCs w:val="16"/>
              </w:rPr>
            </w:pPr>
            <w:r w:rsidRPr="006F4CD1">
              <w:rPr>
                <w:spacing w:val="-4"/>
                <w:sz w:val="16"/>
                <w:szCs w:val="16"/>
              </w:rPr>
              <w:t>0.51</w:t>
            </w:r>
          </w:p>
        </w:tc>
        <w:tc>
          <w:tcPr>
            <w:tcW w:w="624" w:type="pct"/>
            <w:tcBorders>
              <w:top w:val="nil"/>
              <w:bottom w:val="nil"/>
            </w:tcBorders>
          </w:tcPr>
          <w:p w14:paraId="28BB2B71" w14:textId="77777777" w:rsidR="00B3500A" w:rsidRPr="006F4CD1" w:rsidRDefault="00B3500A" w:rsidP="00D62AD1">
            <w:pPr>
              <w:pStyle w:val="TableParagraph"/>
              <w:ind w:left="114"/>
              <w:rPr>
                <w:sz w:val="16"/>
                <w:szCs w:val="16"/>
              </w:rPr>
            </w:pPr>
            <w:r w:rsidRPr="006F4CD1">
              <w:rPr>
                <w:spacing w:val="-4"/>
                <w:sz w:val="16"/>
                <w:szCs w:val="16"/>
              </w:rPr>
              <w:t>0.44</w:t>
            </w:r>
          </w:p>
        </w:tc>
        <w:tc>
          <w:tcPr>
            <w:tcW w:w="648" w:type="pct"/>
            <w:tcBorders>
              <w:top w:val="nil"/>
              <w:bottom w:val="nil"/>
            </w:tcBorders>
          </w:tcPr>
          <w:p w14:paraId="2F7E51A3" w14:textId="77777777" w:rsidR="00B3500A" w:rsidRPr="006F4CD1" w:rsidRDefault="00B3500A" w:rsidP="00D62AD1">
            <w:pPr>
              <w:pStyle w:val="TableParagraph"/>
              <w:ind w:right="108"/>
              <w:rPr>
                <w:sz w:val="16"/>
                <w:szCs w:val="16"/>
              </w:rPr>
            </w:pPr>
            <w:r w:rsidRPr="006F4CD1">
              <w:rPr>
                <w:spacing w:val="-4"/>
                <w:sz w:val="16"/>
                <w:szCs w:val="16"/>
              </w:rPr>
              <w:t>0.44</w:t>
            </w:r>
          </w:p>
        </w:tc>
        <w:tc>
          <w:tcPr>
            <w:tcW w:w="657" w:type="pct"/>
            <w:tcBorders>
              <w:top w:val="nil"/>
              <w:bottom w:val="nil"/>
              <w:right w:val="double" w:sz="4" w:space="0" w:color="000000"/>
            </w:tcBorders>
          </w:tcPr>
          <w:p w14:paraId="1C0EADEA"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0.49</w:t>
            </w:r>
          </w:p>
        </w:tc>
        <w:tc>
          <w:tcPr>
            <w:tcW w:w="334" w:type="pct"/>
            <w:tcBorders>
              <w:top w:val="nil"/>
              <w:left w:val="double" w:sz="4" w:space="0" w:color="000000"/>
              <w:bottom w:val="nil"/>
            </w:tcBorders>
          </w:tcPr>
          <w:p w14:paraId="7A32995C" w14:textId="77777777" w:rsidR="00B3500A" w:rsidRPr="006F4CD1" w:rsidRDefault="00B3500A" w:rsidP="00D62AD1">
            <w:pPr>
              <w:pStyle w:val="TableParagraph"/>
              <w:ind w:left="110" w:right="103"/>
              <w:rPr>
                <w:sz w:val="16"/>
                <w:szCs w:val="16"/>
              </w:rPr>
            </w:pPr>
            <w:r w:rsidRPr="006F4CD1">
              <w:rPr>
                <w:spacing w:val="-4"/>
                <w:sz w:val="16"/>
                <w:szCs w:val="16"/>
              </w:rPr>
              <w:t>0.66</w:t>
            </w:r>
          </w:p>
        </w:tc>
        <w:tc>
          <w:tcPr>
            <w:tcW w:w="668" w:type="pct"/>
            <w:tcBorders>
              <w:top w:val="nil"/>
              <w:bottom w:val="nil"/>
            </w:tcBorders>
          </w:tcPr>
          <w:p w14:paraId="023256D6" w14:textId="77777777" w:rsidR="00B3500A" w:rsidRPr="006F4CD1" w:rsidRDefault="00B3500A" w:rsidP="00D62AD1">
            <w:pPr>
              <w:pStyle w:val="TableParagraph"/>
              <w:ind w:left="113" w:right="107"/>
              <w:rPr>
                <w:sz w:val="16"/>
                <w:szCs w:val="16"/>
              </w:rPr>
            </w:pPr>
            <w:r w:rsidRPr="006F4CD1">
              <w:rPr>
                <w:spacing w:val="-4"/>
                <w:sz w:val="16"/>
                <w:szCs w:val="16"/>
              </w:rPr>
              <w:t>0.58</w:t>
            </w:r>
          </w:p>
        </w:tc>
        <w:tc>
          <w:tcPr>
            <w:tcW w:w="668" w:type="pct"/>
            <w:tcBorders>
              <w:top w:val="nil"/>
              <w:bottom w:val="nil"/>
            </w:tcBorders>
          </w:tcPr>
          <w:p w14:paraId="6039FF52" w14:textId="77777777" w:rsidR="00B3500A" w:rsidRPr="006F4CD1" w:rsidRDefault="00B3500A" w:rsidP="00D62AD1">
            <w:pPr>
              <w:pStyle w:val="TableParagraph"/>
              <w:ind w:right="110"/>
              <w:rPr>
                <w:sz w:val="16"/>
                <w:szCs w:val="16"/>
              </w:rPr>
            </w:pPr>
            <w:r w:rsidRPr="006F4CD1">
              <w:rPr>
                <w:spacing w:val="-4"/>
                <w:sz w:val="16"/>
                <w:szCs w:val="16"/>
              </w:rPr>
              <w:t>0.57</w:t>
            </w:r>
          </w:p>
        </w:tc>
        <w:tc>
          <w:tcPr>
            <w:tcW w:w="668" w:type="pct"/>
            <w:tcBorders>
              <w:top w:val="nil"/>
              <w:bottom w:val="nil"/>
            </w:tcBorders>
          </w:tcPr>
          <w:p w14:paraId="2C04D3BF" w14:textId="77777777" w:rsidR="00B3500A" w:rsidRPr="006F4CD1" w:rsidRDefault="00B3500A" w:rsidP="00D62AD1">
            <w:pPr>
              <w:pStyle w:val="TableParagraph"/>
              <w:ind w:left="0" w:right="491"/>
              <w:jc w:val="right"/>
              <w:rPr>
                <w:sz w:val="16"/>
                <w:szCs w:val="16"/>
              </w:rPr>
            </w:pPr>
            <w:r w:rsidRPr="006F4CD1">
              <w:rPr>
                <w:spacing w:val="-4"/>
                <w:sz w:val="16"/>
                <w:szCs w:val="16"/>
              </w:rPr>
              <w:t>0.65</w:t>
            </w:r>
          </w:p>
        </w:tc>
      </w:tr>
      <w:tr w:rsidR="00B3500A" w:rsidRPr="006F4CD1" w14:paraId="0DA92A2E" w14:textId="77777777" w:rsidTr="00326B3D">
        <w:trPr>
          <w:trHeight w:val="239"/>
        </w:trPr>
        <w:tc>
          <w:tcPr>
            <w:tcW w:w="388" w:type="pct"/>
            <w:tcBorders>
              <w:top w:val="nil"/>
              <w:left w:val="double" w:sz="4" w:space="0" w:color="000000"/>
              <w:bottom w:val="nil"/>
            </w:tcBorders>
          </w:tcPr>
          <w:p w14:paraId="28ED3973" w14:textId="77777777" w:rsidR="00B3500A" w:rsidRPr="006F4CD1" w:rsidRDefault="00B3500A" w:rsidP="00D62AD1">
            <w:pPr>
              <w:pStyle w:val="TableParagraph"/>
              <w:ind w:left="0" w:right="98"/>
              <w:jc w:val="right"/>
              <w:rPr>
                <w:sz w:val="16"/>
                <w:szCs w:val="16"/>
              </w:rPr>
            </w:pPr>
            <w:r w:rsidRPr="006F4CD1">
              <w:rPr>
                <w:spacing w:val="-4"/>
                <w:sz w:val="16"/>
                <w:szCs w:val="16"/>
              </w:rPr>
              <w:t>2003</w:t>
            </w:r>
          </w:p>
        </w:tc>
        <w:tc>
          <w:tcPr>
            <w:tcW w:w="346" w:type="pct"/>
            <w:tcBorders>
              <w:top w:val="nil"/>
              <w:bottom w:val="nil"/>
            </w:tcBorders>
          </w:tcPr>
          <w:p w14:paraId="2FC1B4AA" w14:textId="77777777" w:rsidR="00B3500A" w:rsidRPr="006F4CD1" w:rsidRDefault="00B3500A" w:rsidP="00D62AD1">
            <w:pPr>
              <w:pStyle w:val="TableParagraph"/>
              <w:ind w:left="98" w:right="90"/>
              <w:rPr>
                <w:sz w:val="16"/>
                <w:szCs w:val="16"/>
              </w:rPr>
            </w:pPr>
            <w:r w:rsidRPr="006F4CD1">
              <w:rPr>
                <w:spacing w:val="-4"/>
                <w:sz w:val="16"/>
                <w:szCs w:val="16"/>
              </w:rPr>
              <w:t>0.54</w:t>
            </w:r>
          </w:p>
        </w:tc>
        <w:tc>
          <w:tcPr>
            <w:tcW w:w="624" w:type="pct"/>
            <w:tcBorders>
              <w:top w:val="nil"/>
              <w:bottom w:val="nil"/>
            </w:tcBorders>
          </w:tcPr>
          <w:p w14:paraId="353CA6F7" w14:textId="77777777" w:rsidR="00B3500A" w:rsidRPr="006F4CD1" w:rsidRDefault="00B3500A" w:rsidP="00D62AD1">
            <w:pPr>
              <w:pStyle w:val="TableParagraph"/>
              <w:ind w:left="114"/>
              <w:rPr>
                <w:sz w:val="16"/>
                <w:szCs w:val="16"/>
              </w:rPr>
            </w:pPr>
            <w:r w:rsidRPr="006F4CD1">
              <w:rPr>
                <w:spacing w:val="-4"/>
                <w:sz w:val="16"/>
                <w:szCs w:val="16"/>
              </w:rPr>
              <w:t>0.46</w:t>
            </w:r>
          </w:p>
        </w:tc>
        <w:tc>
          <w:tcPr>
            <w:tcW w:w="648" w:type="pct"/>
            <w:tcBorders>
              <w:top w:val="nil"/>
              <w:bottom w:val="nil"/>
            </w:tcBorders>
          </w:tcPr>
          <w:p w14:paraId="72DE16F6" w14:textId="77777777" w:rsidR="00B3500A" w:rsidRPr="006F4CD1" w:rsidRDefault="00B3500A" w:rsidP="00D62AD1">
            <w:pPr>
              <w:pStyle w:val="TableParagraph"/>
              <w:ind w:right="108"/>
              <w:rPr>
                <w:sz w:val="16"/>
                <w:szCs w:val="16"/>
              </w:rPr>
            </w:pPr>
            <w:r w:rsidRPr="006F4CD1">
              <w:rPr>
                <w:spacing w:val="-4"/>
                <w:sz w:val="16"/>
                <w:szCs w:val="16"/>
              </w:rPr>
              <w:t>0.46</w:t>
            </w:r>
          </w:p>
        </w:tc>
        <w:tc>
          <w:tcPr>
            <w:tcW w:w="657" w:type="pct"/>
            <w:tcBorders>
              <w:top w:val="nil"/>
              <w:bottom w:val="nil"/>
              <w:right w:val="double" w:sz="4" w:space="0" w:color="000000"/>
            </w:tcBorders>
          </w:tcPr>
          <w:p w14:paraId="4D23D546"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0.52</w:t>
            </w:r>
          </w:p>
        </w:tc>
        <w:tc>
          <w:tcPr>
            <w:tcW w:w="334" w:type="pct"/>
            <w:tcBorders>
              <w:top w:val="nil"/>
              <w:left w:val="double" w:sz="4" w:space="0" w:color="000000"/>
              <w:bottom w:val="nil"/>
            </w:tcBorders>
          </w:tcPr>
          <w:p w14:paraId="72B9CCA5" w14:textId="77777777" w:rsidR="00B3500A" w:rsidRPr="006F4CD1" w:rsidRDefault="00B3500A" w:rsidP="00D62AD1">
            <w:pPr>
              <w:pStyle w:val="TableParagraph"/>
              <w:ind w:left="110" w:right="103"/>
              <w:rPr>
                <w:sz w:val="16"/>
                <w:szCs w:val="16"/>
              </w:rPr>
            </w:pPr>
            <w:r w:rsidRPr="006F4CD1">
              <w:rPr>
                <w:spacing w:val="-4"/>
                <w:sz w:val="16"/>
                <w:szCs w:val="16"/>
              </w:rPr>
              <w:t>0.68</w:t>
            </w:r>
          </w:p>
        </w:tc>
        <w:tc>
          <w:tcPr>
            <w:tcW w:w="668" w:type="pct"/>
            <w:tcBorders>
              <w:top w:val="nil"/>
              <w:bottom w:val="nil"/>
            </w:tcBorders>
          </w:tcPr>
          <w:p w14:paraId="5CECDD8F" w14:textId="77777777" w:rsidR="00B3500A" w:rsidRPr="006F4CD1" w:rsidRDefault="00B3500A" w:rsidP="00D62AD1">
            <w:pPr>
              <w:pStyle w:val="TableParagraph"/>
              <w:ind w:left="113" w:right="107"/>
              <w:rPr>
                <w:sz w:val="16"/>
                <w:szCs w:val="16"/>
              </w:rPr>
            </w:pPr>
            <w:r w:rsidRPr="006F4CD1">
              <w:rPr>
                <w:spacing w:val="-4"/>
                <w:sz w:val="16"/>
                <w:szCs w:val="16"/>
              </w:rPr>
              <w:t>0.61</w:t>
            </w:r>
          </w:p>
        </w:tc>
        <w:tc>
          <w:tcPr>
            <w:tcW w:w="668" w:type="pct"/>
            <w:tcBorders>
              <w:top w:val="nil"/>
              <w:bottom w:val="nil"/>
            </w:tcBorders>
          </w:tcPr>
          <w:p w14:paraId="05FCAE77" w14:textId="77777777" w:rsidR="00B3500A" w:rsidRPr="006F4CD1" w:rsidRDefault="00B3500A" w:rsidP="00D62AD1">
            <w:pPr>
              <w:pStyle w:val="TableParagraph"/>
              <w:ind w:right="110"/>
              <w:rPr>
                <w:sz w:val="16"/>
                <w:szCs w:val="16"/>
              </w:rPr>
            </w:pPr>
            <w:r w:rsidRPr="006F4CD1">
              <w:rPr>
                <w:spacing w:val="-4"/>
                <w:sz w:val="16"/>
                <w:szCs w:val="16"/>
              </w:rPr>
              <w:t>0.59</w:t>
            </w:r>
          </w:p>
        </w:tc>
        <w:tc>
          <w:tcPr>
            <w:tcW w:w="668" w:type="pct"/>
            <w:tcBorders>
              <w:top w:val="nil"/>
              <w:bottom w:val="nil"/>
            </w:tcBorders>
          </w:tcPr>
          <w:p w14:paraId="49BDB3D7" w14:textId="77777777" w:rsidR="00B3500A" w:rsidRPr="006F4CD1" w:rsidRDefault="00B3500A" w:rsidP="00D62AD1">
            <w:pPr>
              <w:pStyle w:val="TableParagraph"/>
              <w:ind w:left="0" w:right="491"/>
              <w:jc w:val="right"/>
              <w:rPr>
                <w:sz w:val="16"/>
                <w:szCs w:val="16"/>
              </w:rPr>
            </w:pPr>
            <w:r w:rsidRPr="006F4CD1">
              <w:rPr>
                <w:spacing w:val="-4"/>
                <w:sz w:val="16"/>
                <w:szCs w:val="16"/>
              </w:rPr>
              <w:t>0.67</w:t>
            </w:r>
          </w:p>
        </w:tc>
      </w:tr>
      <w:tr w:rsidR="00B3500A" w:rsidRPr="006F4CD1" w14:paraId="7F7E3381" w14:textId="77777777" w:rsidTr="00326B3D">
        <w:trPr>
          <w:trHeight w:val="239"/>
        </w:trPr>
        <w:tc>
          <w:tcPr>
            <w:tcW w:w="388" w:type="pct"/>
            <w:tcBorders>
              <w:top w:val="nil"/>
              <w:left w:val="double" w:sz="4" w:space="0" w:color="000000"/>
              <w:bottom w:val="nil"/>
            </w:tcBorders>
          </w:tcPr>
          <w:p w14:paraId="2DC3EFD8" w14:textId="77777777" w:rsidR="00B3500A" w:rsidRPr="006F4CD1" w:rsidRDefault="00B3500A" w:rsidP="00D62AD1">
            <w:pPr>
              <w:pStyle w:val="TableParagraph"/>
              <w:ind w:left="0" w:right="98"/>
              <w:jc w:val="right"/>
              <w:rPr>
                <w:sz w:val="16"/>
                <w:szCs w:val="16"/>
              </w:rPr>
            </w:pPr>
            <w:r w:rsidRPr="006F4CD1">
              <w:rPr>
                <w:spacing w:val="-4"/>
                <w:sz w:val="16"/>
                <w:szCs w:val="16"/>
              </w:rPr>
              <w:t>2004</w:t>
            </w:r>
          </w:p>
        </w:tc>
        <w:tc>
          <w:tcPr>
            <w:tcW w:w="346" w:type="pct"/>
            <w:tcBorders>
              <w:top w:val="nil"/>
              <w:bottom w:val="nil"/>
            </w:tcBorders>
          </w:tcPr>
          <w:p w14:paraId="50D4EFBC" w14:textId="77777777" w:rsidR="00B3500A" w:rsidRPr="006F4CD1" w:rsidRDefault="00B3500A" w:rsidP="00D62AD1">
            <w:pPr>
              <w:pStyle w:val="TableParagraph"/>
              <w:ind w:left="98" w:right="90"/>
              <w:rPr>
                <w:sz w:val="16"/>
                <w:szCs w:val="16"/>
              </w:rPr>
            </w:pPr>
            <w:r w:rsidRPr="006F4CD1">
              <w:rPr>
                <w:spacing w:val="-4"/>
                <w:sz w:val="16"/>
                <w:szCs w:val="16"/>
              </w:rPr>
              <w:t>0.52</w:t>
            </w:r>
          </w:p>
        </w:tc>
        <w:tc>
          <w:tcPr>
            <w:tcW w:w="624" w:type="pct"/>
            <w:tcBorders>
              <w:top w:val="nil"/>
              <w:bottom w:val="nil"/>
            </w:tcBorders>
          </w:tcPr>
          <w:p w14:paraId="13FDD6F7" w14:textId="77777777" w:rsidR="00B3500A" w:rsidRPr="006F4CD1" w:rsidRDefault="00B3500A" w:rsidP="00D62AD1">
            <w:pPr>
              <w:pStyle w:val="TableParagraph"/>
              <w:ind w:left="114"/>
              <w:rPr>
                <w:sz w:val="16"/>
                <w:szCs w:val="16"/>
              </w:rPr>
            </w:pPr>
            <w:r w:rsidRPr="006F4CD1">
              <w:rPr>
                <w:spacing w:val="-4"/>
                <w:sz w:val="16"/>
                <w:szCs w:val="16"/>
              </w:rPr>
              <w:t>0.45</w:t>
            </w:r>
          </w:p>
        </w:tc>
        <w:tc>
          <w:tcPr>
            <w:tcW w:w="648" w:type="pct"/>
            <w:tcBorders>
              <w:top w:val="nil"/>
              <w:bottom w:val="nil"/>
            </w:tcBorders>
          </w:tcPr>
          <w:p w14:paraId="0C2C8924" w14:textId="77777777" w:rsidR="00B3500A" w:rsidRPr="006F4CD1" w:rsidRDefault="00B3500A" w:rsidP="00D62AD1">
            <w:pPr>
              <w:pStyle w:val="TableParagraph"/>
              <w:ind w:right="108"/>
              <w:rPr>
                <w:sz w:val="16"/>
                <w:szCs w:val="16"/>
              </w:rPr>
            </w:pPr>
            <w:r w:rsidRPr="006F4CD1">
              <w:rPr>
                <w:spacing w:val="-4"/>
                <w:sz w:val="16"/>
                <w:szCs w:val="16"/>
              </w:rPr>
              <w:t>0.45</w:t>
            </w:r>
          </w:p>
        </w:tc>
        <w:tc>
          <w:tcPr>
            <w:tcW w:w="657" w:type="pct"/>
            <w:tcBorders>
              <w:top w:val="nil"/>
              <w:bottom w:val="nil"/>
              <w:right w:val="double" w:sz="4" w:space="0" w:color="000000"/>
            </w:tcBorders>
          </w:tcPr>
          <w:p w14:paraId="2395E187"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0.51</w:t>
            </w:r>
          </w:p>
        </w:tc>
        <w:tc>
          <w:tcPr>
            <w:tcW w:w="334" w:type="pct"/>
            <w:tcBorders>
              <w:top w:val="nil"/>
              <w:left w:val="double" w:sz="4" w:space="0" w:color="000000"/>
              <w:bottom w:val="nil"/>
            </w:tcBorders>
          </w:tcPr>
          <w:p w14:paraId="47F9BB67" w14:textId="77777777" w:rsidR="00B3500A" w:rsidRPr="006F4CD1" w:rsidRDefault="00B3500A" w:rsidP="00D62AD1">
            <w:pPr>
              <w:pStyle w:val="TableParagraph"/>
              <w:ind w:left="110" w:right="103"/>
              <w:rPr>
                <w:sz w:val="16"/>
                <w:szCs w:val="16"/>
              </w:rPr>
            </w:pPr>
            <w:r w:rsidRPr="006F4CD1">
              <w:rPr>
                <w:spacing w:val="-4"/>
                <w:sz w:val="16"/>
                <w:szCs w:val="16"/>
              </w:rPr>
              <w:t>0.69</w:t>
            </w:r>
          </w:p>
        </w:tc>
        <w:tc>
          <w:tcPr>
            <w:tcW w:w="668" w:type="pct"/>
            <w:tcBorders>
              <w:top w:val="nil"/>
              <w:bottom w:val="nil"/>
            </w:tcBorders>
          </w:tcPr>
          <w:p w14:paraId="52974392" w14:textId="77777777" w:rsidR="00B3500A" w:rsidRPr="006F4CD1" w:rsidRDefault="00B3500A" w:rsidP="00D62AD1">
            <w:pPr>
              <w:pStyle w:val="TableParagraph"/>
              <w:ind w:left="113" w:right="107"/>
              <w:rPr>
                <w:sz w:val="16"/>
                <w:szCs w:val="16"/>
              </w:rPr>
            </w:pPr>
            <w:r w:rsidRPr="006F4CD1">
              <w:rPr>
                <w:spacing w:val="-4"/>
                <w:sz w:val="16"/>
                <w:szCs w:val="16"/>
              </w:rPr>
              <w:t>0.60</w:t>
            </w:r>
          </w:p>
        </w:tc>
        <w:tc>
          <w:tcPr>
            <w:tcW w:w="668" w:type="pct"/>
            <w:tcBorders>
              <w:top w:val="nil"/>
              <w:bottom w:val="nil"/>
            </w:tcBorders>
          </w:tcPr>
          <w:p w14:paraId="10081A20" w14:textId="77777777" w:rsidR="00B3500A" w:rsidRPr="006F4CD1" w:rsidRDefault="00B3500A" w:rsidP="00D62AD1">
            <w:pPr>
              <w:pStyle w:val="TableParagraph"/>
              <w:ind w:right="110"/>
              <w:rPr>
                <w:sz w:val="16"/>
                <w:szCs w:val="16"/>
              </w:rPr>
            </w:pPr>
            <w:r w:rsidRPr="006F4CD1">
              <w:rPr>
                <w:spacing w:val="-4"/>
                <w:sz w:val="16"/>
                <w:szCs w:val="16"/>
              </w:rPr>
              <w:t>0.59</w:t>
            </w:r>
          </w:p>
        </w:tc>
        <w:tc>
          <w:tcPr>
            <w:tcW w:w="668" w:type="pct"/>
            <w:tcBorders>
              <w:top w:val="nil"/>
              <w:bottom w:val="nil"/>
            </w:tcBorders>
          </w:tcPr>
          <w:p w14:paraId="21DEE830" w14:textId="77777777" w:rsidR="00B3500A" w:rsidRPr="006F4CD1" w:rsidRDefault="00B3500A" w:rsidP="00D62AD1">
            <w:pPr>
              <w:pStyle w:val="TableParagraph"/>
              <w:ind w:left="0" w:right="491"/>
              <w:jc w:val="right"/>
              <w:rPr>
                <w:sz w:val="16"/>
                <w:szCs w:val="16"/>
              </w:rPr>
            </w:pPr>
            <w:r w:rsidRPr="006F4CD1">
              <w:rPr>
                <w:spacing w:val="-4"/>
                <w:sz w:val="16"/>
                <w:szCs w:val="16"/>
              </w:rPr>
              <w:t>0.67</w:t>
            </w:r>
          </w:p>
        </w:tc>
      </w:tr>
      <w:tr w:rsidR="00B3500A" w:rsidRPr="006F4CD1" w14:paraId="075638F4" w14:textId="77777777" w:rsidTr="00326B3D">
        <w:trPr>
          <w:trHeight w:val="239"/>
        </w:trPr>
        <w:tc>
          <w:tcPr>
            <w:tcW w:w="388" w:type="pct"/>
            <w:tcBorders>
              <w:top w:val="nil"/>
              <w:left w:val="double" w:sz="4" w:space="0" w:color="000000"/>
              <w:bottom w:val="nil"/>
            </w:tcBorders>
          </w:tcPr>
          <w:p w14:paraId="278AD34D" w14:textId="77777777" w:rsidR="00B3500A" w:rsidRPr="006F4CD1" w:rsidRDefault="00B3500A" w:rsidP="00D62AD1">
            <w:pPr>
              <w:pStyle w:val="TableParagraph"/>
              <w:ind w:left="0" w:right="98"/>
              <w:jc w:val="right"/>
              <w:rPr>
                <w:sz w:val="16"/>
                <w:szCs w:val="16"/>
              </w:rPr>
            </w:pPr>
            <w:r w:rsidRPr="006F4CD1">
              <w:rPr>
                <w:spacing w:val="-4"/>
                <w:sz w:val="16"/>
                <w:szCs w:val="16"/>
              </w:rPr>
              <w:t>2005</w:t>
            </w:r>
          </w:p>
        </w:tc>
        <w:tc>
          <w:tcPr>
            <w:tcW w:w="346" w:type="pct"/>
            <w:tcBorders>
              <w:top w:val="nil"/>
              <w:bottom w:val="nil"/>
            </w:tcBorders>
          </w:tcPr>
          <w:p w14:paraId="13D8F922" w14:textId="77777777" w:rsidR="00B3500A" w:rsidRPr="006F4CD1" w:rsidRDefault="00B3500A" w:rsidP="00D62AD1">
            <w:pPr>
              <w:pStyle w:val="TableParagraph"/>
              <w:ind w:left="98" w:right="90"/>
              <w:rPr>
                <w:sz w:val="16"/>
                <w:szCs w:val="16"/>
              </w:rPr>
            </w:pPr>
            <w:r w:rsidRPr="006F4CD1">
              <w:rPr>
                <w:spacing w:val="-4"/>
                <w:sz w:val="16"/>
                <w:szCs w:val="16"/>
              </w:rPr>
              <w:t>0.51</w:t>
            </w:r>
          </w:p>
        </w:tc>
        <w:tc>
          <w:tcPr>
            <w:tcW w:w="624" w:type="pct"/>
            <w:tcBorders>
              <w:top w:val="nil"/>
              <w:bottom w:val="nil"/>
            </w:tcBorders>
          </w:tcPr>
          <w:p w14:paraId="05DA3DC2" w14:textId="77777777" w:rsidR="00B3500A" w:rsidRPr="006F4CD1" w:rsidRDefault="00B3500A" w:rsidP="00D62AD1">
            <w:pPr>
              <w:pStyle w:val="TableParagraph"/>
              <w:ind w:left="114"/>
              <w:rPr>
                <w:sz w:val="16"/>
                <w:szCs w:val="16"/>
              </w:rPr>
            </w:pPr>
            <w:r w:rsidRPr="006F4CD1">
              <w:rPr>
                <w:spacing w:val="-4"/>
                <w:sz w:val="16"/>
                <w:szCs w:val="16"/>
              </w:rPr>
              <w:t>0.42</w:t>
            </w:r>
          </w:p>
        </w:tc>
        <w:tc>
          <w:tcPr>
            <w:tcW w:w="648" w:type="pct"/>
            <w:tcBorders>
              <w:top w:val="nil"/>
              <w:bottom w:val="nil"/>
            </w:tcBorders>
          </w:tcPr>
          <w:p w14:paraId="207FFBFE" w14:textId="77777777" w:rsidR="00B3500A" w:rsidRPr="006F4CD1" w:rsidRDefault="00B3500A" w:rsidP="00D62AD1">
            <w:pPr>
              <w:pStyle w:val="TableParagraph"/>
              <w:ind w:right="108"/>
              <w:rPr>
                <w:sz w:val="16"/>
                <w:szCs w:val="16"/>
              </w:rPr>
            </w:pPr>
            <w:r w:rsidRPr="006F4CD1">
              <w:rPr>
                <w:spacing w:val="-4"/>
                <w:sz w:val="16"/>
                <w:szCs w:val="16"/>
              </w:rPr>
              <w:t>0.43</w:t>
            </w:r>
          </w:p>
        </w:tc>
        <w:tc>
          <w:tcPr>
            <w:tcW w:w="657" w:type="pct"/>
            <w:tcBorders>
              <w:top w:val="nil"/>
              <w:bottom w:val="nil"/>
              <w:right w:val="double" w:sz="4" w:space="0" w:color="000000"/>
            </w:tcBorders>
          </w:tcPr>
          <w:p w14:paraId="68F301CF"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0.49</w:t>
            </w:r>
          </w:p>
        </w:tc>
        <w:tc>
          <w:tcPr>
            <w:tcW w:w="334" w:type="pct"/>
            <w:tcBorders>
              <w:top w:val="nil"/>
              <w:left w:val="double" w:sz="4" w:space="0" w:color="000000"/>
              <w:bottom w:val="nil"/>
            </w:tcBorders>
          </w:tcPr>
          <w:p w14:paraId="4D99476D" w14:textId="77777777" w:rsidR="00B3500A" w:rsidRPr="006F4CD1" w:rsidRDefault="00B3500A" w:rsidP="00D62AD1">
            <w:pPr>
              <w:pStyle w:val="TableParagraph"/>
              <w:ind w:left="110" w:right="103"/>
              <w:rPr>
                <w:sz w:val="16"/>
                <w:szCs w:val="16"/>
              </w:rPr>
            </w:pPr>
            <w:r w:rsidRPr="006F4CD1">
              <w:rPr>
                <w:spacing w:val="-4"/>
                <w:sz w:val="16"/>
                <w:szCs w:val="16"/>
              </w:rPr>
              <w:t>0.68</w:t>
            </w:r>
          </w:p>
        </w:tc>
        <w:tc>
          <w:tcPr>
            <w:tcW w:w="668" w:type="pct"/>
            <w:tcBorders>
              <w:top w:val="nil"/>
              <w:bottom w:val="nil"/>
            </w:tcBorders>
          </w:tcPr>
          <w:p w14:paraId="0C5609A7" w14:textId="77777777" w:rsidR="00B3500A" w:rsidRPr="006F4CD1" w:rsidRDefault="00B3500A" w:rsidP="00D62AD1">
            <w:pPr>
              <w:pStyle w:val="TableParagraph"/>
              <w:ind w:left="113" w:right="107"/>
              <w:rPr>
                <w:sz w:val="16"/>
                <w:szCs w:val="16"/>
              </w:rPr>
            </w:pPr>
            <w:r w:rsidRPr="006F4CD1">
              <w:rPr>
                <w:spacing w:val="-4"/>
                <w:sz w:val="16"/>
                <w:szCs w:val="16"/>
              </w:rPr>
              <w:t>0.59</w:t>
            </w:r>
          </w:p>
        </w:tc>
        <w:tc>
          <w:tcPr>
            <w:tcW w:w="668" w:type="pct"/>
            <w:tcBorders>
              <w:top w:val="nil"/>
              <w:bottom w:val="nil"/>
            </w:tcBorders>
          </w:tcPr>
          <w:p w14:paraId="5BBCF21B" w14:textId="77777777" w:rsidR="00B3500A" w:rsidRPr="006F4CD1" w:rsidRDefault="00B3500A" w:rsidP="00D62AD1">
            <w:pPr>
              <w:pStyle w:val="TableParagraph"/>
              <w:ind w:right="110"/>
              <w:rPr>
                <w:sz w:val="16"/>
                <w:szCs w:val="16"/>
              </w:rPr>
            </w:pPr>
            <w:r w:rsidRPr="006F4CD1">
              <w:rPr>
                <w:spacing w:val="-4"/>
                <w:sz w:val="16"/>
                <w:szCs w:val="16"/>
              </w:rPr>
              <w:t>0.58</w:t>
            </w:r>
          </w:p>
        </w:tc>
        <w:tc>
          <w:tcPr>
            <w:tcW w:w="668" w:type="pct"/>
            <w:tcBorders>
              <w:top w:val="nil"/>
              <w:bottom w:val="nil"/>
            </w:tcBorders>
          </w:tcPr>
          <w:p w14:paraId="7AA0D69D" w14:textId="77777777" w:rsidR="00B3500A" w:rsidRPr="006F4CD1" w:rsidRDefault="00B3500A" w:rsidP="00D62AD1">
            <w:pPr>
              <w:pStyle w:val="TableParagraph"/>
              <w:ind w:left="0" w:right="491"/>
              <w:jc w:val="right"/>
              <w:rPr>
                <w:sz w:val="16"/>
                <w:szCs w:val="16"/>
              </w:rPr>
            </w:pPr>
            <w:r w:rsidRPr="006F4CD1">
              <w:rPr>
                <w:spacing w:val="-4"/>
                <w:sz w:val="16"/>
                <w:szCs w:val="16"/>
              </w:rPr>
              <w:t>0.67</w:t>
            </w:r>
          </w:p>
        </w:tc>
      </w:tr>
      <w:tr w:rsidR="00B3500A" w:rsidRPr="006F4CD1" w14:paraId="588EF343" w14:textId="77777777" w:rsidTr="00326B3D">
        <w:trPr>
          <w:trHeight w:val="239"/>
        </w:trPr>
        <w:tc>
          <w:tcPr>
            <w:tcW w:w="388" w:type="pct"/>
            <w:tcBorders>
              <w:top w:val="nil"/>
              <w:left w:val="double" w:sz="4" w:space="0" w:color="000000"/>
              <w:bottom w:val="nil"/>
            </w:tcBorders>
          </w:tcPr>
          <w:p w14:paraId="11D39C1F" w14:textId="77777777" w:rsidR="00B3500A" w:rsidRPr="006F4CD1" w:rsidRDefault="00B3500A" w:rsidP="00D62AD1">
            <w:pPr>
              <w:pStyle w:val="TableParagraph"/>
              <w:ind w:left="0" w:right="98"/>
              <w:jc w:val="right"/>
              <w:rPr>
                <w:sz w:val="16"/>
                <w:szCs w:val="16"/>
              </w:rPr>
            </w:pPr>
            <w:r w:rsidRPr="006F4CD1">
              <w:rPr>
                <w:spacing w:val="-4"/>
                <w:sz w:val="16"/>
                <w:szCs w:val="16"/>
              </w:rPr>
              <w:t>2006</w:t>
            </w:r>
          </w:p>
        </w:tc>
        <w:tc>
          <w:tcPr>
            <w:tcW w:w="346" w:type="pct"/>
            <w:tcBorders>
              <w:top w:val="nil"/>
              <w:bottom w:val="nil"/>
            </w:tcBorders>
          </w:tcPr>
          <w:p w14:paraId="7E18FC91" w14:textId="77777777" w:rsidR="00B3500A" w:rsidRPr="006F4CD1" w:rsidRDefault="00B3500A" w:rsidP="00D62AD1">
            <w:pPr>
              <w:pStyle w:val="TableParagraph"/>
              <w:ind w:left="98" w:right="90"/>
              <w:rPr>
                <w:sz w:val="16"/>
                <w:szCs w:val="16"/>
              </w:rPr>
            </w:pPr>
            <w:r w:rsidRPr="006F4CD1">
              <w:rPr>
                <w:spacing w:val="-4"/>
                <w:sz w:val="16"/>
                <w:szCs w:val="16"/>
              </w:rPr>
              <w:t>0.47</w:t>
            </w:r>
          </w:p>
        </w:tc>
        <w:tc>
          <w:tcPr>
            <w:tcW w:w="624" w:type="pct"/>
            <w:tcBorders>
              <w:top w:val="nil"/>
              <w:bottom w:val="nil"/>
            </w:tcBorders>
          </w:tcPr>
          <w:p w14:paraId="1F9E466E" w14:textId="77777777" w:rsidR="00B3500A" w:rsidRPr="006F4CD1" w:rsidRDefault="00B3500A" w:rsidP="00D62AD1">
            <w:pPr>
              <w:pStyle w:val="TableParagraph"/>
              <w:ind w:left="114"/>
              <w:rPr>
                <w:sz w:val="16"/>
                <w:szCs w:val="16"/>
              </w:rPr>
            </w:pPr>
            <w:r w:rsidRPr="006F4CD1">
              <w:rPr>
                <w:spacing w:val="-4"/>
                <w:sz w:val="16"/>
                <w:szCs w:val="16"/>
              </w:rPr>
              <w:t>0.41</w:t>
            </w:r>
          </w:p>
        </w:tc>
        <w:tc>
          <w:tcPr>
            <w:tcW w:w="648" w:type="pct"/>
            <w:tcBorders>
              <w:top w:val="nil"/>
              <w:bottom w:val="nil"/>
            </w:tcBorders>
          </w:tcPr>
          <w:p w14:paraId="1600B844" w14:textId="77777777" w:rsidR="00B3500A" w:rsidRPr="006F4CD1" w:rsidRDefault="00B3500A" w:rsidP="00D62AD1">
            <w:pPr>
              <w:pStyle w:val="TableParagraph"/>
              <w:ind w:right="108"/>
              <w:rPr>
                <w:sz w:val="16"/>
                <w:szCs w:val="16"/>
              </w:rPr>
            </w:pPr>
            <w:r w:rsidRPr="006F4CD1">
              <w:rPr>
                <w:spacing w:val="-4"/>
                <w:sz w:val="16"/>
                <w:szCs w:val="16"/>
              </w:rPr>
              <w:t>0.40</w:t>
            </w:r>
          </w:p>
        </w:tc>
        <w:tc>
          <w:tcPr>
            <w:tcW w:w="657" w:type="pct"/>
            <w:tcBorders>
              <w:top w:val="nil"/>
              <w:bottom w:val="nil"/>
              <w:right w:val="double" w:sz="4" w:space="0" w:color="000000"/>
            </w:tcBorders>
          </w:tcPr>
          <w:p w14:paraId="34A9B510"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0.46</w:t>
            </w:r>
          </w:p>
        </w:tc>
        <w:tc>
          <w:tcPr>
            <w:tcW w:w="334" w:type="pct"/>
            <w:tcBorders>
              <w:top w:val="nil"/>
              <w:left w:val="double" w:sz="4" w:space="0" w:color="000000"/>
              <w:bottom w:val="nil"/>
            </w:tcBorders>
          </w:tcPr>
          <w:p w14:paraId="6D93EEAB" w14:textId="77777777" w:rsidR="00B3500A" w:rsidRPr="006F4CD1" w:rsidRDefault="00B3500A" w:rsidP="00D62AD1">
            <w:pPr>
              <w:pStyle w:val="TableParagraph"/>
              <w:ind w:left="110" w:right="103"/>
              <w:rPr>
                <w:sz w:val="16"/>
                <w:szCs w:val="16"/>
              </w:rPr>
            </w:pPr>
            <w:r w:rsidRPr="006F4CD1">
              <w:rPr>
                <w:spacing w:val="-4"/>
                <w:sz w:val="16"/>
                <w:szCs w:val="16"/>
              </w:rPr>
              <w:t>0.66</w:t>
            </w:r>
          </w:p>
        </w:tc>
        <w:tc>
          <w:tcPr>
            <w:tcW w:w="668" w:type="pct"/>
            <w:tcBorders>
              <w:top w:val="nil"/>
              <w:bottom w:val="nil"/>
            </w:tcBorders>
          </w:tcPr>
          <w:p w14:paraId="5F37F760" w14:textId="77777777" w:rsidR="00B3500A" w:rsidRPr="006F4CD1" w:rsidRDefault="00B3500A" w:rsidP="00D62AD1">
            <w:pPr>
              <w:pStyle w:val="TableParagraph"/>
              <w:ind w:left="113" w:right="107"/>
              <w:rPr>
                <w:sz w:val="16"/>
                <w:szCs w:val="16"/>
              </w:rPr>
            </w:pPr>
            <w:r w:rsidRPr="006F4CD1">
              <w:rPr>
                <w:spacing w:val="-4"/>
                <w:sz w:val="16"/>
                <w:szCs w:val="16"/>
              </w:rPr>
              <w:t>0.58</w:t>
            </w:r>
          </w:p>
        </w:tc>
        <w:tc>
          <w:tcPr>
            <w:tcW w:w="668" w:type="pct"/>
            <w:tcBorders>
              <w:top w:val="nil"/>
              <w:bottom w:val="nil"/>
            </w:tcBorders>
          </w:tcPr>
          <w:p w14:paraId="011A1564" w14:textId="77777777" w:rsidR="00B3500A" w:rsidRPr="006F4CD1" w:rsidRDefault="00B3500A" w:rsidP="00D62AD1">
            <w:pPr>
              <w:pStyle w:val="TableParagraph"/>
              <w:ind w:right="110"/>
              <w:rPr>
                <w:sz w:val="16"/>
                <w:szCs w:val="16"/>
              </w:rPr>
            </w:pPr>
            <w:r w:rsidRPr="006F4CD1">
              <w:rPr>
                <w:spacing w:val="-4"/>
                <w:sz w:val="16"/>
                <w:szCs w:val="16"/>
              </w:rPr>
              <w:t>0.57</w:t>
            </w:r>
          </w:p>
        </w:tc>
        <w:tc>
          <w:tcPr>
            <w:tcW w:w="668" w:type="pct"/>
            <w:tcBorders>
              <w:top w:val="nil"/>
              <w:bottom w:val="nil"/>
            </w:tcBorders>
          </w:tcPr>
          <w:p w14:paraId="60B345F0" w14:textId="77777777" w:rsidR="00B3500A" w:rsidRPr="006F4CD1" w:rsidRDefault="00B3500A" w:rsidP="00D62AD1">
            <w:pPr>
              <w:pStyle w:val="TableParagraph"/>
              <w:ind w:left="0" w:right="491"/>
              <w:jc w:val="right"/>
              <w:rPr>
                <w:sz w:val="16"/>
                <w:szCs w:val="16"/>
              </w:rPr>
            </w:pPr>
            <w:r w:rsidRPr="006F4CD1">
              <w:rPr>
                <w:spacing w:val="-4"/>
                <w:sz w:val="16"/>
                <w:szCs w:val="16"/>
              </w:rPr>
              <w:t>0.65</w:t>
            </w:r>
          </w:p>
        </w:tc>
      </w:tr>
      <w:tr w:rsidR="00B3500A" w:rsidRPr="006F4CD1" w14:paraId="2B71D0DC" w14:textId="77777777" w:rsidTr="00326B3D">
        <w:trPr>
          <w:trHeight w:val="239"/>
        </w:trPr>
        <w:tc>
          <w:tcPr>
            <w:tcW w:w="388" w:type="pct"/>
            <w:tcBorders>
              <w:top w:val="nil"/>
              <w:left w:val="double" w:sz="4" w:space="0" w:color="000000"/>
              <w:bottom w:val="nil"/>
            </w:tcBorders>
          </w:tcPr>
          <w:p w14:paraId="7F1725EE" w14:textId="77777777" w:rsidR="00B3500A" w:rsidRPr="006F4CD1" w:rsidRDefault="00B3500A" w:rsidP="00D62AD1">
            <w:pPr>
              <w:pStyle w:val="TableParagraph"/>
              <w:ind w:left="0" w:right="98"/>
              <w:jc w:val="right"/>
              <w:rPr>
                <w:sz w:val="16"/>
                <w:szCs w:val="16"/>
              </w:rPr>
            </w:pPr>
            <w:r w:rsidRPr="006F4CD1">
              <w:rPr>
                <w:spacing w:val="-4"/>
                <w:sz w:val="16"/>
                <w:szCs w:val="16"/>
              </w:rPr>
              <w:t>2007</w:t>
            </w:r>
          </w:p>
        </w:tc>
        <w:tc>
          <w:tcPr>
            <w:tcW w:w="346" w:type="pct"/>
            <w:tcBorders>
              <w:top w:val="nil"/>
              <w:bottom w:val="nil"/>
            </w:tcBorders>
          </w:tcPr>
          <w:p w14:paraId="36171E70" w14:textId="77777777" w:rsidR="00B3500A" w:rsidRPr="006F4CD1" w:rsidRDefault="00B3500A" w:rsidP="00D62AD1">
            <w:pPr>
              <w:pStyle w:val="TableParagraph"/>
              <w:ind w:left="98" w:right="90"/>
              <w:rPr>
                <w:sz w:val="16"/>
                <w:szCs w:val="16"/>
              </w:rPr>
            </w:pPr>
            <w:r w:rsidRPr="006F4CD1">
              <w:rPr>
                <w:spacing w:val="-4"/>
                <w:sz w:val="16"/>
                <w:szCs w:val="16"/>
              </w:rPr>
              <w:t>0.48</w:t>
            </w:r>
          </w:p>
        </w:tc>
        <w:tc>
          <w:tcPr>
            <w:tcW w:w="624" w:type="pct"/>
            <w:tcBorders>
              <w:top w:val="nil"/>
              <w:bottom w:val="nil"/>
            </w:tcBorders>
          </w:tcPr>
          <w:p w14:paraId="2FF775A5" w14:textId="77777777" w:rsidR="00B3500A" w:rsidRPr="006F4CD1" w:rsidRDefault="00B3500A" w:rsidP="00D62AD1">
            <w:pPr>
              <w:pStyle w:val="TableParagraph"/>
              <w:ind w:left="114"/>
              <w:rPr>
                <w:sz w:val="16"/>
                <w:szCs w:val="16"/>
              </w:rPr>
            </w:pPr>
            <w:r w:rsidRPr="006F4CD1">
              <w:rPr>
                <w:spacing w:val="-4"/>
                <w:sz w:val="16"/>
                <w:szCs w:val="16"/>
              </w:rPr>
              <w:t>0.41</w:t>
            </w:r>
          </w:p>
        </w:tc>
        <w:tc>
          <w:tcPr>
            <w:tcW w:w="648" w:type="pct"/>
            <w:tcBorders>
              <w:top w:val="nil"/>
              <w:bottom w:val="nil"/>
            </w:tcBorders>
          </w:tcPr>
          <w:p w14:paraId="4369154E" w14:textId="77777777" w:rsidR="00B3500A" w:rsidRPr="006F4CD1" w:rsidRDefault="00B3500A" w:rsidP="00D62AD1">
            <w:pPr>
              <w:pStyle w:val="TableParagraph"/>
              <w:ind w:right="108"/>
              <w:rPr>
                <w:sz w:val="16"/>
                <w:szCs w:val="16"/>
              </w:rPr>
            </w:pPr>
            <w:r w:rsidRPr="006F4CD1">
              <w:rPr>
                <w:spacing w:val="-4"/>
                <w:sz w:val="16"/>
                <w:szCs w:val="16"/>
              </w:rPr>
              <w:t>0.40</w:t>
            </w:r>
          </w:p>
        </w:tc>
        <w:tc>
          <w:tcPr>
            <w:tcW w:w="657" w:type="pct"/>
            <w:tcBorders>
              <w:top w:val="nil"/>
              <w:bottom w:val="nil"/>
              <w:right w:val="double" w:sz="4" w:space="0" w:color="000000"/>
            </w:tcBorders>
          </w:tcPr>
          <w:p w14:paraId="31632D6D"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0.47</w:t>
            </w:r>
          </w:p>
        </w:tc>
        <w:tc>
          <w:tcPr>
            <w:tcW w:w="334" w:type="pct"/>
            <w:tcBorders>
              <w:top w:val="nil"/>
              <w:left w:val="double" w:sz="4" w:space="0" w:color="000000"/>
              <w:bottom w:val="nil"/>
            </w:tcBorders>
          </w:tcPr>
          <w:p w14:paraId="44D26B24" w14:textId="77777777" w:rsidR="00B3500A" w:rsidRPr="006F4CD1" w:rsidRDefault="00B3500A" w:rsidP="00D62AD1">
            <w:pPr>
              <w:pStyle w:val="TableParagraph"/>
              <w:ind w:left="110" w:right="103"/>
              <w:rPr>
                <w:sz w:val="16"/>
                <w:szCs w:val="16"/>
              </w:rPr>
            </w:pPr>
            <w:r w:rsidRPr="006F4CD1">
              <w:rPr>
                <w:spacing w:val="-4"/>
                <w:sz w:val="16"/>
                <w:szCs w:val="16"/>
              </w:rPr>
              <w:t>0.68</w:t>
            </w:r>
          </w:p>
        </w:tc>
        <w:tc>
          <w:tcPr>
            <w:tcW w:w="668" w:type="pct"/>
            <w:tcBorders>
              <w:top w:val="nil"/>
              <w:bottom w:val="nil"/>
            </w:tcBorders>
          </w:tcPr>
          <w:p w14:paraId="576514ED" w14:textId="77777777" w:rsidR="00B3500A" w:rsidRPr="006F4CD1" w:rsidRDefault="00B3500A" w:rsidP="00D62AD1">
            <w:pPr>
              <w:pStyle w:val="TableParagraph"/>
              <w:ind w:left="113" w:right="107"/>
              <w:rPr>
                <w:sz w:val="16"/>
                <w:szCs w:val="16"/>
              </w:rPr>
            </w:pPr>
            <w:r w:rsidRPr="006F4CD1">
              <w:rPr>
                <w:spacing w:val="-4"/>
                <w:sz w:val="16"/>
                <w:szCs w:val="16"/>
              </w:rPr>
              <w:t>0.60</w:t>
            </w:r>
          </w:p>
        </w:tc>
        <w:tc>
          <w:tcPr>
            <w:tcW w:w="668" w:type="pct"/>
            <w:tcBorders>
              <w:top w:val="nil"/>
              <w:bottom w:val="nil"/>
            </w:tcBorders>
          </w:tcPr>
          <w:p w14:paraId="5BE0A190" w14:textId="77777777" w:rsidR="00B3500A" w:rsidRPr="006F4CD1" w:rsidRDefault="00B3500A" w:rsidP="00D62AD1">
            <w:pPr>
              <w:pStyle w:val="TableParagraph"/>
              <w:ind w:right="110"/>
              <w:rPr>
                <w:sz w:val="16"/>
                <w:szCs w:val="16"/>
              </w:rPr>
            </w:pPr>
            <w:r w:rsidRPr="006F4CD1">
              <w:rPr>
                <w:spacing w:val="-4"/>
                <w:sz w:val="16"/>
                <w:szCs w:val="16"/>
              </w:rPr>
              <w:t>0.58</w:t>
            </w:r>
          </w:p>
        </w:tc>
        <w:tc>
          <w:tcPr>
            <w:tcW w:w="668" w:type="pct"/>
            <w:tcBorders>
              <w:top w:val="nil"/>
              <w:bottom w:val="nil"/>
            </w:tcBorders>
          </w:tcPr>
          <w:p w14:paraId="53A2E681" w14:textId="77777777" w:rsidR="00B3500A" w:rsidRPr="006F4CD1" w:rsidRDefault="00B3500A" w:rsidP="00D62AD1">
            <w:pPr>
              <w:pStyle w:val="TableParagraph"/>
              <w:ind w:left="0" w:right="491"/>
              <w:jc w:val="right"/>
              <w:rPr>
                <w:sz w:val="16"/>
                <w:szCs w:val="16"/>
              </w:rPr>
            </w:pPr>
            <w:r w:rsidRPr="006F4CD1">
              <w:rPr>
                <w:spacing w:val="-4"/>
                <w:sz w:val="16"/>
                <w:szCs w:val="16"/>
              </w:rPr>
              <w:t>0.67</w:t>
            </w:r>
          </w:p>
        </w:tc>
      </w:tr>
      <w:tr w:rsidR="00B3500A" w:rsidRPr="006F4CD1" w14:paraId="0C3D1352" w14:textId="77777777" w:rsidTr="00326B3D">
        <w:trPr>
          <w:trHeight w:val="239"/>
        </w:trPr>
        <w:tc>
          <w:tcPr>
            <w:tcW w:w="388" w:type="pct"/>
            <w:tcBorders>
              <w:top w:val="nil"/>
              <w:left w:val="double" w:sz="4" w:space="0" w:color="000000"/>
              <w:bottom w:val="nil"/>
            </w:tcBorders>
          </w:tcPr>
          <w:p w14:paraId="48665446" w14:textId="77777777" w:rsidR="00B3500A" w:rsidRPr="006F4CD1" w:rsidRDefault="00B3500A" w:rsidP="00D62AD1">
            <w:pPr>
              <w:pStyle w:val="TableParagraph"/>
              <w:ind w:left="0" w:right="98"/>
              <w:jc w:val="right"/>
              <w:rPr>
                <w:sz w:val="16"/>
                <w:szCs w:val="16"/>
              </w:rPr>
            </w:pPr>
            <w:r w:rsidRPr="006F4CD1">
              <w:rPr>
                <w:spacing w:val="-4"/>
                <w:sz w:val="16"/>
                <w:szCs w:val="16"/>
              </w:rPr>
              <w:t>2008</w:t>
            </w:r>
          </w:p>
        </w:tc>
        <w:tc>
          <w:tcPr>
            <w:tcW w:w="346" w:type="pct"/>
            <w:tcBorders>
              <w:top w:val="nil"/>
              <w:bottom w:val="nil"/>
            </w:tcBorders>
          </w:tcPr>
          <w:p w14:paraId="18BBDECB" w14:textId="77777777" w:rsidR="00B3500A" w:rsidRPr="006F4CD1" w:rsidRDefault="00B3500A" w:rsidP="00D62AD1">
            <w:pPr>
              <w:pStyle w:val="TableParagraph"/>
              <w:ind w:left="98" w:right="90"/>
              <w:rPr>
                <w:sz w:val="16"/>
                <w:szCs w:val="16"/>
              </w:rPr>
            </w:pPr>
            <w:r w:rsidRPr="006F4CD1">
              <w:rPr>
                <w:spacing w:val="-4"/>
                <w:sz w:val="16"/>
                <w:szCs w:val="16"/>
              </w:rPr>
              <w:t>0.49</w:t>
            </w:r>
          </w:p>
        </w:tc>
        <w:tc>
          <w:tcPr>
            <w:tcW w:w="624" w:type="pct"/>
            <w:tcBorders>
              <w:top w:val="nil"/>
              <w:bottom w:val="nil"/>
            </w:tcBorders>
          </w:tcPr>
          <w:p w14:paraId="7A5ED1A8" w14:textId="77777777" w:rsidR="00B3500A" w:rsidRPr="006F4CD1" w:rsidRDefault="00B3500A" w:rsidP="00D62AD1">
            <w:pPr>
              <w:pStyle w:val="TableParagraph"/>
              <w:ind w:left="114"/>
              <w:rPr>
                <w:sz w:val="16"/>
                <w:szCs w:val="16"/>
              </w:rPr>
            </w:pPr>
            <w:r w:rsidRPr="006F4CD1">
              <w:rPr>
                <w:spacing w:val="-4"/>
                <w:sz w:val="16"/>
                <w:szCs w:val="16"/>
              </w:rPr>
              <w:t>0.39</w:t>
            </w:r>
          </w:p>
        </w:tc>
        <w:tc>
          <w:tcPr>
            <w:tcW w:w="648" w:type="pct"/>
            <w:tcBorders>
              <w:top w:val="nil"/>
              <w:bottom w:val="nil"/>
            </w:tcBorders>
          </w:tcPr>
          <w:p w14:paraId="229E17EA" w14:textId="77777777" w:rsidR="00B3500A" w:rsidRPr="006F4CD1" w:rsidRDefault="00B3500A" w:rsidP="00D62AD1">
            <w:pPr>
              <w:pStyle w:val="TableParagraph"/>
              <w:ind w:right="108"/>
              <w:rPr>
                <w:sz w:val="16"/>
                <w:szCs w:val="16"/>
              </w:rPr>
            </w:pPr>
            <w:r w:rsidRPr="006F4CD1">
              <w:rPr>
                <w:spacing w:val="-4"/>
                <w:sz w:val="16"/>
                <w:szCs w:val="16"/>
              </w:rPr>
              <w:t>0.41</w:t>
            </w:r>
          </w:p>
        </w:tc>
        <w:tc>
          <w:tcPr>
            <w:tcW w:w="657" w:type="pct"/>
            <w:tcBorders>
              <w:top w:val="nil"/>
              <w:bottom w:val="nil"/>
              <w:right w:val="double" w:sz="4" w:space="0" w:color="000000"/>
            </w:tcBorders>
          </w:tcPr>
          <w:p w14:paraId="2608257B"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0.47</w:t>
            </w:r>
          </w:p>
        </w:tc>
        <w:tc>
          <w:tcPr>
            <w:tcW w:w="334" w:type="pct"/>
            <w:tcBorders>
              <w:top w:val="nil"/>
              <w:left w:val="double" w:sz="4" w:space="0" w:color="000000"/>
              <w:bottom w:val="nil"/>
            </w:tcBorders>
          </w:tcPr>
          <w:p w14:paraId="21929F60" w14:textId="77777777" w:rsidR="00B3500A" w:rsidRPr="006F4CD1" w:rsidRDefault="00B3500A" w:rsidP="00D62AD1">
            <w:pPr>
              <w:pStyle w:val="TableParagraph"/>
              <w:ind w:left="110" w:right="103"/>
              <w:rPr>
                <w:sz w:val="16"/>
                <w:szCs w:val="16"/>
              </w:rPr>
            </w:pPr>
            <w:r w:rsidRPr="006F4CD1">
              <w:rPr>
                <w:spacing w:val="-4"/>
                <w:sz w:val="16"/>
                <w:szCs w:val="16"/>
              </w:rPr>
              <w:t>0.68</w:t>
            </w:r>
          </w:p>
        </w:tc>
        <w:tc>
          <w:tcPr>
            <w:tcW w:w="668" w:type="pct"/>
            <w:tcBorders>
              <w:top w:val="nil"/>
              <w:bottom w:val="nil"/>
            </w:tcBorders>
          </w:tcPr>
          <w:p w14:paraId="10F8E87D" w14:textId="77777777" w:rsidR="00B3500A" w:rsidRPr="006F4CD1" w:rsidRDefault="00B3500A" w:rsidP="00D62AD1">
            <w:pPr>
              <w:pStyle w:val="TableParagraph"/>
              <w:ind w:left="113" w:right="107"/>
              <w:rPr>
                <w:sz w:val="16"/>
                <w:szCs w:val="16"/>
              </w:rPr>
            </w:pPr>
            <w:r w:rsidRPr="006F4CD1">
              <w:rPr>
                <w:spacing w:val="-4"/>
                <w:sz w:val="16"/>
                <w:szCs w:val="16"/>
              </w:rPr>
              <w:t>0.57</w:t>
            </w:r>
          </w:p>
        </w:tc>
        <w:tc>
          <w:tcPr>
            <w:tcW w:w="668" w:type="pct"/>
            <w:tcBorders>
              <w:top w:val="nil"/>
              <w:bottom w:val="nil"/>
            </w:tcBorders>
          </w:tcPr>
          <w:p w14:paraId="37FBC93F" w14:textId="77777777" w:rsidR="00B3500A" w:rsidRPr="006F4CD1" w:rsidRDefault="00B3500A" w:rsidP="00D62AD1">
            <w:pPr>
              <w:pStyle w:val="TableParagraph"/>
              <w:ind w:right="110"/>
              <w:rPr>
                <w:sz w:val="16"/>
                <w:szCs w:val="16"/>
              </w:rPr>
            </w:pPr>
            <w:r w:rsidRPr="006F4CD1">
              <w:rPr>
                <w:spacing w:val="-4"/>
                <w:sz w:val="16"/>
                <w:szCs w:val="16"/>
              </w:rPr>
              <w:t>0.57</w:t>
            </w:r>
          </w:p>
        </w:tc>
        <w:tc>
          <w:tcPr>
            <w:tcW w:w="668" w:type="pct"/>
            <w:tcBorders>
              <w:top w:val="nil"/>
              <w:bottom w:val="nil"/>
            </w:tcBorders>
          </w:tcPr>
          <w:p w14:paraId="51643473" w14:textId="77777777" w:rsidR="00B3500A" w:rsidRPr="006F4CD1" w:rsidRDefault="00B3500A" w:rsidP="00D62AD1">
            <w:pPr>
              <w:pStyle w:val="TableParagraph"/>
              <w:ind w:left="0" w:right="491"/>
              <w:jc w:val="right"/>
              <w:rPr>
                <w:sz w:val="16"/>
                <w:szCs w:val="16"/>
              </w:rPr>
            </w:pPr>
            <w:r w:rsidRPr="006F4CD1">
              <w:rPr>
                <w:spacing w:val="-4"/>
                <w:sz w:val="16"/>
                <w:szCs w:val="16"/>
              </w:rPr>
              <w:t>0.67</w:t>
            </w:r>
          </w:p>
        </w:tc>
      </w:tr>
      <w:tr w:rsidR="00B3500A" w:rsidRPr="006F4CD1" w14:paraId="7032E7BF" w14:textId="77777777" w:rsidTr="00326B3D">
        <w:trPr>
          <w:trHeight w:val="239"/>
        </w:trPr>
        <w:tc>
          <w:tcPr>
            <w:tcW w:w="388" w:type="pct"/>
            <w:tcBorders>
              <w:top w:val="nil"/>
              <w:left w:val="double" w:sz="4" w:space="0" w:color="000000"/>
              <w:bottom w:val="nil"/>
            </w:tcBorders>
          </w:tcPr>
          <w:p w14:paraId="1E1AE7B7" w14:textId="77777777" w:rsidR="00B3500A" w:rsidRPr="006F4CD1" w:rsidRDefault="00B3500A" w:rsidP="00D62AD1">
            <w:pPr>
              <w:pStyle w:val="TableParagraph"/>
              <w:ind w:left="0" w:right="98"/>
              <w:jc w:val="right"/>
              <w:rPr>
                <w:sz w:val="16"/>
                <w:szCs w:val="16"/>
              </w:rPr>
            </w:pPr>
            <w:r w:rsidRPr="006F4CD1">
              <w:rPr>
                <w:spacing w:val="-4"/>
                <w:sz w:val="16"/>
                <w:szCs w:val="16"/>
              </w:rPr>
              <w:t>2009</w:t>
            </w:r>
          </w:p>
        </w:tc>
        <w:tc>
          <w:tcPr>
            <w:tcW w:w="346" w:type="pct"/>
            <w:tcBorders>
              <w:top w:val="nil"/>
              <w:bottom w:val="nil"/>
            </w:tcBorders>
          </w:tcPr>
          <w:p w14:paraId="0938106E" w14:textId="77777777" w:rsidR="00B3500A" w:rsidRPr="006F4CD1" w:rsidRDefault="00B3500A" w:rsidP="00D62AD1">
            <w:pPr>
              <w:pStyle w:val="TableParagraph"/>
              <w:ind w:left="98" w:right="90"/>
              <w:rPr>
                <w:sz w:val="16"/>
                <w:szCs w:val="16"/>
              </w:rPr>
            </w:pPr>
            <w:r w:rsidRPr="006F4CD1">
              <w:rPr>
                <w:spacing w:val="-4"/>
                <w:sz w:val="16"/>
                <w:szCs w:val="16"/>
              </w:rPr>
              <w:t>0.48</w:t>
            </w:r>
          </w:p>
        </w:tc>
        <w:tc>
          <w:tcPr>
            <w:tcW w:w="624" w:type="pct"/>
            <w:tcBorders>
              <w:top w:val="nil"/>
              <w:bottom w:val="nil"/>
            </w:tcBorders>
          </w:tcPr>
          <w:p w14:paraId="46DB013C" w14:textId="77777777" w:rsidR="00B3500A" w:rsidRPr="006F4CD1" w:rsidRDefault="00B3500A" w:rsidP="00D62AD1">
            <w:pPr>
              <w:pStyle w:val="TableParagraph"/>
              <w:ind w:left="114"/>
              <w:rPr>
                <w:sz w:val="16"/>
                <w:szCs w:val="16"/>
              </w:rPr>
            </w:pPr>
            <w:r w:rsidRPr="006F4CD1">
              <w:rPr>
                <w:spacing w:val="-4"/>
                <w:sz w:val="16"/>
                <w:szCs w:val="16"/>
              </w:rPr>
              <w:t>0.42</w:t>
            </w:r>
          </w:p>
        </w:tc>
        <w:tc>
          <w:tcPr>
            <w:tcW w:w="648" w:type="pct"/>
            <w:tcBorders>
              <w:top w:val="nil"/>
              <w:bottom w:val="nil"/>
            </w:tcBorders>
          </w:tcPr>
          <w:p w14:paraId="5ACB3A41" w14:textId="77777777" w:rsidR="00B3500A" w:rsidRPr="006F4CD1" w:rsidRDefault="00B3500A" w:rsidP="00D62AD1">
            <w:pPr>
              <w:pStyle w:val="TableParagraph"/>
              <w:ind w:right="108"/>
              <w:rPr>
                <w:sz w:val="16"/>
                <w:szCs w:val="16"/>
              </w:rPr>
            </w:pPr>
            <w:r w:rsidRPr="006F4CD1">
              <w:rPr>
                <w:spacing w:val="-4"/>
                <w:sz w:val="16"/>
                <w:szCs w:val="16"/>
              </w:rPr>
              <w:t>0.41</w:t>
            </w:r>
          </w:p>
        </w:tc>
        <w:tc>
          <w:tcPr>
            <w:tcW w:w="657" w:type="pct"/>
            <w:tcBorders>
              <w:top w:val="nil"/>
              <w:bottom w:val="nil"/>
              <w:right w:val="double" w:sz="4" w:space="0" w:color="000000"/>
            </w:tcBorders>
          </w:tcPr>
          <w:p w14:paraId="4186B930"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0.48</w:t>
            </w:r>
          </w:p>
        </w:tc>
        <w:tc>
          <w:tcPr>
            <w:tcW w:w="334" w:type="pct"/>
            <w:tcBorders>
              <w:top w:val="nil"/>
              <w:left w:val="double" w:sz="4" w:space="0" w:color="000000"/>
              <w:bottom w:val="nil"/>
            </w:tcBorders>
          </w:tcPr>
          <w:p w14:paraId="687B3DA7" w14:textId="77777777" w:rsidR="00B3500A" w:rsidRPr="006F4CD1" w:rsidRDefault="00B3500A" w:rsidP="00D62AD1">
            <w:pPr>
              <w:pStyle w:val="TableParagraph"/>
              <w:ind w:left="110" w:right="103"/>
              <w:rPr>
                <w:sz w:val="16"/>
                <w:szCs w:val="16"/>
              </w:rPr>
            </w:pPr>
            <w:r w:rsidRPr="006F4CD1">
              <w:rPr>
                <w:spacing w:val="-4"/>
                <w:sz w:val="16"/>
                <w:szCs w:val="16"/>
              </w:rPr>
              <w:t>0.66</w:t>
            </w:r>
          </w:p>
        </w:tc>
        <w:tc>
          <w:tcPr>
            <w:tcW w:w="668" w:type="pct"/>
            <w:tcBorders>
              <w:top w:val="nil"/>
              <w:bottom w:val="nil"/>
            </w:tcBorders>
          </w:tcPr>
          <w:p w14:paraId="5AF919FD" w14:textId="77777777" w:rsidR="00B3500A" w:rsidRPr="006F4CD1" w:rsidRDefault="00B3500A" w:rsidP="00D62AD1">
            <w:pPr>
              <w:pStyle w:val="TableParagraph"/>
              <w:ind w:left="113" w:right="107"/>
              <w:rPr>
                <w:sz w:val="16"/>
                <w:szCs w:val="16"/>
              </w:rPr>
            </w:pPr>
            <w:r w:rsidRPr="006F4CD1">
              <w:rPr>
                <w:spacing w:val="-4"/>
                <w:sz w:val="16"/>
                <w:szCs w:val="16"/>
              </w:rPr>
              <w:t>0.58</w:t>
            </w:r>
          </w:p>
        </w:tc>
        <w:tc>
          <w:tcPr>
            <w:tcW w:w="668" w:type="pct"/>
            <w:tcBorders>
              <w:top w:val="nil"/>
              <w:bottom w:val="nil"/>
            </w:tcBorders>
          </w:tcPr>
          <w:p w14:paraId="2166F573" w14:textId="77777777" w:rsidR="00B3500A" w:rsidRPr="006F4CD1" w:rsidRDefault="00B3500A" w:rsidP="00D62AD1">
            <w:pPr>
              <w:pStyle w:val="TableParagraph"/>
              <w:ind w:right="110"/>
              <w:rPr>
                <w:sz w:val="16"/>
                <w:szCs w:val="16"/>
              </w:rPr>
            </w:pPr>
            <w:r w:rsidRPr="006F4CD1">
              <w:rPr>
                <w:spacing w:val="-4"/>
                <w:sz w:val="16"/>
                <w:szCs w:val="16"/>
              </w:rPr>
              <w:t>0.57</w:t>
            </w:r>
          </w:p>
        </w:tc>
        <w:tc>
          <w:tcPr>
            <w:tcW w:w="668" w:type="pct"/>
            <w:tcBorders>
              <w:top w:val="nil"/>
              <w:bottom w:val="nil"/>
            </w:tcBorders>
          </w:tcPr>
          <w:p w14:paraId="05E2FDE5" w14:textId="77777777" w:rsidR="00B3500A" w:rsidRPr="006F4CD1" w:rsidRDefault="00B3500A" w:rsidP="00D62AD1">
            <w:pPr>
              <w:pStyle w:val="TableParagraph"/>
              <w:ind w:left="0" w:right="491"/>
              <w:jc w:val="right"/>
              <w:rPr>
                <w:sz w:val="16"/>
                <w:szCs w:val="16"/>
              </w:rPr>
            </w:pPr>
            <w:r w:rsidRPr="006F4CD1">
              <w:rPr>
                <w:spacing w:val="-4"/>
                <w:sz w:val="16"/>
                <w:szCs w:val="16"/>
              </w:rPr>
              <w:t>0.65</w:t>
            </w:r>
          </w:p>
        </w:tc>
      </w:tr>
      <w:tr w:rsidR="00B3500A" w:rsidRPr="006F4CD1" w14:paraId="5E3C3235" w14:textId="77777777" w:rsidTr="00326B3D">
        <w:trPr>
          <w:trHeight w:val="239"/>
        </w:trPr>
        <w:tc>
          <w:tcPr>
            <w:tcW w:w="388" w:type="pct"/>
            <w:tcBorders>
              <w:top w:val="nil"/>
              <w:left w:val="double" w:sz="4" w:space="0" w:color="000000"/>
              <w:bottom w:val="nil"/>
            </w:tcBorders>
          </w:tcPr>
          <w:p w14:paraId="6BF17502" w14:textId="77777777" w:rsidR="00B3500A" w:rsidRPr="006F4CD1" w:rsidRDefault="00B3500A" w:rsidP="00D62AD1">
            <w:pPr>
              <w:pStyle w:val="TableParagraph"/>
              <w:ind w:left="0" w:right="98"/>
              <w:jc w:val="right"/>
              <w:rPr>
                <w:sz w:val="16"/>
                <w:szCs w:val="16"/>
              </w:rPr>
            </w:pPr>
            <w:r w:rsidRPr="006F4CD1">
              <w:rPr>
                <w:spacing w:val="-4"/>
                <w:sz w:val="16"/>
                <w:szCs w:val="16"/>
              </w:rPr>
              <w:t>2010</w:t>
            </w:r>
          </w:p>
        </w:tc>
        <w:tc>
          <w:tcPr>
            <w:tcW w:w="346" w:type="pct"/>
            <w:tcBorders>
              <w:top w:val="nil"/>
              <w:bottom w:val="nil"/>
            </w:tcBorders>
          </w:tcPr>
          <w:p w14:paraId="2922B9DA" w14:textId="77777777" w:rsidR="00B3500A" w:rsidRPr="006F4CD1" w:rsidRDefault="00B3500A" w:rsidP="00D62AD1">
            <w:pPr>
              <w:pStyle w:val="TableParagraph"/>
              <w:ind w:left="98" w:right="90"/>
              <w:rPr>
                <w:sz w:val="16"/>
                <w:szCs w:val="16"/>
              </w:rPr>
            </w:pPr>
            <w:r w:rsidRPr="006F4CD1">
              <w:rPr>
                <w:spacing w:val="-4"/>
                <w:sz w:val="16"/>
                <w:szCs w:val="16"/>
              </w:rPr>
              <w:t>0.50</w:t>
            </w:r>
          </w:p>
        </w:tc>
        <w:tc>
          <w:tcPr>
            <w:tcW w:w="624" w:type="pct"/>
            <w:tcBorders>
              <w:top w:val="nil"/>
              <w:bottom w:val="nil"/>
            </w:tcBorders>
          </w:tcPr>
          <w:p w14:paraId="344097DE" w14:textId="77777777" w:rsidR="00B3500A" w:rsidRPr="006F4CD1" w:rsidRDefault="00B3500A" w:rsidP="00D62AD1">
            <w:pPr>
              <w:pStyle w:val="TableParagraph"/>
              <w:ind w:left="114"/>
              <w:rPr>
                <w:sz w:val="16"/>
                <w:szCs w:val="16"/>
              </w:rPr>
            </w:pPr>
            <w:r w:rsidRPr="006F4CD1">
              <w:rPr>
                <w:spacing w:val="-4"/>
                <w:sz w:val="16"/>
                <w:szCs w:val="16"/>
              </w:rPr>
              <w:t>0.42</w:t>
            </w:r>
          </w:p>
        </w:tc>
        <w:tc>
          <w:tcPr>
            <w:tcW w:w="648" w:type="pct"/>
            <w:tcBorders>
              <w:top w:val="nil"/>
              <w:bottom w:val="nil"/>
            </w:tcBorders>
          </w:tcPr>
          <w:p w14:paraId="2D0EF7EA" w14:textId="77777777" w:rsidR="00B3500A" w:rsidRPr="006F4CD1" w:rsidRDefault="00B3500A" w:rsidP="00D62AD1">
            <w:pPr>
              <w:pStyle w:val="TableParagraph"/>
              <w:ind w:right="108"/>
              <w:rPr>
                <w:sz w:val="16"/>
                <w:szCs w:val="16"/>
              </w:rPr>
            </w:pPr>
            <w:r w:rsidRPr="006F4CD1">
              <w:rPr>
                <w:spacing w:val="-4"/>
                <w:sz w:val="16"/>
                <w:szCs w:val="16"/>
              </w:rPr>
              <w:t>0.42</w:t>
            </w:r>
          </w:p>
        </w:tc>
        <w:tc>
          <w:tcPr>
            <w:tcW w:w="657" w:type="pct"/>
            <w:tcBorders>
              <w:top w:val="nil"/>
              <w:bottom w:val="nil"/>
              <w:right w:val="double" w:sz="4" w:space="0" w:color="000000"/>
            </w:tcBorders>
          </w:tcPr>
          <w:p w14:paraId="3249A4CD"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0.49</w:t>
            </w:r>
          </w:p>
        </w:tc>
        <w:tc>
          <w:tcPr>
            <w:tcW w:w="334" w:type="pct"/>
            <w:tcBorders>
              <w:top w:val="nil"/>
              <w:left w:val="double" w:sz="4" w:space="0" w:color="000000"/>
              <w:bottom w:val="nil"/>
            </w:tcBorders>
          </w:tcPr>
          <w:p w14:paraId="4E440950" w14:textId="77777777" w:rsidR="00B3500A" w:rsidRPr="006F4CD1" w:rsidRDefault="00B3500A" w:rsidP="00D62AD1">
            <w:pPr>
              <w:pStyle w:val="TableParagraph"/>
              <w:ind w:left="110" w:right="103"/>
              <w:rPr>
                <w:sz w:val="16"/>
                <w:szCs w:val="16"/>
              </w:rPr>
            </w:pPr>
            <w:r w:rsidRPr="006F4CD1">
              <w:rPr>
                <w:spacing w:val="-4"/>
                <w:sz w:val="16"/>
                <w:szCs w:val="16"/>
              </w:rPr>
              <w:t>0.67</w:t>
            </w:r>
          </w:p>
        </w:tc>
        <w:tc>
          <w:tcPr>
            <w:tcW w:w="668" w:type="pct"/>
            <w:tcBorders>
              <w:top w:val="nil"/>
              <w:bottom w:val="nil"/>
            </w:tcBorders>
          </w:tcPr>
          <w:p w14:paraId="23262EC9" w14:textId="77777777" w:rsidR="00B3500A" w:rsidRPr="006F4CD1" w:rsidRDefault="00B3500A" w:rsidP="00D62AD1">
            <w:pPr>
              <w:pStyle w:val="TableParagraph"/>
              <w:ind w:left="113" w:right="107"/>
              <w:rPr>
                <w:sz w:val="16"/>
                <w:szCs w:val="16"/>
              </w:rPr>
            </w:pPr>
            <w:r w:rsidRPr="006F4CD1">
              <w:rPr>
                <w:spacing w:val="-4"/>
                <w:sz w:val="16"/>
                <w:szCs w:val="16"/>
              </w:rPr>
              <w:t>0.58</w:t>
            </w:r>
          </w:p>
        </w:tc>
        <w:tc>
          <w:tcPr>
            <w:tcW w:w="668" w:type="pct"/>
            <w:tcBorders>
              <w:top w:val="nil"/>
              <w:bottom w:val="nil"/>
            </w:tcBorders>
          </w:tcPr>
          <w:p w14:paraId="0ADD9E01" w14:textId="77777777" w:rsidR="00B3500A" w:rsidRPr="006F4CD1" w:rsidRDefault="00B3500A" w:rsidP="00D62AD1">
            <w:pPr>
              <w:pStyle w:val="TableParagraph"/>
              <w:ind w:right="110"/>
              <w:rPr>
                <w:sz w:val="16"/>
                <w:szCs w:val="16"/>
              </w:rPr>
            </w:pPr>
            <w:r w:rsidRPr="006F4CD1">
              <w:rPr>
                <w:spacing w:val="-4"/>
                <w:sz w:val="16"/>
                <w:szCs w:val="16"/>
              </w:rPr>
              <w:t>0.58</w:t>
            </w:r>
          </w:p>
        </w:tc>
        <w:tc>
          <w:tcPr>
            <w:tcW w:w="668" w:type="pct"/>
            <w:tcBorders>
              <w:top w:val="nil"/>
              <w:bottom w:val="nil"/>
            </w:tcBorders>
          </w:tcPr>
          <w:p w14:paraId="73033CB0" w14:textId="77777777" w:rsidR="00B3500A" w:rsidRPr="006F4CD1" w:rsidRDefault="00B3500A" w:rsidP="00D62AD1">
            <w:pPr>
              <w:pStyle w:val="TableParagraph"/>
              <w:ind w:left="0" w:right="491"/>
              <w:jc w:val="right"/>
              <w:rPr>
                <w:sz w:val="16"/>
                <w:szCs w:val="16"/>
              </w:rPr>
            </w:pPr>
            <w:r w:rsidRPr="006F4CD1">
              <w:rPr>
                <w:spacing w:val="-4"/>
                <w:sz w:val="16"/>
                <w:szCs w:val="16"/>
              </w:rPr>
              <w:t>0.66</w:t>
            </w:r>
          </w:p>
        </w:tc>
      </w:tr>
      <w:tr w:rsidR="00B3500A" w:rsidRPr="006F4CD1" w14:paraId="79D6BB19" w14:textId="77777777" w:rsidTr="00326B3D">
        <w:trPr>
          <w:trHeight w:val="239"/>
        </w:trPr>
        <w:tc>
          <w:tcPr>
            <w:tcW w:w="388" w:type="pct"/>
            <w:tcBorders>
              <w:top w:val="nil"/>
              <w:left w:val="double" w:sz="4" w:space="0" w:color="000000"/>
              <w:bottom w:val="nil"/>
            </w:tcBorders>
          </w:tcPr>
          <w:p w14:paraId="465F0846" w14:textId="77777777" w:rsidR="00B3500A" w:rsidRPr="006F4CD1" w:rsidRDefault="00B3500A" w:rsidP="00D62AD1">
            <w:pPr>
              <w:pStyle w:val="TableParagraph"/>
              <w:ind w:left="0" w:right="98"/>
              <w:jc w:val="right"/>
              <w:rPr>
                <w:sz w:val="16"/>
                <w:szCs w:val="16"/>
              </w:rPr>
            </w:pPr>
            <w:r w:rsidRPr="006F4CD1">
              <w:rPr>
                <w:spacing w:val="-4"/>
                <w:sz w:val="16"/>
                <w:szCs w:val="16"/>
              </w:rPr>
              <w:t>2011</w:t>
            </w:r>
          </w:p>
        </w:tc>
        <w:tc>
          <w:tcPr>
            <w:tcW w:w="346" w:type="pct"/>
            <w:tcBorders>
              <w:top w:val="nil"/>
              <w:bottom w:val="nil"/>
            </w:tcBorders>
          </w:tcPr>
          <w:p w14:paraId="46CD4A48" w14:textId="77777777" w:rsidR="00B3500A" w:rsidRPr="006F4CD1" w:rsidRDefault="00B3500A" w:rsidP="00D62AD1">
            <w:pPr>
              <w:pStyle w:val="TableParagraph"/>
              <w:ind w:left="98" w:right="90"/>
              <w:rPr>
                <w:sz w:val="16"/>
                <w:szCs w:val="16"/>
              </w:rPr>
            </w:pPr>
            <w:r w:rsidRPr="006F4CD1">
              <w:rPr>
                <w:spacing w:val="-4"/>
                <w:sz w:val="16"/>
                <w:szCs w:val="16"/>
              </w:rPr>
              <w:t>0.52</w:t>
            </w:r>
          </w:p>
        </w:tc>
        <w:tc>
          <w:tcPr>
            <w:tcW w:w="624" w:type="pct"/>
            <w:tcBorders>
              <w:top w:val="nil"/>
              <w:bottom w:val="nil"/>
            </w:tcBorders>
          </w:tcPr>
          <w:p w14:paraId="4CA798BA" w14:textId="77777777" w:rsidR="00B3500A" w:rsidRPr="006F4CD1" w:rsidRDefault="00B3500A" w:rsidP="00D62AD1">
            <w:pPr>
              <w:pStyle w:val="TableParagraph"/>
              <w:ind w:left="114"/>
              <w:rPr>
                <w:sz w:val="16"/>
                <w:szCs w:val="16"/>
              </w:rPr>
            </w:pPr>
            <w:r w:rsidRPr="006F4CD1">
              <w:rPr>
                <w:spacing w:val="-4"/>
                <w:sz w:val="16"/>
                <w:szCs w:val="16"/>
              </w:rPr>
              <w:t>0.43</w:t>
            </w:r>
          </w:p>
        </w:tc>
        <w:tc>
          <w:tcPr>
            <w:tcW w:w="648" w:type="pct"/>
            <w:tcBorders>
              <w:top w:val="nil"/>
              <w:bottom w:val="nil"/>
            </w:tcBorders>
          </w:tcPr>
          <w:p w14:paraId="549AF8FA" w14:textId="77777777" w:rsidR="00B3500A" w:rsidRPr="006F4CD1" w:rsidRDefault="00B3500A" w:rsidP="00D62AD1">
            <w:pPr>
              <w:pStyle w:val="TableParagraph"/>
              <w:ind w:right="108"/>
              <w:rPr>
                <w:sz w:val="16"/>
                <w:szCs w:val="16"/>
              </w:rPr>
            </w:pPr>
            <w:r w:rsidRPr="006F4CD1">
              <w:rPr>
                <w:spacing w:val="-4"/>
                <w:sz w:val="16"/>
                <w:szCs w:val="16"/>
              </w:rPr>
              <w:t>0.43</w:t>
            </w:r>
          </w:p>
        </w:tc>
        <w:tc>
          <w:tcPr>
            <w:tcW w:w="657" w:type="pct"/>
            <w:tcBorders>
              <w:top w:val="nil"/>
              <w:bottom w:val="nil"/>
              <w:right w:val="double" w:sz="4" w:space="0" w:color="000000"/>
            </w:tcBorders>
          </w:tcPr>
          <w:p w14:paraId="584E6DC1"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0.50</w:t>
            </w:r>
          </w:p>
        </w:tc>
        <w:tc>
          <w:tcPr>
            <w:tcW w:w="334" w:type="pct"/>
            <w:tcBorders>
              <w:top w:val="nil"/>
              <w:left w:val="double" w:sz="4" w:space="0" w:color="000000"/>
              <w:bottom w:val="nil"/>
            </w:tcBorders>
          </w:tcPr>
          <w:p w14:paraId="53D56445" w14:textId="77777777" w:rsidR="00B3500A" w:rsidRPr="006F4CD1" w:rsidRDefault="00B3500A" w:rsidP="00D62AD1">
            <w:pPr>
              <w:pStyle w:val="TableParagraph"/>
              <w:ind w:left="110" w:right="103"/>
              <w:rPr>
                <w:sz w:val="16"/>
                <w:szCs w:val="16"/>
              </w:rPr>
            </w:pPr>
            <w:r w:rsidRPr="006F4CD1">
              <w:rPr>
                <w:spacing w:val="-4"/>
                <w:sz w:val="16"/>
                <w:szCs w:val="16"/>
              </w:rPr>
              <w:t>0.68</w:t>
            </w:r>
          </w:p>
        </w:tc>
        <w:tc>
          <w:tcPr>
            <w:tcW w:w="668" w:type="pct"/>
            <w:tcBorders>
              <w:top w:val="nil"/>
              <w:bottom w:val="nil"/>
            </w:tcBorders>
          </w:tcPr>
          <w:p w14:paraId="3C749F22" w14:textId="77777777" w:rsidR="00B3500A" w:rsidRPr="006F4CD1" w:rsidRDefault="00B3500A" w:rsidP="00D62AD1">
            <w:pPr>
              <w:pStyle w:val="TableParagraph"/>
              <w:ind w:left="113" w:right="107"/>
              <w:rPr>
                <w:sz w:val="16"/>
                <w:szCs w:val="16"/>
              </w:rPr>
            </w:pPr>
            <w:r w:rsidRPr="006F4CD1">
              <w:rPr>
                <w:spacing w:val="-4"/>
                <w:sz w:val="16"/>
                <w:szCs w:val="16"/>
              </w:rPr>
              <w:t>0.60</w:t>
            </w:r>
          </w:p>
        </w:tc>
        <w:tc>
          <w:tcPr>
            <w:tcW w:w="668" w:type="pct"/>
            <w:tcBorders>
              <w:top w:val="nil"/>
              <w:bottom w:val="nil"/>
            </w:tcBorders>
          </w:tcPr>
          <w:p w14:paraId="61099CB0" w14:textId="77777777" w:rsidR="00B3500A" w:rsidRPr="006F4CD1" w:rsidRDefault="00B3500A" w:rsidP="00D62AD1">
            <w:pPr>
              <w:pStyle w:val="TableParagraph"/>
              <w:ind w:right="110"/>
              <w:rPr>
                <w:sz w:val="16"/>
                <w:szCs w:val="16"/>
              </w:rPr>
            </w:pPr>
            <w:r w:rsidRPr="006F4CD1">
              <w:rPr>
                <w:spacing w:val="-4"/>
                <w:sz w:val="16"/>
                <w:szCs w:val="16"/>
              </w:rPr>
              <w:t>0.58</w:t>
            </w:r>
          </w:p>
        </w:tc>
        <w:tc>
          <w:tcPr>
            <w:tcW w:w="668" w:type="pct"/>
            <w:tcBorders>
              <w:top w:val="nil"/>
              <w:bottom w:val="nil"/>
            </w:tcBorders>
          </w:tcPr>
          <w:p w14:paraId="48CCF4C3" w14:textId="77777777" w:rsidR="00B3500A" w:rsidRPr="006F4CD1" w:rsidRDefault="00B3500A" w:rsidP="00D62AD1">
            <w:pPr>
              <w:pStyle w:val="TableParagraph"/>
              <w:ind w:left="0" w:right="491"/>
              <w:jc w:val="right"/>
              <w:rPr>
                <w:sz w:val="16"/>
                <w:szCs w:val="16"/>
              </w:rPr>
            </w:pPr>
            <w:r w:rsidRPr="006F4CD1">
              <w:rPr>
                <w:spacing w:val="-4"/>
                <w:sz w:val="16"/>
                <w:szCs w:val="16"/>
              </w:rPr>
              <w:t>0.67</w:t>
            </w:r>
          </w:p>
        </w:tc>
      </w:tr>
      <w:tr w:rsidR="00B3500A" w:rsidRPr="006F4CD1" w14:paraId="4B31B96C" w14:textId="77777777" w:rsidTr="00326B3D">
        <w:trPr>
          <w:trHeight w:val="239"/>
        </w:trPr>
        <w:tc>
          <w:tcPr>
            <w:tcW w:w="388" w:type="pct"/>
            <w:tcBorders>
              <w:top w:val="nil"/>
              <w:left w:val="double" w:sz="4" w:space="0" w:color="000000"/>
              <w:bottom w:val="nil"/>
            </w:tcBorders>
          </w:tcPr>
          <w:p w14:paraId="3DD49B41" w14:textId="77777777" w:rsidR="00B3500A" w:rsidRPr="006F4CD1" w:rsidRDefault="00B3500A" w:rsidP="00D62AD1">
            <w:pPr>
              <w:pStyle w:val="TableParagraph"/>
              <w:ind w:left="0" w:right="98"/>
              <w:jc w:val="right"/>
              <w:rPr>
                <w:sz w:val="16"/>
                <w:szCs w:val="16"/>
              </w:rPr>
            </w:pPr>
            <w:r w:rsidRPr="006F4CD1">
              <w:rPr>
                <w:spacing w:val="-4"/>
                <w:sz w:val="16"/>
                <w:szCs w:val="16"/>
              </w:rPr>
              <w:t>2012</w:t>
            </w:r>
          </w:p>
        </w:tc>
        <w:tc>
          <w:tcPr>
            <w:tcW w:w="346" w:type="pct"/>
            <w:tcBorders>
              <w:top w:val="nil"/>
              <w:bottom w:val="nil"/>
            </w:tcBorders>
          </w:tcPr>
          <w:p w14:paraId="2054D91E" w14:textId="77777777" w:rsidR="00B3500A" w:rsidRPr="006F4CD1" w:rsidRDefault="00B3500A" w:rsidP="00D62AD1">
            <w:pPr>
              <w:pStyle w:val="TableParagraph"/>
              <w:ind w:left="98" w:right="90"/>
              <w:rPr>
                <w:sz w:val="16"/>
                <w:szCs w:val="16"/>
              </w:rPr>
            </w:pPr>
            <w:r w:rsidRPr="006F4CD1">
              <w:rPr>
                <w:spacing w:val="-4"/>
                <w:sz w:val="16"/>
                <w:szCs w:val="16"/>
              </w:rPr>
              <w:t>0.50</w:t>
            </w:r>
          </w:p>
        </w:tc>
        <w:tc>
          <w:tcPr>
            <w:tcW w:w="624" w:type="pct"/>
            <w:tcBorders>
              <w:top w:val="nil"/>
              <w:bottom w:val="nil"/>
            </w:tcBorders>
          </w:tcPr>
          <w:p w14:paraId="721A18D4" w14:textId="77777777" w:rsidR="00B3500A" w:rsidRPr="006F4CD1" w:rsidRDefault="00B3500A" w:rsidP="00D62AD1">
            <w:pPr>
              <w:pStyle w:val="TableParagraph"/>
              <w:ind w:left="114"/>
              <w:rPr>
                <w:sz w:val="16"/>
                <w:szCs w:val="16"/>
              </w:rPr>
            </w:pPr>
            <w:r w:rsidRPr="006F4CD1">
              <w:rPr>
                <w:spacing w:val="-4"/>
                <w:sz w:val="16"/>
                <w:szCs w:val="16"/>
              </w:rPr>
              <w:t>0.41</w:t>
            </w:r>
          </w:p>
        </w:tc>
        <w:tc>
          <w:tcPr>
            <w:tcW w:w="648" w:type="pct"/>
            <w:tcBorders>
              <w:top w:val="nil"/>
              <w:bottom w:val="nil"/>
            </w:tcBorders>
          </w:tcPr>
          <w:p w14:paraId="6E378169" w14:textId="77777777" w:rsidR="00B3500A" w:rsidRPr="006F4CD1" w:rsidRDefault="00B3500A" w:rsidP="00D62AD1">
            <w:pPr>
              <w:pStyle w:val="TableParagraph"/>
              <w:ind w:right="108"/>
              <w:rPr>
                <w:sz w:val="16"/>
                <w:szCs w:val="16"/>
              </w:rPr>
            </w:pPr>
            <w:r w:rsidRPr="006F4CD1">
              <w:rPr>
                <w:spacing w:val="-4"/>
                <w:sz w:val="16"/>
                <w:szCs w:val="16"/>
              </w:rPr>
              <w:t>0.41</w:t>
            </w:r>
          </w:p>
        </w:tc>
        <w:tc>
          <w:tcPr>
            <w:tcW w:w="657" w:type="pct"/>
            <w:tcBorders>
              <w:top w:val="nil"/>
              <w:bottom w:val="nil"/>
              <w:right w:val="double" w:sz="4" w:space="0" w:color="000000"/>
            </w:tcBorders>
          </w:tcPr>
          <w:p w14:paraId="626C97D9"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0.48</w:t>
            </w:r>
          </w:p>
        </w:tc>
        <w:tc>
          <w:tcPr>
            <w:tcW w:w="334" w:type="pct"/>
            <w:tcBorders>
              <w:top w:val="nil"/>
              <w:left w:val="double" w:sz="4" w:space="0" w:color="000000"/>
              <w:bottom w:val="nil"/>
            </w:tcBorders>
          </w:tcPr>
          <w:p w14:paraId="7B0A3FA9" w14:textId="77777777" w:rsidR="00B3500A" w:rsidRPr="006F4CD1" w:rsidRDefault="00B3500A" w:rsidP="00D62AD1">
            <w:pPr>
              <w:pStyle w:val="TableParagraph"/>
              <w:ind w:left="110" w:right="103"/>
              <w:rPr>
                <w:sz w:val="16"/>
                <w:szCs w:val="16"/>
              </w:rPr>
            </w:pPr>
            <w:r w:rsidRPr="006F4CD1">
              <w:rPr>
                <w:spacing w:val="-4"/>
                <w:sz w:val="16"/>
                <w:szCs w:val="16"/>
              </w:rPr>
              <w:t>0.67</w:t>
            </w:r>
          </w:p>
        </w:tc>
        <w:tc>
          <w:tcPr>
            <w:tcW w:w="668" w:type="pct"/>
            <w:tcBorders>
              <w:top w:val="nil"/>
              <w:bottom w:val="nil"/>
            </w:tcBorders>
          </w:tcPr>
          <w:p w14:paraId="533942CF" w14:textId="77777777" w:rsidR="00B3500A" w:rsidRPr="006F4CD1" w:rsidRDefault="00B3500A" w:rsidP="00D62AD1">
            <w:pPr>
              <w:pStyle w:val="TableParagraph"/>
              <w:ind w:left="113" w:right="107"/>
              <w:rPr>
                <w:sz w:val="16"/>
                <w:szCs w:val="16"/>
              </w:rPr>
            </w:pPr>
            <w:r w:rsidRPr="006F4CD1">
              <w:rPr>
                <w:spacing w:val="-4"/>
                <w:sz w:val="16"/>
                <w:szCs w:val="16"/>
              </w:rPr>
              <w:t>0.58</w:t>
            </w:r>
          </w:p>
        </w:tc>
        <w:tc>
          <w:tcPr>
            <w:tcW w:w="668" w:type="pct"/>
            <w:tcBorders>
              <w:top w:val="nil"/>
              <w:bottom w:val="nil"/>
            </w:tcBorders>
          </w:tcPr>
          <w:p w14:paraId="56C4E853" w14:textId="77777777" w:rsidR="00B3500A" w:rsidRPr="006F4CD1" w:rsidRDefault="00B3500A" w:rsidP="00D62AD1">
            <w:pPr>
              <w:pStyle w:val="TableParagraph"/>
              <w:ind w:right="110"/>
              <w:rPr>
                <w:sz w:val="16"/>
                <w:szCs w:val="16"/>
              </w:rPr>
            </w:pPr>
            <w:r w:rsidRPr="006F4CD1">
              <w:rPr>
                <w:spacing w:val="-4"/>
                <w:sz w:val="16"/>
                <w:szCs w:val="16"/>
              </w:rPr>
              <w:t>0.57</w:t>
            </w:r>
          </w:p>
        </w:tc>
        <w:tc>
          <w:tcPr>
            <w:tcW w:w="668" w:type="pct"/>
            <w:tcBorders>
              <w:top w:val="nil"/>
              <w:bottom w:val="nil"/>
            </w:tcBorders>
          </w:tcPr>
          <w:p w14:paraId="5B118BEC" w14:textId="77777777" w:rsidR="00B3500A" w:rsidRPr="006F4CD1" w:rsidRDefault="00B3500A" w:rsidP="00D62AD1">
            <w:pPr>
              <w:pStyle w:val="TableParagraph"/>
              <w:ind w:left="0" w:right="491"/>
              <w:jc w:val="right"/>
              <w:rPr>
                <w:sz w:val="16"/>
                <w:szCs w:val="16"/>
              </w:rPr>
            </w:pPr>
            <w:r w:rsidRPr="006F4CD1">
              <w:rPr>
                <w:spacing w:val="-4"/>
                <w:sz w:val="16"/>
                <w:szCs w:val="16"/>
              </w:rPr>
              <w:t>0.65</w:t>
            </w:r>
          </w:p>
        </w:tc>
      </w:tr>
      <w:tr w:rsidR="00B3500A" w:rsidRPr="006F4CD1" w14:paraId="285CA3E5" w14:textId="77777777" w:rsidTr="00326B3D">
        <w:trPr>
          <w:trHeight w:val="239"/>
        </w:trPr>
        <w:tc>
          <w:tcPr>
            <w:tcW w:w="388" w:type="pct"/>
            <w:tcBorders>
              <w:top w:val="nil"/>
              <w:left w:val="double" w:sz="4" w:space="0" w:color="000000"/>
              <w:bottom w:val="nil"/>
            </w:tcBorders>
          </w:tcPr>
          <w:p w14:paraId="4DA33229" w14:textId="77777777" w:rsidR="00B3500A" w:rsidRPr="006F4CD1" w:rsidRDefault="00B3500A" w:rsidP="00D62AD1">
            <w:pPr>
              <w:pStyle w:val="TableParagraph"/>
              <w:ind w:left="0" w:right="98"/>
              <w:jc w:val="right"/>
              <w:rPr>
                <w:sz w:val="16"/>
                <w:szCs w:val="16"/>
              </w:rPr>
            </w:pPr>
            <w:r w:rsidRPr="006F4CD1">
              <w:rPr>
                <w:spacing w:val="-4"/>
                <w:sz w:val="16"/>
                <w:szCs w:val="16"/>
              </w:rPr>
              <w:t>2013</w:t>
            </w:r>
          </w:p>
        </w:tc>
        <w:tc>
          <w:tcPr>
            <w:tcW w:w="346" w:type="pct"/>
            <w:tcBorders>
              <w:top w:val="nil"/>
              <w:bottom w:val="nil"/>
            </w:tcBorders>
          </w:tcPr>
          <w:p w14:paraId="08C82524" w14:textId="77777777" w:rsidR="00B3500A" w:rsidRPr="006F4CD1" w:rsidRDefault="00B3500A" w:rsidP="00D62AD1">
            <w:pPr>
              <w:pStyle w:val="TableParagraph"/>
              <w:ind w:left="98" w:right="90"/>
              <w:rPr>
                <w:sz w:val="16"/>
                <w:szCs w:val="16"/>
              </w:rPr>
            </w:pPr>
            <w:r w:rsidRPr="006F4CD1">
              <w:rPr>
                <w:spacing w:val="-4"/>
                <w:sz w:val="16"/>
                <w:szCs w:val="16"/>
              </w:rPr>
              <w:t>0.49</w:t>
            </w:r>
          </w:p>
        </w:tc>
        <w:tc>
          <w:tcPr>
            <w:tcW w:w="624" w:type="pct"/>
            <w:tcBorders>
              <w:top w:val="nil"/>
              <w:bottom w:val="nil"/>
            </w:tcBorders>
          </w:tcPr>
          <w:p w14:paraId="01458C2E" w14:textId="77777777" w:rsidR="00B3500A" w:rsidRPr="006F4CD1" w:rsidRDefault="00B3500A" w:rsidP="00D62AD1">
            <w:pPr>
              <w:pStyle w:val="TableParagraph"/>
              <w:ind w:left="114"/>
              <w:rPr>
                <w:sz w:val="16"/>
                <w:szCs w:val="16"/>
              </w:rPr>
            </w:pPr>
            <w:r w:rsidRPr="006F4CD1">
              <w:rPr>
                <w:spacing w:val="-4"/>
                <w:sz w:val="16"/>
                <w:szCs w:val="16"/>
              </w:rPr>
              <w:t>0.42</w:t>
            </w:r>
          </w:p>
        </w:tc>
        <w:tc>
          <w:tcPr>
            <w:tcW w:w="648" w:type="pct"/>
            <w:tcBorders>
              <w:top w:val="nil"/>
              <w:bottom w:val="nil"/>
            </w:tcBorders>
          </w:tcPr>
          <w:p w14:paraId="641F79BB" w14:textId="77777777" w:rsidR="00B3500A" w:rsidRPr="006F4CD1" w:rsidRDefault="00B3500A" w:rsidP="00D62AD1">
            <w:pPr>
              <w:pStyle w:val="TableParagraph"/>
              <w:ind w:right="108"/>
              <w:rPr>
                <w:sz w:val="16"/>
                <w:szCs w:val="16"/>
              </w:rPr>
            </w:pPr>
            <w:r w:rsidRPr="006F4CD1">
              <w:rPr>
                <w:spacing w:val="-4"/>
                <w:sz w:val="16"/>
                <w:szCs w:val="16"/>
              </w:rPr>
              <w:t>0.41</w:t>
            </w:r>
          </w:p>
        </w:tc>
        <w:tc>
          <w:tcPr>
            <w:tcW w:w="657" w:type="pct"/>
            <w:tcBorders>
              <w:top w:val="nil"/>
              <w:bottom w:val="nil"/>
              <w:right w:val="double" w:sz="4" w:space="0" w:color="000000"/>
            </w:tcBorders>
          </w:tcPr>
          <w:p w14:paraId="268DDD8B"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0.48</w:t>
            </w:r>
          </w:p>
        </w:tc>
        <w:tc>
          <w:tcPr>
            <w:tcW w:w="334" w:type="pct"/>
            <w:tcBorders>
              <w:top w:val="nil"/>
              <w:left w:val="double" w:sz="4" w:space="0" w:color="000000"/>
              <w:bottom w:val="nil"/>
            </w:tcBorders>
          </w:tcPr>
          <w:p w14:paraId="2B78DDF0" w14:textId="77777777" w:rsidR="00B3500A" w:rsidRPr="006F4CD1" w:rsidRDefault="00B3500A" w:rsidP="00D62AD1">
            <w:pPr>
              <w:pStyle w:val="TableParagraph"/>
              <w:ind w:left="110" w:right="103"/>
              <w:rPr>
                <w:sz w:val="16"/>
                <w:szCs w:val="16"/>
              </w:rPr>
            </w:pPr>
            <w:r w:rsidRPr="006F4CD1">
              <w:rPr>
                <w:spacing w:val="-4"/>
                <w:sz w:val="16"/>
                <w:szCs w:val="16"/>
              </w:rPr>
              <w:t>0.65</w:t>
            </w:r>
          </w:p>
        </w:tc>
        <w:tc>
          <w:tcPr>
            <w:tcW w:w="668" w:type="pct"/>
            <w:tcBorders>
              <w:top w:val="nil"/>
              <w:bottom w:val="nil"/>
            </w:tcBorders>
          </w:tcPr>
          <w:p w14:paraId="56E6FBC1" w14:textId="77777777" w:rsidR="00B3500A" w:rsidRPr="006F4CD1" w:rsidRDefault="00B3500A" w:rsidP="00D62AD1">
            <w:pPr>
              <w:pStyle w:val="TableParagraph"/>
              <w:ind w:left="113" w:right="107"/>
              <w:rPr>
                <w:sz w:val="16"/>
                <w:szCs w:val="16"/>
              </w:rPr>
            </w:pPr>
            <w:r w:rsidRPr="006F4CD1">
              <w:rPr>
                <w:spacing w:val="-4"/>
                <w:sz w:val="16"/>
                <w:szCs w:val="16"/>
              </w:rPr>
              <w:t>0.58</w:t>
            </w:r>
          </w:p>
        </w:tc>
        <w:tc>
          <w:tcPr>
            <w:tcW w:w="668" w:type="pct"/>
            <w:tcBorders>
              <w:top w:val="nil"/>
              <w:bottom w:val="nil"/>
            </w:tcBorders>
          </w:tcPr>
          <w:p w14:paraId="76550476" w14:textId="77777777" w:rsidR="00B3500A" w:rsidRPr="006F4CD1" w:rsidRDefault="00B3500A" w:rsidP="00D62AD1">
            <w:pPr>
              <w:pStyle w:val="TableParagraph"/>
              <w:ind w:right="110"/>
              <w:rPr>
                <w:sz w:val="16"/>
                <w:szCs w:val="16"/>
              </w:rPr>
            </w:pPr>
            <w:r w:rsidRPr="006F4CD1">
              <w:rPr>
                <w:spacing w:val="-4"/>
                <w:sz w:val="16"/>
                <w:szCs w:val="16"/>
              </w:rPr>
              <w:t>0.56</w:t>
            </w:r>
          </w:p>
        </w:tc>
        <w:tc>
          <w:tcPr>
            <w:tcW w:w="668" w:type="pct"/>
            <w:tcBorders>
              <w:top w:val="nil"/>
              <w:bottom w:val="nil"/>
            </w:tcBorders>
          </w:tcPr>
          <w:p w14:paraId="36990B8B" w14:textId="77777777" w:rsidR="00B3500A" w:rsidRPr="006F4CD1" w:rsidRDefault="00B3500A" w:rsidP="00D62AD1">
            <w:pPr>
              <w:pStyle w:val="TableParagraph"/>
              <w:ind w:left="0" w:right="491"/>
              <w:jc w:val="right"/>
              <w:rPr>
                <w:sz w:val="16"/>
                <w:szCs w:val="16"/>
              </w:rPr>
            </w:pPr>
            <w:r w:rsidRPr="006F4CD1">
              <w:rPr>
                <w:spacing w:val="-4"/>
                <w:sz w:val="16"/>
                <w:szCs w:val="16"/>
              </w:rPr>
              <w:t>0.64</w:t>
            </w:r>
          </w:p>
        </w:tc>
      </w:tr>
      <w:tr w:rsidR="00B3500A" w:rsidRPr="006F4CD1" w14:paraId="52C2310C" w14:textId="77777777" w:rsidTr="00326B3D">
        <w:trPr>
          <w:trHeight w:val="239"/>
        </w:trPr>
        <w:tc>
          <w:tcPr>
            <w:tcW w:w="388" w:type="pct"/>
            <w:tcBorders>
              <w:top w:val="nil"/>
              <w:left w:val="double" w:sz="4" w:space="0" w:color="000000"/>
              <w:bottom w:val="nil"/>
            </w:tcBorders>
          </w:tcPr>
          <w:p w14:paraId="05085E37" w14:textId="77777777" w:rsidR="00B3500A" w:rsidRPr="006F4CD1" w:rsidRDefault="00B3500A" w:rsidP="00D62AD1">
            <w:pPr>
              <w:pStyle w:val="TableParagraph"/>
              <w:ind w:left="0" w:right="98"/>
              <w:jc w:val="right"/>
              <w:rPr>
                <w:sz w:val="16"/>
                <w:szCs w:val="16"/>
              </w:rPr>
            </w:pPr>
            <w:r w:rsidRPr="006F4CD1">
              <w:rPr>
                <w:spacing w:val="-4"/>
                <w:sz w:val="16"/>
                <w:szCs w:val="16"/>
              </w:rPr>
              <w:t>2014</w:t>
            </w:r>
          </w:p>
        </w:tc>
        <w:tc>
          <w:tcPr>
            <w:tcW w:w="346" w:type="pct"/>
            <w:tcBorders>
              <w:top w:val="nil"/>
              <w:bottom w:val="nil"/>
            </w:tcBorders>
          </w:tcPr>
          <w:p w14:paraId="2D13052D" w14:textId="77777777" w:rsidR="00B3500A" w:rsidRPr="006F4CD1" w:rsidRDefault="00B3500A" w:rsidP="00D62AD1">
            <w:pPr>
              <w:pStyle w:val="TableParagraph"/>
              <w:ind w:left="98" w:right="90"/>
              <w:rPr>
                <w:sz w:val="16"/>
                <w:szCs w:val="16"/>
              </w:rPr>
            </w:pPr>
            <w:r w:rsidRPr="006F4CD1">
              <w:rPr>
                <w:spacing w:val="-4"/>
                <w:sz w:val="16"/>
                <w:szCs w:val="16"/>
              </w:rPr>
              <w:t>0.49</w:t>
            </w:r>
          </w:p>
        </w:tc>
        <w:tc>
          <w:tcPr>
            <w:tcW w:w="624" w:type="pct"/>
            <w:tcBorders>
              <w:top w:val="nil"/>
              <w:bottom w:val="nil"/>
            </w:tcBorders>
          </w:tcPr>
          <w:p w14:paraId="4DBA54BB" w14:textId="77777777" w:rsidR="00B3500A" w:rsidRPr="006F4CD1" w:rsidRDefault="00B3500A" w:rsidP="00D62AD1">
            <w:pPr>
              <w:pStyle w:val="TableParagraph"/>
              <w:ind w:left="114"/>
              <w:rPr>
                <w:sz w:val="16"/>
                <w:szCs w:val="16"/>
              </w:rPr>
            </w:pPr>
            <w:r w:rsidRPr="006F4CD1">
              <w:rPr>
                <w:spacing w:val="-4"/>
                <w:sz w:val="16"/>
                <w:szCs w:val="16"/>
              </w:rPr>
              <w:t>0.41</w:t>
            </w:r>
          </w:p>
        </w:tc>
        <w:tc>
          <w:tcPr>
            <w:tcW w:w="648" w:type="pct"/>
            <w:tcBorders>
              <w:top w:val="nil"/>
              <w:bottom w:val="nil"/>
            </w:tcBorders>
          </w:tcPr>
          <w:p w14:paraId="00516B6B" w14:textId="77777777" w:rsidR="00B3500A" w:rsidRPr="006F4CD1" w:rsidRDefault="00B3500A" w:rsidP="00D62AD1">
            <w:pPr>
              <w:pStyle w:val="TableParagraph"/>
              <w:ind w:right="108"/>
              <w:rPr>
                <w:sz w:val="16"/>
                <w:szCs w:val="16"/>
              </w:rPr>
            </w:pPr>
            <w:r w:rsidRPr="006F4CD1">
              <w:rPr>
                <w:spacing w:val="-4"/>
                <w:sz w:val="16"/>
                <w:szCs w:val="16"/>
              </w:rPr>
              <w:t>0.41</w:t>
            </w:r>
          </w:p>
        </w:tc>
        <w:tc>
          <w:tcPr>
            <w:tcW w:w="657" w:type="pct"/>
            <w:tcBorders>
              <w:top w:val="nil"/>
              <w:bottom w:val="nil"/>
              <w:right w:val="double" w:sz="4" w:space="0" w:color="000000"/>
            </w:tcBorders>
          </w:tcPr>
          <w:p w14:paraId="4E92A769"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0.47</w:t>
            </w:r>
          </w:p>
        </w:tc>
        <w:tc>
          <w:tcPr>
            <w:tcW w:w="334" w:type="pct"/>
            <w:tcBorders>
              <w:top w:val="nil"/>
              <w:left w:val="double" w:sz="4" w:space="0" w:color="000000"/>
              <w:bottom w:val="nil"/>
            </w:tcBorders>
          </w:tcPr>
          <w:p w14:paraId="6B2D422E" w14:textId="77777777" w:rsidR="00B3500A" w:rsidRPr="006F4CD1" w:rsidRDefault="00B3500A" w:rsidP="00D62AD1">
            <w:pPr>
              <w:pStyle w:val="TableParagraph"/>
              <w:ind w:left="110" w:right="103"/>
              <w:rPr>
                <w:sz w:val="16"/>
                <w:szCs w:val="16"/>
              </w:rPr>
            </w:pPr>
            <w:r w:rsidRPr="006F4CD1">
              <w:rPr>
                <w:spacing w:val="-4"/>
                <w:sz w:val="16"/>
                <w:szCs w:val="16"/>
              </w:rPr>
              <w:t>0.66</w:t>
            </w:r>
          </w:p>
        </w:tc>
        <w:tc>
          <w:tcPr>
            <w:tcW w:w="668" w:type="pct"/>
            <w:tcBorders>
              <w:top w:val="nil"/>
              <w:bottom w:val="nil"/>
            </w:tcBorders>
          </w:tcPr>
          <w:p w14:paraId="4250E189" w14:textId="77777777" w:rsidR="00B3500A" w:rsidRPr="006F4CD1" w:rsidRDefault="00B3500A" w:rsidP="00D62AD1">
            <w:pPr>
              <w:pStyle w:val="TableParagraph"/>
              <w:ind w:left="113" w:right="107"/>
              <w:rPr>
                <w:sz w:val="16"/>
                <w:szCs w:val="16"/>
              </w:rPr>
            </w:pPr>
            <w:r w:rsidRPr="006F4CD1">
              <w:rPr>
                <w:spacing w:val="-4"/>
                <w:sz w:val="16"/>
                <w:szCs w:val="16"/>
              </w:rPr>
              <w:t>0.58</w:t>
            </w:r>
          </w:p>
        </w:tc>
        <w:tc>
          <w:tcPr>
            <w:tcW w:w="668" w:type="pct"/>
            <w:tcBorders>
              <w:top w:val="nil"/>
              <w:bottom w:val="nil"/>
            </w:tcBorders>
          </w:tcPr>
          <w:p w14:paraId="33E9244E" w14:textId="77777777" w:rsidR="00B3500A" w:rsidRPr="006F4CD1" w:rsidRDefault="00B3500A" w:rsidP="00D62AD1">
            <w:pPr>
              <w:pStyle w:val="TableParagraph"/>
              <w:ind w:right="110"/>
              <w:rPr>
                <w:sz w:val="16"/>
                <w:szCs w:val="16"/>
              </w:rPr>
            </w:pPr>
            <w:r w:rsidRPr="006F4CD1">
              <w:rPr>
                <w:spacing w:val="-4"/>
                <w:sz w:val="16"/>
                <w:szCs w:val="16"/>
              </w:rPr>
              <w:t>0.56</w:t>
            </w:r>
          </w:p>
        </w:tc>
        <w:tc>
          <w:tcPr>
            <w:tcW w:w="668" w:type="pct"/>
            <w:tcBorders>
              <w:top w:val="nil"/>
              <w:bottom w:val="nil"/>
            </w:tcBorders>
          </w:tcPr>
          <w:p w14:paraId="12228E85" w14:textId="77777777" w:rsidR="00B3500A" w:rsidRPr="006F4CD1" w:rsidRDefault="00B3500A" w:rsidP="00D62AD1">
            <w:pPr>
              <w:pStyle w:val="TableParagraph"/>
              <w:ind w:left="0" w:right="491"/>
              <w:jc w:val="right"/>
              <w:rPr>
                <w:sz w:val="16"/>
                <w:szCs w:val="16"/>
              </w:rPr>
            </w:pPr>
            <w:r w:rsidRPr="006F4CD1">
              <w:rPr>
                <w:spacing w:val="-4"/>
                <w:sz w:val="16"/>
                <w:szCs w:val="16"/>
              </w:rPr>
              <w:t>0.65</w:t>
            </w:r>
          </w:p>
        </w:tc>
      </w:tr>
      <w:tr w:rsidR="00B3500A" w:rsidRPr="006F4CD1" w14:paraId="69CC4077" w14:textId="77777777" w:rsidTr="00326B3D">
        <w:trPr>
          <w:trHeight w:val="239"/>
        </w:trPr>
        <w:tc>
          <w:tcPr>
            <w:tcW w:w="388" w:type="pct"/>
            <w:tcBorders>
              <w:top w:val="nil"/>
              <w:left w:val="double" w:sz="4" w:space="0" w:color="000000"/>
              <w:bottom w:val="nil"/>
            </w:tcBorders>
          </w:tcPr>
          <w:p w14:paraId="7EE0840E" w14:textId="77777777" w:rsidR="00B3500A" w:rsidRPr="006F4CD1" w:rsidRDefault="00B3500A" w:rsidP="00D62AD1">
            <w:pPr>
              <w:pStyle w:val="TableParagraph"/>
              <w:ind w:left="0" w:right="98"/>
              <w:jc w:val="right"/>
              <w:rPr>
                <w:sz w:val="16"/>
                <w:szCs w:val="16"/>
              </w:rPr>
            </w:pPr>
            <w:r w:rsidRPr="006F4CD1">
              <w:rPr>
                <w:spacing w:val="-4"/>
                <w:sz w:val="16"/>
                <w:szCs w:val="16"/>
              </w:rPr>
              <w:t>2015</w:t>
            </w:r>
          </w:p>
        </w:tc>
        <w:tc>
          <w:tcPr>
            <w:tcW w:w="346" w:type="pct"/>
            <w:tcBorders>
              <w:top w:val="nil"/>
              <w:bottom w:val="nil"/>
            </w:tcBorders>
          </w:tcPr>
          <w:p w14:paraId="0637001B" w14:textId="77777777" w:rsidR="00B3500A" w:rsidRPr="006F4CD1" w:rsidRDefault="00B3500A" w:rsidP="00D62AD1">
            <w:pPr>
              <w:pStyle w:val="TableParagraph"/>
              <w:ind w:left="98" w:right="90"/>
              <w:rPr>
                <w:sz w:val="16"/>
                <w:szCs w:val="16"/>
              </w:rPr>
            </w:pPr>
            <w:r w:rsidRPr="006F4CD1">
              <w:rPr>
                <w:spacing w:val="-4"/>
                <w:sz w:val="16"/>
                <w:szCs w:val="16"/>
              </w:rPr>
              <w:t>0.48</w:t>
            </w:r>
          </w:p>
        </w:tc>
        <w:tc>
          <w:tcPr>
            <w:tcW w:w="624" w:type="pct"/>
            <w:tcBorders>
              <w:top w:val="nil"/>
              <w:bottom w:val="nil"/>
            </w:tcBorders>
          </w:tcPr>
          <w:p w14:paraId="070BB865" w14:textId="77777777" w:rsidR="00B3500A" w:rsidRPr="006F4CD1" w:rsidRDefault="00B3500A" w:rsidP="00D62AD1">
            <w:pPr>
              <w:pStyle w:val="TableParagraph"/>
              <w:ind w:left="114"/>
              <w:rPr>
                <w:sz w:val="16"/>
                <w:szCs w:val="16"/>
              </w:rPr>
            </w:pPr>
            <w:r w:rsidRPr="006F4CD1">
              <w:rPr>
                <w:spacing w:val="-4"/>
                <w:sz w:val="16"/>
                <w:szCs w:val="16"/>
              </w:rPr>
              <w:t>0.40</w:t>
            </w:r>
          </w:p>
        </w:tc>
        <w:tc>
          <w:tcPr>
            <w:tcW w:w="648" w:type="pct"/>
            <w:tcBorders>
              <w:top w:val="nil"/>
              <w:bottom w:val="nil"/>
            </w:tcBorders>
          </w:tcPr>
          <w:p w14:paraId="67ADB116" w14:textId="77777777" w:rsidR="00B3500A" w:rsidRPr="006F4CD1" w:rsidRDefault="00B3500A" w:rsidP="00D62AD1">
            <w:pPr>
              <w:pStyle w:val="TableParagraph"/>
              <w:ind w:right="108"/>
              <w:rPr>
                <w:sz w:val="16"/>
                <w:szCs w:val="16"/>
              </w:rPr>
            </w:pPr>
            <w:r w:rsidRPr="006F4CD1">
              <w:rPr>
                <w:spacing w:val="-4"/>
                <w:sz w:val="16"/>
                <w:szCs w:val="16"/>
              </w:rPr>
              <w:t>0.40</w:t>
            </w:r>
          </w:p>
        </w:tc>
        <w:tc>
          <w:tcPr>
            <w:tcW w:w="657" w:type="pct"/>
            <w:tcBorders>
              <w:top w:val="nil"/>
              <w:bottom w:val="nil"/>
              <w:right w:val="double" w:sz="4" w:space="0" w:color="000000"/>
            </w:tcBorders>
          </w:tcPr>
          <w:p w14:paraId="0D6F9441"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0.47</w:t>
            </w:r>
          </w:p>
        </w:tc>
        <w:tc>
          <w:tcPr>
            <w:tcW w:w="334" w:type="pct"/>
            <w:tcBorders>
              <w:top w:val="nil"/>
              <w:left w:val="double" w:sz="4" w:space="0" w:color="000000"/>
              <w:bottom w:val="nil"/>
            </w:tcBorders>
          </w:tcPr>
          <w:p w14:paraId="0C972D60" w14:textId="77777777" w:rsidR="00B3500A" w:rsidRPr="006F4CD1" w:rsidRDefault="00B3500A" w:rsidP="00D62AD1">
            <w:pPr>
              <w:pStyle w:val="TableParagraph"/>
              <w:ind w:left="110" w:right="103"/>
              <w:rPr>
                <w:sz w:val="16"/>
                <w:szCs w:val="16"/>
              </w:rPr>
            </w:pPr>
            <w:r w:rsidRPr="006F4CD1">
              <w:rPr>
                <w:spacing w:val="-4"/>
                <w:sz w:val="16"/>
                <w:szCs w:val="16"/>
              </w:rPr>
              <w:t>0.66</w:t>
            </w:r>
          </w:p>
        </w:tc>
        <w:tc>
          <w:tcPr>
            <w:tcW w:w="668" w:type="pct"/>
            <w:tcBorders>
              <w:top w:val="nil"/>
              <w:bottom w:val="nil"/>
            </w:tcBorders>
          </w:tcPr>
          <w:p w14:paraId="1EB4725A" w14:textId="77777777" w:rsidR="00B3500A" w:rsidRPr="006F4CD1" w:rsidRDefault="00B3500A" w:rsidP="00D62AD1">
            <w:pPr>
              <w:pStyle w:val="TableParagraph"/>
              <w:ind w:left="113" w:right="107"/>
              <w:rPr>
                <w:sz w:val="16"/>
                <w:szCs w:val="16"/>
              </w:rPr>
            </w:pPr>
            <w:r w:rsidRPr="006F4CD1">
              <w:rPr>
                <w:spacing w:val="-4"/>
                <w:sz w:val="16"/>
                <w:szCs w:val="16"/>
              </w:rPr>
              <w:t>0.58</w:t>
            </w:r>
          </w:p>
        </w:tc>
        <w:tc>
          <w:tcPr>
            <w:tcW w:w="668" w:type="pct"/>
            <w:tcBorders>
              <w:top w:val="nil"/>
              <w:bottom w:val="nil"/>
            </w:tcBorders>
          </w:tcPr>
          <w:p w14:paraId="0B939C33" w14:textId="77777777" w:rsidR="00B3500A" w:rsidRPr="006F4CD1" w:rsidRDefault="00B3500A" w:rsidP="00D62AD1">
            <w:pPr>
              <w:pStyle w:val="TableParagraph"/>
              <w:ind w:right="110"/>
              <w:rPr>
                <w:sz w:val="16"/>
                <w:szCs w:val="16"/>
              </w:rPr>
            </w:pPr>
            <w:r w:rsidRPr="006F4CD1">
              <w:rPr>
                <w:spacing w:val="-4"/>
                <w:sz w:val="16"/>
                <w:szCs w:val="16"/>
              </w:rPr>
              <w:t>0.56</w:t>
            </w:r>
          </w:p>
        </w:tc>
        <w:tc>
          <w:tcPr>
            <w:tcW w:w="668" w:type="pct"/>
            <w:tcBorders>
              <w:top w:val="nil"/>
              <w:bottom w:val="nil"/>
            </w:tcBorders>
          </w:tcPr>
          <w:p w14:paraId="38DBF82A" w14:textId="77777777" w:rsidR="00B3500A" w:rsidRPr="006F4CD1" w:rsidRDefault="00B3500A" w:rsidP="00D62AD1">
            <w:pPr>
              <w:pStyle w:val="TableParagraph"/>
              <w:ind w:left="0" w:right="491"/>
              <w:jc w:val="right"/>
              <w:rPr>
                <w:sz w:val="16"/>
                <w:szCs w:val="16"/>
              </w:rPr>
            </w:pPr>
            <w:r w:rsidRPr="006F4CD1">
              <w:rPr>
                <w:spacing w:val="-4"/>
                <w:sz w:val="16"/>
                <w:szCs w:val="16"/>
              </w:rPr>
              <w:t>0.65</w:t>
            </w:r>
          </w:p>
        </w:tc>
      </w:tr>
      <w:tr w:rsidR="00B3500A" w:rsidRPr="006F4CD1" w14:paraId="2945BA5E" w14:textId="77777777" w:rsidTr="00326B3D">
        <w:trPr>
          <w:trHeight w:val="239"/>
        </w:trPr>
        <w:tc>
          <w:tcPr>
            <w:tcW w:w="388" w:type="pct"/>
            <w:tcBorders>
              <w:top w:val="nil"/>
              <w:left w:val="double" w:sz="4" w:space="0" w:color="000000"/>
              <w:bottom w:val="nil"/>
            </w:tcBorders>
          </w:tcPr>
          <w:p w14:paraId="5BD213EF" w14:textId="77777777" w:rsidR="00B3500A" w:rsidRPr="006F4CD1" w:rsidRDefault="00B3500A" w:rsidP="00D62AD1">
            <w:pPr>
              <w:pStyle w:val="TableParagraph"/>
              <w:ind w:left="0" w:right="98"/>
              <w:jc w:val="right"/>
              <w:rPr>
                <w:sz w:val="16"/>
                <w:szCs w:val="16"/>
              </w:rPr>
            </w:pPr>
            <w:r w:rsidRPr="006F4CD1">
              <w:rPr>
                <w:spacing w:val="-4"/>
                <w:sz w:val="16"/>
                <w:szCs w:val="16"/>
              </w:rPr>
              <w:t>2016</w:t>
            </w:r>
          </w:p>
        </w:tc>
        <w:tc>
          <w:tcPr>
            <w:tcW w:w="346" w:type="pct"/>
            <w:tcBorders>
              <w:top w:val="nil"/>
              <w:bottom w:val="nil"/>
            </w:tcBorders>
          </w:tcPr>
          <w:p w14:paraId="25539796" w14:textId="77777777" w:rsidR="00B3500A" w:rsidRPr="006F4CD1" w:rsidRDefault="00B3500A" w:rsidP="00D62AD1">
            <w:pPr>
              <w:pStyle w:val="TableParagraph"/>
              <w:ind w:left="98" w:right="90"/>
              <w:rPr>
                <w:sz w:val="16"/>
                <w:szCs w:val="16"/>
              </w:rPr>
            </w:pPr>
            <w:r w:rsidRPr="006F4CD1">
              <w:rPr>
                <w:spacing w:val="-4"/>
                <w:sz w:val="16"/>
                <w:szCs w:val="16"/>
              </w:rPr>
              <w:t>0.47</w:t>
            </w:r>
          </w:p>
        </w:tc>
        <w:tc>
          <w:tcPr>
            <w:tcW w:w="624" w:type="pct"/>
            <w:tcBorders>
              <w:top w:val="nil"/>
              <w:bottom w:val="nil"/>
            </w:tcBorders>
          </w:tcPr>
          <w:p w14:paraId="12EB0E37" w14:textId="77777777" w:rsidR="00B3500A" w:rsidRPr="006F4CD1" w:rsidRDefault="00B3500A" w:rsidP="00D62AD1">
            <w:pPr>
              <w:pStyle w:val="TableParagraph"/>
              <w:ind w:left="114"/>
              <w:rPr>
                <w:sz w:val="16"/>
                <w:szCs w:val="16"/>
              </w:rPr>
            </w:pPr>
            <w:r w:rsidRPr="006F4CD1">
              <w:rPr>
                <w:spacing w:val="-4"/>
                <w:sz w:val="16"/>
                <w:szCs w:val="16"/>
              </w:rPr>
              <w:t>0.39</w:t>
            </w:r>
          </w:p>
        </w:tc>
        <w:tc>
          <w:tcPr>
            <w:tcW w:w="648" w:type="pct"/>
            <w:tcBorders>
              <w:top w:val="nil"/>
              <w:bottom w:val="nil"/>
            </w:tcBorders>
          </w:tcPr>
          <w:p w14:paraId="5E8D1AB6" w14:textId="77777777" w:rsidR="00B3500A" w:rsidRPr="006F4CD1" w:rsidRDefault="00B3500A" w:rsidP="00D62AD1">
            <w:pPr>
              <w:pStyle w:val="TableParagraph"/>
              <w:ind w:right="108"/>
              <w:rPr>
                <w:sz w:val="16"/>
                <w:szCs w:val="16"/>
              </w:rPr>
            </w:pPr>
            <w:r w:rsidRPr="006F4CD1">
              <w:rPr>
                <w:spacing w:val="-4"/>
                <w:sz w:val="16"/>
                <w:szCs w:val="16"/>
              </w:rPr>
              <w:t>0.39</w:t>
            </w:r>
          </w:p>
        </w:tc>
        <w:tc>
          <w:tcPr>
            <w:tcW w:w="657" w:type="pct"/>
            <w:tcBorders>
              <w:top w:val="nil"/>
              <w:bottom w:val="nil"/>
              <w:right w:val="double" w:sz="4" w:space="0" w:color="000000"/>
            </w:tcBorders>
          </w:tcPr>
          <w:p w14:paraId="6646A3F0"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0.46</w:t>
            </w:r>
          </w:p>
        </w:tc>
        <w:tc>
          <w:tcPr>
            <w:tcW w:w="334" w:type="pct"/>
            <w:tcBorders>
              <w:top w:val="nil"/>
              <w:left w:val="double" w:sz="4" w:space="0" w:color="000000"/>
              <w:bottom w:val="nil"/>
            </w:tcBorders>
          </w:tcPr>
          <w:p w14:paraId="3F0C16A3" w14:textId="77777777" w:rsidR="00B3500A" w:rsidRPr="006F4CD1" w:rsidRDefault="00B3500A" w:rsidP="00D62AD1">
            <w:pPr>
              <w:pStyle w:val="TableParagraph"/>
              <w:ind w:left="110" w:right="103"/>
              <w:rPr>
                <w:sz w:val="16"/>
                <w:szCs w:val="16"/>
              </w:rPr>
            </w:pPr>
            <w:r w:rsidRPr="006F4CD1">
              <w:rPr>
                <w:spacing w:val="-4"/>
                <w:sz w:val="16"/>
                <w:szCs w:val="16"/>
              </w:rPr>
              <w:t>0.67</w:t>
            </w:r>
          </w:p>
        </w:tc>
        <w:tc>
          <w:tcPr>
            <w:tcW w:w="668" w:type="pct"/>
            <w:tcBorders>
              <w:top w:val="nil"/>
              <w:bottom w:val="nil"/>
            </w:tcBorders>
          </w:tcPr>
          <w:p w14:paraId="4DCD4CFF" w14:textId="77777777" w:rsidR="00B3500A" w:rsidRPr="006F4CD1" w:rsidRDefault="00B3500A" w:rsidP="00D62AD1">
            <w:pPr>
              <w:pStyle w:val="TableParagraph"/>
              <w:ind w:left="113" w:right="107"/>
              <w:rPr>
                <w:sz w:val="16"/>
                <w:szCs w:val="16"/>
              </w:rPr>
            </w:pPr>
            <w:r w:rsidRPr="006F4CD1">
              <w:rPr>
                <w:spacing w:val="-4"/>
                <w:sz w:val="16"/>
                <w:szCs w:val="16"/>
              </w:rPr>
              <w:t>0.59</w:t>
            </w:r>
          </w:p>
        </w:tc>
        <w:tc>
          <w:tcPr>
            <w:tcW w:w="668" w:type="pct"/>
            <w:tcBorders>
              <w:top w:val="nil"/>
              <w:bottom w:val="nil"/>
            </w:tcBorders>
          </w:tcPr>
          <w:p w14:paraId="580FAE0C" w14:textId="77777777" w:rsidR="00B3500A" w:rsidRPr="006F4CD1" w:rsidRDefault="00B3500A" w:rsidP="00D62AD1">
            <w:pPr>
              <w:pStyle w:val="TableParagraph"/>
              <w:ind w:right="110"/>
              <w:rPr>
                <w:sz w:val="16"/>
                <w:szCs w:val="16"/>
              </w:rPr>
            </w:pPr>
            <w:r w:rsidRPr="006F4CD1">
              <w:rPr>
                <w:spacing w:val="-4"/>
                <w:sz w:val="16"/>
                <w:szCs w:val="16"/>
              </w:rPr>
              <w:t>0.56</w:t>
            </w:r>
          </w:p>
        </w:tc>
        <w:tc>
          <w:tcPr>
            <w:tcW w:w="668" w:type="pct"/>
            <w:tcBorders>
              <w:top w:val="nil"/>
              <w:bottom w:val="nil"/>
            </w:tcBorders>
          </w:tcPr>
          <w:p w14:paraId="6C94F346" w14:textId="77777777" w:rsidR="00B3500A" w:rsidRPr="006F4CD1" w:rsidRDefault="00B3500A" w:rsidP="00D62AD1">
            <w:pPr>
              <w:pStyle w:val="TableParagraph"/>
              <w:ind w:left="0" w:right="491"/>
              <w:jc w:val="right"/>
              <w:rPr>
                <w:sz w:val="16"/>
                <w:szCs w:val="16"/>
              </w:rPr>
            </w:pPr>
            <w:r w:rsidRPr="006F4CD1">
              <w:rPr>
                <w:spacing w:val="-4"/>
                <w:sz w:val="16"/>
                <w:szCs w:val="16"/>
              </w:rPr>
              <w:t>0.66</w:t>
            </w:r>
          </w:p>
        </w:tc>
      </w:tr>
      <w:tr w:rsidR="00B3500A" w:rsidRPr="006F4CD1" w14:paraId="7C13DF9A" w14:textId="77777777" w:rsidTr="00326B3D">
        <w:trPr>
          <w:trHeight w:val="239"/>
        </w:trPr>
        <w:tc>
          <w:tcPr>
            <w:tcW w:w="388" w:type="pct"/>
            <w:tcBorders>
              <w:top w:val="nil"/>
              <w:left w:val="double" w:sz="4" w:space="0" w:color="000000"/>
              <w:bottom w:val="nil"/>
            </w:tcBorders>
          </w:tcPr>
          <w:p w14:paraId="730B7E63" w14:textId="77777777" w:rsidR="00B3500A" w:rsidRPr="006F4CD1" w:rsidRDefault="00B3500A" w:rsidP="00D62AD1">
            <w:pPr>
              <w:pStyle w:val="TableParagraph"/>
              <w:ind w:left="0" w:right="98"/>
              <w:jc w:val="right"/>
              <w:rPr>
                <w:sz w:val="16"/>
                <w:szCs w:val="16"/>
              </w:rPr>
            </w:pPr>
            <w:r w:rsidRPr="006F4CD1">
              <w:rPr>
                <w:spacing w:val="-4"/>
                <w:sz w:val="16"/>
                <w:szCs w:val="16"/>
              </w:rPr>
              <w:t>2017</w:t>
            </w:r>
          </w:p>
        </w:tc>
        <w:tc>
          <w:tcPr>
            <w:tcW w:w="346" w:type="pct"/>
            <w:tcBorders>
              <w:top w:val="nil"/>
              <w:bottom w:val="nil"/>
            </w:tcBorders>
          </w:tcPr>
          <w:p w14:paraId="1AFC9ECB" w14:textId="77777777" w:rsidR="00B3500A" w:rsidRPr="006F4CD1" w:rsidRDefault="00B3500A" w:rsidP="00D62AD1">
            <w:pPr>
              <w:pStyle w:val="TableParagraph"/>
              <w:ind w:left="98" w:right="90"/>
              <w:rPr>
                <w:sz w:val="16"/>
                <w:szCs w:val="16"/>
              </w:rPr>
            </w:pPr>
            <w:r w:rsidRPr="006F4CD1">
              <w:rPr>
                <w:spacing w:val="-4"/>
                <w:sz w:val="16"/>
                <w:szCs w:val="16"/>
              </w:rPr>
              <w:t>0.48</w:t>
            </w:r>
          </w:p>
        </w:tc>
        <w:tc>
          <w:tcPr>
            <w:tcW w:w="624" w:type="pct"/>
            <w:tcBorders>
              <w:top w:val="nil"/>
              <w:bottom w:val="nil"/>
            </w:tcBorders>
          </w:tcPr>
          <w:p w14:paraId="68648AEA" w14:textId="77777777" w:rsidR="00B3500A" w:rsidRPr="006F4CD1" w:rsidRDefault="00B3500A" w:rsidP="00D62AD1">
            <w:pPr>
              <w:pStyle w:val="TableParagraph"/>
              <w:ind w:left="114"/>
              <w:rPr>
                <w:sz w:val="16"/>
                <w:szCs w:val="16"/>
              </w:rPr>
            </w:pPr>
            <w:r w:rsidRPr="006F4CD1">
              <w:rPr>
                <w:spacing w:val="-4"/>
                <w:sz w:val="16"/>
                <w:szCs w:val="16"/>
              </w:rPr>
              <w:t>0.38</w:t>
            </w:r>
          </w:p>
        </w:tc>
        <w:tc>
          <w:tcPr>
            <w:tcW w:w="648" w:type="pct"/>
            <w:tcBorders>
              <w:top w:val="nil"/>
              <w:bottom w:val="nil"/>
            </w:tcBorders>
          </w:tcPr>
          <w:p w14:paraId="7432238C" w14:textId="77777777" w:rsidR="00B3500A" w:rsidRPr="006F4CD1" w:rsidRDefault="00B3500A" w:rsidP="00D62AD1">
            <w:pPr>
              <w:pStyle w:val="TableParagraph"/>
              <w:ind w:right="108"/>
              <w:rPr>
                <w:sz w:val="16"/>
                <w:szCs w:val="16"/>
              </w:rPr>
            </w:pPr>
            <w:r w:rsidRPr="006F4CD1">
              <w:rPr>
                <w:spacing w:val="-4"/>
                <w:sz w:val="16"/>
                <w:szCs w:val="16"/>
              </w:rPr>
              <w:t>0.39</w:t>
            </w:r>
          </w:p>
        </w:tc>
        <w:tc>
          <w:tcPr>
            <w:tcW w:w="657" w:type="pct"/>
            <w:tcBorders>
              <w:top w:val="nil"/>
              <w:bottom w:val="nil"/>
              <w:right w:val="double" w:sz="4" w:space="0" w:color="000000"/>
            </w:tcBorders>
          </w:tcPr>
          <w:p w14:paraId="428AAB51"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0.47</w:t>
            </w:r>
          </w:p>
        </w:tc>
        <w:tc>
          <w:tcPr>
            <w:tcW w:w="334" w:type="pct"/>
            <w:tcBorders>
              <w:top w:val="nil"/>
              <w:left w:val="double" w:sz="4" w:space="0" w:color="000000"/>
              <w:bottom w:val="nil"/>
            </w:tcBorders>
          </w:tcPr>
          <w:p w14:paraId="5CDB2D32" w14:textId="77777777" w:rsidR="00B3500A" w:rsidRPr="006F4CD1" w:rsidRDefault="00B3500A" w:rsidP="00D62AD1">
            <w:pPr>
              <w:pStyle w:val="TableParagraph"/>
              <w:ind w:left="110" w:right="103"/>
              <w:rPr>
                <w:sz w:val="16"/>
                <w:szCs w:val="16"/>
              </w:rPr>
            </w:pPr>
            <w:r w:rsidRPr="006F4CD1">
              <w:rPr>
                <w:spacing w:val="-4"/>
                <w:sz w:val="16"/>
                <w:szCs w:val="16"/>
              </w:rPr>
              <w:t>0.67</w:t>
            </w:r>
          </w:p>
        </w:tc>
        <w:tc>
          <w:tcPr>
            <w:tcW w:w="668" w:type="pct"/>
            <w:tcBorders>
              <w:top w:val="nil"/>
              <w:bottom w:val="nil"/>
            </w:tcBorders>
          </w:tcPr>
          <w:p w14:paraId="5F61D125" w14:textId="77777777" w:rsidR="00B3500A" w:rsidRPr="006F4CD1" w:rsidRDefault="00B3500A" w:rsidP="00D62AD1">
            <w:pPr>
              <w:pStyle w:val="TableParagraph"/>
              <w:ind w:left="113" w:right="107"/>
              <w:rPr>
                <w:sz w:val="16"/>
                <w:szCs w:val="16"/>
              </w:rPr>
            </w:pPr>
            <w:r w:rsidRPr="006F4CD1">
              <w:rPr>
                <w:spacing w:val="-4"/>
                <w:sz w:val="16"/>
                <w:szCs w:val="16"/>
              </w:rPr>
              <w:t>0.58</w:t>
            </w:r>
          </w:p>
        </w:tc>
        <w:tc>
          <w:tcPr>
            <w:tcW w:w="668" w:type="pct"/>
            <w:tcBorders>
              <w:top w:val="nil"/>
              <w:bottom w:val="nil"/>
            </w:tcBorders>
          </w:tcPr>
          <w:p w14:paraId="46A16D8E" w14:textId="77777777" w:rsidR="00B3500A" w:rsidRPr="006F4CD1" w:rsidRDefault="00B3500A" w:rsidP="00D62AD1">
            <w:pPr>
              <w:pStyle w:val="TableParagraph"/>
              <w:ind w:right="110"/>
              <w:rPr>
                <w:sz w:val="16"/>
                <w:szCs w:val="16"/>
              </w:rPr>
            </w:pPr>
            <w:r w:rsidRPr="006F4CD1">
              <w:rPr>
                <w:spacing w:val="-4"/>
                <w:sz w:val="16"/>
                <w:szCs w:val="16"/>
              </w:rPr>
              <w:t>0.56</w:t>
            </w:r>
          </w:p>
        </w:tc>
        <w:tc>
          <w:tcPr>
            <w:tcW w:w="668" w:type="pct"/>
            <w:tcBorders>
              <w:top w:val="nil"/>
              <w:bottom w:val="nil"/>
            </w:tcBorders>
          </w:tcPr>
          <w:p w14:paraId="39F4B6C1" w14:textId="77777777" w:rsidR="00B3500A" w:rsidRPr="006F4CD1" w:rsidRDefault="00B3500A" w:rsidP="00D62AD1">
            <w:pPr>
              <w:pStyle w:val="TableParagraph"/>
              <w:ind w:left="0" w:right="491"/>
              <w:jc w:val="right"/>
              <w:rPr>
                <w:sz w:val="16"/>
                <w:szCs w:val="16"/>
              </w:rPr>
            </w:pPr>
            <w:r w:rsidRPr="006F4CD1">
              <w:rPr>
                <w:spacing w:val="-4"/>
                <w:sz w:val="16"/>
                <w:szCs w:val="16"/>
              </w:rPr>
              <w:t>0.66</w:t>
            </w:r>
          </w:p>
        </w:tc>
      </w:tr>
      <w:tr w:rsidR="00B3500A" w:rsidRPr="006F4CD1" w14:paraId="61F70F57" w14:textId="77777777" w:rsidTr="00326B3D">
        <w:trPr>
          <w:trHeight w:val="239"/>
        </w:trPr>
        <w:tc>
          <w:tcPr>
            <w:tcW w:w="388" w:type="pct"/>
            <w:tcBorders>
              <w:top w:val="nil"/>
              <w:left w:val="double" w:sz="4" w:space="0" w:color="000000"/>
              <w:bottom w:val="nil"/>
            </w:tcBorders>
          </w:tcPr>
          <w:p w14:paraId="217620D1" w14:textId="77777777" w:rsidR="00B3500A" w:rsidRPr="006F4CD1" w:rsidRDefault="00B3500A" w:rsidP="00D62AD1">
            <w:pPr>
              <w:pStyle w:val="TableParagraph"/>
              <w:ind w:left="0" w:right="98"/>
              <w:jc w:val="right"/>
              <w:rPr>
                <w:sz w:val="16"/>
                <w:szCs w:val="16"/>
              </w:rPr>
            </w:pPr>
            <w:r w:rsidRPr="006F4CD1">
              <w:rPr>
                <w:spacing w:val="-4"/>
                <w:sz w:val="16"/>
                <w:szCs w:val="16"/>
              </w:rPr>
              <w:t>2018</w:t>
            </w:r>
          </w:p>
        </w:tc>
        <w:tc>
          <w:tcPr>
            <w:tcW w:w="346" w:type="pct"/>
            <w:tcBorders>
              <w:top w:val="nil"/>
              <w:bottom w:val="nil"/>
            </w:tcBorders>
          </w:tcPr>
          <w:p w14:paraId="4BD5ADCB" w14:textId="77777777" w:rsidR="00B3500A" w:rsidRPr="006F4CD1" w:rsidRDefault="00B3500A" w:rsidP="00D62AD1">
            <w:pPr>
              <w:pStyle w:val="TableParagraph"/>
              <w:ind w:left="98" w:right="90"/>
              <w:rPr>
                <w:sz w:val="16"/>
                <w:szCs w:val="16"/>
              </w:rPr>
            </w:pPr>
            <w:r w:rsidRPr="006F4CD1">
              <w:rPr>
                <w:spacing w:val="-4"/>
                <w:sz w:val="16"/>
                <w:szCs w:val="16"/>
              </w:rPr>
              <w:t>0.48</w:t>
            </w:r>
          </w:p>
        </w:tc>
        <w:tc>
          <w:tcPr>
            <w:tcW w:w="624" w:type="pct"/>
            <w:tcBorders>
              <w:top w:val="nil"/>
              <w:bottom w:val="nil"/>
            </w:tcBorders>
          </w:tcPr>
          <w:p w14:paraId="5F79239B" w14:textId="77777777" w:rsidR="00B3500A" w:rsidRPr="006F4CD1" w:rsidRDefault="00B3500A" w:rsidP="00D62AD1">
            <w:pPr>
              <w:pStyle w:val="TableParagraph"/>
              <w:ind w:left="114"/>
              <w:rPr>
                <w:sz w:val="16"/>
                <w:szCs w:val="16"/>
              </w:rPr>
            </w:pPr>
            <w:r w:rsidRPr="006F4CD1">
              <w:rPr>
                <w:spacing w:val="-4"/>
                <w:sz w:val="16"/>
                <w:szCs w:val="16"/>
              </w:rPr>
              <w:t>0.37</w:t>
            </w:r>
          </w:p>
        </w:tc>
        <w:tc>
          <w:tcPr>
            <w:tcW w:w="648" w:type="pct"/>
            <w:tcBorders>
              <w:top w:val="nil"/>
              <w:bottom w:val="nil"/>
            </w:tcBorders>
          </w:tcPr>
          <w:p w14:paraId="4557C980" w14:textId="77777777" w:rsidR="00B3500A" w:rsidRPr="006F4CD1" w:rsidRDefault="00B3500A" w:rsidP="00D62AD1">
            <w:pPr>
              <w:pStyle w:val="TableParagraph"/>
              <w:ind w:right="108"/>
              <w:rPr>
                <w:sz w:val="16"/>
                <w:szCs w:val="16"/>
              </w:rPr>
            </w:pPr>
            <w:r w:rsidRPr="006F4CD1">
              <w:rPr>
                <w:spacing w:val="-4"/>
                <w:sz w:val="16"/>
                <w:szCs w:val="16"/>
              </w:rPr>
              <w:t>0.38</w:t>
            </w:r>
          </w:p>
        </w:tc>
        <w:tc>
          <w:tcPr>
            <w:tcW w:w="657" w:type="pct"/>
            <w:tcBorders>
              <w:top w:val="nil"/>
              <w:bottom w:val="nil"/>
              <w:right w:val="double" w:sz="4" w:space="0" w:color="000000"/>
            </w:tcBorders>
          </w:tcPr>
          <w:p w14:paraId="53DA0552"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0.46</w:t>
            </w:r>
          </w:p>
        </w:tc>
        <w:tc>
          <w:tcPr>
            <w:tcW w:w="334" w:type="pct"/>
            <w:tcBorders>
              <w:top w:val="nil"/>
              <w:left w:val="double" w:sz="4" w:space="0" w:color="000000"/>
              <w:bottom w:val="nil"/>
            </w:tcBorders>
          </w:tcPr>
          <w:p w14:paraId="6E0B021D" w14:textId="77777777" w:rsidR="00B3500A" w:rsidRPr="006F4CD1" w:rsidRDefault="00B3500A" w:rsidP="00D62AD1">
            <w:pPr>
              <w:pStyle w:val="TableParagraph"/>
              <w:ind w:left="110" w:right="103"/>
              <w:rPr>
                <w:sz w:val="16"/>
                <w:szCs w:val="16"/>
              </w:rPr>
            </w:pPr>
            <w:r w:rsidRPr="006F4CD1">
              <w:rPr>
                <w:spacing w:val="-4"/>
                <w:sz w:val="16"/>
                <w:szCs w:val="16"/>
              </w:rPr>
              <w:t>0.68</w:t>
            </w:r>
          </w:p>
        </w:tc>
        <w:tc>
          <w:tcPr>
            <w:tcW w:w="668" w:type="pct"/>
            <w:tcBorders>
              <w:top w:val="nil"/>
              <w:bottom w:val="nil"/>
            </w:tcBorders>
          </w:tcPr>
          <w:p w14:paraId="375CFEE2" w14:textId="77777777" w:rsidR="00B3500A" w:rsidRPr="006F4CD1" w:rsidRDefault="00B3500A" w:rsidP="00D62AD1">
            <w:pPr>
              <w:pStyle w:val="TableParagraph"/>
              <w:ind w:left="113" w:right="107"/>
              <w:rPr>
                <w:sz w:val="16"/>
                <w:szCs w:val="16"/>
              </w:rPr>
            </w:pPr>
            <w:r w:rsidRPr="006F4CD1">
              <w:rPr>
                <w:spacing w:val="-4"/>
                <w:sz w:val="16"/>
                <w:szCs w:val="16"/>
              </w:rPr>
              <w:t>0.58</w:t>
            </w:r>
          </w:p>
        </w:tc>
        <w:tc>
          <w:tcPr>
            <w:tcW w:w="668" w:type="pct"/>
            <w:tcBorders>
              <w:top w:val="nil"/>
              <w:bottom w:val="nil"/>
            </w:tcBorders>
          </w:tcPr>
          <w:p w14:paraId="05AAF0C2" w14:textId="77777777" w:rsidR="00B3500A" w:rsidRPr="006F4CD1" w:rsidRDefault="00B3500A" w:rsidP="00D62AD1">
            <w:pPr>
              <w:pStyle w:val="TableParagraph"/>
              <w:ind w:right="110"/>
              <w:rPr>
                <w:sz w:val="16"/>
                <w:szCs w:val="16"/>
              </w:rPr>
            </w:pPr>
            <w:r w:rsidRPr="006F4CD1">
              <w:rPr>
                <w:spacing w:val="-4"/>
                <w:sz w:val="16"/>
                <w:szCs w:val="16"/>
              </w:rPr>
              <w:t>0.56</w:t>
            </w:r>
          </w:p>
        </w:tc>
        <w:tc>
          <w:tcPr>
            <w:tcW w:w="668" w:type="pct"/>
            <w:tcBorders>
              <w:top w:val="nil"/>
              <w:bottom w:val="nil"/>
            </w:tcBorders>
          </w:tcPr>
          <w:p w14:paraId="09E2EEFD" w14:textId="77777777" w:rsidR="00B3500A" w:rsidRPr="006F4CD1" w:rsidRDefault="00B3500A" w:rsidP="00D62AD1">
            <w:pPr>
              <w:pStyle w:val="TableParagraph"/>
              <w:ind w:left="0" w:right="491"/>
              <w:jc w:val="right"/>
              <w:rPr>
                <w:sz w:val="16"/>
                <w:szCs w:val="16"/>
              </w:rPr>
            </w:pPr>
            <w:r w:rsidRPr="006F4CD1">
              <w:rPr>
                <w:spacing w:val="-4"/>
                <w:sz w:val="16"/>
                <w:szCs w:val="16"/>
              </w:rPr>
              <w:t>0.66</w:t>
            </w:r>
          </w:p>
        </w:tc>
      </w:tr>
      <w:tr w:rsidR="00B3500A" w:rsidRPr="006F4CD1" w14:paraId="71E144E4" w14:textId="77777777" w:rsidTr="00326B3D">
        <w:trPr>
          <w:trHeight w:val="239"/>
        </w:trPr>
        <w:tc>
          <w:tcPr>
            <w:tcW w:w="388" w:type="pct"/>
            <w:tcBorders>
              <w:top w:val="nil"/>
              <w:left w:val="double" w:sz="4" w:space="0" w:color="000000"/>
              <w:bottom w:val="nil"/>
            </w:tcBorders>
          </w:tcPr>
          <w:p w14:paraId="5E14559E" w14:textId="77777777" w:rsidR="00B3500A" w:rsidRPr="006F4CD1" w:rsidRDefault="00B3500A" w:rsidP="00D62AD1">
            <w:pPr>
              <w:pStyle w:val="TableParagraph"/>
              <w:ind w:left="0" w:right="98"/>
              <w:jc w:val="right"/>
              <w:rPr>
                <w:sz w:val="16"/>
                <w:szCs w:val="16"/>
              </w:rPr>
            </w:pPr>
            <w:r w:rsidRPr="006F4CD1">
              <w:rPr>
                <w:spacing w:val="-4"/>
                <w:sz w:val="16"/>
                <w:szCs w:val="16"/>
              </w:rPr>
              <w:t>2019</w:t>
            </w:r>
          </w:p>
        </w:tc>
        <w:tc>
          <w:tcPr>
            <w:tcW w:w="346" w:type="pct"/>
            <w:tcBorders>
              <w:top w:val="nil"/>
              <w:bottom w:val="nil"/>
            </w:tcBorders>
          </w:tcPr>
          <w:p w14:paraId="4D258682" w14:textId="77777777" w:rsidR="00B3500A" w:rsidRPr="006F4CD1" w:rsidRDefault="00B3500A" w:rsidP="00D62AD1">
            <w:pPr>
              <w:pStyle w:val="TableParagraph"/>
              <w:ind w:left="98" w:right="90"/>
              <w:rPr>
                <w:sz w:val="16"/>
                <w:szCs w:val="16"/>
              </w:rPr>
            </w:pPr>
            <w:r w:rsidRPr="006F4CD1">
              <w:rPr>
                <w:spacing w:val="-4"/>
                <w:sz w:val="16"/>
                <w:szCs w:val="16"/>
              </w:rPr>
              <w:t>0.49</w:t>
            </w:r>
          </w:p>
        </w:tc>
        <w:tc>
          <w:tcPr>
            <w:tcW w:w="624" w:type="pct"/>
            <w:tcBorders>
              <w:top w:val="nil"/>
              <w:bottom w:val="nil"/>
            </w:tcBorders>
          </w:tcPr>
          <w:p w14:paraId="33A60996" w14:textId="77777777" w:rsidR="00B3500A" w:rsidRPr="006F4CD1" w:rsidRDefault="00B3500A" w:rsidP="00D62AD1">
            <w:pPr>
              <w:pStyle w:val="TableParagraph"/>
              <w:ind w:left="114"/>
              <w:rPr>
                <w:sz w:val="16"/>
                <w:szCs w:val="16"/>
              </w:rPr>
            </w:pPr>
            <w:r w:rsidRPr="006F4CD1">
              <w:rPr>
                <w:spacing w:val="-4"/>
                <w:sz w:val="16"/>
                <w:szCs w:val="16"/>
              </w:rPr>
              <w:t>0.36</w:t>
            </w:r>
          </w:p>
        </w:tc>
        <w:tc>
          <w:tcPr>
            <w:tcW w:w="648" w:type="pct"/>
            <w:tcBorders>
              <w:top w:val="nil"/>
              <w:bottom w:val="nil"/>
            </w:tcBorders>
          </w:tcPr>
          <w:p w14:paraId="03CA899A" w14:textId="77777777" w:rsidR="00B3500A" w:rsidRPr="006F4CD1" w:rsidRDefault="00B3500A" w:rsidP="00D62AD1">
            <w:pPr>
              <w:pStyle w:val="TableParagraph"/>
              <w:ind w:right="108"/>
              <w:rPr>
                <w:sz w:val="16"/>
                <w:szCs w:val="16"/>
              </w:rPr>
            </w:pPr>
            <w:r w:rsidRPr="006F4CD1">
              <w:rPr>
                <w:spacing w:val="-4"/>
                <w:sz w:val="16"/>
                <w:szCs w:val="16"/>
              </w:rPr>
              <w:t>0.38</w:t>
            </w:r>
          </w:p>
        </w:tc>
        <w:tc>
          <w:tcPr>
            <w:tcW w:w="657" w:type="pct"/>
            <w:tcBorders>
              <w:top w:val="nil"/>
              <w:bottom w:val="nil"/>
              <w:right w:val="double" w:sz="4" w:space="0" w:color="000000"/>
            </w:tcBorders>
          </w:tcPr>
          <w:p w14:paraId="0C0D7EB6"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0.47</w:t>
            </w:r>
          </w:p>
        </w:tc>
        <w:tc>
          <w:tcPr>
            <w:tcW w:w="334" w:type="pct"/>
            <w:tcBorders>
              <w:top w:val="nil"/>
              <w:left w:val="double" w:sz="4" w:space="0" w:color="000000"/>
              <w:bottom w:val="nil"/>
            </w:tcBorders>
          </w:tcPr>
          <w:p w14:paraId="7CC2D492" w14:textId="77777777" w:rsidR="00B3500A" w:rsidRPr="006F4CD1" w:rsidRDefault="00B3500A" w:rsidP="00D62AD1">
            <w:pPr>
              <w:pStyle w:val="TableParagraph"/>
              <w:ind w:left="110" w:right="103"/>
              <w:rPr>
                <w:sz w:val="16"/>
                <w:szCs w:val="16"/>
              </w:rPr>
            </w:pPr>
            <w:r w:rsidRPr="006F4CD1">
              <w:rPr>
                <w:spacing w:val="-4"/>
                <w:sz w:val="16"/>
                <w:szCs w:val="16"/>
              </w:rPr>
              <w:t>0.68</w:t>
            </w:r>
          </w:p>
        </w:tc>
        <w:tc>
          <w:tcPr>
            <w:tcW w:w="668" w:type="pct"/>
            <w:tcBorders>
              <w:top w:val="nil"/>
              <w:bottom w:val="nil"/>
            </w:tcBorders>
          </w:tcPr>
          <w:p w14:paraId="5961D7AE" w14:textId="77777777" w:rsidR="00B3500A" w:rsidRPr="006F4CD1" w:rsidRDefault="00B3500A" w:rsidP="00D62AD1">
            <w:pPr>
              <w:pStyle w:val="TableParagraph"/>
              <w:ind w:left="113" w:right="107"/>
              <w:rPr>
                <w:sz w:val="16"/>
                <w:szCs w:val="16"/>
              </w:rPr>
            </w:pPr>
            <w:r w:rsidRPr="006F4CD1">
              <w:rPr>
                <w:spacing w:val="-4"/>
                <w:sz w:val="16"/>
                <w:szCs w:val="16"/>
              </w:rPr>
              <w:t>0.56</w:t>
            </w:r>
          </w:p>
        </w:tc>
        <w:tc>
          <w:tcPr>
            <w:tcW w:w="668" w:type="pct"/>
            <w:tcBorders>
              <w:top w:val="nil"/>
              <w:bottom w:val="nil"/>
            </w:tcBorders>
          </w:tcPr>
          <w:p w14:paraId="199C04C1" w14:textId="77777777" w:rsidR="00B3500A" w:rsidRPr="006F4CD1" w:rsidRDefault="00B3500A" w:rsidP="00D62AD1">
            <w:pPr>
              <w:pStyle w:val="TableParagraph"/>
              <w:ind w:right="110"/>
              <w:rPr>
                <w:sz w:val="16"/>
                <w:szCs w:val="16"/>
              </w:rPr>
            </w:pPr>
            <w:r w:rsidRPr="006F4CD1">
              <w:rPr>
                <w:spacing w:val="-4"/>
                <w:sz w:val="16"/>
                <w:szCs w:val="16"/>
              </w:rPr>
              <w:t>0.56</w:t>
            </w:r>
          </w:p>
        </w:tc>
        <w:tc>
          <w:tcPr>
            <w:tcW w:w="668" w:type="pct"/>
            <w:tcBorders>
              <w:top w:val="nil"/>
              <w:bottom w:val="nil"/>
            </w:tcBorders>
          </w:tcPr>
          <w:p w14:paraId="116F3217" w14:textId="77777777" w:rsidR="00B3500A" w:rsidRPr="006F4CD1" w:rsidRDefault="00B3500A" w:rsidP="00D62AD1">
            <w:pPr>
              <w:pStyle w:val="TableParagraph"/>
              <w:ind w:left="0" w:right="491"/>
              <w:jc w:val="right"/>
              <w:rPr>
                <w:sz w:val="16"/>
                <w:szCs w:val="16"/>
              </w:rPr>
            </w:pPr>
            <w:r w:rsidRPr="006F4CD1">
              <w:rPr>
                <w:spacing w:val="-4"/>
                <w:sz w:val="16"/>
                <w:szCs w:val="16"/>
              </w:rPr>
              <w:t>0.66</w:t>
            </w:r>
          </w:p>
        </w:tc>
      </w:tr>
      <w:tr w:rsidR="00B3500A" w:rsidRPr="006F4CD1" w14:paraId="7D933884" w14:textId="77777777" w:rsidTr="00326B3D">
        <w:trPr>
          <w:trHeight w:val="240"/>
        </w:trPr>
        <w:tc>
          <w:tcPr>
            <w:tcW w:w="388" w:type="pct"/>
            <w:tcBorders>
              <w:top w:val="nil"/>
              <w:left w:val="double" w:sz="4" w:space="0" w:color="000000"/>
            </w:tcBorders>
          </w:tcPr>
          <w:p w14:paraId="6A1CC2EE" w14:textId="77777777" w:rsidR="00B3500A" w:rsidRPr="006F4CD1" w:rsidRDefault="00B3500A" w:rsidP="00D62AD1">
            <w:pPr>
              <w:pStyle w:val="TableParagraph"/>
              <w:ind w:left="0" w:right="98"/>
              <w:jc w:val="right"/>
              <w:rPr>
                <w:sz w:val="16"/>
                <w:szCs w:val="16"/>
              </w:rPr>
            </w:pPr>
            <w:r w:rsidRPr="006F4CD1">
              <w:rPr>
                <w:spacing w:val="-4"/>
                <w:sz w:val="16"/>
                <w:szCs w:val="16"/>
              </w:rPr>
              <w:t>2020</w:t>
            </w:r>
          </w:p>
        </w:tc>
        <w:tc>
          <w:tcPr>
            <w:tcW w:w="346" w:type="pct"/>
            <w:tcBorders>
              <w:top w:val="nil"/>
            </w:tcBorders>
          </w:tcPr>
          <w:p w14:paraId="6C6F1813" w14:textId="77777777" w:rsidR="00B3500A" w:rsidRPr="006F4CD1" w:rsidRDefault="00B3500A" w:rsidP="00D62AD1">
            <w:pPr>
              <w:pStyle w:val="TableParagraph"/>
              <w:ind w:left="98" w:right="90"/>
              <w:rPr>
                <w:sz w:val="16"/>
                <w:szCs w:val="16"/>
              </w:rPr>
            </w:pPr>
            <w:r w:rsidRPr="006F4CD1">
              <w:rPr>
                <w:spacing w:val="-4"/>
                <w:sz w:val="16"/>
                <w:szCs w:val="16"/>
              </w:rPr>
              <w:t>0.48</w:t>
            </w:r>
          </w:p>
        </w:tc>
        <w:tc>
          <w:tcPr>
            <w:tcW w:w="624" w:type="pct"/>
            <w:tcBorders>
              <w:top w:val="nil"/>
            </w:tcBorders>
          </w:tcPr>
          <w:p w14:paraId="7CFB7527" w14:textId="77777777" w:rsidR="00B3500A" w:rsidRPr="006F4CD1" w:rsidRDefault="00B3500A" w:rsidP="00D62AD1">
            <w:pPr>
              <w:pStyle w:val="TableParagraph"/>
              <w:ind w:left="114"/>
              <w:rPr>
                <w:sz w:val="16"/>
                <w:szCs w:val="16"/>
              </w:rPr>
            </w:pPr>
            <w:r w:rsidRPr="006F4CD1">
              <w:rPr>
                <w:spacing w:val="-4"/>
                <w:sz w:val="16"/>
                <w:szCs w:val="16"/>
              </w:rPr>
              <w:t>0.33</w:t>
            </w:r>
          </w:p>
        </w:tc>
        <w:tc>
          <w:tcPr>
            <w:tcW w:w="648" w:type="pct"/>
            <w:tcBorders>
              <w:top w:val="nil"/>
            </w:tcBorders>
          </w:tcPr>
          <w:p w14:paraId="55CA5ADE" w14:textId="77777777" w:rsidR="00B3500A" w:rsidRPr="006F4CD1" w:rsidRDefault="00B3500A" w:rsidP="00D62AD1">
            <w:pPr>
              <w:pStyle w:val="TableParagraph"/>
              <w:ind w:right="108"/>
              <w:rPr>
                <w:sz w:val="16"/>
                <w:szCs w:val="16"/>
              </w:rPr>
            </w:pPr>
            <w:r w:rsidRPr="006F4CD1">
              <w:rPr>
                <w:spacing w:val="-4"/>
                <w:sz w:val="16"/>
                <w:szCs w:val="16"/>
              </w:rPr>
              <w:t>0.37</w:t>
            </w:r>
          </w:p>
        </w:tc>
        <w:tc>
          <w:tcPr>
            <w:tcW w:w="657" w:type="pct"/>
            <w:tcBorders>
              <w:top w:val="nil"/>
              <w:right w:val="double" w:sz="4" w:space="0" w:color="000000"/>
            </w:tcBorders>
          </w:tcPr>
          <w:p w14:paraId="4F0CE0AC" w14:textId="77777777" w:rsidR="00B3500A" w:rsidRPr="006F4CD1" w:rsidRDefault="00B3500A" w:rsidP="00D62AD1">
            <w:pPr>
              <w:pStyle w:val="TableParagraph"/>
              <w:spacing w:line="210" w:lineRule="exact"/>
              <w:ind w:left="116" w:right="108"/>
              <w:rPr>
                <w:spacing w:val="-4"/>
                <w:sz w:val="16"/>
                <w:szCs w:val="16"/>
              </w:rPr>
            </w:pPr>
            <w:r w:rsidRPr="006F4CD1">
              <w:rPr>
                <w:spacing w:val="-4"/>
                <w:sz w:val="16"/>
                <w:szCs w:val="16"/>
              </w:rPr>
              <w:t>0.45</w:t>
            </w:r>
          </w:p>
        </w:tc>
        <w:tc>
          <w:tcPr>
            <w:tcW w:w="334" w:type="pct"/>
            <w:tcBorders>
              <w:top w:val="nil"/>
              <w:left w:val="double" w:sz="4" w:space="0" w:color="000000"/>
            </w:tcBorders>
          </w:tcPr>
          <w:p w14:paraId="3C140126" w14:textId="77777777" w:rsidR="00B3500A" w:rsidRPr="006F4CD1" w:rsidRDefault="00B3500A" w:rsidP="00D62AD1">
            <w:pPr>
              <w:pStyle w:val="TableParagraph"/>
              <w:ind w:left="110" w:right="103"/>
              <w:rPr>
                <w:sz w:val="16"/>
                <w:szCs w:val="16"/>
              </w:rPr>
            </w:pPr>
            <w:r w:rsidRPr="006F4CD1">
              <w:rPr>
                <w:spacing w:val="-4"/>
                <w:sz w:val="16"/>
                <w:szCs w:val="16"/>
              </w:rPr>
              <w:t>0.68</w:t>
            </w:r>
          </w:p>
        </w:tc>
        <w:tc>
          <w:tcPr>
            <w:tcW w:w="668" w:type="pct"/>
            <w:tcBorders>
              <w:top w:val="nil"/>
            </w:tcBorders>
          </w:tcPr>
          <w:p w14:paraId="667CE066" w14:textId="77777777" w:rsidR="00B3500A" w:rsidRPr="006F4CD1" w:rsidRDefault="00B3500A" w:rsidP="00D62AD1">
            <w:pPr>
              <w:pStyle w:val="TableParagraph"/>
              <w:ind w:left="113" w:right="107"/>
              <w:rPr>
                <w:sz w:val="16"/>
                <w:szCs w:val="16"/>
              </w:rPr>
            </w:pPr>
            <w:r w:rsidRPr="006F4CD1">
              <w:rPr>
                <w:spacing w:val="-4"/>
                <w:sz w:val="16"/>
                <w:szCs w:val="16"/>
              </w:rPr>
              <w:t>0.55</w:t>
            </w:r>
          </w:p>
        </w:tc>
        <w:tc>
          <w:tcPr>
            <w:tcW w:w="668" w:type="pct"/>
            <w:tcBorders>
              <w:top w:val="nil"/>
            </w:tcBorders>
          </w:tcPr>
          <w:p w14:paraId="5FB9A1D6" w14:textId="77777777" w:rsidR="00B3500A" w:rsidRPr="006F4CD1" w:rsidRDefault="00B3500A" w:rsidP="00D62AD1">
            <w:pPr>
              <w:pStyle w:val="TableParagraph"/>
              <w:ind w:right="110"/>
              <w:rPr>
                <w:sz w:val="16"/>
                <w:szCs w:val="16"/>
              </w:rPr>
            </w:pPr>
            <w:r w:rsidRPr="006F4CD1">
              <w:rPr>
                <w:spacing w:val="-4"/>
                <w:sz w:val="16"/>
                <w:szCs w:val="16"/>
              </w:rPr>
              <w:t>0.55</w:t>
            </w:r>
          </w:p>
        </w:tc>
        <w:tc>
          <w:tcPr>
            <w:tcW w:w="668" w:type="pct"/>
            <w:tcBorders>
              <w:top w:val="nil"/>
            </w:tcBorders>
          </w:tcPr>
          <w:p w14:paraId="6F828773" w14:textId="77777777" w:rsidR="00B3500A" w:rsidRPr="006F4CD1" w:rsidRDefault="00B3500A" w:rsidP="00D62AD1">
            <w:pPr>
              <w:pStyle w:val="TableParagraph"/>
              <w:ind w:left="0" w:right="491"/>
              <w:jc w:val="right"/>
              <w:rPr>
                <w:sz w:val="16"/>
                <w:szCs w:val="16"/>
              </w:rPr>
            </w:pPr>
            <w:r w:rsidRPr="006F4CD1">
              <w:rPr>
                <w:spacing w:val="-4"/>
                <w:sz w:val="16"/>
                <w:szCs w:val="16"/>
              </w:rPr>
              <w:t>0.66</w:t>
            </w:r>
          </w:p>
        </w:tc>
      </w:tr>
    </w:tbl>
    <w:p w14:paraId="13EC15F8" w14:textId="6172EBEA" w:rsidR="00B3500A" w:rsidRPr="00591939" w:rsidRDefault="00B3500A" w:rsidP="00B3500A">
      <w:pPr>
        <w:jc w:val="both"/>
        <w:rPr>
          <w:i/>
          <w:iCs/>
          <w:color w:val="000000" w:themeColor="text1"/>
          <w:sz w:val="16"/>
          <w:szCs w:val="16"/>
        </w:rPr>
      </w:pPr>
      <w:r w:rsidRPr="00591939">
        <w:rPr>
          <w:i/>
          <w:iCs/>
          <w:color w:val="000000" w:themeColor="text1"/>
          <w:sz w:val="16"/>
          <w:szCs w:val="16"/>
        </w:rPr>
        <w:t xml:space="preserve">Note: </w:t>
      </w:r>
      <w:r w:rsidRPr="00591939">
        <w:rPr>
          <w:color w:val="000000" w:themeColor="text1"/>
          <w:sz w:val="16"/>
          <w:szCs w:val="16"/>
        </w:rPr>
        <w:t>CRS: Constant return to scale efficiency score; VRS: Variable return to scale efficiency score.</w:t>
      </w:r>
    </w:p>
    <w:p w14:paraId="631381DD" w14:textId="77777777" w:rsidR="00B3500A" w:rsidRDefault="00B3500A" w:rsidP="00B3500A">
      <w:pPr>
        <w:jc w:val="both"/>
        <w:rPr>
          <w:color w:val="000000" w:themeColor="text1"/>
          <w:sz w:val="22"/>
          <w:szCs w:val="22"/>
        </w:rPr>
      </w:pPr>
    </w:p>
    <w:p w14:paraId="7E69F304" w14:textId="77777777" w:rsidR="00B3500A" w:rsidRDefault="00B3500A" w:rsidP="00B3500A">
      <w:pPr>
        <w:jc w:val="both"/>
        <w:rPr>
          <w:color w:val="000000" w:themeColor="text1"/>
          <w:sz w:val="22"/>
          <w:szCs w:val="22"/>
        </w:rPr>
      </w:pPr>
    </w:p>
    <w:p w14:paraId="0232AFCE" w14:textId="77777777" w:rsidR="00B3500A" w:rsidRDefault="00B3500A" w:rsidP="00B3500A">
      <w:pPr>
        <w:jc w:val="both"/>
        <w:rPr>
          <w:b/>
          <w:bCs/>
          <w:color w:val="000000" w:themeColor="text1"/>
          <w:sz w:val="22"/>
          <w:szCs w:val="22"/>
        </w:rPr>
        <w:sectPr w:rsidR="00B3500A" w:rsidSect="00D62AD1">
          <w:pgSz w:w="11906" w:h="16838"/>
          <w:pgMar w:top="1440" w:right="1440" w:bottom="1440" w:left="1440" w:header="709" w:footer="709" w:gutter="0"/>
          <w:pgNumType w:start="1"/>
          <w:cols w:space="708"/>
          <w:titlePg/>
          <w:docGrid w:linePitch="360"/>
        </w:sectPr>
      </w:pPr>
    </w:p>
    <w:p w14:paraId="29CCE18B" w14:textId="77777777" w:rsidR="00B3500A" w:rsidRDefault="00B3500A" w:rsidP="00B3500A">
      <w:pPr>
        <w:jc w:val="both"/>
        <w:rPr>
          <w:noProof/>
          <w:sz w:val="22"/>
          <w:szCs w:val="22"/>
        </w:rPr>
      </w:pPr>
      <w:r w:rsidRPr="00CE1CE2">
        <w:rPr>
          <w:noProof/>
          <w:sz w:val="22"/>
          <w:szCs w:val="22"/>
        </w:rPr>
        <w:drawing>
          <wp:inline distT="0" distB="0" distL="0" distR="0" wp14:anchorId="2E282C9B" wp14:editId="564406A1">
            <wp:extent cx="8543925" cy="5059606"/>
            <wp:effectExtent l="0" t="0" r="0" b="825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1"/>
                    <a:stretch>
                      <a:fillRect/>
                    </a:stretch>
                  </pic:blipFill>
                  <pic:spPr>
                    <a:xfrm>
                      <a:off x="0" y="0"/>
                      <a:ext cx="8554826" cy="5066062"/>
                    </a:xfrm>
                    <a:prstGeom prst="rect">
                      <a:avLst/>
                    </a:prstGeom>
                  </pic:spPr>
                </pic:pic>
              </a:graphicData>
            </a:graphic>
          </wp:inline>
        </w:drawing>
      </w:r>
    </w:p>
    <w:p w14:paraId="63A2D3AA" w14:textId="77777777" w:rsidR="00591939" w:rsidRDefault="00591939" w:rsidP="00591939">
      <w:pPr>
        <w:jc w:val="both"/>
        <w:rPr>
          <w:b/>
          <w:bCs/>
          <w:color w:val="000000" w:themeColor="text1"/>
          <w:sz w:val="22"/>
          <w:szCs w:val="22"/>
        </w:rPr>
      </w:pPr>
      <w:r w:rsidRPr="00CE1CE2">
        <w:rPr>
          <w:b/>
          <w:bCs/>
          <w:color w:val="000000" w:themeColor="text1"/>
          <w:sz w:val="22"/>
          <w:szCs w:val="22"/>
        </w:rPr>
        <w:t>F</w:t>
      </w:r>
      <w:r>
        <w:rPr>
          <w:b/>
          <w:bCs/>
          <w:color w:val="000000" w:themeColor="text1"/>
          <w:sz w:val="22"/>
          <w:szCs w:val="22"/>
        </w:rPr>
        <w:t>IGURE</w:t>
      </w:r>
      <w:r w:rsidRPr="00CE1CE2">
        <w:rPr>
          <w:b/>
          <w:bCs/>
          <w:color w:val="000000" w:themeColor="text1"/>
          <w:sz w:val="22"/>
          <w:szCs w:val="22"/>
        </w:rPr>
        <w:t xml:space="preserve"> 1</w:t>
      </w:r>
    </w:p>
    <w:p w14:paraId="789F0BE7" w14:textId="77777777" w:rsidR="00591939" w:rsidRPr="007107F2" w:rsidRDefault="00591939" w:rsidP="00591939">
      <w:pPr>
        <w:jc w:val="both"/>
        <w:rPr>
          <w:sz w:val="22"/>
          <w:szCs w:val="22"/>
        </w:rPr>
      </w:pPr>
      <w:r w:rsidRPr="00D65C76">
        <w:rPr>
          <w:sz w:val="22"/>
          <w:szCs w:val="22"/>
        </w:rPr>
        <w:t xml:space="preserve">Bootstrap constant return to scale efficiency scores (CRS) for 50 US states and the District of Columbia from 1972 to 2020 </w:t>
      </w:r>
      <w:r w:rsidRPr="007107F2">
        <w:rPr>
          <w:sz w:val="22"/>
          <w:szCs w:val="22"/>
        </w:rPr>
        <w:t>following the non-parametric Data Envelopment Analysis (DEA).</w:t>
      </w:r>
    </w:p>
    <w:p w14:paraId="33F554C8" w14:textId="77777777" w:rsidR="00B3500A" w:rsidRDefault="00B3500A" w:rsidP="00B3500A">
      <w:pPr>
        <w:jc w:val="both"/>
        <w:rPr>
          <w:noProof/>
          <w:sz w:val="22"/>
          <w:szCs w:val="22"/>
        </w:rPr>
      </w:pPr>
    </w:p>
    <w:p w14:paraId="5C9DB0A7" w14:textId="77777777" w:rsidR="00B3500A" w:rsidRPr="00036069" w:rsidRDefault="00B3500A" w:rsidP="00B3500A">
      <w:pPr>
        <w:jc w:val="both"/>
        <w:rPr>
          <w:color w:val="000000" w:themeColor="text1"/>
          <w:sz w:val="22"/>
          <w:szCs w:val="22"/>
        </w:rPr>
      </w:pPr>
      <w:r w:rsidRPr="00CE1CE2">
        <w:rPr>
          <w:noProof/>
          <w:sz w:val="22"/>
          <w:szCs w:val="22"/>
        </w:rPr>
        <w:drawing>
          <wp:inline distT="0" distB="0" distL="0" distR="0" wp14:anchorId="0ABF43E8" wp14:editId="669CC098">
            <wp:extent cx="8544943" cy="5114261"/>
            <wp:effectExtent l="0" t="0" r="2540" b="4445"/>
            <wp:docPr id="6" name="Picture 6"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with low confidence"/>
                    <pic:cNvPicPr/>
                  </pic:nvPicPr>
                  <pic:blipFill>
                    <a:blip r:embed="rId12"/>
                    <a:stretch>
                      <a:fillRect/>
                    </a:stretch>
                  </pic:blipFill>
                  <pic:spPr>
                    <a:xfrm>
                      <a:off x="0" y="0"/>
                      <a:ext cx="8596134" cy="5144900"/>
                    </a:xfrm>
                    <a:prstGeom prst="rect">
                      <a:avLst/>
                    </a:prstGeom>
                  </pic:spPr>
                </pic:pic>
              </a:graphicData>
            </a:graphic>
          </wp:inline>
        </w:drawing>
      </w:r>
    </w:p>
    <w:p w14:paraId="4D23003D" w14:textId="77777777" w:rsidR="00591939" w:rsidRDefault="00591939" w:rsidP="00591939">
      <w:pPr>
        <w:jc w:val="both"/>
        <w:rPr>
          <w:b/>
          <w:bCs/>
          <w:color w:val="000000" w:themeColor="text1"/>
          <w:sz w:val="22"/>
          <w:szCs w:val="22"/>
        </w:rPr>
      </w:pPr>
      <w:r w:rsidRPr="00036069">
        <w:rPr>
          <w:b/>
          <w:bCs/>
          <w:color w:val="000000" w:themeColor="text1"/>
          <w:sz w:val="22"/>
          <w:szCs w:val="22"/>
        </w:rPr>
        <w:t>F</w:t>
      </w:r>
      <w:r>
        <w:rPr>
          <w:b/>
          <w:bCs/>
          <w:color w:val="000000" w:themeColor="text1"/>
          <w:sz w:val="22"/>
          <w:szCs w:val="22"/>
        </w:rPr>
        <w:t>IGURE</w:t>
      </w:r>
      <w:r w:rsidRPr="00036069">
        <w:rPr>
          <w:b/>
          <w:bCs/>
          <w:color w:val="000000" w:themeColor="text1"/>
          <w:sz w:val="22"/>
          <w:szCs w:val="22"/>
        </w:rPr>
        <w:t xml:space="preserve"> 2 </w:t>
      </w:r>
    </w:p>
    <w:p w14:paraId="288EDF0B" w14:textId="6DDA5887" w:rsidR="00591939" w:rsidRPr="00591939" w:rsidRDefault="00591939" w:rsidP="00591939">
      <w:pPr>
        <w:jc w:val="both"/>
        <w:rPr>
          <w:b/>
          <w:bCs/>
          <w:sz w:val="22"/>
          <w:szCs w:val="22"/>
        </w:rPr>
        <w:sectPr w:rsidR="00591939" w:rsidRPr="00591939" w:rsidSect="00D62AD1">
          <w:pgSz w:w="16840" w:h="11900" w:orient="landscape"/>
          <w:pgMar w:top="1440" w:right="1440" w:bottom="1440" w:left="1440" w:header="720" w:footer="720" w:gutter="0"/>
          <w:cols w:space="720"/>
          <w:docGrid w:linePitch="360"/>
        </w:sectPr>
      </w:pPr>
      <w:r w:rsidRPr="00326B3D">
        <w:rPr>
          <w:sz w:val="22"/>
          <w:szCs w:val="22"/>
        </w:rPr>
        <w:t xml:space="preserve">Bootstrap variable return to scale efficiency scores (VRS) for 50 US states and the District of Columbia from 1972 to 2020 </w:t>
      </w:r>
      <w:r w:rsidRPr="007107F2">
        <w:rPr>
          <w:sz w:val="22"/>
          <w:szCs w:val="22"/>
        </w:rPr>
        <w:t>following the non-parametric Data Envelopment Analysis (DEA).</w:t>
      </w:r>
    </w:p>
    <w:p w14:paraId="39F40C6B" w14:textId="77777777" w:rsidR="00B3500A" w:rsidRPr="00CE1CE2" w:rsidRDefault="00B3500A" w:rsidP="00B3500A">
      <w:pPr>
        <w:jc w:val="both"/>
        <w:rPr>
          <w:color w:val="000000" w:themeColor="text1"/>
          <w:sz w:val="22"/>
          <w:szCs w:val="22"/>
        </w:rPr>
      </w:pPr>
    </w:p>
    <w:p w14:paraId="628D2934" w14:textId="77777777" w:rsidR="00B3500A" w:rsidRPr="00CE1CE2" w:rsidRDefault="00B3500A" w:rsidP="00B3500A">
      <w:pPr>
        <w:jc w:val="both"/>
        <w:rPr>
          <w:color w:val="000000" w:themeColor="text1"/>
          <w:sz w:val="22"/>
          <w:szCs w:val="22"/>
        </w:rPr>
      </w:pPr>
      <w:r w:rsidRPr="00CE1CE2">
        <w:rPr>
          <w:noProof/>
          <w:sz w:val="22"/>
          <w:szCs w:val="22"/>
        </w:rPr>
        <w:drawing>
          <wp:inline distT="0" distB="0" distL="0" distR="0" wp14:anchorId="26957298" wp14:editId="4E59EFDC">
            <wp:extent cx="8528403" cy="3530009"/>
            <wp:effectExtent l="0" t="0" r="6350" b="635"/>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13"/>
                    <a:stretch>
                      <a:fillRect/>
                    </a:stretch>
                  </pic:blipFill>
                  <pic:spPr>
                    <a:xfrm>
                      <a:off x="0" y="0"/>
                      <a:ext cx="8625272" cy="3570104"/>
                    </a:xfrm>
                    <a:prstGeom prst="rect">
                      <a:avLst/>
                    </a:prstGeom>
                  </pic:spPr>
                </pic:pic>
              </a:graphicData>
            </a:graphic>
          </wp:inline>
        </w:drawing>
      </w:r>
    </w:p>
    <w:p w14:paraId="15CAD3DA" w14:textId="77777777" w:rsidR="00591939" w:rsidRDefault="00591939" w:rsidP="00591939">
      <w:pPr>
        <w:jc w:val="both"/>
        <w:rPr>
          <w:b/>
          <w:bCs/>
          <w:color w:val="000000" w:themeColor="text1"/>
          <w:sz w:val="22"/>
          <w:szCs w:val="22"/>
        </w:rPr>
      </w:pPr>
      <w:r w:rsidRPr="00CE1CE2">
        <w:rPr>
          <w:b/>
          <w:bCs/>
          <w:color w:val="000000" w:themeColor="text1"/>
          <w:sz w:val="22"/>
          <w:szCs w:val="22"/>
        </w:rPr>
        <w:t>F</w:t>
      </w:r>
      <w:r>
        <w:rPr>
          <w:b/>
          <w:bCs/>
          <w:color w:val="000000" w:themeColor="text1"/>
          <w:sz w:val="22"/>
          <w:szCs w:val="22"/>
        </w:rPr>
        <w:t>IGURE</w:t>
      </w:r>
      <w:r w:rsidRPr="00CE1CE2">
        <w:rPr>
          <w:b/>
          <w:bCs/>
          <w:color w:val="000000" w:themeColor="text1"/>
          <w:sz w:val="22"/>
          <w:szCs w:val="22"/>
        </w:rPr>
        <w:t xml:space="preserve"> 3</w:t>
      </w:r>
    </w:p>
    <w:p w14:paraId="212DFE68" w14:textId="77777777" w:rsidR="00591939" w:rsidRPr="007107F2" w:rsidRDefault="00591939" w:rsidP="00591939">
      <w:pPr>
        <w:jc w:val="both"/>
        <w:rPr>
          <w:sz w:val="22"/>
          <w:szCs w:val="22"/>
        </w:rPr>
      </w:pPr>
      <w:r w:rsidRPr="00DB14B4">
        <w:rPr>
          <w:color w:val="000000" w:themeColor="text1"/>
          <w:sz w:val="22"/>
          <w:szCs w:val="22"/>
        </w:rPr>
        <w:t xml:space="preserve">Adaptive Kernel Density Estimation: The distribution plots for both </w:t>
      </w:r>
      <w:r>
        <w:rPr>
          <w:color w:val="000000" w:themeColor="text1"/>
          <w:sz w:val="22"/>
          <w:szCs w:val="22"/>
        </w:rPr>
        <w:t>bootstrap constant return to scale efficiency scores (</w:t>
      </w:r>
      <w:r w:rsidRPr="00DB14B4">
        <w:rPr>
          <w:color w:val="000000" w:themeColor="text1"/>
          <w:sz w:val="22"/>
          <w:szCs w:val="22"/>
        </w:rPr>
        <w:t>CRS</w:t>
      </w:r>
      <w:r>
        <w:rPr>
          <w:color w:val="000000" w:themeColor="text1"/>
          <w:sz w:val="22"/>
          <w:szCs w:val="22"/>
        </w:rPr>
        <w:t>)</w:t>
      </w:r>
      <w:r w:rsidRPr="00DB14B4">
        <w:rPr>
          <w:color w:val="000000" w:themeColor="text1"/>
          <w:sz w:val="22"/>
          <w:szCs w:val="22"/>
        </w:rPr>
        <w:t xml:space="preserve"> and </w:t>
      </w:r>
      <w:r>
        <w:rPr>
          <w:color w:val="000000" w:themeColor="text1"/>
          <w:sz w:val="22"/>
          <w:szCs w:val="22"/>
        </w:rPr>
        <w:t>bootstrap variable return to scale efficiency scores (</w:t>
      </w:r>
      <w:r w:rsidRPr="00DB14B4">
        <w:rPr>
          <w:color w:val="000000" w:themeColor="text1"/>
          <w:sz w:val="22"/>
          <w:szCs w:val="22"/>
        </w:rPr>
        <w:t>VRS</w:t>
      </w:r>
      <w:r>
        <w:rPr>
          <w:color w:val="000000" w:themeColor="text1"/>
          <w:sz w:val="22"/>
          <w:szCs w:val="22"/>
        </w:rPr>
        <w:t xml:space="preserve">) </w:t>
      </w:r>
      <w:r w:rsidRPr="007107F2">
        <w:rPr>
          <w:sz w:val="22"/>
          <w:szCs w:val="22"/>
        </w:rPr>
        <w:t>following the non-parametric Data Envelopment Analysis (DEA).</w:t>
      </w:r>
    </w:p>
    <w:p w14:paraId="5C72A2E7" w14:textId="77777777" w:rsidR="00591939" w:rsidRPr="00440A20" w:rsidRDefault="00591939" w:rsidP="00B3500A">
      <w:pPr>
        <w:spacing w:line="360" w:lineRule="auto"/>
        <w:jc w:val="both"/>
        <w:rPr>
          <w:sz w:val="22"/>
          <w:szCs w:val="22"/>
        </w:rPr>
        <w:sectPr w:rsidR="00591939" w:rsidRPr="00440A20" w:rsidSect="00D62AD1">
          <w:pgSz w:w="16840" w:h="11900" w:orient="landscape"/>
          <w:pgMar w:top="1440" w:right="1440" w:bottom="1440" w:left="1440" w:header="720" w:footer="720" w:gutter="0"/>
          <w:cols w:space="720"/>
          <w:docGrid w:linePitch="360"/>
        </w:sectPr>
      </w:pPr>
    </w:p>
    <w:p w14:paraId="3D4E4862" w14:textId="77777777" w:rsidR="00B3500A" w:rsidRPr="00E9219E" w:rsidRDefault="00B3500A" w:rsidP="00B3500A">
      <w:pPr>
        <w:jc w:val="both"/>
        <w:rPr>
          <w:color w:val="000000" w:themeColor="text1"/>
          <w:sz w:val="22"/>
          <w:szCs w:val="22"/>
        </w:rPr>
      </w:pPr>
    </w:p>
    <w:p w14:paraId="7F3BA958" w14:textId="77777777" w:rsidR="00B3500A" w:rsidRPr="00CE1CE2" w:rsidRDefault="00B3500A" w:rsidP="00B3500A">
      <w:pPr>
        <w:jc w:val="both"/>
        <w:rPr>
          <w:color w:val="000000" w:themeColor="text1"/>
          <w:sz w:val="22"/>
          <w:szCs w:val="22"/>
        </w:rPr>
      </w:pPr>
      <w:r w:rsidRPr="00CE1CE2">
        <w:rPr>
          <w:noProof/>
          <w:sz w:val="22"/>
          <w:szCs w:val="22"/>
        </w:rPr>
        <w:drawing>
          <wp:inline distT="0" distB="0" distL="0" distR="0" wp14:anchorId="6B539F10" wp14:editId="020A2858">
            <wp:extent cx="4629149" cy="3514725"/>
            <wp:effectExtent l="0" t="0" r="635"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pic:nvPicPr>
                  <pic:blipFill>
                    <a:blip r:embed="rId14"/>
                    <a:stretch>
                      <a:fillRect/>
                    </a:stretch>
                  </pic:blipFill>
                  <pic:spPr>
                    <a:xfrm>
                      <a:off x="0" y="0"/>
                      <a:ext cx="4653993" cy="3533588"/>
                    </a:xfrm>
                    <a:prstGeom prst="rect">
                      <a:avLst/>
                    </a:prstGeom>
                  </pic:spPr>
                </pic:pic>
              </a:graphicData>
            </a:graphic>
          </wp:inline>
        </w:drawing>
      </w:r>
      <w:r w:rsidRPr="00CE1CE2">
        <w:rPr>
          <w:color w:val="000000" w:themeColor="text1"/>
          <w:sz w:val="22"/>
          <w:szCs w:val="22"/>
        </w:rPr>
        <w:t xml:space="preserve"> </w:t>
      </w:r>
      <w:r w:rsidRPr="00CE1CE2">
        <w:rPr>
          <w:noProof/>
          <w:sz w:val="22"/>
          <w:szCs w:val="22"/>
        </w:rPr>
        <w:drawing>
          <wp:inline distT="0" distB="0" distL="0" distR="0" wp14:anchorId="5ABA7170" wp14:editId="3D9EBBBE">
            <wp:extent cx="4019550" cy="3485515"/>
            <wp:effectExtent l="0" t="0" r="0" b="635"/>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line chart&#10;&#10;Description automatically generated"/>
                    <pic:cNvPicPr/>
                  </pic:nvPicPr>
                  <pic:blipFill>
                    <a:blip r:embed="rId15"/>
                    <a:stretch>
                      <a:fillRect/>
                    </a:stretch>
                  </pic:blipFill>
                  <pic:spPr>
                    <a:xfrm>
                      <a:off x="0" y="0"/>
                      <a:ext cx="4019550" cy="3485515"/>
                    </a:xfrm>
                    <a:prstGeom prst="rect">
                      <a:avLst/>
                    </a:prstGeom>
                  </pic:spPr>
                </pic:pic>
              </a:graphicData>
            </a:graphic>
          </wp:inline>
        </w:drawing>
      </w:r>
    </w:p>
    <w:p w14:paraId="0699DCDF" w14:textId="77777777" w:rsidR="00591939" w:rsidRDefault="00591939" w:rsidP="00591939">
      <w:pPr>
        <w:jc w:val="both"/>
        <w:rPr>
          <w:b/>
          <w:bCs/>
          <w:color w:val="000000" w:themeColor="text1"/>
          <w:sz w:val="22"/>
          <w:szCs w:val="22"/>
        </w:rPr>
      </w:pPr>
      <w:r w:rsidRPr="00CE1CE2">
        <w:rPr>
          <w:b/>
          <w:bCs/>
          <w:color w:val="000000" w:themeColor="text1"/>
          <w:sz w:val="22"/>
          <w:szCs w:val="22"/>
        </w:rPr>
        <w:t>F</w:t>
      </w:r>
      <w:r>
        <w:rPr>
          <w:b/>
          <w:bCs/>
          <w:color w:val="000000" w:themeColor="text1"/>
          <w:sz w:val="22"/>
          <w:szCs w:val="22"/>
        </w:rPr>
        <w:t>IGURE</w:t>
      </w:r>
      <w:r w:rsidRPr="00CE1CE2">
        <w:rPr>
          <w:b/>
          <w:bCs/>
          <w:color w:val="000000" w:themeColor="text1"/>
          <w:sz w:val="22"/>
          <w:szCs w:val="22"/>
        </w:rPr>
        <w:t xml:space="preserve"> </w:t>
      </w:r>
      <w:r>
        <w:rPr>
          <w:b/>
          <w:bCs/>
          <w:color w:val="000000" w:themeColor="text1"/>
          <w:sz w:val="22"/>
          <w:szCs w:val="22"/>
        </w:rPr>
        <w:t>4</w:t>
      </w:r>
    </w:p>
    <w:p w14:paraId="57BB168D" w14:textId="77777777" w:rsidR="00591939" w:rsidRPr="007107F2" w:rsidRDefault="00591939" w:rsidP="00591939">
      <w:pPr>
        <w:jc w:val="both"/>
        <w:rPr>
          <w:sz w:val="22"/>
          <w:szCs w:val="22"/>
        </w:rPr>
      </w:pPr>
      <w:r w:rsidRPr="00E9219E">
        <w:rPr>
          <w:color w:val="000000" w:themeColor="text1"/>
          <w:sz w:val="22"/>
          <w:szCs w:val="22"/>
        </w:rPr>
        <w:t xml:space="preserve">Cross-sectional average between </w:t>
      </w:r>
      <w:r>
        <w:rPr>
          <w:color w:val="000000" w:themeColor="text1"/>
          <w:sz w:val="22"/>
          <w:szCs w:val="22"/>
        </w:rPr>
        <w:t>bootstrap constant return to scale efficiency scores (</w:t>
      </w:r>
      <w:r w:rsidRPr="00E9219E">
        <w:rPr>
          <w:color w:val="000000" w:themeColor="text1"/>
          <w:sz w:val="22"/>
          <w:szCs w:val="22"/>
        </w:rPr>
        <w:t>CRS</w:t>
      </w:r>
      <w:r>
        <w:rPr>
          <w:color w:val="000000" w:themeColor="text1"/>
          <w:sz w:val="22"/>
          <w:szCs w:val="22"/>
        </w:rPr>
        <w:t>)</w:t>
      </w:r>
      <w:r w:rsidRPr="00E9219E">
        <w:rPr>
          <w:color w:val="000000" w:themeColor="text1"/>
          <w:sz w:val="22"/>
          <w:szCs w:val="22"/>
        </w:rPr>
        <w:t xml:space="preserve"> and SVOTE and NVOTE at a point of time</w:t>
      </w:r>
      <w:r>
        <w:rPr>
          <w:color w:val="000000" w:themeColor="text1"/>
          <w:sz w:val="22"/>
          <w:szCs w:val="22"/>
        </w:rPr>
        <w:t xml:space="preserve"> </w:t>
      </w:r>
      <w:r w:rsidRPr="007107F2">
        <w:rPr>
          <w:sz w:val="22"/>
          <w:szCs w:val="22"/>
        </w:rPr>
        <w:t>following the non-parametric Data Envelopment Analysis (DEA).</w:t>
      </w:r>
    </w:p>
    <w:p w14:paraId="604D9F8E" w14:textId="77777777" w:rsidR="00B3500A" w:rsidRDefault="00B3500A" w:rsidP="00B3500A">
      <w:pPr>
        <w:jc w:val="both"/>
        <w:rPr>
          <w:color w:val="000000" w:themeColor="text1"/>
          <w:sz w:val="22"/>
          <w:szCs w:val="22"/>
        </w:rPr>
      </w:pPr>
    </w:p>
    <w:p w14:paraId="1CEEE4A7" w14:textId="77777777" w:rsidR="00B3500A" w:rsidRDefault="00B3500A" w:rsidP="00B3500A">
      <w:pPr>
        <w:jc w:val="both"/>
        <w:rPr>
          <w:color w:val="000000" w:themeColor="text1"/>
          <w:sz w:val="22"/>
          <w:szCs w:val="22"/>
        </w:rPr>
      </w:pPr>
    </w:p>
    <w:p w14:paraId="13C69AE2" w14:textId="77777777" w:rsidR="00B3500A" w:rsidRDefault="00B3500A" w:rsidP="00B3500A">
      <w:pPr>
        <w:jc w:val="both"/>
        <w:rPr>
          <w:color w:val="000000" w:themeColor="text1"/>
          <w:sz w:val="22"/>
          <w:szCs w:val="22"/>
        </w:rPr>
      </w:pPr>
    </w:p>
    <w:p w14:paraId="45309D21" w14:textId="77777777" w:rsidR="00B3500A" w:rsidRDefault="00B3500A" w:rsidP="00B3500A">
      <w:pPr>
        <w:jc w:val="both"/>
        <w:rPr>
          <w:color w:val="000000" w:themeColor="text1"/>
          <w:sz w:val="22"/>
          <w:szCs w:val="22"/>
        </w:rPr>
      </w:pPr>
    </w:p>
    <w:p w14:paraId="7508CA56" w14:textId="77777777" w:rsidR="00B3500A" w:rsidRDefault="00B3500A" w:rsidP="00B3500A">
      <w:pPr>
        <w:jc w:val="both"/>
        <w:rPr>
          <w:color w:val="000000" w:themeColor="text1"/>
          <w:sz w:val="22"/>
          <w:szCs w:val="22"/>
        </w:rPr>
      </w:pPr>
    </w:p>
    <w:p w14:paraId="6D472CCA" w14:textId="77777777" w:rsidR="00B3500A" w:rsidRDefault="00B3500A" w:rsidP="00B3500A">
      <w:pPr>
        <w:jc w:val="both"/>
        <w:rPr>
          <w:color w:val="000000" w:themeColor="text1"/>
          <w:sz w:val="22"/>
          <w:szCs w:val="22"/>
        </w:rPr>
      </w:pPr>
    </w:p>
    <w:p w14:paraId="5E8E42C8" w14:textId="77777777" w:rsidR="00B3500A" w:rsidRDefault="00B3500A" w:rsidP="00B3500A">
      <w:pPr>
        <w:jc w:val="both"/>
        <w:rPr>
          <w:color w:val="000000" w:themeColor="text1"/>
          <w:sz w:val="22"/>
          <w:szCs w:val="22"/>
        </w:rPr>
      </w:pPr>
    </w:p>
    <w:p w14:paraId="12A4E72C" w14:textId="77777777" w:rsidR="00B3500A" w:rsidRDefault="00B3500A" w:rsidP="00B3500A">
      <w:pPr>
        <w:jc w:val="both"/>
        <w:rPr>
          <w:color w:val="000000" w:themeColor="text1"/>
          <w:sz w:val="22"/>
          <w:szCs w:val="22"/>
        </w:rPr>
      </w:pPr>
    </w:p>
    <w:p w14:paraId="5B4547C4" w14:textId="77777777" w:rsidR="00B3500A" w:rsidRDefault="00B3500A" w:rsidP="00B3500A">
      <w:pPr>
        <w:jc w:val="both"/>
        <w:rPr>
          <w:color w:val="000000" w:themeColor="text1"/>
          <w:sz w:val="22"/>
          <w:szCs w:val="22"/>
        </w:rPr>
      </w:pPr>
    </w:p>
    <w:p w14:paraId="1631DABF" w14:textId="77777777" w:rsidR="00B3500A" w:rsidRPr="00CE1CE2" w:rsidRDefault="00B3500A" w:rsidP="00B3500A">
      <w:pPr>
        <w:jc w:val="both"/>
        <w:rPr>
          <w:color w:val="000000" w:themeColor="text1"/>
          <w:sz w:val="22"/>
          <w:szCs w:val="22"/>
        </w:rPr>
      </w:pPr>
    </w:p>
    <w:p w14:paraId="11A19546" w14:textId="77777777" w:rsidR="00B3500A" w:rsidRPr="00CE1CE2" w:rsidRDefault="00B3500A" w:rsidP="00B3500A">
      <w:pPr>
        <w:jc w:val="both"/>
        <w:rPr>
          <w:color w:val="000000" w:themeColor="text1"/>
          <w:sz w:val="22"/>
          <w:szCs w:val="22"/>
        </w:rPr>
      </w:pPr>
      <w:r w:rsidRPr="00CE1CE2">
        <w:rPr>
          <w:noProof/>
          <w:sz w:val="22"/>
          <w:szCs w:val="22"/>
        </w:rPr>
        <w:drawing>
          <wp:inline distT="0" distB="0" distL="0" distR="0" wp14:anchorId="0D9541A4" wp14:editId="3203ED59">
            <wp:extent cx="4628381" cy="3505200"/>
            <wp:effectExtent l="0" t="0" r="1270" b="0"/>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line chart&#10;&#10;Description automatically generated"/>
                    <pic:cNvPicPr/>
                  </pic:nvPicPr>
                  <pic:blipFill>
                    <a:blip r:embed="rId16"/>
                    <a:stretch>
                      <a:fillRect/>
                    </a:stretch>
                  </pic:blipFill>
                  <pic:spPr>
                    <a:xfrm>
                      <a:off x="0" y="0"/>
                      <a:ext cx="4652197" cy="3523236"/>
                    </a:xfrm>
                    <a:prstGeom prst="rect">
                      <a:avLst/>
                    </a:prstGeom>
                  </pic:spPr>
                </pic:pic>
              </a:graphicData>
            </a:graphic>
          </wp:inline>
        </w:drawing>
      </w:r>
      <w:r w:rsidRPr="00CE1CE2">
        <w:rPr>
          <w:noProof/>
          <w:sz w:val="22"/>
          <w:szCs w:val="22"/>
        </w:rPr>
        <w:t xml:space="preserve"> </w:t>
      </w:r>
      <w:r w:rsidRPr="00CE1CE2">
        <w:rPr>
          <w:noProof/>
          <w:sz w:val="22"/>
          <w:szCs w:val="22"/>
        </w:rPr>
        <w:drawing>
          <wp:inline distT="0" distB="0" distL="0" distR="0" wp14:anchorId="5BB52EB8" wp14:editId="50CE3C4F">
            <wp:extent cx="4124325" cy="3476625"/>
            <wp:effectExtent l="0" t="0" r="9525" b="9525"/>
            <wp:docPr id="12" name="Picture 1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line chart&#10;&#10;Description automatically generated"/>
                    <pic:cNvPicPr/>
                  </pic:nvPicPr>
                  <pic:blipFill>
                    <a:blip r:embed="rId17"/>
                    <a:stretch>
                      <a:fillRect/>
                    </a:stretch>
                  </pic:blipFill>
                  <pic:spPr>
                    <a:xfrm>
                      <a:off x="0" y="0"/>
                      <a:ext cx="4124325" cy="3476625"/>
                    </a:xfrm>
                    <a:prstGeom prst="rect">
                      <a:avLst/>
                    </a:prstGeom>
                  </pic:spPr>
                </pic:pic>
              </a:graphicData>
            </a:graphic>
          </wp:inline>
        </w:drawing>
      </w:r>
    </w:p>
    <w:p w14:paraId="57816A89" w14:textId="77777777" w:rsidR="00591939" w:rsidRDefault="00591939" w:rsidP="00591939">
      <w:pPr>
        <w:jc w:val="both"/>
        <w:rPr>
          <w:b/>
          <w:bCs/>
          <w:color w:val="000000" w:themeColor="text1"/>
          <w:sz w:val="22"/>
          <w:szCs w:val="22"/>
        </w:rPr>
      </w:pPr>
      <w:r w:rsidRPr="00CE1CE2">
        <w:rPr>
          <w:b/>
          <w:bCs/>
          <w:color w:val="000000" w:themeColor="text1"/>
          <w:sz w:val="22"/>
          <w:szCs w:val="22"/>
        </w:rPr>
        <w:t>F</w:t>
      </w:r>
      <w:r>
        <w:rPr>
          <w:b/>
          <w:bCs/>
          <w:color w:val="000000" w:themeColor="text1"/>
          <w:sz w:val="22"/>
          <w:szCs w:val="22"/>
        </w:rPr>
        <w:t>IGURE</w:t>
      </w:r>
      <w:r w:rsidRPr="00CE1CE2">
        <w:rPr>
          <w:b/>
          <w:bCs/>
          <w:color w:val="000000" w:themeColor="text1"/>
          <w:sz w:val="22"/>
          <w:szCs w:val="22"/>
        </w:rPr>
        <w:t xml:space="preserve"> </w:t>
      </w:r>
      <w:r>
        <w:rPr>
          <w:b/>
          <w:bCs/>
          <w:color w:val="000000" w:themeColor="text1"/>
          <w:sz w:val="22"/>
          <w:szCs w:val="22"/>
        </w:rPr>
        <w:t>5</w:t>
      </w:r>
    </w:p>
    <w:p w14:paraId="1AE0E137" w14:textId="77777777" w:rsidR="00591939" w:rsidRPr="007107F2" w:rsidRDefault="00591939" w:rsidP="00591939">
      <w:pPr>
        <w:jc w:val="both"/>
        <w:rPr>
          <w:sz w:val="22"/>
          <w:szCs w:val="22"/>
        </w:rPr>
      </w:pPr>
      <w:r w:rsidRPr="00E9219E">
        <w:rPr>
          <w:color w:val="000000" w:themeColor="text1"/>
          <w:sz w:val="22"/>
          <w:szCs w:val="22"/>
        </w:rPr>
        <w:t xml:space="preserve">Cross-sectional average between </w:t>
      </w:r>
      <w:r>
        <w:rPr>
          <w:color w:val="000000" w:themeColor="text1"/>
          <w:sz w:val="22"/>
          <w:szCs w:val="22"/>
        </w:rPr>
        <w:t>bootstrap variable return to scale efficiency scores (</w:t>
      </w:r>
      <w:r w:rsidRPr="00E9219E">
        <w:rPr>
          <w:color w:val="000000" w:themeColor="text1"/>
          <w:sz w:val="22"/>
          <w:szCs w:val="22"/>
        </w:rPr>
        <w:t>VRS</w:t>
      </w:r>
      <w:r>
        <w:rPr>
          <w:color w:val="000000" w:themeColor="text1"/>
          <w:sz w:val="22"/>
          <w:szCs w:val="22"/>
        </w:rPr>
        <w:t>)</w:t>
      </w:r>
      <w:r w:rsidRPr="00E9219E">
        <w:rPr>
          <w:color w:val="000000" w:themeColor="text1"/>
          <w:sz w:val="22"/>
          <w:szCs w:val="22"/>
        </w:rPr>
        <w:t xml:space="preserve"> and SVOTE and NVOTE at a point of time</w:t>
      </w:r>
      <w:r>
        <w:rPr>
          <w:color w:val="000000" w:themeColor="text1"/>
          <w:sz w:val="22"/>
          <w:szCs w:val="22"/>
        </w:rPr>
        <w:t xml:space="preserve"> </w:t>
      </w:r>
      <w:r w:rsidRPr="007107F2">
        <w:rPr>
          <w:sz w:val="22"/>
          <w:szCs w:val="22"/>
        </w:rPr>
        <w:t>following the non-parametric Data Envelopment Analysis (DEA).</w:t>
      </w:r>
    </w:p>
    <w:p w14:paraId="7EE867A2" w14:textId="77777777" w:rsidR="00591939" w:rsidRDefault="00591939" w:rsidP="00B3500A">
      <w:pPr>
        <w:spacing w:line="360" w:lineRule="auto"/>
        <w:jc w:val="both"/>
        <w:rPr>
          <w:sz w:val="22"/>
          <w:szCs w:val="22"/>
        </w:rPr>
        <w:sectPr w:rsidR="00591939" w:rsidSect="00D62AD1">
          <w:pgSz w:w="16840" w:h="11900" w:orient="landscape"/>
          <w:pgMar w:top="1440" w:right="1440" w:bottom="1440" w:left="1440" w:header="720" w:footer="720" w:gutter="0"/>
          <w:cols w:space="720"/>
          <w:docGrid w:linePitch="360"/>
        </w:sectPr>
      </w:pPr>
    </w:p>
    <w:p w14:paraId="34DC9D73" w14:textId="1BBCDCC4" w:rsidR="00B3500A" w:rsidRPr="008550C6" w:rsidRDefault="00B3500A" w:rsidP="00B3500A">
      <w:pPr>
        <w:rPr>
          <w:b/>
          <w:bCs/>
          <w:sz w:val="22"/>
          <w:szCs w:val="22"/>
        </w:rPr>
      </w:pPr>
      <w:r w:rsidRPr="008550C6">
        <w:rPr>
          <w:b/>
          <w:bCs/>
          <w:sz w:val="22"/>
          <w:szCs w:val="22"/>
        </w:rPr>
        <w:t>T</w:t>
      </w:r>
      <w:r w:rsidR="008550C6" w:rsidRPr="008550C6">
        <w:rPr>
          <w:b/>
          <w:bCs/>
          <w:sz w:val="22"/>
          <w:szCs w:val="22"/>
        </w:rPr>
        <w:t>ABLE</w:t>
      </w:r>
      <w:r w:rsidRPr="008550C6">
        <w:rPr>
          <w:b/>
          <w:bCs/>
          <w:sz w:val="22"/>
          <w:szCs w:val="22"/>
        </w:rPr>
        <w:t xml:space="preserve"> 6</w:t>
      </w:r>
    </w:p>
    <w:p w14:paraId="0E911853" w14:textId="665FCD62" w:rsidR="00B3500A" w:rsidRPr="008550C6" w:rsidRDefault="00B3500A" w:rsidP="00B3500A">
      <w:pPr>
        <w:jc w:val="both"/>
        <w:rPr>
          <w:sz w:val="22"/>
          <w:szCs w:val="22"/>
        </w:rPr>
      </w:pPr>
      <w:r w:rsidRPr="008550C6">
        <w:rPr>
          <w:sz w:val="22"/>
          <w:szCs w:val="22"/>
        </w:rPr>
        <w:t xml:space="preserve">Spatial </w:t>
      </w:r>
      <w:r w:rsidR="00472A6C">
        <w:rPr>
          <w:sz w:val="22"/>
          <w:szCs w:val="22"/>
        </w:rPr>
        <w:t>A</w:t>
      </w:r>
      <w:r w:rsidRPr="008550C6">
        <w:rPr>
          <w:sz w:val="22"/>
          <w:szCs w:val="22"/>
        </w:rPr>
        <w:t>utoregressive model (SAR) when bootstrap variable return to scale efficiency score (VRS) is the dependent variable.</w:t>
      </w:r>
    </w:p>
    <w:tbl>
      <w:tblPr>
        <w:tblW w:w="5000" w:type="pct"/>
        <w:jc w:val="center"/>
        <w:tblCellMar>
          <w:left w:w="75" w:type="dxa"/>
          <w:right w:w="75" w:type="dxa"/>
        </w:tblCellMar>
        <w:tblLook w:val="0000" w:firstRow="0" w:lastRow="0" w:firstColumn="0" w:lastColumn="0" w:noHBand="0" w:noVBand="0"/>
      </w:tblPr>
      <w:tblGrid>
        <w:gridCol w:w="1325"/>
        <w:gridCol w:w="1323"/>
        <w:gridCol w:w="1141"/>
        <w:gridCol w:w="1235"/>
        <w:gridCol w:w="1415"/>
        <w:gridCol w:w="1170"/>
        <w:gridCol w:w="1417"/>
      </w:tblGrid>
      <w:tr w:rsidR="008550C6" w:rsidRPr="007E3420" w14:paraId="09BEED73" w14:textId="77777777" w:rsidTr="008049E2">
        <w:trPr>
          <w:jc w:val="center"/>
        </w:trPr>
        <w:tc>
          <w:tcPr>
            <w:tcW w:w="734" w:type="pct"/>
            <w:tcBorders>
              <w:top w:val="single" w:sz="6" w:space="0" w:color="auto"/>
              <w:left w:val="nil"/>
              <w:bottom w:val="nil"/>
              <w:right w:val="nil"/>
            </w:tcBorders>
          </w:tcPr>
          <w:p w14:paraId="064DCB08" w14:textId="77777777" w:rsidR="00B3500A" w:rsidRPr="007E3420" w:rsidRDefault="00B3500A" w:rsidP="00D62AD1">
            <w:pPr>
              <w:widowControl w:val="0"/>
              <w:autoSpaceDE w:val="0"/>
              <w:autoSpaceDN w:val="0"/>
              <w:adjustRightInd w:val="0"/>
              <w:rPr>
                <w:b/>
                <w:bCs/>
                <w:sz w:val="22"/>
                <w:szCs w:val="22"/>
              </w:rPr>
            </w:pPr>
          </w:p>
        </w:tc>
        <w:tc>
          <w:tcPr>
            <w:tcW w:w="733" w:type="pct"/>
            <w:tcBorders>
              <w:top w:val="single" w:sz="6" w:space="0" w:color="auto"/>
              <w:left w:val="nil"/>
              <w:bottom w:val="nil"/>
              <w:right w:val="nil"/>
            </w:tcBorders>
          </w:tcPr>
          <w:p w14:paraId="7172A8E7" w14:textId="77777777" w:rsidR="00B3500A" w:rsidRPr="007E3420" w:rsidRDefault="00B3500A" w:rsidP="00D62AD1">
            <w:pPr>
              <w:widowControl w:val="0"/>
              <w:autoSpaceDE w:val="0"/>
              <w:autoSpaceDN w:val="0"/>
              <w:adjustRightInd w:val="0"/>
              <w:jc w:val="center"/>
              <w:rPr>
                <w:b/>
                <w:bCs/>
                <w:sz w:val="22"/>
                <w:szCs w:val="22"/>
              </w:rPr>
            </w:pPr>
            <w:r w:rsidRPr="007E3420">
              <w:rPr>
                <w:b/>
                <w:bCs/>
                <w:sz w:val="22"/>
                <w:szCs w:val="22"/>
              </w:rPr>
              <w:t>(1)</w:t>
            </w:r>
          </w:p>
        </w:tc>
        <w:tc>
          <w:tcPr>
            <w:tcW w:w="632" w:type="pct"/>
            <w:tcBorders>
              <w:top w:val="single" w:sz="6" w:space="0" w:color="auto"/>
              <w:left w:val="nil"/>
              <w:bottom w:val="nil"/>
              <w:right w:val="nil"/>
            </w:tcBorders>
          </w:tcPr>
          <w:p w14:paraId="56C68C32" w14:textId="77777777" w:rsidR="00B3500A" w:rsidRPr="007E3420" w:rsidRDefault="00B3500A" w:rsidP="00D62AD1">
            <w:pPr>
              <w:widowControl w:val="0"/>
              <w:autoSpaceDE w:val="0"/>
              <w:autoSpaceDN w:val="0"/>
              <w:adjustRightInd w:val="0"/>
              <w:jc w:val="center"/>
              <w:rPr>
                <w:b/>
                <w:bCs/>
                <w:sz w:val="22"/>
                <w:szCs w:val="22"/>
              </w:rPr>
            </w:pPr>
            <w:r w:rsidRPr="007E3420">
              <w:rPr>
                <w:b/>
                <w:bCs/>
                <w:sz w:val="22"/>
                <w:szCs w:val="22"/>
              </w:rPr>
              <w:t>(2)</w:t>
            </w:r>
          </w:p>
        </w:tc>
        <w:tc>
          <w:tcPr>
            <w:tcW w:w="684" w:type="pct"/>
            <w:tcBorders>
              <w:top w:val="single" w:sz="6" w:space="0" w:color="auto"/>
              <w:left w:val="nil"/>
              <w:bottom w:val="nil"/>
              <w:right w:val="single" w:sz="4" w:space="0" w:color="auto"/>
            </w:tcBorders>
          </w:tcPr>
          <w:p w14:paraId="19FD31C2" w14:textId="77777777" w:rsidR="00B3500A" w:rsidRPr="007E3420" w:rsidRDefault="00B3500A" w:rsidP="00D62AD1">
            <w:pPr>
              <w:widowControl w:val="0"/>
              <w:autoSpaceDE w:val="0"/>
              <w:autoSpaceDN w:val="0"/>
              <w:adjustRightInd w:val="0"/>
              <w:jc w:val="center"/>
              <w:rPr>
                <w:b/>
                <w:bCs/>
                <w:sz w:val="22"/>
                <w:szCs w:val="22"/>
              </w:rPr>
            </w:pPr>
            <w:r w:rsidRPr="007E3420">
              <w:rPr>
                <w:b/>
                <w:bCs/>
                <w:sz w:val="22"/>
                <w:szCs w:val="22"/>
              </w:rPr>
              <w:t>(3)</w:t>
            </w:r>
          </w:p>
        </w:tc>
        <w:tc>
          <w:tcPr>
            <w:tcW w:w="784" w:type="pct"/>
            <w:tcBorders>
              <w:top w:val="single" w:sz="6" w:space="0" w:color="auto"/>
              <w:left w:val="single" w:sz="4" w:space="0" w:color="auto"/>
              <w:bottom w:val="nil"/>
              <w:right w:val="nil"/>
            </w:tcBorders>
          </w:tcPr>
          <w:p w14:paraId="216A9FEB" w14:textId="77777777" w:rsidR="00B3500A" w:rsidRPr="007E3420" w:rsidRDefault="00B3500A" w:rsidP="00D62AD1">
            <w:pPr>
              <w:widowControl w:val="0"/>
              <w:autoSpaceDE w:val="0"/>
              <w:autoSpaceDN w:val="0"/>
              <w:adjustRightInd w:val="0"/>
              <w:jc w:val="center"/>
              <w:rPr>
                <w:b/>
                <w:bCs/>
                <w:sz w:val="22"/>
                <w:szCs w:val="22"/>
              </w:rPr>
            </w:pPr>
            <w:r w:rsidRPr="007E3420">
              <w:rPr>
                <w:b/>
                <w:bCs/>
                <w:sz w:val="22"/>
                <w:szCs w:val="22"/>
              </w:rPr>
              <w:t>(4)</w:t>
            </w:r>
          </w:p>
        </w:tc>
        <w:tc>
          <w:tcPr>
            <w:tcW w:w="648" w:type="pct"/>
            <w:tcBorders>
              <w:top w:val="single" w:sz="6" w:space="0" w:color="auto"/>
              <w:left w:val="nil"/>
              <w:bottom w:val="nil"/>
              <w:right w:val="nil"/>
            </w:tcBorders>
          </w:tcPr>
          <w:p w14:paraId="1285B5F1" w14:textId="77777777" w:rsidR="00B3500A" w:rsidRPr="007E3420" w:rsidRDefault="00B3500A" w:rsidP="00D62AD1">
            <w:pPr>
              <w:widowControl w:val="0"/>
              <w:autoSpaceDE w:val="0"/>
              <w:autoSpaceDN w:val="0"/>
              <w:adjustRightInd w:val="0"/>
              <w:jc w:val="center"/>
              <w:rPr>
                <w:b/>
                <w:bCs/>
                <w:sz w:val="22"/>
                <w:szCs w:val="22"/>
              </w:rPr>
            </w:pPr>
            <w:r w:rsidRPr="007E3420">
              <w:rPr>
                <w:b/>
                <w:bCs/>
                <w:sz w:val="22"/>
                <w:szCs w:val="22"/>
              </w:rPr>
              <w:t>(5)</w:t>
            </w:r>
          </w:p>
        </w:tc>
        <w:tc>
          <w:tcPr>
            <w:tcW w:w="785" w:type="pct"/>
            <w:tcBorders>
              <w:top w:val="single" w:sz="6" w:space="0" w:color="auto"/>
              <w:left w:val="nil"/>
              <w:bottom w:val="nil"/>
              <w:right w:val="nil"/>
            </w:tcBorders>
          </w:tcPr>
          <w:p w14:paraId="2EA1A18A" w14:textId="77777777" w:rsidR="00B3500A" w:rsidRPr="007E3420" w:rsidRDefault="00B3500A" w:rsidP="00D62AD1">
            <w:pPr>
              <w:widowControl w:val="0"/>
              <w:autoSpaceDE w:val="0"/>
              <w:autoSpaceDN w:val="0"/>
              <w:adjustRightInd w:val="0"/>
              <w:jc w:val="center"/>
              <w:rPr>
                <w:b/>
                <w:bCs/>
                <w:sz w:val="22"/>
                <w:szCs w:val="22"/>
              </w:rPr>
            </w:pPr>
            <w:r w:rsidRPr="007E3420">
              <w:rPr>
                <w:b/>
                <w:bCs/>
                <w:sz w:val="22"/>
                <w:szCs w:val="22"/>
              </w:rPr>
              <w:t>(6)</w:t>
            </w:r>
          </w:p>
        </w:tc>
      </w:tr>
      <w:tr w:rsidR="008550C6" w:rsidRPr="007E3420" w14:paraId="09FD03D2" w14:textId="77777777" w:rsidTr="008049E2">
        <w:trPr>
          <w:jc w:val="center"/>
        </w:trPr>
        <w:tc>
          <w:tcPr>
            <w:tcW w:w="734" w:type="pct"/>
            <w:tcBorders>
              <w:top w:val="nil"/>
              <w:left w:val="nil"/>
              <w:bottom w:val="single" w:sz="6" w:space="0" w:color="auto"/>
              <w:right w:val="nil"/>
            </w:tcBorders>
          </w:tcPr>
          <w:p w14:paraId="7CA7FEBC" w14:textId="77777777" w:rsidR="00B3500A" w:rsidRPr="007E3420" w:rsidRDefault="00B3500A" w:rsidP="00D62AD1">
            <w:pPr>
              <w:widowControl w:val="0"/>
              <w:autoSpaceDE w:val="0"/>
              <w:autoSpaceDN w:val="0"/>
              <w:adjustRightInd w:val="0"/>
              <w:rPr>
                <w:b/>
                <w:bCs/>
                <w:sz w:val="22"/>
                <w:szCs w:val="22"/>
              </w:rPr>
            </w:pPr>
            <w:r w:rsidRPr="007E3420">
              <w:rPr>
                <w:b/>
                <w:bCs/>
                <w:sz w:val="22"/>
                <w:szCs w:val="22"/>
              </w:rPr>
              <w:t>Variables</w:t>
            </w:r>
          </w:p>
        </w:tc>
        <w:tc>
          <w:tcPr>
            <w:tcW w:w="733" w:type="pct"/>
            <w:tcBorders>
              <w:top w:val="nil"/>
              <w:left w:val="nil"/>
              <w:bottom w:val="single" w:sz="6" w:space="0" w:color="auto"/>
              <w:right w:val="nil"/>
            </w:tcBorders>
          </w:tcPr>
          <w:p w14:paraId="53E467B5" w14:textId="12C05B2C" w:rsidR="00B3500A" w:rsidRPr="007E3420" w:rsidRDefault="009B5A32" w:rsidP="00D62AD1">
            <w:pPr>
              <w:widowControl w:val="0"/>
              <w:autoSpaceDE w:val="0"/>
              <w:autoSpaceDN w:val="0"/>
              <w:adjustRightInd w:val="0"/>
              <w:jc w:val="center"/>
              <w:rPr>
                <w:b/>
                <w:bCs/>
                <w:sz w:val="22"/>
                <w:szCs w:val="22"/>
              </w:rPr>
            </w:pPr>
            <w:r w:rsidRPr="007E3420">
              <w:rPr>
                <w:b/>
                <w:bCs/>
                <w:sz w:val="22"/>
                <w:szCs w:val="22"/>
              </w:rPr>
              <w:t>VRS-</w:t>
            </w:r>
            <w:r w:rsidR="00B3500A" w:rsidRPr="007E3420">
              <w:rPr>
                <w:b/>
                <w:bCs/>
                <w:sz w:val="22"/>
                <w:szCs w:val="22"/>
              </w:rPr>
              <w:t>Main</w:t>
            </w:r>
          </w:p>
        </w:tc>
        <w:tc>
          <w:tcPr>
            <w:tcW w:w="632" w:type="pct"/>
            <w:tcBorders>
              <w:top w:val="nil"/>
              <w:left w:val="nil"/>
              <w:bottom w:val="single" w:sz="6" w:space="0" w:color="auto"/>
              <w:right w:val="nil"/>
            </w:tcBorders>
          </w:tcPr>
          <w:p w14:paraId="7C6B7CDE" w14:textId="37AD16A7" w:rsidR="00B3500A" w:rsidRPr="007E3420" w:rsidRDefault="009B5A32" w:rsidP="00D62AD1">
            <w:pPr>
              <w:widowControl w:val="0"/>
              <w:autoSpaceDE w:val="0"/>
              <w:autoSpaceDN w:val="0"/>
              <w:adjustRightInd w:val="0"/>
              <w:jc w:val="center"/>
              <w:rPr>
                <w:b/>
                <w:bCs/>
                <w:sz w:val="22"/>
                <w:szCs w:val="22"/>
              </w:rPr>
            </w:pPr>
            <w:r w:rsidRPr="007E3420">
              <w:rPr>
                <w:b/>
                <w:bCs/>
                <w:sz w:val="22"/>
                <w:szCs w:val="22"/>
              </w:rPr>
              <w:t>VRS-</w:t>
            </w:r>
            <w:r w:rsidR="00B3500A" w:rsidRPr="007E3420">
              <w:rPr>
                <w:b/>
                <w:bCs/>
                <w:sz w:val="22"/>
                <w:szCs w:val="22"/>
              </w:rPr>
              <w:t>Spatial</w:t>
            </w:r>
          </w:p>
        </w:tc>
        <w:tc>
          <w:tcPr>
            <w:tcW w:w="684" w:type="pct"/>
            <w:tcBorders>
              <w:top w:val="nil"/>
              <w:left w:val="nil"/>
              <w:bottom w:val="single" w:sz="6" w:space="0" w:color="auto"/>
              <w:right w:val="single" w:sz="4" w:space="0" w:color="auto"/>
            </w:tcBorders>
          </w:tcPr>
          <w:p w14:paraId="42A242FD" w14:textId="45BF1181" w:rsidR="00B3500A" w:rsidRPr="007E3420" w:rsidRDefault="009B5A32" w:rsidP="00D62AD1">
            <w:pPr>
              <w:widowControl w:val="0"/>
              <w:autoSpaceDE w:val="0"/>
              <w:autoSpaceDN w:val="0"/>
              <w:adjustRightInd w:val="0"/>
              <w:jc w:val="center"/>
              <w:rPr>
                <w:b/>
                <w:bCs/>
                <w:sz w:val="22"/>
                <w:szCs w:val="22"/>
              </w:rPr>
            </w:pPr>
            <w:r w:rsidRPr="007E3420">
              <w:rPr>
                <w:b/>
                <w:bCs/>
                <w:sz w:val="22"/>
                <w:szCs w:val="22"/>
              </w:rPr>
              <w:t>VRS-</w:t>
            </w:r>
            <w:r w:rsidR="00B3500A" w:rsidRPr="007E3420">
              <w:rPr>
                <w:b/>
                <w:bCs/>
                <w:sz w:val="22"/>
                <w:szCs w:val="22"/>
              </w:rPr>
              <w:t>Variance</w:t>
            </w:r>
          </w:p>
        </w:tc>
        <w:tc>
          <w:tcPr>
            <w:tcW w:w="784" w:type="pct"/>
            <w:tcBorders>
              <w:top w:val="nil"/>
              <w:left w:val="single" w:sz="4" w:space="0" w:color="auto"/>
              <w:bottom w:val="single" w:sz="6" w:space="0" w:color="auto"/>
              <w:right w:val="nil"/>
            </w:tcBorders>
          </w:tcPr>
          <w:p w14:paraId="65F0C4F1" w14:textId="4D5ACB8D" w:rsidR="00B3500A" w:rsidRPr="007E3420" w:rsidRDefault="009B5A32" w:rsidP="00D62AD1">
            <w:pPr>
              <w:widowControl w:val="0"/>
              <w:autoSpaceDE w:val="0"/>
              <w:autoSpaceDN w:val="0"/>
              <w:adjustRightInd w:val="0"/>
              <w:jc w:val="center"/>
              <w:rPr>
                <w:b/>
                <w:bCs/>
                <w:sz w:val="22"/>
                <w:szCs w:val="22"/>
              </w:rPr>
            </w:pPr>
            <w:r w:rsidRPr="007E3420">
              <w:rPr>
                <w:b/>
                <w:bCs/>
                <w:sz w:val="22"/>
                <w:szCs w:val="22"/>
              </w:rPr>
              <w:t>VRS-</w:t>
            </w:r>
            <w:r w:rsidR="00B3500A" w:rsidRPr="007E3420">
              <w:rPr>
                <w:b/>
                <w:bCs/>
                <w:sz w:val="22"/>
                <w:szCs w:val="22"/>
              </w:rPr>
              <w:t>Main</w:t>
            </w:r>
          </w:p>
        </w:tc>
        <w:tc>
          <w:tcPr>
            <w:tcW w:w="648" w:type="pct"/>
            <w:tcBorders>
              <w:top w:val="nil"/>
              <w:left w:val="nil"/>
              <w:bottom w:val="single" w:sz="6" w:space="0" w:color="auto"/>
              <w:right w:val="nil"/>
            </w:tcBorders>
          </w:tcPr>
          <w:p w14:paraId="60C03401" w14:textId="3EAEC73E" w:rsidR="00B3500A" w:rsidRPr="007E3420" w:rsidRDefault="009B5A32" w:rsidP="00D62AD1">
            <w:pPr>
              <w:widowControl w:val="0"/>
              <w:autoSpaceDE w:val="0"/>
              <w:autoSpaceDN w:val="0"/>
              <w:adjustRightInd w:val="0"/>
              <w:jc w:val="center"/>
              <w:rPr>
                <w:b/>
                <w:bCs/>
                <w:sz w:val="22"/>
                <w:szCs w:val="22"/>
              </w:rPr>
            </w:pPr>
            <w:r w:rsidRPr="007E3420">
              <w:rPr>
                <w:b/>
                <w:bCs/>
                <w:sz w:val="22"/>
                <w:szCs w:val="22"/>
              </w:rPr>
              <w:t>VRS-</w:t>
            </w:r>
            <w:r w:rsidR="00B3500A" w:rsidRPr="007E3420">
              <w:rPr>
                <w:b/>
                <w:bCs/>
                <w:sz w:val="22"/>
                <w:szCs w:val="22"/>
              </w:rPr>
              <w:t>Spatial</w:t>
            </w:r>
          </w:p>
        </w:tc>
        <w:tc>
          <w:tcPr>
            <w:tcW w:w="785" w:type="pct"/>
            <w:tcBorders>
              <w:top w:val="nil"/>
              <w:left w:val="nil"/>
              <w:bottom w:val="single" w:sz="6" w:space="0" w:color="auto"/>
              <w:right w:val="nil"/>
            </w:tcBorders>
          </w:tcPr>
          <w:p w14:paraId="4897FE21" w14:textId="7FFF13A8" w:rsidR="00B3500A" w:rsidRPr="007E3420" w:rsidRDefault="009B5A32" w:rsidP="00D62AD1">
            <w:pPr>
              <w:widowControl w:val="0"/>
              <w:autoSpaceDE w:val="0"/>
              <w:autoSpaceDN w:val="0"/>
              <w:adjustRightInd w:val="0"/>
              <w:jc w:val="center"/>
              <w:rPr>
                <w:b/>
                <w:bCs/>
                <w:sz w:val="22"/>
                <w:szCs w:val="22"/>
              </w:rPr>
            </w:pPr>
            <w:r w:rsidRPr="007E3420">
              <w:rPr>
                <w:b/>
                <w:bCs/>
                <w:sz w:val="22"/>
                <w:szCs w:val="22"/>
              </w:rPr>
              <w:t>VRS-</w:t>
            </w:r>
            <w:r w:rsidR="00B3500A" w:rsidRPr="007E3420">
              <w:rPr>
                <w:b/>
                <w:bCs/>
                <w:sz w:val="22"/>
                <w:szCs w:val="22"/>
              </w:rPr>
              <w:t>Variance</w:t>
            </w:r>
          </w:p>
        </w:tc>
      </w:tr>
      <w:tr w:rsidR="008550C6" w:rsidRPr="008550C6" w14:paraId="5015FE8F" w14:textId="77777777" w:rsidTr="008049E2">
        <w:trPr>
          <w:jc w:val="center"/>
        </w:trPr>
        <w:tc>
          <w:tcPr>
            <w:tcW w:w="734" w:type="pct"/>
            <w:tcBorders>
              <w:top w:val="nil"/>
              <w:left w:val="nil"/>
              <w:bottom w:val="nil"/>
              <w:right w:val="nil"/>
            </w:tcBorders>
          </w:tcPr>
          <w:p w14:paraId="4A883BDF" w14:textId="77777777" w:rsidR="00B3500A" w:rsidRPr="008550C6" w:rsidRDefault="00B3500A" w:rsidP="00D62AD1">
            <w:pPr>
              <w:widowControl w:val="0"/>
              <w:autoSpaceDE w:val="0"/>
              <w:autoSpaceDN w:val="0"/>
              <w:adjustRightInd w:val="0"/>
              <w:rPr>
                <w:sz w:val="22"/>
                <w:szCs w:val="22"/>
              </w:rPr>
            </w:pPr>
          </w:p>
        </w:tc>
        <w:tc>
          <w:tcPr>
            <w:tcW w:w="733" w:type="pct"/>
            <w:tcBorders>
              <w:top w:val="nil"/>
              <w:left w:val="nil"/>
              <w:bottom w:val="nil"/>
              <w:right w:val="nil"/>
            </w:tcBorders>
          </w:tcPr>
          <w:p w14:paraId="676DB6C5" w14:textId="77777777" w:rsidR="00B3500A" w:rsidRPr="008550C6" w:rsidRDefault="00B3500A" w:rsidP="00D62AD1">
            <w:pPr>
              <w:widowControl w:val="0"/>
              <w:autoSpaceDE w:val="0"/>
              <w:autoSpaceDN w:val="0"/>
              <w:adjustRightInd w:val="0"/>
              <w:jc w:val="center"/>
              <w:rPr>
                <w:sz w:val="22"/>
                <w:szCs w:val="22"/>
              </w:rPr>
            </w:pPr>
          </w:p>
        </w:tc>
        <w:tc>
          <w:tcPr>
            <w:tcW w:w="632" w:type="pct"/>
            <w:tcBorders>
              <w:top w:val="nil"/>
              <w:left w:val="nil"/>
              <w:bottom w:val="nil"/>
              <w:right w:val="nil"/>
            </w:tcBorders>
          </w:tcPr>
          <w:p w14:paraId="77099ED2" w14:textId="77777777" w:rsidR="00B3500A" w:rsidRPr="008550C6" w:rsidRDefault="00B3500A" w:rsidP="00D62AD1">
            <w:pPr>
              <w:widowControl w:val="0"/>
              <w:autoSpaceDE w:val="0"/>
              <w:autoSpaceDN w:val="0"/>
              <w:adjustRightInd w:val="0"/>
              <w:jc w:val="center"/>
              <w:rPr>
                <w:sz w:val="22"/>
                <w:szCs w:val="22"/>
              </w:rPr>
            </w:pPr>
          </w:p>
        </w:tc>
        <w:tc>
          <w:tcPr>
            <w:tcW w:w="684" w:type="pct"/>
            <w:tcBorders>
              <w:top w:val="nil"/>
              <w:left w:val="nil"/>
              <w:bottom w:val="nil"/>
              <w:right w:val="single" w:sz="4" w:space="0" w:color="auto"/>
            </w:tcBorders>
          </w:tcPr>
          <w:p w14:paraId="471ED6C6" w14:textId="77777777" w:rsidR="00B3500A" w:rsidRPr="008550C6" w:rsidRDefault="00B3500A" w:rsidP="00D62AD1">
            <w:pPr>
              <w:widowControl w:val="0"/>
              <w:autoSpaceDE w:val="0"/>
              <w:autoSpaceDN w:val="0"/>
              <w:adjustRightInd w:val="0"/>
              <w:jc w:val="center"/>
              <w:rPr>
                <w:sz w:val="22"/>
                <w:szCs w:val="22"/>
              </w:rPr>
            </w:pPr>
          </w:p>
        </w:tc>
        <w:tc>
          <w:tcPr>
            <w:tcW w:w="784" w:type="pct"/>
            <w:tcBorders>
              <w:top w:val="nil"/>
              <w:left w:val="single" w:sz="4" w:space="0" w:color="auto"/>
              <w:bottom w:val="nil"/>
              <w:right w:val="nil"/>
            </w:tcBorders>
          </w:tcPr>
          <w:p w14:paraId="052246C5" w14:textId="77777777" w:rsidR="00B3500A" w:rsidRPr="008550C6" w:rsidRDefault="00B3500A" w:rsidP="00D62AD1">
            <w:pPr>
              <w:widowControl w:val="0"/>
              <w:autoSpaceDE w:val="0"/>
              <w:autoSpaceDN w:val="0"/>
              <w:adjustRightInd w:val="0"/>
              <w:jc w:val="center"/>
              <w:rPr>
                <w:sz w:val="22"/>
                <w:szCs w:val="22"/>
              </w:rPr>
            </w:pPr>
          </w:p>
        </w:tc>
        <w:tc>
          <w:tcPr>
            <w:tcW w:w="648" w:type="pct"/>
            <w:tcBorders>
              <w:top w:val="nil"/>
              <w:left w:val="nil"/>
              <w:bottom w:val="nil"/>
              <w:right w:val="nil"/>
            </w:tcBorders>
          </w:tcPr>
          <w:p w14:paraId="0F01A912" w14:textId="77777777" w:rsidR="00B3500A" w:rsidRPr="008550C6" w:rsidRDefault="00B3500A" w:rsidP="00D62AD1">
            <w:pPr>
              <w:widowControl w:val="0"/>
              <w:autoSpaceDE w:val="0"/>
              <w:autoSpaceDN w:val="0"/>
              <w:adjustRightInd w:val="0"/>
              <w:jc w:val="center"/>
              <w:rPr>
                <w:sz w:val="22"/>
                <w:szCs w:val="22"/>
              </w:rPr>
            </w:pPr>
          </w:p>
        </w:tc>
        <w:tc>
          <w:tcPr>
            <w:tcW w:w="785" w:type="pct"/>
            <w:tcBorders>
              <w:top w:val="nil"/>
              <w:left w:val="nil"/>
              <w:bottom w:val="nil"/>
              <w:right w:val="nil"/>
            </w:tcBorders>
          </w:tcPr>
          <w:p w14:paraId="4DBFBF2D" w14:textId="77777777" w:rsidR="00B3500A" w:rsidRPr="008550C6" w:rsidRDefault="00B3500A" w:rsidP="00D62AD1">
            <w:pPr>
              <w:widowControl w:val="0"/>
              <w:autoSpaceDE w:val="0"/>
              <w:autoSpaceDN w:val="0"/>
              <w:adjustRightInd w:val="0"/>
              <w:jc w:val="center"/>
              <w:rPr>
                <w:sz w:val="22"/>
                <w:szCs w:val="22"/>
              </w:rPr>
            </w:pPr>
          </w:p>
        </w:tc>
      </w:tr>
      <w:tr w:rsidR="008550C6" w:rsidRPr="007E4ED2" w14:paraId="5EAA4107" w14:textId="77777777" w:rsidTr="008049E2">
        <w:trPr>
          <w:jc w:val="center"/>
        </w:trPr>
        <w:tc>
          <w:tcPr>
            <w:tcW w:w="734" w:type="pct"/>
            <w:tcBorders>
              <w:top w:val="nil"/>
              <w:left w:val="nil"/>
              <w:bottom w:val="nil"/>
              <w:right w:val="nil"/>
            </w:tcBorders>
          </w:tcPr>
          <w:p w14:paraId="76D38C49" w14:textId="77777777" w:rsidR="008049E2" w:rsidRPr="007E4ED2" w:rsidRDefault="008049E2" w:rsidP="008049E2">
            <w:pPr>
              <w:widowControl w:val="0"/>
              <w:autoSpaceDE w:val="0"/>
              <w:autoSpaceDN w:val="0"/>
              <w:adjustRightInd w:val="0"/>
              <w:rPr>
                <w:sz w:val="22"/>
                <w:szCs w:val="22"/>
              </w:rPr>
            </w:pPr>
            <w:r w:rsidRPr="007E4ED2">
              <w:rPr>
                <w:sz w:val="22"/>
                <w:szCs w:val="22"/>
              </w:rPr>
              <w:t>SVOTE</w:t>
            </w:r>
          </w:p>
        </w:tc>
        <w:tc>
          <w:tcPr>
            <w:tcW w:w="733" w:type="pct"/>
            <w:tcBorders>
              <w:top w:val="nil"/>
              <w:left w:val="nil"/>
              <w:bottom w:val="nil"/>
              <w:right w:val="nil"/>
            </w:tcBorders>
          </w:tcPr>
          <w:p w14:paraId="2CB9D2A5" w14:textId="58E7DB2F" w:rsidR="008049E2" w:rsidRPr="007E4ED2" w:rsidRDefault="008049E2" w:rsidP="008049E2">
            <w:pPr>
              <w:widowControl w:val="0"/>
              <w:autoSpaceDE w:val="0"/>
              <w:autoSpaceDN w:val="0"/>
              <w:adjustRightInd w:val="0"/>
              <w:rPr>
                <w:sz w:val="22"/>
                <w:szCs w:val="22"/>
              </w:rPr>
            </w:pPr>
            <w:r w:rsidRPr="007E4ED2">
              <w:rPr>
                <w:sz w:val="22"/>
                <w:szCs w:val="22"/>
              </w:rPr>
              <w:t>0.0124***</w:t>
            </w:r>
          </w:p>
        </w:tc>
        <w:tc>
          <w:tcPr>
            <w:tcW w:w="632" w:type="pct"/>
            <w:tcBorders>
              <w:top w:val="nil"/>
              <w:left w:val="nil"/>
              <w:bottom w:val="nil"/>
              <w:right w:val="nil"/>
            </w:tcBorders>
          </w:tcPr>
          <w:p w14:paraId="6FD2BCCF" w14:textId="77777777" w:rsidR="008049E2" w:rsidRPr="007E4ED2"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02A24C3C" w14:textId="77777777" w:rsidR="008049E2" w:rsidRPr="007E4ED2"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2753572A" w14:textId="77777777" w:rsidR="008049E2" w:rsidRPr="007E4ED2" w:rsidRDefault="008049E2" w:rsidP="008049E2">
            <w:pPr>
              <w:widowControl w:val="0"/>
              <w:autoSpaceDE w:val="0"/>
              <w:autoSpaceDN w:val="0"/>
              <w:adjustRightInd w:val="0"/>
              <w:jc w:val="center"/>
              <w:rPr>
                <w:sz w:val="22"/>
                <w:szCs w:val="22"/>
              </w:rPr>
            </w:pPr>
          </w:p>
        </w:tc>
        <w:tc>
          <w:tcPr>
            <w:tcW w:w="648" w:type="pct"/>
            <w:tcBorders>
              <w:top w:val="nil"/>
              <w:left w:val="nil"/>
              <w:bottom w:val="nil"/>
              <w:right w:val="nil"/>
            </w:tcBorders>
          </w:tcPr>
          <w:p w14:paraId="4343B708" w14:textId="77777777" w:rsidR="008049E2" w:rsidRPr="007E4ED2" w:rsidRDefault="008049E2" w:rsidP="008049E2">
            <w:pPr>
              <w:widowControl w:val="0"/>
              <w:autoSpaceDE w:val="0"/>
              <w:autoSpaceDN w:val="0"/>
              <w:adjustRightInd w:val="0"/>
              <w:jc w:val="center"/>
              <w:rPr>
                <w:sz w:val="22"/>
                <w:szCs w:val="22"/>
              </w:rPr>
            </w:pPr>
          </w:p>
        </w:tc>
        <w:tc>
          <w:tcPr>
            <w:tcW w:w="785" w:type="pct"/>
            <w:tcBorders>
              <w:top w:val="nil"/>
              <w:left w:val="nil"/>
              <w:bottom w:val="nil"/>
              <w:right w:val="nil"/>
            </w:tcBorders>
          </w:tcPr>
          <w:p w14:paraId="17D19768" w14:textId="77777777" w:rsidR="008049E2" w:rsidRPr="007E4ED2" w:rsidRDefault="008049E2" w:rsidP="008049E2">
            <w:pPr>
              <w:widowControl w:val="0"/>
              <w:autoSpaceDE w:val="0"/>
              <w:autoSpaceDN w:val="0"/>
              <w:adjustRightInd w:val="0"/>
              <w:jc w:val="center"/>
              <w:rPr>
                <w:sz w:val="22"/>
                <w:szCs w:val="22"/>
              </w:rPr>
            </w:pPr>
          </w:p>
        </w:tc>
      </w:tr>
      <w:tr w:rsidR="008550C6" w:rsidRPr="007E4ED2" w14:paraId="29F0D42C" w14:textId="77777777" w:rsidTr="008049E2">
        <w:trPr>
          <w:jc w:val="center"/>
        </w:trPr>
        <w:tc>
          <w:tcPr>
            <w:tcW w:w="734" w:type="pct"/>
            <w:tcBorders>
              <w:top w:val="nil"/>
              <w:left w:val="nil"/>
              <w:bottom w:val="nil"/>
              <w:right w:val="nil"/>
            </w:tcBorders>
          </w:tcPr>
          <w:p w14:paraId="448D97FD" w14:textId="77777777" w:rsidR="008049E2" w:rsidRPr="007E4ED2" w:rsidRDefault="008049E2" w:rsidP="008049E2">
            <w:pPr>
              <w:widowControl w:val="0"/>
              <w:autoSpaceDE w:val="0"/>
              <w:autoSpaceDN w:val="0"/>
              <w:adjustRightInd w:val="0"/>
              <w:rPr>
                <w:sz w:val="22"/>
                <w:szCs w:val="22"/>
              </w:rPr>
            </w:pPr>
          </w:p>
        </w:tc>
        <w:tc>
          <w:tcPr>
            <w:tcW w:w="733" w:type="pct"/>
            <w:tcBorders>
              <w:top w:val="nil"/>
              <w:left w:val="nil"/>
              <w:bottom w:val="nil"/>
              <w:right w:val="nil"/>
            </w:tcBorders>
          </w:tcPr>
          <w:p w14:paraId="070C94B6" w14:textId="48B8DE9D" w:rsidR="008049E2" w:rsidRPr="007E4ED2" w:rsidRDefault="008049E2" w:rsidP="008049E2">
            <w:pPr>
              <w:widowControl w:val="0"/>
              <w:autoSpaceDE w:val="0"/>
              <w:autoSpaceDN w:val="0"/>
              <w:adjustRightInd w:val="0"/>
              <w:rPr>
                <w:sz w:val="22"/>
                <w:szCs w:val="22"/>
              </w:rPr>
            </w:pPr>
            <w:r w:rsidRPr="007E4ED2">
              <w:rPr>
                <w:sz w:val="22"/>
                <w:szCs w:val="22"/>
              </w:rPr>
              <w:t>(2.9576)</w:t>
            </w:r>
          </w:p>
        </w:tc>
        <w:tc>
          <w:tcPr>
            <w:tcW w:w="632" w:type="pct"/>
            <w:tcBorders>
              <w:top w:val="nil"/>
              <w:left w:val="nil"/>
              <w:bottom w:val="nil"/>
              <w:right w:val="nil"/>
            </w:tcBorders>
          </w:tcPr>
          <w:p w14:paraId="08B1CEC1" w14:textId="77777777" w:rsidR="008049E2" w:rsidRPr="007E4ED2"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28558447" w14:textId="77777777" w:rsidR="008049E2" w:rsidRPr="007E4ED2"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73C05A2D" w14:textId="77777777" w:rsidR="008049E2" w:rsidRPr="007E4ED2" w:rsidRDefault="008049E2" w:rsidP="008049E2">
            <w:pPr>
              <w:widowControl w:val="0"/>
              <w:autoSpaceDE w:val="0"/>
              <w:autoSpaceDN w:val="0"/>
              <w:adjustRightInd w:val="0"/>
              <w:jc w:val="center"/>
              <w:rPr>
                <w:sz w:val="22"/>
                <w:szCs w:val="22"/>
              </w:rPr>
            </w:pPr>
          </w:p>
        </w:tc>
        <w:tc>
          <w:tcPr>
            <w:tcW w:w="648" w:type="pct"/>
            <w:tcBorders>
              <w:top w:val="nil"/>
              <w:left w:val="nil"/>
              <w:bottom w:val="nil"/>
              <w:right w:val="nil"/>
            </w:tcBorders>
          </w:tcPr>
          <w:p w14:paraId="35506E01" w14:textId="77777777" w:rsidR="008049E2" w:rsidRPr="007E4ED2" w:rsidRDefault="008049E2" w:rsidP="008049E2">
            <w:pPr>
              <w:widowControl w:val="0"/>
              <w:autoSpaceDE w:val="0"/>
              <w:autoSpaceDN w:val="0"/>
              <w:adjustRightInd w:val="0"/>
              <w:jc w:val="center"/>
              <w:rPr>
                <w:sz w:val="22"/>
                <w:szCs w:val="22"/>
              </w:rPr>
            </w:pPr>
          </w:p>
        </w:tc>
        <w:tc>
          <w:tcPr>
            <w:tcW w:w="785" w:type="pct"/>
            <w:tcBorders>
              <w:top w:val="nil"/>
              <w:left w:val="nil"/>
              <w:bottom w:val="nil"/>
              <w:right w:val="nil"/>
            </w:tcBorders>
          </w:tcPr>
          <w:p w14:paraId="6998E75D" w14:textId="77777777" w:rsidR="008049E2" w:rsidRPr="007E4ED2" w:rsidRDefault="008049E2" w:rsidP="008049E2">
            <w:pPr>
              <w:widowControl w:val="0"/>
              <w:autoSpaceDE w:val="0"/>
              <w:autoSpaceDN w:val="0"/>
              <w:adjustRightInd w:val="0"/>
              <w:jc w:val="center"/>
              <w:rPr>
                <w:sz w:val="22"/>
                <w:szCs w:val="22"/>
              </w:rPr>
            </w:pPr>
          </w:p>
        </w:tc>
      </w:tr>
      <w:tr w:rsidR="008550C6" w:rsidRPr="007E4ED2" w14:paraId="3F039BA9" w14:textId="77777777" w:rsidTr="008049E2">
        <w:trPr>
          <w:jc w:val="center"/>
        </w:trPr>
        <w:tc>
          <w:tcPr>
            <w:tcW w:w="734" w:type="pct"/>
            <w:tcBorders>
              <w:top w:val="nil"/>
              <w:left w:val="nil"/>
              <w:bottom w:val="nil"/>
              <w:right w:val="nil"/>
            </w:tcBorders>
          </w:tcPr>
          <w:p w14:paraId="1708595A" w14:textId="77777777" w:rsidR="008049E2" w:rsidRPr="007E4ED2" w:rsidRDefault="008049E2" w:rsidP="008049E2">
            <w:pPr>
              <w:widowControl w:val="0"/>
              <w:autoSpaceDE w:val="0"/>
              <w:autoSpaceDN w:val="0"/>
              <w:adjustRightInd w:val="0"/>
              <w:rPr>
                <w:sz w:val="22"/>
                <w:szCs w:val="22"/>
              </w:rPr>
            </w:pPr>
            <w:r w:rsidRPr="007E4ED2">
              <w:rPr>
                <w:sz w:val="22"/>
                <w:szCs w:val="22"/>
              </w:rPr>
              <w:t>NVOTE</w:t>
            </w:r>
          </w:p>
        </w:tc>
        <w:tc>
          <w:tcPr>
            <w:tcW w:w="733" w:type="pct"/>
            <w:tcBorders>
              <w:top w:val="nil"/>
              <w:left w:val="nil"/>
              <w:bottom w:val="nil"/>
              <w:right w:val="nil"/>
            </w:tcBorders>
          </w:tcPr>
          <w:p w14:paraId="3658A278" w14:textId="77777777" w:rsidR="008049E2" w:rsidRPr="007E4ED2" w:rsidRDefault="008049E2" w:rsidP="008049E2">
            <w:pPr>
              <w:widowControl w:val="0"/>
              <w:autoSpaceDE w:val="0"/>
              <w:autoSpaceDN w:val="0"/>
              <w:adjustRightInd w:val="0"/>
              <w:rPr>
                <w:sz w:val="22"/>
                <w:szCs w:val="22"/>
              </w:rPr>
            </w:pPr>
          </w:p>
        </w:tc>
        <w:tc>
          <w:tcPr>
            <w:tcW w:w="632" w:type="pct"/>
            <w:tcBorders>
              <w:top w:val="nil"/>
              <w:left w:val="nil"/>
              <w:bottom w:val="nil"/>
              <w:right w:val="nil"/>
            </w:tcBorders>
          </w:tcPr>
          <w:p w14:paraId="015DA818" w14:textId="77777777" w:rsidR="008049E2" w:rsidRPr="007E4ED2"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010653AD" w14:textId="77777777" w:rsidR="008049E2" w:rsidRPr="007E4ED2"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6AC4B4BD" w14:textId="2D29CD36" w:rsidR="008049E2" w:rsidRPr="007E4ED2" w:rsidRDefault="008049E2" w:rsidP="008049E2">
            <w:pPr>
              <w:widowControl w:val="0"/>
              <w:autoSpaceDE w:val="0"/>
              <w:autoSpaceDN w:val="0"/>
              <w:adjustRightInd w:val="0"/>
              <w:rPr>
                <w:sz w:val="22"/>
                <w:szCs w:val="22"/>
              </w:rPr>
            </w:pPr>
            <w:r w:rsidRPr="007E4ED2">
              <w:rPr>
                <w:sz w:val="22"/>
                <w:szCs w:val="22"/>
              </w:rPr>
              <w:t>0.0043</w:t>
            </w:r>
          </w:p>
        </w:tc>
        <w:tc>
          <w:tcPr>
            <w:tcW w:w="648" w:type="pct"/>
            <w:tcBorders>
              <w:top w:val="nil"/>
              <w:left w:val="nil"/>
              <w:bottom w:val="nil"/>
              <w:right w:val="nil"/>
            </w:tcBorders>
          </w:tcPr>
          <w:p w14:paraId="1756B866" w14:textId="77777777" w:rsidR="008049E2" w:rsidRPr="007E4ED2"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74ECE46A" w14:textId="77777777" w:rsidR="008049E2" w:rsidRPr="007E4ED2" w:rsidRDefault="008049E2" w:rsidP="008049E2">
            <w:pPr>
              <w:widowControl w:val="0"/>
              <w:autoSpaceDE w:val="0"/>
              <w:autoSpaceDN w:val="0"/>
              <w:adjustRightInd w:val="0"/>
              <w:rPr>
                <w:sz w:val="22"/>
                <w:szCs w:val="22"/>
              </w:rPr>
            </w:pPr>
          </w:p>
        </w:tc>
      </w:tr>
      <w:tr w:rsidR="008550C6" w:rsidRPr="007E4ED2" w14:paraId="04B84842" w14:textId="77777777" w:rsidTr="008049E2">
        <w:trPr>
          <w:jc w:val="center"/>
        </w:trPr>
        <w:tc>
          <w:tcPr>
            <w:tcW w:w="734" w:type="pct"/>
            <w:tcBorders>
              <w:top w:val="nil"/>
              <w:left w:val="nil"/>
              <w:bottom w:val="nil"/>
              <w:right w:val="nil"/>
            </w:tcBorders>
          </w:tcPr>
          <w:p w14:paraId="087784A1" w14:textId="77777777" w:rsidR="008049E2" w:rsidRPr="007E4ED2" w:rsidRDefault="008049E2" w:rsidP="008049E2">
            <w:pPr>
              <w:widowControl w:val="0"/>
              <w:autoSpaceDE w:val="0"/>
              <w:autoSpaceDN w:val="0"/>
              <w:adjustRightInd w:val="0"/>
              <w:rPr>
                <w:sz w:val="22"/>
                <w:szCs w:val="22"/>
              </w:rPr>
            </w:pPr>
          </w:p>
        </w:tc>
        <w:tc>
          <w:tcPr>
            <w:tcW w:w="733" w:type="pct"/>
            <w:tcBorders>
              <w:top w:val="nil"/>
              <w:left w:val="nil"/>
              <w:bottom w:val="nil"/>
              <w:right w:val="nil"/>
            </w:tcBorders>
          </w:tcPr>
          <w:p w14:paraId="6C27CCFB" w14:textId="77777777" w:rsidR="008049E2" w:rsidRPr="007E4ED2" w:rsidRDefault="008049E2" w:rsidP="008049E2">
            <w:pPr>
              <w:widowControl w:val="0"/>
              <w:autoSpaceDE w:val="0"/>
              <w:autoSpaceDN w:val="0"/>
              <w:adjustRightInd w:val="0"/>
              <w:rPr>
                <w:sz w:val="22"/>
                <w:szCs w:val="22"/>
              </w:rPr>
            </w:pPr>
          </w:p>
        </w:tc>
        <w:tc>
          <w:tcPr>
            <w:tcW w:w="632" w:type="pct"/>
            <w:tcBorders>
              <w:top w:val="nil"/>
              <w:left w:val="nil"/>
              <w:bottom w:val="nil"/>
              <w:right w:val="nil"/>
            </w:tcBorders>
          </w:tcPr>
          <w:p w14:paraId="4DEFB7BD" w14:textId="77777777" w:rsidR="008049E2" w:rsidRPr="007E4ED2"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00689F90" w14:textId="77777777" w:rsidR="008049E2" w:rsidRPr="007E4ED2"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48BDF8E1" w14:textId="5268BF26" w:rsidR="008049E2" w:rsidRPr="007E4ED2" w:rsidRDefault="008049E2" w:rsidP="008049E2">
            <w:pPr>
              <w:widowControl w:val="0"/>
              <w:autoSpaceDE w:val="0"/>
              <w:autoSpaceDN w:val="0"/>
              <w:adjustRightInd w:val="0"/>
              <w:rPr>
                <w:sz w:val="22"/>
                <w:szCs w:val="22"/>
              </w:rPr>
            </w:pPr>
            <w:r w:rsidRPr="007E4ED2">
              <w:rPr>
                <w:sz w:val="22"/>
                <w:szCs w:val="22"/>
              </w:rPr>
              <w:t>(1.3147)</w:t>
            </w:r>
          </w:p>
        </w:tc>
        <w:tc>
          <w:tcPr>
            <w:tcW w:w="648" w:type="pct"/>
            <w:tcBorders>
              <w:top w:val="nil"/>
              <w:left w:val="nil"/>
              <w:bottom w:val="nil"/>
              <w:right w:val="nil"/>
            </w:tcBorders>
          </w:tcPr>
          <w:p w14:paraId="3B01B7F7" w14:textId="77777777" w:rsidR="008049E2" w:rsidRPr="007E4ED2"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4BFB59FE" w14:textId="77777777" w:rsidR="008049E2" w:rsidRPr="007E4ED2" w:rsidRDefault="008049E2" w:rsidP="008049E2">
            <w:pPr>
              <w:widowControl w:val="0"/>
              <w:autoSpaceDE w:val="0"/>
              <w:autoSpaceDN w:val="0"/>
              <w:adjustRightInd w:val="0"/>
              <w:rPr>
                <w:sz w:val="22"/>
                <w:szCs w:val="22"/>
              </w:rPr>
            </w:pPr>
          </w:p>
        </w:tc>
      </w:tr>
      <w:tr w:rsidR="008550C6" w:rsidRPr="008550C6" w14:paraId="6B8570FF" w14:textId="77777777" w:rsidTr="008049E2">
        <w:trPr>
          <w:jc w:val="center"/>
        </w:trPr>
        <w:tc>
          <w:tcPr>
            <w:tcW w:w="734" w:type="pct"/>
            <w:tcBorders>
              <w:top w:val="nil"/>
              <w:left w:val="nil"/>
              <w:bottom w:val="nil"/>
              <w:right w:val="nil"/>
            </w:tcBorders>
          </w:tcPr>
          <w:p w14:paraId="2CB8BD6E" w14:textId="77777777" w:rsidR="008049E2" w:rsidRPr="008550C6" w:rsidRDefault="008049E2" w:rsidP="008049E2">
            <w:pPr>
              <w:widowControl w:val="0"/>
              <w:autoSpaceDE w:val="0"/>
              <w:autoSpaceDN w:val="0"/>
              <w:adjustRightInd w:val="0"/>
              <w:rPr>
                <w:sz w:val="22"/>
                <w:szCs w:val="22"/>
              </w:rPr>
            </w:pPr>
            <w:r w:rsidRPr="008550C6">
              <w:rPr>
                <w:sz w:val="22"/>
                <w:szCs w:val="22"/>
              </w:rPr>
              <w:t>LNTA</w:t>
            </w:r>
          </w:p>
        </w:tc>
        <w:tc>
          <w:tcPr>
            <w:tcW w:w="733" w:type="pct"/>
            <w:tcBorders>
              <w:top w:val="nil"/>
              <w:left w:val="nil"/>
              <w:bottom w:val="nil"/>
              <w:right w:val="nil"/>
            </w:tcBorders>
          </w:tcPr>
          <w:p w14:paraId="4647FA4E" w14:textId="32FD725E" w:rsidR="008049E2" w:rsidRPr="008550C6" w:rsidRDefault="008049E2" w:rsidP="008049E2">
            <w:pPr>
              <w:widowControl w:val="0"/>
              <w:autoSpaceDE w:val="0"/>
              <w:autoSpaceDN w:val="0"/>
              <w:adjustRightInd w:val="0"/>
              <w:rPr>
                <w:sz w:val="22"/>
                <w:szCs w:val="22"/>
              </w:rPr>
            </w:pPr>
            <w:r w:rsidRPr="008550C6">
              <w:rPr>
                <w:sz w:val="22"/>
                <w:szCs w:val="22"/>
              </w:rPr>
              <w:t>0.0255***</w:t>
            </w:r>
          </w:p>
        </w:tc>
        <w:tc>
          <w:tcPr>
            <w:tcW w:w="632" w:type="pct"/>
            <w:tcBorders>
              <w:top w:val="nil"/>
              <w:left w:val="nil"/>
              <w:bottom w:val="nil"/>
              <w:right w:val="nil"/>
            </w:tcBorders>
          </w:tcPr>
          <w:p w14:paraId="525A57E7"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6EEB2363" w14:textId="77777777" w:rsidR="008049E2" w:rsidRPr="008550C6"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4DB99170" w14:textId="2F8A287E" w:rsidR="008049E2" w:rsidRPr="008550C6" w:rsidRDefault="008049E2" w:rsidP="008049E2">
            <w:pPr>
              <w:widowControl w:val="0"/>
              <w:autoSpaceDE w:val="0"/>
              <w:autoSpaceDN w:val="0"/>
              <w:adjustRightInd w:val="0"/>
              <w:rPr>
                <w:sz w:val="22"/>
                <w:szCs w:val="22"/>
              </w:rPr>
            </w:pPr>
            <w:r w:rsidRPr="008550C6">
              <w:rPr>
                <w:sz w:val="22"/>
                <w:szCs w:val="22"/>
              </w:rPr>
              <w:t>0.0259***</w:t>
            </w:r>
          </w:p>
        </w:tc>
        <w:tc>
          <w:tcPr>
            <w:tcW w:w="648" w:type="pct"/>
            <w:tcBorders>
              <w:top w:val="nil"/>
              <w:left w:val="nil"/>
              <w:bottom w:val="nil"/>
              <w:right w:val="nil"/>
            </w:tcBorders>
          </w:tcPr>
          <w:p w14:paraId="630D54EB"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117FB668" w14:textId="77777777" w:rsidR="008049E2" w:rsidRPr="008550C6" w:rsidRDefault="008049E2" w:rsidP="008049E2">
            <w:pPr>
              <w:widowControl w:val="0"/>
              <w:autoSpaceDE w:val="0"/>
              <w:autoSpaceDN w:val="0"/>
              <w:adjustRightInd w:val="0"/>
              <w:rPr>
                <w:sz w:val="22"/>
                <w:szCs w:val="22"/>
              </w:rPr>
            </w:pPr>
          </w:p>
        </w:tc>
      </w:tr>
      <w:tr w:rsidR="008550C6" w:rsidRPr="008550C6" w14:paraId="27957090" w14:textId="77777777" w:rsidTr="008049E2">
        <w:trPr>
          <w:jc w:val="center"/>
        </w:trPr>
        <w:tc>
          <w:tcPr>
            <w:tcW w:w="734" w:type="pct"/>
            <w:tcBorders>
              <w:top w:val="nil"/>
              <w:left w:val="nil"/>
              <w:bottom w:val="nil"/>
              <w:right w:val="nil"/>
            </w:tcBorders>
          </w:tcPr>
          <w:p w14:paraId="794CCFD5" w14:textId="77777777" w:rsidR="008049E2" w:rsidRPr="008550C6" w:rsidRDefault="008049E2" w:rsidP="008049E2">
            <w:pPr>
              <w:widowControl w:val="0"/>
              <w:autoSpaceDE w:val="0"/>
              <w:autoSpaceDN w:val="0"/>
              <w:adjustRightInd w:val="0"/>
              <w:rPr>
                <w:sz w:val="22"/>
                <w:szCs w:val="22"/>
              </w:rPr>
            </w:pPr>
          </w:p>
        </w:tc>
        <w:tc>
          <w:tcPr>
            <w:tcW w:w="733" w:type="pct"/>
            <w:tcBorders>
              <w:top w:val="nil"/>
              <w:left w:val="nil"/>
              <w:bottom w:val="nil"/>
              <w:right w:val="nil"/>
            </w:tcBorders>
          </w:tcPr>
          <w:p w14:paraId="12CE1F7C" w14:textId="245F55F6" w:rsidR="008049E2" w:rsidRPr="008550C6" w:rsidRDefault="008049E2" w:rsidP="008049E2">
            <w:pPr>
              <w:widowControl w:val="0"/>
              <w:autoSpaceDE w:val="0"/>
              <w:autoSpaceDN w:val="0"/>
              <w:adjustRightInd w:val="0"/>
              <w:rPr>
                <w:sz w:val="22"/>
                <w:szCs w:val="22"/>
              </w:rPr>
            </w:pPr>
            <w:r w:rsidRPr="008550C6">
              <w:rPr>
                <w:sz w:val="22"/>
                <w:szCs w:val="22"/>
              </w:rPr>
              <w:t>(13.5385)</w:t>
            </w:r>
          </w:p>
        </w:tc>
        <w:tc>
          <w:tcPr>
            <w:tcW w:w="632" w:type="pct"/>
            <w:tcBorders>
              <w:top w:val="nil"/>
              <w:left w:val="nil"/>
              <w:bottom w:val="nil"/>
              <w:right w:val="nil"/>
            </w:tcBorders>
          </w:tcPr>
          <w:p w14:paraId="089A8A54"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2BB9676C" w14:textId="77777777" w:rsidR="008049E2" w:rsidRPr="008550C6"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02C168D7" w14:textId="53A0100A" w:rsidR="008049E2" w:rsidRPr="008550C6" w:rsidRDefault="008049E2" w:rsidP="008049E2">
            <w:pPr>
              <w:widowControl w:val="0"/>
              <w:autoSpaceDE w:val="0"/>
              <w:autoSpaceDN w:val="0"/>
              <w:adjustRightInd w:val="0"/>
              <w:rPr>
                <w:sz w:val="22"/>
                <w:szCs w:val="22"/>
              </w:rPr>
            </w:pPr>
            <w:r w:rsidRPr="008550C6">
              <w:rPr>
                <w:sz w:val="22"/>
                <w:szCs w:val="22"/>
              </w:rPr>
              <w:t>(13.8196)</w:t>
            </w:r>
          </w:p>
        </w:tc>
        <w:tc>
          <w:tcPr>
            <w:tcW w:w="648" w:type="pct"/>
            <w:tcBorders>
              <w:top w:val="nil"/>
              <w:left w:val="nil"/>
              <w:bottom w:val="nil"/>
              <w:right w:val="nil"/>
            </w:tcBorders>
          </w:tcPr>
          <w:p w14:paraId="50DFA1F9"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2E55AB32" w14:textId="77777777" w:rsidR="008049E2" w:rsidRPr="008550C6" w:rsidRDefault="008049E2" w:rsidP="008049E2">
            <w:pPr>
              <w:widowControl w:val="0"/>
              <w:autoSpaceDE w:val="0"/>
              <w:autoSpaceDN w:val="0"/>
              <w:adjustRightInd w:val="0"/>
              <w:rPr>
                <w:sz w:val="22"/>
                <w:szCs w:val="22"/>
              </w:rPr>
            </w:pPr>
          </w:p>
        </w:tc>
      </w:tr>
      <w:tr w:rsidR="008550C6" w:rsidRPr="008550C6" w14:paraId="3E974171" w14:textId="77777777" w:rsidTr="008049E2">
        <w:trPr>
          <w:jc w:val="center"/>
        </w:trPr>
        <w:tc>
          <w:tcPr>
            <w:tcW w:w="734" w:type="pct"/>
            <w:tcBorders>
              <w:top w:val="nil"/>
              <w:left w:val="nil"/>
              <w:bottom w:val="nil"/>
              <w:right w:val="nil"/>
            </w:tcBorders>
          </w:tcPr>
          <w:p w14:paraId="2B0BFE29" w14:textId="77777777" w:rsidR="008049E2" w:rsidRPr="008550C6" w:rsidRDefault="008049E2" w:rsidP="008049E2">
            <w:pPr>
              <w:widowControl w:val="0"/>
              <w:autoSpaceDE w:val="0"/>
              <w:autoSpaceDN w:val="0"/>
              <w:adjustRightInd w:val="0"/>
              <w:rPr>
                <w:sz w:val="22"/>
                <w:szCs w:val="22"/>
              </w:rPr>
            </w:pPr>
            <w:r w:rsidRPr="008550C6">
              <w:rPr>
                <w:sz w:val="22"/>
                <w:szCs w:val="22"/>
              </w:rPr>
              <w:t>NPLTL</w:t>
            </w:r>
          </w:p>
        </w:tc>
        <w:tc>
          <w:tcPr>
            <w:tcW w:w="733" w:type="pct"/>
            <w:tcBorders>
              <w:top w:val="nil"/>
              <w:left w:val="nil"/>
              <w:bottom w:val="nil"/>
              <w:right w:val="nil"/>
            </w:tcBorders>
          </w:tcPr>
          <w:p w14:paraId="06222711" w14:textId="335A1AF1" w:rsidR="008049E2" w:rsidRPr="008550C6" w:rsidRDefault="008049E2" w:rsidP="008049E2">
            <w:pPr>
              <w:widowControl w:val="0"/>
              <w:autoSpaceDE w:val="0"/>
              <w:autoSpaceDN w:val="0"/>
              <w:adjustRightInd w:val="0"/>
              <w:rPr>
                <w:sz w:val="22"/>
                <w:szCs w:val="22"/>
              </w:rPr>
            </w:pPr>
            <w:r w:rsidRPr="008550C6">
              <w:rPr>
                <w:sz w:val="22"/>
                <w:szCs w:val="22"/>
              </w:rPr>
              <w:t>-2.7086***</w:t>
            </w:r>
          </w:p>
        </w:tc>
        <w:tc>
          <w:tcPr>
            <w:tcW w:w="632" w:type="pct"/>
            <w:tcBorders>
              <w:top w:val="nil"/>
              <w:left w:val="nil"/>
              <w:bottom w:val="nil"/>
              <w:right w:val="nil"/>
            </w:tcBorders>
          </w:tcPr>
          <w:p w14:paraId="6741652E"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52D383C8" w14:textId="77777777" w:rsidR="008049E2" w:rsidRPr="008550C6"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177362FB" w14:textId="5421E2F9" w:rsidR="008049E2" w:rsidRPr="008550C6" w:rsidRDefault="008049E2" w:rsidP="008049E2">
            <w:pPr>
              <w:widowControl w:val="0"/>
              <w:autoSpaceDE w:val="0"/>
              <w:autoSpaceDN w:val="0"/>
              <w:adjustRightInd w:val="0"/>
              <w:rPr>
                <w:sz w:val="22"/>
                <w:szCs w:val="22"/>
              </w:rPr>
            </w:pPr>
            <w:r w:rsidRPr="008550C6">
              <w:rPr>
                <w:sz w:val="22"/>
                <w:szCs w:val="22"/>
              </w:rPr>
              <w:t>-2.7115***</w:t>
            </w:r>
          </w:p>
        </w:tc>
        <w:tc>
          <w:tcPr>
            <w:tcW w:w="648" w:type="pct"/>
            <w:tcBorders>
              <w:top w:val="nil"/>
              <w:left w:val="nil"/>
              <w:bottom w:val="nil"/>
              <w:right w:val="nil"/>
            </w:tcBorders>
          </w:tcPr>
          <w:p w14:paraId="40A8EA0F"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2B28281A" w14:textId="77777777" w:rsidR="008049E2" w:rsidRPr="008550C6" w:rsidRDefault="008049E2" w:rsidP="008049E2">
            <w:pPr>
              <w:widowControl w:val="0"/>
              <w:autoSpaceDE w:val="0"/>
              <w:autoSpaceDN w:val="0"/>
              <w:adjustRightInd w:val="0"/>
              <w:rPr>
                <w:sz w:val="22"/>
                <w:szCs w:val="22"/>
              </w:rPr>
            </w:pPr>
          </w:p>
        </w:tc>
      </w:tr>
      <w:tr w:rsidR="008550C6" w:rsidRPr="008550C6" w14:paraId="22672D1B" w14:textId="77777777" w:rsidTr="008049E2">
        <w:trPr>
          <w:jc w:val="center"/>
        </w:trPr>
        <w:tc>
          <w:tcPr>
            <w:tcW w:w="734" w:type="pct"/>
            <w:tcBorders>
              <w:top w:val="nil"/>
              <w:left w:val="nil"/>
              <w:bottom w:val="nil"/>
              <w:right w:val="nil"/>
            </w:tcBorders>
          </w:tcPr>
          <w:p w14:paraId="4BB65747" w14:textId="77777777" w:rsidR="008049E2" w:rsidRPr="008550C6" w:rsidRDefault="008049E2" w:rsidP="008049E2">
            <w:pPr>
              <w:widowControl w:val="0"/>
              <w:autoSpaceDE w:val="0"/>
              <w:autoSpaceDN w:val="0"/>
              <w:adjustRightInd w:val="0"/>
              <w:rPr>
                <w:sz w:val="22"/>
                <w:szCs w:val="22"/>
              </w:rPr>
            </w:pPr>
          </w:p>
        </w:tc>
        <w:tc>
          <w:tcPr>
            <w:tcW w:w="733" w:type="pct"/>
            <w:tcBorders>
              <w:top w:val="nil"/>
              <w:left w:val="nil"/>
              <w:bottom w:val="nil"/>
              <w:right w:val="nil"/>
            </w:tcBorders>
          </w:tcPr>
          <w:p w14:paraId="2D3F26B8" w14:textId="2F3B5BB6" w:rsidR="008049E2" w:rsidRPr="008550C6" w:rsidRDefault="008049E2" w:rsidP="008049E2">
            <w:pPr>
              <w:widowControl w:val="0"/>
              <w:autoSpaceDE w:val="0"/>
              <w:autoSpaceDN w:val="0"/>
              <w:adjustRightInd w:val="0"/>
              <w:rPr>
                <w:sz w:val="22"/>
                <w:szCs w:val="22"/>
              </w:rPr>
            </w:pPr>
            <w:r w:rsidRPr="008550C6">
              <w:rPr>
                <w:sz w:val="22"/>
                <w:szCs w:val="22"/>
              </w:rPr>
              <w:t>(5.8301)</w:t>
            </w:r>
          </w:p>
        </w:tc>
        <w:tc>
          <w:tcPr>
            <w:tcW w:w="632" w:type="pct"/>
            <w:tcBorders>
              <w:top w:val="nil"/>
              <w:left w:val="nil"/>
              <w:bottom w:val="nil"/>
              <w:right w:val="nil"/>
            </w:tcBorders>
          </w:tcPr>
          <w:p w14:paraId="6ABD3835"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78224183" w14:textId="77777777" w:rsidR="008049E2" w:rsidRPr="008550C6"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55382CE2" w14:textId="3964C778" w:rsidR="008049E2" w:rsidRPr="008550C6" w:rsidRDefault="008049E2" w:rsidP="008049E2">
            <w:pPr>
              <w:widowControl w:val="0"/>
              <w:autoSpaceDE w:val="0"/>
              <w:autoSpaceDN w:val="0"/>
              <w:adjustRightInd w:val="0"/>
              <w:rPr>
                <w:sz w:val="22"/>
                <w:szCs w:val="22"/>
              </w:rPr>
            </w:pPr>
            <w:r w:rsidRPr="008550C6">
              <w:rPr>
                <w:sz w:val="22"/>
                <w:szCs w:val="22"/>
              </w:rPr>
              <w:t>(5.8278)</w:t>
            </w:r>
          </w:p>
        </w:tc>
        <w:tc>
          <w:tcPr>
            <w:tcW w:w="648" w:type="pct"/>
            <w:tcBorders>
              <w:top w:val="nil"/>
              <w:left w:val="nil"/>
              <w:bottom w:val="nil"/>
              <w:right w:val="nil"/>
            </w:tcBorders>
          </w:tcPr>
          <w:p w14:paraId="671EC253"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2211DD65" w14:textId="77777777" w:rsidR="008049E2" w:rsidRPr="008550C6" w:rsidRDefault="008049E2" w:rsidP="008049E2">
            <w:pPr>
              <w:widowControl w:val="0"/>
              <w:autoSpaceDE w:val="0"/>
              <w:autoSpaceDN w:val="0"/>
              <w:adjustRightInd w:val="0"/>
              <w:rPr>
                <w:sz w:val="22"/>
                <w:szCs w:val="22"/>
              </w:rPr>
            </w:pPr>
          </w:p>
        </w:tc>
      </w:tr>
      <w:tr w:rsidR="008550C6" w:rsidRPr="008550C6" w14:paraId="1A09DFC6" w14:textId="77777777" w:rsidTr="008049E2">
        <w:trPr>
          <w:jc w:val="center"/>
        </w:trPr>
        <w:tc>
          <w:tcPr>
            <w:tcW w:w="734" w:type="pct"/>
            <w:tcBorders>
              <w:top w:val="nil"/>
              <w:left w:val="nil"/>
              <w:bottom w:val="nil"/>
              <w:right w:val="nil"/>
            </w:tcBorders>
          </w:tcPr>
          <w:p w14:paraId="6B3A2E3C" w14:textId="4308E69E" w:rsidR="008049E2" w:rsidRPr="008550C6" w:rsidRDefault="008049E2" w:rsidP="008049E2">
            <w:pPr>
              <w:widowControl w:val="0"/>
              <w:autoSpaceDE w:val="0"/>
              <w:autoSpaceDN w:val="0"/>
              <w:adjustRightInd w:val="0"/>
              <w:rPr>
                <w:sz w:val="22"/>
                <w:szCs w:val="22"/>
              </w:rPr>
            </w:pPr>
            <w:r w:rsidRPr="008550C6">
              <w:rPr>
                <w:sz w:val="22"/>
                <w:szCs w:val="22"/>
              </w:rPr>
              <w:t>DOA</w:t>
            </w:r>
          </w:p>
        </w:tc>
        <w:tc>
          <w:tcPr>
            <w:tcW w:w="733" w:type="pct"/>
            <w:tcBorders>
              <w:top w:val="nil"/>
              <w:left w:val="nil"/>
              <w:bottom w:val="nil"/>
              <w:right w:val="nil"/>
            </w:tcBorders>
          </w:tcPr>
          <w:p w14:paraId="320CB44D" w14:textId="38E3BBA9" w:rsidR="008049E2" w:rsidRPr="008550C6" w:rsidRDefault="008049E2" w:rsidP="008049E2">
            <w:pPr>
              <w:widowControl w:val="0"/>
              <w:autoSpaceDE w:val="0"/>
              <w:autoSpaceDN w:val="0"/>
              <w:adjustRightInd w:val="0"/>
              <w:rPr>
                <w:sz w:val="22"/>
                <w:szCs w:val="22"/>
              </w:rPr>
            </w:pPr>
            <w:r w:rsidRPr="008550C6">
              <w:rPr>
                <w:sz w:val="22"/>
                <w:szCs w:val="22"/>
              </w:rPr>
              <w:t>0.0164</w:t>
            </w:r>
          </w:p>
        </w:tc>
        <w:tc>
          <w:tcPr>
            <w:tcW w:w="632" w:type="pct"/>
            <w:tcBorders>
              <w:top w:val="nil"/>
              <w:left w:val="nil"/>
              <w:bottom w:val="nil"/>
              <w:right w:val="nil"/>
            </w:tcBorders>
          </w:tcPr>
          <w:p w14:paraId="2C6DB53B"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07CE6850" w14:textId="77777777" w:rsidR="008049E2" w:rsidRPr="008550C6"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14846A4E" w14:textId="64444D82" w:rsidR="008049E2" w:rsidRPr="008550C6" w:rsidRDefault="008049E2" w:rsidP="008049E2">
            <w:pPr>
              <w:widowControl w:val="0"/>
              <w:autoSpaceDE w:val="0"/>
              <w:autoSpaceDN w:val="0"/>
              <w:adjustRightInd w:val="0"/>
              <w:rPr>
                <w:sz w:val="22"/>
                <w:szCs w:val="22"/>
              </w:rPr>
            </w:pPr>
            <w:r w:rsidRPr="008550C6">
              <w:rPr>
                <w:sz w:val="22"/>
                <w:szCs w:val="22"/>
              </w:rPr>
              <w:t>0.0087</w:t>
            </w:r>
          </w:p>
        </w:tc>
        <w:tc>
          <w:tcPr>
            <w:tcW w:w="648" w:type="pct"/>
            <w:tcBorders>
              <w:top w:val="nil"/>
              <w:left w:val="nil"/>
              <w:bottom w:val="nil"/>
              <w:right w:val="nil"/>
            </w:tcBorders>
          </w:tcPr>
          <w:p w14:paraId="36EEF061"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07887C01" w14:textId="77777777" w:rsidR="008049E2" w:rsidRPr="008550C6" w:rsidRDefault="008049E2" w:rsidP="008049E2">
            <w:pPr>
              <w:widowControl w:val="0"/>
              <w:autoSpaceDE w:val="0"/>
              <w:autoSpaceDN w:val="0"/>
              <w:adjustRightInd w:val="0"/>
              <w:rPr>
                <w:sz w:val="22"/>
                <w:szCs w:val="22"/>
              </w:rPr>
            </w:pPr>
          </w:p>
        </w:tc>
      </w:tr>
      <w:tr w:rsidR="008550C6" w:rsidRPr="008550C6" w14:paraId="638C0303" w14:textId="77777777" w:rsidTr="008049E2">
        <w:trPr>
          <w:jc w:val="center"/>
        </w:trPr>
        <w:tc>
          <w:tcPr>
            <w:tcW w:w="734" w:type="pct"/>
            <w:tcBorders>
              <w:top w:val="nil"/>
              <w:left w:val="nil"/>
              <w:bottom w:val="nil"/>
              <w:right w:val="nil"/>
            </w:tcBorders>
          </w:tcPr>
          <w:p w14:paraId="07DA6542" w14:textId="77777777" w:rsidR="008049E2" w:rsidRPr="008550C6" w:rsidRDefault="008049E2" w:rsidP="008049E2">
            <w:pPr>
              <w:widowControl w:val="0"/>
              <w:autoSpaceDE w:val="0"/>
              <w:autoSpaceDN w:val="0"/>
              <w:adjustRightInd w:val="0"/>
              <w:rPr>
                <w:sz w:val="22"/>
                <w:szCs w:val="22"/>
              </w:rPr>
            </w:pPr>
          </w:p>
        </w:tc>
        <w:tc>
          <w:tcPr>
            <w:tcW w:w="733" w:type="pct"/>
            <w:tcBorders>
              <w:top w:val="nil"/>
              <w:left w:val="nil"/>
              <w:bottom w:val="nil"/>
              <w:right w:val="nil"/>
            </w:tcBorders>
          </w:tcPr>
          <w:p w14:paraId="606B3C89" w14:textId="7417549D" w:rsidR="008049E2" w:rsidRPr="008550C6" w:rsidRDefault="008049E2" w:rsidP="008049E2">
            <w:pPr>
              <w:widowControl w:val="0"/>
              <w:autoSpaceDE w:val="0"/>
              <w:autoSpaceDN w:val="0"/>
              <w:adjustRightInd w:val="0"/>
              <w:rPr>
                <w:sz w:val="22"/>
                <w:szCs w:val="22"/>
              </w:rPr>
            </w:pPr>
            <w:r w:rsidRPr="008550C6">
              <w:rPr>
                <w:sz w:val="22"/>
                <w:szCs w:val="22"/>
              </w:rPr>
              <w:t>(0.7106)</w:t>
            </w:r>
          </w:p>
        </w:tc>
        <w:tc>
          <w:tcPr>
            <w:tcW w:w="632" w:type="pct"/>
            <w:tcBorders>
              <w:top w:val="nil"/>
              <w:left w:val="nil"/>
              <w:bottom w:val="nil"/>
              <w:right w:val="nil"/>
            </w:tcBorders>
          </w:tcPr>
          <w:p w14:paraId="0CFE5061"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135E4F57" w14:textId="77777777" w:rsidR="008049E2" w:rsidRPr="008550C6"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241675A1" w14:textId="5D7DE17B" w:rsidR="008049E2" w:rsidRPr="008550C6" w:rsidRDefault="008049E2" w:rsidP="008049E2">
            <w:pPr>
              <w:widowControl w:val="0"/>
              <w:autoSpaceDE w:val="0"/>
              <w:autoSpaceDN w:val="0"/>
              <w:adjustRightInd w:val="0"/>
              <w:rPr>
                <w:sz w:val="22"/>
                <w:szCs w:val="22"/>
              </w:rPr>
            </w:pPr>
            <w:r w:rsidRPr="008550C6">
              <w:rPr>
                <w:sz w:val="22"/>
                <w:szCs w:val="22"/>
              </w:rPr>
              <w:t>(0.3802)</w:t>
            </w:r>
          </w:p>
        </w:tc>
        <w:tc>
          <w:tcPr>
            <w:tcW w:w="648" w:type="pct"/>
            <w:tcBorders>
              <w:top w:val="nil"/>
              <w:left w:val="nil"/>
              <w:bottom w:val="nil"/>
              <w:right w:val="nil"/>
            </w:tcBorders>
          </w:tcPr>
          <w:p w14:paraId="0CAB5DBC"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2537AA46" w14:textId="77777777" w:rsidR="008049E2" w:rsidRPr="008550C6" w:rsidRDefault="008049E2" w:rsidP="008049E2">
            <w:pPr>
              <w:widowControl w:val="0"/>
              <w:autoSpaceDE w:val="0"/>
              <w:autoSpaceDN w:val="0"/>
              <w:adjustRightInd w:val="0"/>
              <w:rPr>
                <w:sz w:val="22"/>
                <w:szCs w:val="22"/>
              </w:rPr>
            </w:pPr>
          </w:p>
        </w:tc>
      </w:tr>
      <w:tr w:rsidR="008550C6" w:rsidRPr="008550C6" w14:paraId="2547E745" w14:textId="77777777" w:rsidTr="008049E2">
        <w:trPr>
          <w:jc w:val="center"/>
        </w:trPr>
        <w:tc>
          <w:tcPr>
            <w:tcW w:w="734" w:type="pct"/>
            <w:tcBorders>
              <w:top w:val="nil"/>
              <w:left w:val="nil"/>
              <w:bottom w:val="nil"/>
              <w:right w:val="nil"/>
            </w:tcBorders>
          </w:tcPr>
          <w:p w14:paraId="0D5C8427" w14:textId="21094870" w:rsidR="008049E2" w:rsidRPr="008550C6" w:rsidRDefault="008049E2" w:rsidP="008049E2">
            <w:pPr>
              <w:widowControl w:val="0"/>
              <w:autoSpaceDE w:val="0"/>
              <w:autoSpaceDN w:val="0"/>
              <w:adjustRightInd w:val="0"/>
              <w:rPr>
                <w:sz w:val="22"/>
                <w:szCs w:val="22"/>
              </w:rPr>
            </w:pPr>
            <w:r w:rsidRPr="008550C6">
              <w:rPr>
                <w:sz w:val="22"/>
                <w:szCs w:val="22"/>
              </w:rPr>
              <w:t>C</w:t>
            </w:r>
            <w:r w:rsidR="00783103">
              <w:rPr>
                <w:sz w:val="22"/>
                <w:szCs w:val="22"/>
              </w:rPr>
              <w:t>OVID</w:t>
            </w:r>
            <w:r w:rsidRPr="008550C6">
              <w:rPr>
                <w:sz w:val="22"/>
                <w:szCs w:val="22"/>
              </w:rPr>
              <w:t>-19</w:t>
            </w:r>
          </w:p>
        </w:tc>
        <w:tc>
          <w:tcPr>
            <w:tcW w:w="733" w:type="pct"/>
            <w:tcBorders>
              <w:top w:val="nil"/>
              <w:left w:val="nil"/>
              <w:bottom w:val="nil"/>
              <w:right w:val="nil"/>
            </w:tcBorders>
          </w:tcPr>
          <w:p w14:paraId="31467B86" w14:textId="6AAC43AB" w:rsidR="008049E2" w:rsidRPr="008550C6" w:rsidRDefault="008049E2" w:rsidP="008049E2">
            <w:pPr>
              <w:widowControl w:val="0"/>
              <w:autoSpaceDE w:val="0"/>
              <w:autoSpaceDN w:val="0"/>
              <w:adjustRightInd w:val="0"/>
              <w:rPr>
                <w:sz w:val="22"/>
                <w:szCs w:val="22"/>
              </w:rPr>
            </w:pPr>
            <w:r w:rsidRPr="008550C6">
              <w:rPr>
                <w:sz w:val="22"/>
                <w:szCs w:val="22"/>
              </w:rPr>
              <w:t>-0.0324***</w:t>
            </w:r>
          </w:p>
        </w:tc>
        <w:tc>
          <w:tcPr>
            <w:tcW w:w="632" w:type="pct"/>
            <w:tcBorders>
              <w:top w:val="nil"/>
              <w:left w:val="nil"/>
              <w:bottom w:val="nil"/>
              <w:right w:val="nil"/>
            </w:tcBorders>
          </w:tcPr>
          <w:p w14:paraId="77FD95B9"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5665D670" w14:textId="77777777" w:rsidR="008049E2" w:rsidRPr="008550C6"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1BE066D3" w14:textId="545986B9" w:rsidR="008049E2" w:rsidRPr="008550C6" w:rsidRDefault="008049E2" w:rsidP="008049E2">
            <w:pPr>
              <w:widowControl w:val="0"/>
              <w:autoSpaceDE w:val="0"/>
              <w:autoSpaceDN w:val="0"/>
              <w:adjustRightInd w:val="0"/>
              <w:rPr>
                <w:sz w:val="22"/>
                <w:szCs w:val="22"/>
              </w:rPr>
            </w:pPr>
            <w:r w:rsidRPr="008550C6">
              <w:rPr>
                <w:sz w:val="22"/>
                <w:szCs w:val="22"/>
              </w:rPr>
              <w:t>-0.0334***</w:t>
            </w:r>
          </w:p>
        </w:tc>
        <w:tc>
          <w:tcPr>
            <w:tcW w:w="648" w:type="pct"/>
            <w:tcBorders>
              <w:top w:val="nil"/>
              <w:left w:val="nil"/>
              <w:bottom w:val="nil"/>
              <w:right w:val="nil"/>
            </w:tcBorders>
          </w:tcPr>
          <w:p w14:paraId="0AD561DB"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3717C0B0" w14:textId="77777777" w:rsidR="008049E2" w:rsidRPr="008550C6" w:rsidRDefault="008049E2" w:rsidP="008049E2">
            <w:pPr>
              <w:widowControl w:val="0"/>
              <w:autoSpaceDE w:val="0"/>
              <w:autoSpaceDN w:val="0"/>
              <w:adjustRightInd w:val="0"/>
              <w:rPr>
                <w:sz w:val="22"/>
                <w:szCs w:val="22"/>
              </w:rPr>
            </w:pPr>
          </w:p>
        </w:tc>
      </w:tr>
      <w:tr w:rsidR="008550C6" w:rsidRPr="008550C6" w14:paraId="089C0A84" w14:textId="77777777" w:rsidTr="008049E2">
        <w:trPr>
          <w:jc w:val="center"/>
        </w:trPr>
        <w:tc>
          <w:tcPr>
            <w:tcW w:w="734" w:type="pct"/>
            <w:tcBorders>
              <w:top w:val="nil"/>
              <w:left w:val="nil"/>
              <w:bottom w:val="nil"/>
              <w:right w:val="nil"/>
            </w:tcBorders>
          </w:tcPr>
          <w:p w14:paraId="528018E8" w14:textId="77777777" w:rsidR="008049E2" w:rsidRPr="008550C6" w:rsidRDefault="008049E2" w:rsidP="008049E2">
            <w:pPr>
              <w:widowControl w:val="0"/>
              <w:autoSpaceDE w:val="0"/>
              <w:autoSpaceDN w:val="0"/>
              <w:adjustRightInd w:val="0"/>
              <w:rPr>
                <w:sz w:val="22"/>
                <w:szCs w:val="22"/>
              </w:rPr>
            </w:pPr>
          </w:p>
        </w:tc>
        <w:tc>
          <w:tcPr>
            <w:tcW w:w="733" w:type="pct"/>
            <w:tcBorders>
              <w:top w:val="nil"/>
              <w:left w:val="nil"/>
              <w:bottom w:val="nil"/>
              <w:right w:val="nil"/>
            </w:tcBorders>
          </w:tcPr>
          <w:p w14:paraId="17486A21" w14:textId="133A29DD" w:rsidR="008049E2" w:rsidRPr="008550C6" w:rsidRDefault="008049E2" w:rsidP="008049E2">
            <w:pPr>
              <w:widowControl w:val="0"/>
              <w:autoSpaceDE w:val="0"/>
              <w:autoSpaceDN w:val="0"/>
              <w:adjustRightInd w:val="0"/>
              <w:rPr>
                <w:sz w:val="22"/>
                <w:szCs w:val="22"/>
              </w:rPr>
            </w:pPr>
            <w:r w:rsidRPr="008550C6">
              <w:rPr>
                <w:sz w:val="22"/>
                <w:szCs w:val="22"/>
              </w:rPr>
              <w:t>(2.8416)</w:t>
            </w:r>
          </w:p>
        </w:tc>
        <w:tc>
          <w:tcPr>
            <w:tcW w:w="632" w:type="pct"/>
            <w:tcBorders>
              <w:top w:val="nil"/>
              <w:left w:val="nil"/>
              <w:bottom w:val="nil"/>
              <w:right w:val="nil"/>
            </w:tcBorders>
          </w:tcPr>
          <w:p w14:paraId="501C3267"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64C67F05" w14:textId="77777777" w:rsidR="008049E2" w:rsidRPr="008550C6"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2E03C858" w14:textId="6A452BAB" w:rsidR="008049E2" w:rsidRPr="008550C6" w:rsidRDefault="008049E2" w:rsidP="008049E2">
            <w:pPr>
              <w:widowControl w:val="0"/>
              <w:autoSpaceDE w:val="0"/>
              <w:autoSpaceDN w:val="0"/>
              <w:adjustRightInd w:val="0"/>
              <w:rPr>
                <w:sz w:val="22"/>
                <w:szCs w:val="22"/>
              </w:rPr>
            </w:pPr>
            <w:r w:rsidRPr="008550C6">
              <w:rPr>
                <w:sz w:val="22"/>
                <w:szCs w:val="22"/>
              </w:rPr>
              <w:t>(2.8860)</w:t>
            </w:r>
          </w:p>
        </w:tc>
        <w:tc>
          <w:tcPr>
            <w:tcW w:w="648" w:type="pct"/>
            <w:tcBorders>
              <w:top w:val="nil"/>
              <w:left w:val="nil"/>
              <w:bottom w:val="nil"/>
              <w:right w:val="nil"/>
            </w:tcBorders>
          </w:tcPr>
          <w:p w14:paraId="6229B687"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754C3BB8" w14:textId="77777777" w:rsidR="008049E2" w:rsidRPr="008550C6" w:rsidRDefault="008049E2" w:rsidP="008049E2">
            <w:pPr>
              <w:widowControl w:val="0"/>
              <w:autoSpaceDE w:val="0"/>
              <w:autoSpaceDN w:val="0"/>
              <w:adjustRightInd w:val="0"/>
              <w:rPr>
                <w:sz w:val="22"/>
                <w:szCs w:val="22"/>
              </w:rPr>
            </w:pPr>
          </w:p>
        </w:tc>
      </w:tr>
      <w:tr w:rsidR="008550C6" w:rsidRPr="008550C6" w14:paraId="650F9D20" w14:textId="77777777" w:rsidTr="008049E2">
        <w:trPr>
          <w:jc w:val="center"/>
        </w:trPr>
        <w:tc>
          <w:tcPr>
            <w:tcW w:w="734" w:type="pct"/>
            <w:tcBorders>
              <w:top w:val="nil"/>
              <w:left w:val="nil"/>
              <w:bottom w:val="nil"/>
              <w:right w:val="nil"/>
            </w:tcBorders>
          </w:tcPr>
          <w:p w14:paraId="654C296A" w14:textId="77777777" w:rsidR="008049E2" w:rsidRPr="008550C6" w:rsidRDefault="008049E2" w:rsidP="008049E2">
            <w:pPr>
              <w:widowControl w:val="0"/>
              <w:autoSpaceDE w:val="0"/>
              <w:autoSpaceDN w:val="0"/>
              <w:adjustRightInd w:val="0"/>
              <w:rPr>
                <w:sz w:val="22"/>
                <w:szCs w:val="22"/>
              </w:rPr>
            </w:pPr>
            <w:r w:rsidRPr="008550C6">
              <w:rPr>
                <w:sz w:val="22"/>
                <w:szCs w:val="22"/>
              </w:rPr>
              <w:t>rho</w:t>
            </w:r>
          </w:p>
        </w:tc>
        <w:tc>
          <w:tcPr>
            <w:tcW w:w="733" w:type="pct"/>
            <w:tcBorders>
              <w:top w:val="nil"/>
              <w:left w:val="nil"/>
              <w:bottom w:val="nil"/>
              <w:right w:val="nil"/>
            </w:tcBorders>
          </w:tcPr>
          <w:p w14:paraId="35DDC1F1" w14:textId="77777777" w:rsidR="008049E2" w:rsidRPr="008550C6" w:rsidRDefault="008049E2" w:rsidP="008049E2">
            <w:pPr>
              <w:widowControl w:val="0"/>
              <w:autoSpaceDE w:val="0"/>
              <w:autoSpaceDN w:val="0"/>
              <w:adjustRightInd w:val="0"/>
              <w:rPr>
                <w:sz w:val="22"/>
                <w:szCs w:val="22"/>
              </w:rPr>
            </w:pPr>
          </w:p>
        </w:tc>
        <w:tc>
          <w:tcPr>
            <w:tcW w:w="632" w:type="pct"/>
            <w:tcBorders>
              <w:top w:val="nil"/>
              <w:left w:val="nil"/>
              <w:bottom w:val="nil"/>
              <w:right w:val="nil"/>
            </w:tcBorders>
          </w:tcPr>
          <w:p w14:paraId="17660CC0" w14:textId="15AF8392" w:rsidR="008049E2" w:rsidRPr="008550C6" w:rsidRDefault="008049E2" w:rsidP="008049E2">
            <w:pPr>
              <w:widowControl w:val="0"/>
              <w:autoSpaceDE w:val="0"/>
              <w:autoSpaceDN w:val="0"/>
              <w:adjustRightInd w:val="0"/>
              <w:rPr>
                <w:sz w:val="22"/>
                <w:szCs w:val="22"/>
              </w:rPr>
            </w:pPr>
            <w:r w:rsidRPr="008550C6">
              <w:rPr>
                <w:sz w:val="22"/>
                <w:szCs w:val="22"/>
              </w:rPr>
              <w:t>0.6074***</w:t>
            </w:r>
          </w:p>
        </w:tc>
        <w:tc>
          <w:tcPr>
            <w:tcW w:w="684" w:type="pct"/>
            <w:tcBorders>
              <w:top w:val="nil"/>
              <w:left w:val="nil"/>
              <w:bottom w:val="nil"/>
              <w:right w:val="single" w:sz="4" w:space="0" w:color="auto"/>
            </w:tcBorders>
          </w:tcPr>
          <w:p w14:paraId="4103DF31" w14:textId="77777777" w:rsidR="008049E2" w:rsidRPr="008550C6"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4C96328B" w14:textId="77777777" w:rsidR="008049E2" w:rsidRPr="008550C6" w:rsidRDefault="008049E2" w:rsidP="008049E2">
            <w:pPr>
              <w:widowControl w:val="0"/>
              <w:autoSpaceDE w:val="0"/>
              <w:autoSpaceDN w:val="0"/>
              <w:adjustRightInd w:val="0"/>
              <w:rPr>
                <w:sz w:val="22"/>
                <w:szCs w:val="22"/>
              </w:rPr>
            </w:pPr>
          </w:p>
        </w:tc>
        <w:tc>
          <w:tcPr>
            <w:tcW w:w="648" w:type="pct"/>
            <w:tcBorders>
              <w:top w:val="nil"/>
              <w:left w:val="nil"/>
              <w:bottom w:val="nil"/>
              <w:right w:val="nil"/>
            </w:tcBorders>
          </w:tcPr>
          <w:p w14:paraId="391DCCDF" w14:textId="64F4FE2A" w:rsidR="008049E2" w:rsidRPr="008550C6" w:rsidRDefault="008049E2" w:rsidP="008049E2">
            <w:pPr>
              <w:widowControl w:val="0"/>
              <w:autoSpaceDE w:val="0"/>
              <w:autoSpaceDN w:val="0"/>
              <w:adjustRightInd w:val="0"/>
              <w:rPr>
                <w:sz w:val="22"/>
                <w:szCs w:val="22"/>
              </w:rPr>
            </w:pPr>
            <w:r w:rsidRPr="008550C6">
              <w:rPr>
                <w:sz w:val="22"/>
                <w:szCs w:val="22"/>
              </w:rPr>
              <w:t>0.6151***</w:t>
            </w:r>
          </w:p>
        </w:tc>
        <w:tc>
          <w:tcPr>
            <w:tcW w:w="785" w:type="pct"/>
            <w:tcBorders>
              <w:top w:val="nil"/>
              <w:left w:val="nil"/>
              <w:bottom w:val="nil"/>
              <w:right w:val="nil"/>
            </w:tcBorders>
          </w:tcPr>
          <w:p w14:paraId="474960B3" w14:textId="77777777" w:rsidR="008049E2" w:rsidRPr="008550C6" w:rsidRDefault="008049E2" w:rsidP="008049E2">
            <w:pPr>
              <w:widowControl w:val="0"/>
              <w:autoSpaceDE w:val="0"/>
              <w:autoSpaceDN w:val="0"/>
              <w:adjustRightInd w:val="0"/>
              <w:rPr>
                <w:sz w:val="22"/>
                <w:szCs w:val="22"/>
              </w:rPr>
            </w:pPr>
          </w:p>
        </w:tc>
      </w:tr>
      <w:tr w:rsidR="008550C6" w:rsidRPr="008550C6" w14:paraId="1D9A762C" w14:textId="77777777" w:rsidTr="008049E2">
        <w:trPr>
          <w:jc w:val="center"/>
        </w:trPr>
        <w:tc>
          <w:tcPr>
            <w:tcW w:w="734" w:type="pct"/>
            <w:tcBorders>
              <w:top w:val="nil"/>
              <w:left w:val="nil"/>
              <w:bottom w:val="nil"/>
              <w:right w:val="nil"/>
            </w:tcBorders>
          </w:tcPr>
          <w:p w14:paraId="230BB642" w14:textId="77777777" w:rsidR="008049E2" w:rsidRPr="008550C6" w:rsidRDefault="008049E2" w:rsidP="008049E2">
            <w:pPr>
              <w:widowControl w:val="0"/>
              <w:autoSpaceDE w:val="0"/>
              <w:autoSpaceDN w:val="0"/>
              <w:adjustRightInd w:val="0"/>
              <w:rPr>
                <w:sz w:val="22"/>
                <w:szCs w:val="22"/>
              </w:rPr>
            </w:pPr>
          </w:p>
        </w:tc>
        <w:tc>
          <w:tcPr>
            <w:tcW w:w="733" w:type="pct"/>
            <w:tcBorders>
              <w:top w:val="nil"/>
              <w:left w:val="nil"/>
              <w:bottom w:val="nil"/>
              <w:right w:val="nil"/>
            </w:tcBorders>
          </w:tcPr>
          <w:p w14:paraId="135BCF75" w14:textId="77777777" w:rsidR="008049E2" w:rsidRPr="008550C6" w:rsidRDefault="008049E2" w:rsidP="008049E2">
            <w:pPr>
              <w:widowControl w:val="0"/>
              <w:autoSpaceDE w:val="0"/>
              <w:autoSpaceDN w:val="0"/>
              <w:adjustRightInd w:val="0"/>
              <w:rPr>
                <w:sz w:val="22"/>
                <w:szCs w:val="22"/>
              </w:rPr>
            </w:pPr>
          </w:p>
        </w:tc>
        <w:tc>
          <w:tcPr>
            <w:tcW w:w="632" w:type="pct"/>
            <w:tcBorders>
              <w:top w:val="nil"/>
              <w:left w:val="nil"/>
              <w:bottom w:val="nil"/>
              <w:right w:val="nil"/>
            </w:tcBorders>
          </w:tcPr>
          <w:p w14:paraId="443267F0" w14:textId="73A570A9" w:rsidR="008049E2" w:rsidRPr="008550C6" w:rsidRDefault="008049E2" w:rsidP="008049E2">
            <w:pPr>
              <w:widowControl w:val="0"/>
              <w:autoSpaceDE w:val="0"/>
              <w:autoSpaceDN w:val="0"/>
              <w:adjustRightInd w:val="0"/>
              <w:rPr>
                <w:sz w:val="22"/>
                <w:szCs w:val="22"/>
              </w:rPr>
            </w:pPr>
            <w:r w:rsidRPr="008550C6">
              <w:rPr>
                <w:sz w:val="22"/>
                <w:szCs w:val="22"/>
              </w:rPr>
              <w:t>(20.1419)</w:t>
            </w:r>
          </w:p>
        </w:tc>
        <w:tc>
          <w:tcPr>
            <w:tcW w:w="684" w:type="pct"/>
            <w:tcBorders>
              <w:top w:val="nil"/>
              <w:left w:val="nil"/>
              <w:bottom w:val="nil"/>
              <w:right w:val="single" w:sz="4" w:space="0" w:color="auto"/>
            </w:tcBorders>
          </w:tcPr>
          <w:p w14:paraId="5CCA3103" w14:textId="77777777" w:rsidR="008049E2" w:rsidRPr="008550C6"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53C71D3A" w14:textId="77777777" w:rsidR="008049E2" w:rsidRPr="008550C6" w:rsidRDefault="008049E2" w:rsidP="008049E2">
            <w:pPr>
              <w:widowControl w:val="0"/>
              <w:autoSpaceDE w:val="0"/>
              <w:autoSpaceDN w:val="0"/>
              <w:adjustRightInd w:val="0"/>
              <w:rPr>
                <w:sz w:val="22"/>
                <w:szCs w:val="22"/>
              </w:rPr>
            </w:pPr>
          </w:p>
        </w:tc>
        <w:tc>
          <w:tcPr>
            <w:tcW w:w="648" w:type="pct"/>
            <w:tcBorders>
              <w:top w:val="nil"/>
              <w:left w:val="nil"/>
              <w:bottom w:val="nil"/>
              <w:right w:val="nil"/>
            </w:tcBorders>
          </w:tcPr>
          <w:p w14:paraId="18B90B72" w14:textId="714CEE41" w:rsidR="008049E2" w:rsidRPr="008550C6" w:rsidRDefault="008049E2" w:rsidP="008049E2">
            <w:pPr>
              <w:widowControl w:val="0"/>
              <w:autoSpaceDE w:val="0"/>
              <w:autoSpaceDN w:val="0"/>
              <w:adjustRightInd w:val="0"/>
              <w:rPr>
                <w:sz w:val="22"/>
                <w:szCs w:val="22"/>
              </w:rPr>
            </w:pPr>
            <w:r w:rsidRPr="008550C6">
              <w:rPr>
                <w:sz w:val="22"/>
                <w:szCs w:val="22"/>
              </w:rPr>
              <w:t>(20.4515)</w:t>
            </w:r>
          </w:p>
        </w:tc>
        <w:tc>
          <w:tcPr>
            <w:tcW w:w="785" w:type="pct"/>
            <w:tcBorders>
              <w:top w:val="nil"/>
              <w:left w:val="nil"/>
              <w:bottom w:val="nil"/>
              <w:right w:val="nil"/>
            </w:tcBorders>
          </w:tcPr>
          <w:p w14:paraId="0DF8D1EF" w14:textId="77777777" w:rsidR="008049E2" w:rsidRPr="008550C6" w:rsidRDefault="008049E2" w:rsidP="008049E2">
            <w:pPr>
              <w:widowControl w:val="0"/>
              <w:autoSpaceDE w:val="0"/>
              <w:autoSpaceDN w:val="0"/>
              <w:adjustRightInd w:val="0"/>
              <w:rPr>
                <w:sz w:val="22"/>
                <w:szCs w:val="22"/>
              </w:rPr>
            </w:pPr>
          </w:p>
        </w:tc>
      </w:tr>
      <w:tr w:rsidR="008550C6" w:rsidRPr="008550C6" w14:paraId="422056B6" w14:textId="77777777" w:rsidTr="008049E2">
        <w:trPr>
          <w:jc w:val="center"/>
        </w:trPr>
        <w:tc>
          <w:tcPr>
            <w:tcW w:w="734" w:type="pct"/>
            <w:tcBorders>
              <w:top w:val="nil"/>
              <w:left w:val="nil"/>
              <w:bottom w:val="nil"/>
              <w:right w:val="nil"/>
            </w:tcBorders>
          </w:tcPr>
          <w:p w14:paraId="49B4403D" w14:textId="77777777" w:rsidR="008049E2" w:rsidRPr="008550C6" w:rsidRDefault="008049E2" w:rsidP="008049E2">
            <w:pPr>
              <w:widowControl w:val="0"/>
              <w:autoSpaceDE w:val="0"/>
              <w:autoSpaceDN w:val="0"/>
              <w:adjustRightInd w:val="0"/>
              <w:rPr>
                <w:sz w:val="22"/>
                <w:szCs w:val="22"/>
              </w:rPr>
            </w:pPr>
            <w:r w:rsidRPr="008550C6">
              <w:rPr>
                <w:sz w:val="22"/>
                <w:szCs w:val="22"/>
              </w:rPr>
              <w:t>lgt_theta</w:t>
            </w:r>
          </w:p>
        </w:tc>
        <w:tc>
          <w:tcPr>
            <w:tcW w:w="733" w:type="pct"/>
            <w:tcBorders>
              <w:top w:val="nil"/>
              <w:left w:val="nil"/>
              <w:bottom w:val="nil"/>
              <w:right w:val="nil"/>
            </w:tcBorders>
          </w:tcPr>
          <w:p w14:paraId="23113E3A" w14:textId="77777777" w:rsidR="008049E2" w:rsidRPr="008550C6" w:rsidRDefault="008049E2" w:rsidP="008049E2">
            <w:pPr>
              <w:widowControl w:val="0"/>
              <w:autoSpaceDE w:val="0"/>
              <w:autoSpaceDN w:val="0"/>
              <w:adjustRightInd w:val="0"/>
              <w:rPr>
                <w:sz w:val="22"/>
                <w:szCs w:val="22"/>
              </w:rPr>
            </w:pPr>
          </w:p>
        </w:tc>
        <w:tc>
          <w:tcPr>
            <w:tcW w:w="632" w:type="pct"/>
            <w:tcBorders>
              <w:top w:val="nil"/>
              <w:left w:val="nil"/>
              <w:bottom w:val="nil"/>
              <w:right w:val="nil"/>
            </w:tcBorders>
          </w:tcPr>
          <w:p w14:paraId="678CF748"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25F7788C" w14:textId="27C903FC" w:rsidR="008049E2" w:rsidRPr="008550C6" w:rsidRDefault="008049E2" w:rsidP="008049E2">
            <w:pPr>
              <w:widowControl w:val="0"/>
              <w:autoSpaceDE w:val="0"/>
              <w:autoSpaceDN w:val="0"/>
              <w:adjustRightInd w:val="0"/>
              <w:rPr>
                <w:sz w:val="22"/>
                <w:szCs w:val="22"/>
              </w:rPr>
            </w:pPr>
            <w:r w:rsidRPr="008550C6">
              <w:rPr>
                <w:sz w:val="22"/>
                <w:szCs w:val="22"/>
              </w:rPr>
              <w:t>-1.2122***</w:t>
            </w:r>
          </w:p>
        </w:tc>
        <w:tc>
          <w:tcPr>
            <w:tcW w:w="784" w:type="pct"/>
            <w:tcBorders>
              <w:top w:val="nil"/>
              <w:left w:val="single" w:sz="4" w:space="0" w:color="auto"/>
              <w:bottom w:val="nil"/>
              <w:right w:val="nil"/>
            </w:tcBorders>
          </w:tcPr>
          <w:p w14:paraId="21D86236" w14:textId="77777777" w:rsidR="008049E2" w:rsidRPr="008550C6" w:rsidRDefault="008049E2" w:rsidP="008049E2">
            <w:pPr>
              <w:widowControl w:val="0"/>
              <w:autoSpaceDE w:val="0"/>
              <w:autoSpaceDN w:val="0"/>
              <w:adjustRightInd w:val="0"/>
              <w:rPr>
                <w:sz w:val="22"/>
                <w:szCs w:val="22"/>
              </w:rPr>
            </w:pPr>
          </w:p>
        </w:tc>
        <w:tc>
          <w:tcPr>
            <w:tcW w:w="648" w:type="pct"/>
            <w:tcBorders>
              <w:top w:val="nil"/>
              <w:left w:val="nil"/>
              <w:bottom w:val="nil"/>
              <w:right w:val="nil"/>
            </w:tcBorders>
          </w:tcPr>
          <w:p w14:paraId="053C72CF"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7B0D23B8" w14:textId="268DFF9B" w:rsidR="008049E2" w:rsidRPr="008550C6" w:rsidRDefault="008049E2" w:rsidP="008049E2">
            <w:pPr>
              <w:widowControl w:val="0"/>
              <w:autoSpaceDE w:val="0"/>
              <w:autoSpaceDN w:val="0"/>
              <w:adjustRightInd w:val="0"/>
              <w:rPr>
                <w:sz w:val="22"/>
                <w:szCs w:val="22"/>
              </w:rPr>
            </w:pPr>
            <w:r w:rsidRPr="008550C6">
              <w:rPr>
                <w:sz w:val="22"/>
                <w:szCs w:val="22"/>
              </w:rPr>
              <w:t>-1.1878***</w:t>
            </w:r>
          </w:p>
        </w:tc>
      </w:tr>
      <w:tr w:rsidR="008550C6" w:rsidRPr="008550C6" w14:paraId="1B1FAF9F" w14:textId="77777777" w:rsidTr="008049E2">
        <w:trPr>
          <w:jc w:val="center"/>
        </w:trPr>
        <w:tc>
          <w:tcPr>
            <w:tcW w:w="734" w:type="pct"/>
            <w:tcBorders>
              <w:top w:val="nil"/>
              <w:left w:val="nil"/>
              <w:bottom w:val="nil"/>
              <w:right w:val="nil"/>
            </w:tcBorders>
          </w:tcPr>
          <w:p w14:paraId="6DAB4A2C" w14:textId="77777777" w:rsidR="008049E2" w:rsidRPr="008550C6" w:rsidRDefault="008049E2" w:rsidP="008049E2">
            <w:pPr>
              <w:widowControl w:val="0"/>
              <w:autoSpaceDE w:val="0"/>
              <w:autoSpaceDN w:val="0"/>
              <w:adjustRightInd w:val="0"/>
              <w:rPr>
                <w:sz w:val="22"/>
                <w:szCs w:val="22"/>
              </w:rPr>
            </w:pPr>
          </w:p>
        </w:tc>
        <w:tc>
          <w:tcPr>
            <w:tcW w:w="733" w:type="pct"/>
            <w:tcBorders>
              <w:top w:val="nil"/>
              <w:left w:val="nil"/>
              <w:bottom w:val="nil"/>
              <w:right w:val="nil"/>
            </w:tcBorders>
          </w:tcPr>
          <w:p w14:paraId="5F4973D1" w14:textId="77777777" w:rsidR="008049E2" w:rsidRPr="008550C6" w:rsidRDefault="008049E2" w:rsidP="008049E2">
            <w:pPr>
              <w:widowControl w:val="0"/>
              <w:autoSpaceDE w:val="0"/>
              <w:autoSpaceDN w:val="0"/>
              <w:adjustRightInd w:val="0"/>
              <w:rPr>
                <w:sz w:val="22"/>
                <w:szCs w:val="22"/>
              </w:rPr>
            </w:pPr>
          </w:p>
        </w:tc>
        <w:tc>
          <w:tcPr>
            <w:tcW w:w="632" w:type="pct"/>
            <w:tcBorders>
              <w:top w:val="nil"/>
              <w:left w:val="nil"/>
              <w:bottom w:val="nil"/>
              <w:right w:val="nil"/>
            </w:tcBorders>
          </w:tcPr>
          <w:p w14:paraId="1FED0041"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622F8398" w14:textId="7AA94098" w:rsidR="008049E2" w:rsidRPr="008550C6" w:rsidRDefault="008049E2" w:rsidP="008049E2">
            <w:pPr>
              <w:widowControl w:val="0"/>
              <w:autoSpaceDE w:val="0"/>
              <w:autoSpaceDN w:val="0"/>
              <w:adjustRightInd w:val="0"/>
              <w:rPr>
                <w:sz w:val="22"/>
                <w:szCs w:val="22"/>
              </w:rPr>
            </w:pPr>
            <w:r w:rsidRPr="008550C6">
              <w:rPr>
                <w:sz w:val="22"/>
                <w:szCs w:val="22"/>
              </w:rPr>
              <w:t>(9.1507)</w:t>
            </w:r>
          </w:p>
        </w:tc>
        <w:tc>
          <w:tcPr>
            <w:tcW w:w="784" w:type="pct"/>
            <w:tcBorders>
              <w:top w:val="nil"/>
              <w:left w:val="single" w:sz="4" w:space="0" w:color="auto"/>
              <w:bottom w:val="nil"/>
              <w:right w:val="nil"/>
            </w:tcBorders>
          </w:tcPr>
          <w:p w14:paraId="53D85115" w14:textId="77777777" w:rsidR="008049E2" w:rsidRPr="008550C6" w:rsidRDefault="008049E2" w:rsidP="008049E2">
            <w:pPr>
              <w:widowControl w:val="0"/>
              <w:autoSpaceDE w:val="0"/>
              <w:autoSpaceDN w:val="0"/>
              <w:adjustRightInd w:val="0"/>
              <w:rPr>
                <w:sz w:val="22"/>
                <w:szCs w:val="22"/>
              </w:rPr>
            </w:pPr>
          </w:p>
        </w:tc>
        <w:tc>
          <w:tcPr>
            <w:tcW w:w="648" w:type="pct"/>
            <w:tcBorders>
              <w:top w:val="nil"/>
              <w:left w:val="nil"/>
              <w:bottom w:val="nil"/>
              <w:right w:val="nil"/>
            </w:tcBorders>
          </w:tcPr>
          <w:p w14:paraId="2CAB7DED"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4A0ACB22" w14:textId="4A2002A0" w:rsidR="008049E2" w:rsidRPr="008550C6" w:rsidRDefault="008049E2" w:rsidP="008049E2">
            <w:pPr>
              <w:widowControl w:val="0"/>
              <w:autoSpaceDE w:val="0"/>
              <w:autoSpaceDN w:val="0"/>
              <w:adjustRightInd w:val="0"/>
              <w:rPr>
                <w:sz w:val="22"/>
                <w:szCs w:val="22"/>
              </w:rPr>
            </w:pPr>
            <w:r w:rsidRPr="008550C6">
              <w:rPr>
                <w:sz w:val="22"/>
                <w:szCs w:val="22"/>
              </w:rPr>
              <w:t>(8.9296)</w:t>
            </w:r>
          </w:p>
        </w:tc>
      </w:tr>
      <w:tr w:rsidR="008550C6" w:rsidRPr="008550C6" w14:paraId="43E4B27D" w14:textId="77777777" w:rsidTr="008049E2">
        <w:trPr>
          <w:jc w:val="center"/>
        </w:trPr>
        <w:tc>
          <w:tcPr>
            <w:tcW w:w="734" w:type="pct"/>
            <w:tcBorders>
              <w:top w:val="nil"/>
              <w:left w:val="nil"/>
              <w:bottom w:val="nil"/>
              <w:right w:val="nil"/>
            </w:tcBorders>
          </w:tcPr>
          <w:p w14:paraId="29A11931" w14:textId="77777777" w:rsidR="008049E2" w:rsidRPr="008550C6" w:rsidRDefault="008049E2" w:rsidP="008049E2">
            <w:pPr>
              <w:widowControl w:val="0"/>
              <w:autoSpaceDE w:val="0"/>
              <w:autoSpaceDN w:val="0"/>
              <w:adjustRightInd w:val="0"/>
              <w:rPr>
                <w:sz w:val="22"/>
                <w:szCs w:val="22"/>
              </w:rPr>
            </w:pPr>
            <w:r w:rsidRPr="008550C6">
              <w:rPr>
                <w:sz w:val="22"/>
                <w:szCs w:val="22"/>
              </w:rPr>
              <w:t>sigma2_e</w:t>
            </w:r>
          </w:p>
        </w:tc>
        <w:tc>
          <w:tcPr>
            <w:tcW w:w="733" w:type="pct"/>
            <w:tcBorders>
              <w:top w:val="nil"/>
              <w:left w:val="nil"/>
              <w:bottom w:val="nil"/>
              <w:right w:val="nil"/>
            </w:tcBorders>
          </w:tcPr>
          <w:p w14:paraId="245029A5" w14:textId="77777777" w:rsidR="008049E2" w:rsidRPr="008550C6" w:rsidRDefault="008049E2" w:rsidP="008049E2">
            <w:pPr>
              <w:widowControl w:val="0"/>
              <w:autoSpaceDE w:val="0"/>
              <w:autoSpaceDN w:val="0"/>
              <w:adjustRightInd w:val="0"/>
              <w:rPr>
                <w:sz w:val="22"/>
                <w:szCs w:val="22"/>
              </w:rPr>
            </w:pPr>
          </w:p>
        </w:tc>
        <w:tc>
          <w:tcPr>
            <w:tcW w:w="632" w:type="pct"/>
            <w:tcBorders>
              <w:top w:val="nil"/>
              <w:left w:val="nil"/>
              <w:bottom w:val="nil"/>
              <w:right w:val="nil"/>
            </w:tcBorders>
          </w:tcPr>
          <w:p w14:paraId="325A654D"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50ED03F4" w14:textId="11B1E337" w:rsidR="008049E2" w:rsidRPr="008550C6" w:rsidRDefault="008049E2" w:rsidP="008049E2">
            <w:pPr>
              <w:widowControl w:val="0"/>
              <w:autoSpaceDE w:val="0"/>
              <w:autoSpaceDN w:val="0"/>
              <w:adjustRightInd w:val="0"/>
              <w:rPr>
                <w:sz w:val="22"/>
                <w:szCs w:val="22"/>
              </w:rPr>
            </w:pPr>
            <w:r w:rsidRPr="008550C6">
              <w:rPr>
                <w:sz w:val="22"/>
                <w:szCs w:val="22"/>
              </w:rPr>
              <w:t>0.0061***</w:t>
            </w:r>
          </w:p>
        </w:tc>
        <w:tc>
          <w:tcPr>
            <w:tcW w:w="784" w:type="pct"/>
            <w:tcBorders>
              <w:top w:val="nil"/>
              <w:left w:val="single" w:sz="4" w:space="0" w:color="auto"/>
              <w:bottom w:val="nil"/>
              <w:right w:val="nil"/>
            </w:tcBorders>
          </w:tcPr>
          <w:p w14:paraId="2FBD7E55" w14:textId="77777777" w:rsidR="008049E2" w:rsidRPr="008550C6" w:rsidRDefault="008049E2" w:rsidP="008049E2">
            <w:pPr>
              <w:widowControl w:val="0"/>
              <w:autoSpaceDE w:val="0"/>
              <w:autoSpaceDN w:val="0"/>
              <w:adjustRightInd w:val="0"/>
              <w:rPr>
                <w:sz w:val="22"/>
                <w:szCs w:val="22"/>
              </w:rPr>
            </w:pPr>
          </w:p>
        </w:tc>
        <w:tc>
          <w:tcPr>
            <w:tcW w:w="648" w:type="pct"/>
            <w:tcBorders>
              <w:top w:val="nil"/>
              <w:left w:val="nil"/>
              <w:bottom w:val="nil"/>
              <w:right w:val="nil"/>
            </w:tcBorders>
          </w:tcPr>
          <w:p w14:paraId="13A462CA"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246EA60B" w14:textId="7BB4A089" w:rsidR="008049E2" w:rsidRPr="008550C6" w:rsidRDefault="008049E2" w:rsidP="008049E2">
            <w:pPr>
              <w:widowControl w:val="0"/>
              <w:autoSpaceDE w:val="0"/>
              <w:autoSpaceDN w:val="0"/>
              <w:adjustRightInd w:val="0"/>
              <w:rPr>
                <w:sz w:val="22"/>
                <w:szCs w:val="22"/>
              </w:rPr>
            </w:pPr>
            <w:r w:rsidRPr="008550C6">
              <w:rPr>
                <w:sz w:val="22"/>
                <w:szCs w:val="22"/>
              </w:rPr>
              <w:t>0.0061***</w:t>
            </w:r>
          </w:p>
        </w:tc>
      </w:tr>
      <w:tr w:rsidR="008550C6" w:rsidRPr="008550C6" w14:paraId="6B8F23CD" w14:textId="77777777" w:rsidTr="008049E2">
        <w:trPr>
          <w:jc w:val="center"/>
        </w:trPr>
        <w:tc>
          <w:tcPr>
            <w:tcW w:w="734" w:type="pct"/>
            <w:tcBorders>
              <w:top w:val="nil"/>
              <w:left w:val="nil"/>
              <w:bottom w:val="nil"/>
              <w:right w:val="nil"/>
            </w:tcBorders>
          </w:tcPr>
          <w:p w14:paraId="37A02B9E" w14:textId="77777777" w:rsidR="008049E2" w:rsidRPr="008550C6" w:rsidRDefault="008049E2" w:rsidP="008049E2">
            <w:pPr>
              <w:widowControl w:val="0"/>
              <w:autoSpaceDE w:val="0"/>
              <w:autoSpaceDN w:val="0"/>
              <w:adjustRightInd w:val="0"/>
              <w:rPr>
                <w:sz w:val="22"/>
                <w:szCs w:val="22"/>
              </w:rPr>
            </w:pPr>
          </w:p>
        </w:tc>
        <w:tc>
          <w:tcPr>
            <w:tcW w:w="733" w:type="pct"/>
            <w:tcBorders>
              <w:top w:val="nil"/>
              <w:left w:val="nil"/>
              <w:bottom w:val="nil"/>
              <w:right w:val="nil"/>
            </w:tcBorders>
          </w:tcPr>
          <w:p w14:paraId="16B62DCF" w14:textId="77777777" w:rsidR="008049E2" w:rsidRPr="008550C6" w:rsidRDefault="008049E2" w:rsidP="008049E2">
            <w:pPr>
              <w:widowControl w:val="0"/>
              <w:autoSpaceDE w:val="0"/>
              <w:autoSpaceDN w:val="0"/>
              <w:adjustRightInd w:val="0"/>
              <w:rPr>
                <w:sz w:val="22"/>
                <w:szCs w:val="22"/>
              </w:rPr>
            </w:pPr>
          </w:p>
        </w:tc>
        <w:tc>
          <w:tcPr>
            <w:tcW w:w="632" w:type="pct"/>
            <w:tcBorders>
              <w:top w:val="nil"/>
              <w:left w:val="nil"/>
              <w:bottom w:val="nil"/>
              <w:right w:val="nil"/>
            </w:tcBorders>
          </w:tcPr>
          <w:p w14:paraId="660816C5"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5F5E62B9" w14:textId="23A84357" w:rsidR="008049E2" w:rsidRPr="008550C6" w:rsidRDefault="008049E2" w:rsidP="008049E2">
            <w:pPr>
              <w:widowControl w:val="0"/>
              <w:autoSpaceDE w:val="0"/>
              <w:autoSpaceDN w:val="0"/>
              <w:adjustRightInd w:val="0"/>
              <w:rPr>
                <w:sz w:val="22"/>
                <w:szCs w:val="22"/>
              </w:rPr>
            </w:pPr>
            <w:r w:rsidRPr="008550C6">
              <w:rPr>
                <w:sz w:val="22"/>
                <w:szCs w:val="22"/>
              </w:rPr>
              <w:t>(34.8157)</w:t>
            </w:r>
          </w:p>
        </w:tc>
        <w:tc>
          <w:tcPr>
            <w:tcW w:w="784" w:type="pct"/>
            <w:tcBorders>
              <w:top w:val="nil"/>
              <w:left w:val="single" w:sz="4" w:space="0" w:color="auto"/>
              <w:bottom w:val="nil"/>
              <w:right w:val="nil"/>
            </w:tcBorders>
          </w:tcPr>
          <w:p w14:paraId="42FE4745" w14:textId="77777777" w:rsidR="008049E2" w:rsidRPr="008550C6" w:rsidRDefault="008049E2" w:rsidP="008049E2">
            <w:pPr>
              <w:widowControl w:val="0"/>
              <w:autoSpaceDE w:val="0"/>
              <w:autoSpaceDN w:val="0"/>
              <w:adjustRightInd w:val="0"/>
              <w:rPr>
                <w:sz w:val="22"/>
                <w:szCs w:val="22"/>
              </w:rPr>
            </w:pPr>
          </w:p>
        </w:tc>
        <w:tc>
          <w:tcPr>
            <w:tcW w:w="648" w:type="pct"/>
            <w:tcBorders>
              <w:top w:val="nil"/>
              <w:left w:val="nil"/>
              <w:bottom w:val="nil"/>
              <w:right w:val="nil"/>
            </w:tcBorders>
          </w:tcPr>
          <w:p w14:paraId="300109C5"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32E08D07" w14:textId="4D4A36F6" w:rsidR="008049E2" w:rsidRPr="008550C6" w:rsidRDefault="008049E2" w:rsidP="008049E2">
            <w:pPr>
              <w:widowControl w:val="0"/>
              <w:autoSpaceDE w:val="0"/>
              <w:autoSpaceDN w:val="0"/>
              <w:adjustRightInd w:val="0"/>
              <w:rPr>
                <w:sz w:val="22"/>
                <w:szCs w:val="22"/>
              </w:rPr>
            </w:pPr>
            <w:r w:rsidRPr="008550C6">
              <w:rPr>
                <w:sz w:val="22"/>
                <w:szCs w:val="22"/>
              </w:rPr>
              <w:t>(34.8035)</w:t>
            </w:r>
          </w:p>
        </w:tc>
      </w:tr>
      <w:tr w:rsidR="008550C6" w:rsidRPr="008550C6" w14:paraId="7D7E2A30" w14:textId="77777777" w:rsidTr="008049E2">
        <w:trPr>
          <w:jc w:val="center"/>
        </w:trPr>
        <w:tc>
          <w:tcPr>
            <w:tcW w:w="734" w:type="pct"/>
            <w:tcBorders>
              <w:top w:val="nil"/>
              <w:left w:val="nil"/>
              <w:bottom w:val="nil"/>
              <w:right w:val="nil"/>
            </w:tcBorders>
          </w:tcPr>
          <w:p w14:paraId="6D5D5CA4" w14:textId="77777777" w:rsidR="008049E2" w:rsidRPr="008550C6" w:rsidRDefault="008049E2" w:rsidP="008049E2">
            <w:pPr>
              <w:widowControl w:val="0"/>
              <w:autoSpaceDE w:val="0"/>
              <w:autoSpaceDN w:val="0"/>
              <w:adjustRightInd w:val="0"/>
              <w:rPr>
                <w:sz w:val="22"/>
                <w:szCs w:val="22"/>
              </w:rPr>
            </w:pPr>
            <w:r w:rsidRPr="008550C6">
              <w:rPr>
                <w:sz w:val="22"/>
                <w:szCs w:val="22"/>
              </w:rPr>
              <w:t>Constant</w:t>
            </w:r>
          </w:p>
        </w:tc>
        <w:tc>
          <w:tcPr>
            <w:tcW w:w="733" w:type="pct"/>
            <w:tcBorders>
              <w:top w:val="nil"/>
              <w:left w:val="nil"/>
              <w:bottom w:val="nil"/>
              <w:right w:val="nil"/>
            </w:tcBorders>
          </w:tcPr>
          <w:p w14:paraId="31B7F272" w14:textId="008BBBEF" w:rsidR="008049E2" w:rsidRPr="008550C6" w:rsidRDefault="008049E2" w:rsidP="008049E2">
            <w:pPr>
              <w:widowControl w:val="0"/>
              <w:autoSpaceDE w:val="0"/>
              <w:autoSpaceDN w:val="0"/>
              <w:adjustRightInd w:val="0"/>
              <w:rPr>
                <w:sz w:val="22"/>
                <w:szCs w:val="22"/>
              </w:rPr>
            </w:pPr>
            <w:r w:rsidRPr="008550C6">
              <w:rPr>
                <w:sz w:val="22"/>
                <w:szCs w:val="22"/>
              </w:rPr>
              <w:t>-0.2364***</w:t>
            </w:r>
          </w:p>
        </w:tc>
        <w:tc>
          <w:tcPr>
            <w:tcW w:w="632" w:type="pct"/>
            <w:tcBorders>
              <w:top w:val="nil"/>
              <w:left w:val="nil"/>
              <w:bottom w:val="nil"/>
              <w:right w:val="nil"/>
            </w:tcBorders>
          </w:tcPr>
          <w:p w14:paraId="78DCC46B"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4868483D" w14:textId="77777777" w:rsidR="008049E2" w:rsidRPr="008550C6"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63A8204E" w14:textId="1EAD583B" w:rsidR="008049E2" w:rsidRPr="008550C6" w:rsidRDefault="008049E2" w:rsidP="008049E2">
            <w:pPr>
              <w:widowControl w:val="0"/>
              <w:autoSpaceDE w:val="0"/>
              <w:autoSpaceDN w:val="0"/>
              <w:adjustRightInd w:val="0"/>
              <w:rPr>
                <w:sz w:val="22"/>
                <w:szCs w:val="22"/>
              </w:rPr>
            </w:pPr>
            <w:r w:rsidRPr="008550C6">
              <w:rPr>
                <w:sz w:val="22"/>
                <w:szCs w:val="22"/>
              </w:rPr>
              <w:t>-0.2394***</w:t>
            </w:r>
          </w:p>
        </w:tc>
        <w:tc>
          <w:tcPr>
            <w:tcW w:w="648" w:type="pct"/>
            <w:tcBorders>
              <w:top w:val="nil"/>
              <w:left w:val="nil"/>
              <w:bottom w:val="nil"/>
              <w:right w:val="nil"/>
            </w:tcBorders>
          </w:tcPr>
          <w:p w14:paraId="43EC2980"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5600F32F" w14:textId="77777777" w:rsidR="008049E2" w:rsidRPr="008550C6" w:rsidRDefault="008049E2" w:rsidP="008049E2">
            <w:pPr>
              <w:widowControl w:val="0"/>
              <w:autoSpaceDE w:val="0"/>
              <w:autoSpaceDN w:val="0"/>
              <w:adjustRightInd w:val="0"/>
              <w:rPr>
                <w:sz w:val="22"/>
                <w:szCs w:val="22"/>
              </w:rPr>
            </w:pPr>
          </w:p>
        </w:tc>
      </w:tr>
      <w:tr w:rsidR="008550C6" w:rsidRPr="008550C6" w14:paraId="038F07AC" w14:textId="77777777" w:rsidTr="008049E2">
        <w:trPr>
          <w:jc w:val="center"/>
        </w:trPr>
        <w:tc>
          <w:tcPr>
            <w:tcW w:w="734" w:type="pct"/>
            <w:tcBorders>
              <w:top w:val="nil"/>
              <w:left w:val="nil"/>
              <w:bottom w:val="nil"/>
              <w:right w:val="nil"/>
            </w:tcBorders>
          </w:tcPr>
          <w:p w14:paraId="6C2564A7" w14:textId="77777777" w:rsidR="008049E2" w:rsidRPr="008550C6" w:rsidRDefault="008049E2" w:rsidP="008049E2">
            <w:pPr>
              <w:widowControl w:val="0"/>
              <w:autoSpaceDE w:val="0"/>
              <w:autoSpaceDN w:val="0"/>
              <w:adjustRightInd w:val="0"/>
              <w:rPr>
                <w:sz w:val="22"/>
                <w:szCs w:val="22"/>
              </w:rPr>
            </w:pPr>
          </w:p>
        </w:tc>
        <w:tc>
          <w:tcPr>
            <w:tcW w:w="733" w:type="pct"/>
            <w:tcBorders>
              <w:top w:val="nil"/>
              <w:left w:val="nil"/>
              <w:bottom w:val="nil"/>
              <w:right w:val="nil"/>
            </w:tcBorders>
          </w:tcPr>
          <w:p w14:paraId="71934630" w14:textId="49119442" w:rsidR="008049E2" w:rsidRPr="008550C6" w:rsidRDefault="008049E2" w:rsidP="008049E2">
            <w:pPr>
              <w:widowControl w:val="0"/>
              <w:autoSpaceDE w:val="0"/>
              <w:autoSpaceDN w:val="0"/>
              <w:adjustRightInd w:val="0"/>
              <w:rPr>
                <w:sz w:val="22"/>
                <w:szCs w:val="22"/>
              </w:rPr>
            </w:pPr>
            <w:r w:rsidRPr="008550C6">
              <w:rPr>
                <w:sz w:val="22"/>
                <w:szCs w:val="22"/>
              </w:rPr>
              <w:t>(5.4251)</w:t>
            </w:r>
          </w:p>
        </w:tc>
        <w:tc>
          <w:tcPr>
            <w:tcW w:w="632" w:type="pct"/>
            <w:tcBorders>
              <w:top w:val="nil"/>
              <w:left w:val="nil"/>
              <w:bottom w:val="nil"/>
              <w:right w:val="nil"/>
            </w:tcBorders>
          </w:tcPr>
          <w:p w14:paraId="39F89274" w14:textId="77777777" w:rsidR="008049E2" w:rsidRPr="008550C6" w:rsidRDefault="008049E2"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10173F17" w14:textId="77777777" w:rsidR="008049E2" w:rsidRPr="008550C6" w:rsidRDefault="008049E2"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66DC0BC0" w14:textId="4271838A" w:rsidR="008049E2" w:rsidRPr="008550C6" w:rsidRDefault="008049E2" w:rsidP="008049E2">
            <w:pPr>
              <w:widowControl w:val="0"/>
              <w:autoSpaceDE w:val="0"/>
              <w:autoSpaceDN w:val="0"/>
              <w:adjustRightInd w:val="0"/>
              <w:rPr>
                <w:sz w:val="22"/>
                <w:szCs w:val="22"/>
              </w:rPr>
            </w:pPr>
            <w:r w:rsidRPr="008550C6">
              <w:rPr>
                <w:sz w:val="22"/>
                <w:szCs w:val="22"/>
              </w:rPr>
              <w:t>(5.4896)</w:t>
            </w:r>
          </w:p>
        </w:tc>
        <w:tc>
          <w:tcPr>
            <w:tcW w:w="648" w:type="pct"/>
            <w:tcBorders>
              <w:top w:val="nil"/>
              <w:left w:val="nil"/>
              <w:bottom w:val="nil"/>
              <w:right w:val="nil"/>
            </w:tcBorders>
          </w:tcPr>
          <w:p w14:paraId="22BBC002" w14:textId="77777777" w:rsidR="008049E2" w:rsidRPr="008550C6" w:rsidRDefault="008049E2" w:rsidP="008049E2">
            <w:pPr>
              <w:widowControl w:val="0"/>
              <w:autoSpaceDE w:val="0"/>
              <w:autoSpaceDN w:val="0"/>
              <w:adjustRightInd w:val="0"/>
              <w:rPr>
                <w:sz w:val="22"/>
                <w:szCs w:val="22"/>
              </w:rPr>
            </w:pPr>
          </w:p>
        </w:tc>
        <w:tc>
          <w:tcPr>
            <w:tcW w:w="785" w:type="pct"/>
            <w:tcBorders>
              <w:top w:val="nil"/>
              <w:left w:val="nil"/>
              <w:bottom w:val="nil"/>
              <w:right w:val="nil"/>
            </w:tcBorders>
          </w:tcPr>
          <w:p w14:paraId="17C1DEDA" w14:textId="77777777" w:rsidR="008049E2" w:rsidRPr="008550C6" w:rsidRDefault="008049E2" w:rsidP="008049E2">
            <w:pPr>
              <w:widowControl w:val="0"/>
              <w:autoSpaceDE w:val="0"/>
              <w:autoSpaceDN w:val="0"/>
              <w:adjustRightInd w:val="0"/>
              <w:rPr>
                <w:sz w:val="22"/>
                <w:szCs w:val="22"/>
              </w:rPr>
            </w:pPr>
          </w:p>
        </w:tc>
      </w:tr>
      <w:tr w:rsidR="008550C6" w:rsidRPr="008550C6" w14:paraId="193DBC83" w14:textId="77777777" w:rsidTr="008049E2">
        <w:trPr>
          <w:jc w:val="center"/>
        </w:trPr>
        <w:tc>
          <w:tcPr>
            <w:tcW w:w="734" w:type="pct"/>
            <w:tcBorders>
              <w:top w:val="nil"/>
              <w:left w:val="nil"/>
              <w:bottom w:val="nil"/>
              <w:right w:val="nil"/>
            </w:tcBorders>
          </w:tcPr>
          <w:p w14:paraId="212606FC" w14:textId="77777777" w:rsidR="00B3500A" w:rsidRPr="008550C6" w:rsidRDefault="00B3500A" w:rsidP="00D62AD1">
            <w:pPr>
              <w:widowControl w:val="0"/>
              <w:autoSpaceDE w:val="0"/>
              <w:autoSpaceDN w:val="0"/>
              <w:adjustRightInd w:val="0"/>
              <w:rPr>
                <w:sz w:val="22"/>
                <w:szCs w:val="22"/>
              </w:rPr>
            </w:pPr>
          </w:p>
        </w:tc>
        <w:tc>
          <w:tcPr>
            <w:tcW w:w="733" w:type="pct"/>
            <w:tcBorders>
              <w:top w:val="nil"/>
              <w:left w:val="nil"/>
              <w:bottom w:val="nil"/>
              <w:right w:val="nil"/>
            </w:tcBorders>
          </w:tcPr>
          <w:p w14:paraId="4AE6BF8C" w14:textId="77777777" w:rsidR="00B3500A" w:rsidRPr="008550C6" w:rsidRDefault="00B3500A" w:rsidP="008049E2">
            <w:pPr>
              <w:widowControl w:val="0"/>
              <w:autoSpaceDE w:val="0"/>
              <w:autoSpaceDN w:val="0"/>
              <w:adjustRightInd w:val="0"/>
              <w:rPr>
                <w:sz w:val="22"/>
                <w:szCs w:val="22"/>
              </w:rPr>
            </w:pPr>
          </w:p>
        </w:tc>
        <w:tc>
          <w:tcPr>
            <w:tcW w:w="632" w:type="pct"/>
            <w:tcBorders>
              <w:top w:val="nil"/>
              <w:left w:val="nil"/>
              <w:bottom w:val="nil"/>
              <w:right w:val="nil"/>
            </w:tcBorders>
          </w:tcPr>
          <w:p w14:paraId="114F3B13" w14:textId="77777777" w:rsidR="00B3500A" w:rsidRPr="008550C6" w:rsidRDefault="00B3500A" w:rsidP="008049E2">
            <w:pPr>
              <w:widowControl w:val="0"/>
              <w:autoSpaceDE w:val="0"/>
              <w:autoSpaceDN w:val="0"/>
              <w:adjustRightInd w:val="0"/>
              <w:rPr>
                <w:sz w:val="22"/>
                <w:szCs w:val="22"/>
              </w:rPr>
            </w:pPr>
          </w:p>
        </w:tc>
        <w:tc>
          <w:tcPr>
            <w:tcW w:w="684" w:type="pct"/>
            <w:tcBorders>
              <w:top w:val="nil"/>
              <w:left w:val="nil"/>
              <w:bottom w:val="nil"/>
              <w:right w:val="single" w:sz="4" w:space="0" w:color="auto"/>
            </w:tcBorders>
          </w:tcPr>
          <w:p w14:paraId="2799F9E2" w14:textId="77777777" w:rsidR="00B3500A" w:rsidRPr="008550C6" w:rsidRDefault="00B3500A" w:rsidP="008049E2">
            <w:pPr>
              <w:widowControl w:val="0"/>
              <w:autoSpaceDE w:val="0"/>
              <w:autoSpaceDN w:val="0"/>
              <w:adjustRightInd w:val="0"/>
              <w:rPr>
                <w:sz w:val="22"/>
                <w:szCs w:val="22"/>
              </w:rPr>
            </w:pPr>
          </w:p>
        </w:tc>
        <w:tc>
          <w:tcPr>
            <w:tcW w:w="784" w:type="pct"/>
            <w:tcBorders>
              <w:top w:val="nil"/>
              <w:left w:val="single" w:sz="4" w:space="0" w:color="auto"/>
              <w:bottom w:val="nil"/>
              <w:right w:val="nil"/>
            </w:tcBorders>
          </w:tcPr>
          <w:p w14:paraId="59140C7F" w14:textId="77777777" w:rsidR="00B3500A" w:rsidRPr="008550C6" w:rsidRDefault="00B3500A" w:rsidP="008049E2">
            <w:pPr>
              <w:widowControl w:val="0"/>
              <w:autoSpaceDE w:val="0"/>
              <w:autoSpaceDN w:val="0"/>
              <w:adjustRightInd w:val="0"/>
              <w:rPr>
                <w:sz w:val="22"/>
                <w:szCs w:val="22"/>
              </w:rPr>
            </w:pPr>
          </w:p>
        </w:tc>
        <w:tc>
          <w:tcPr>
            <w:tcW w:w="648" w:type="pct"/>
            <w:tcBorders>
              <w:top w:val="nil"/>
              <w:left w:val="nil"/>
              <w:bottom w:val="nil"/>
              <w:right w:val="nil"/>
            </w:tcBorders>
          </w:tcPr>
          <w:p w14:paraId="71304338" w14:textId="77777777" w:rsidR="00B3500A" w:rsidRPr="008550C6" w:rsidRDefault="00B3500A" w:rsidP="008049E2">
            <w:pPr>
              <w:widowControl w:val="0"/>
              <w:autoSpaceDE w:val="0"/>
              <w:autoSpaceDN w:val="0"/>
              <w:adjustRightInd w:val="0"/>
              <w:rPr>
                <w:sz w:val="22"/>
                <w:szCs w:val="22"/>
              </w:rPr>
            </w:pPr>
          </w:p>
        </w:tc>
        <w:tc>
          <w:tcPr>
            <w:tcW w:w="785" w:type="pct"/>
            <w:tcBorders>
              <w:top w:val="nil"/>
              <w:left w:val="nil"/>
              <w:bottom w:val="nil"/>
              <w:right w:val="nil"/>
            </w:tcBorders>
          </w:tcPr>
          <w:p w14:paraId="638FA870" w14:textId="77777777" w:rsidR="00B3500A" w:rsidRPr="008550C6" w:rsidRDefault="00B3500A" w:rsidP="008049E2">
            <w:pPr>
              <w:widowControl w:val="0"/>
              <w:autoSpaceDE w:val="0"/>
              <w:autoSpaceDN w:val="0"/>
              <w:adjustRightInd w:val="0"/>
              <w:rPr>
                <w:sz w:val="22"/>
                <w:szCs w:val="22"/>
              </w:rPr>
            </w:pPr>
          </w:p>
        </w:tc>
      </w:tr>
      <w:tr w:rsidR="008550C6" w:rsidRPr="008550C6" w14:paraId="239251F2" w14:textId="77777777" w:rsidTr="00362D44">
        <w:trPr>
          <w:jc w:val="center"/>
        </w:trPr>
        <w:tc>
          <w:tcPr>
            <w:tcW w:w="734" w:type="pct"/>
            <w:tcBorders>
              <w:top w:val="nil"/>
              <w:left w:val="nil"/>
              <w:right w:val="nil"/>
            </w:tcBorders>
          </w:tcPr>
          <w:p w14:paraId="5D9F75F9" w14:textId="7EB8E21D" w:rsidR="00362D44" w:rsidRPr="008550C6" w:rsidRDefault="00362D44" w:rsidP="00362D44">
            <w:pPr>
              <w:widowControl w:val="0"/>
              <w:autoSpaceDE w:val="0"/>
              <w:autoSpaceDN w:val="0"/>
              <w:adjustRightInd w:val="0"/>
              <w:rPr>
                <w:sz w:val="22"/>
                <w:szCs w:val="22"/>
              </w:rPr>
            </w:pPr>
            <w:r w:rsidRPr="008550C6">
              <w:rPr>
                <w:sz w:val="22"/>
                <w:szCs w:val="22"/>
              </w:rPr>
              <w:t>R-squared</w:t>
            </w:r>
          </w:p>
        </w:tc>
        <w:tc>
          <w:tcPr>
            <w:tcW w:w="733" w:type="pct"/>
            <w:tcBorders>
              <w:top w:val="nil"/>
              <w:left w:val="nil"/>
              <w:right w:val="nil"/>
            </w:tcBorders>
          </w:tcPr>
          <w:p w14:paraId="497DAAD9" w14:textId="15C762C8" w:rsidR="00362D44" w:rsidRPr="008550C6" w:rsidRDefault="00362D44" w:rsidP="00362D44">
            <w:pPr>
              <w:widowControl w:val="0"/>
              <w:autoSpaceDE w:val="0"/>
              <w:autoSpaceDN w:val="0"/>
              <w:adjustRightInd w:val="0"/>
              <w:rPr>
                <w:sz w:val="22"/>
                <w:szCs w:val="22"/>
              </w:rPr>
            </w:pPr>
            <w:r w:rsidRPr="008550C6">
              <w:rPr>
                <w:sz w:val="22"/>
                <w:szCs w:val="22"/>
              </w:rPr>
              <w:t>0.2299</w:t>
            </w:r>
          </w:p>
        </w:tc>
        <w:tc>
          <w:tcPr>
            <w:tcW w:w="632" w:type="pct"/>
            <w:tcBorders>
              <w:top w:val="nil"/>
              <w:left w:val="nil"/>
              <w:right w:val="nil"/>
            </w:tcBorders>
          </w:tcPr>
          <w:p w14:paraId="7510150E" w14:textId="1D254A08" w:rsidR="00362D44" w:rsidRPr="008550C6" w:rsidRDefault="00362D44" w:rsidP="00362D44">
            <w:pPr>
              <w:widowControl w:val="0"/>
              <w:autoSpaceDE w:val="0"/>
              <w:autoSpaceDN w:val="0"/>
              <w:adjustRightInd w:val="0"/>
              <w:rPr>
                <w:sz w:val="22"/>
                <w:szCs w:val="22"/>
              </w:rPr>
            </w:pPr>
            <w:r w:rsidRPr="008550C6">
              <w:rPr>
                <w:sz w:val="22"/>
                <w:szCs w:val="22"/>
              </w:rPr>
              <w:t>0.2299</w:t>
            </w:r>
          </w:p>
        </w:tc>
        <w:tc>
          <w:tcPr>
            <w:tcW w:w="684" w:type="pct"/>
            <w:tcBorders>
              <w:top w:val="nil"/>
              <w:left w:val="nil"/>
              <w:right w:val="single" w:sz="4" w:space="0" w:color="auto"/>
            </w:tcBorders>
          </w:tcPr>
          <w:p w14:paraId="0504AC35" w14:textId="3A95D14D" w:rsidR="00362D44" w:rsidRPr="008550C6" w:rsidRDefault="00362D44" w:rsidP="00362D44">
            <w:pPr>
              <w:widowControl w:val="0"/>
              <w:autoSpaceDE w:val="0"/>
              <w:autoSpaceDN w:val="0"/>
              <w:adjustRightInd w:val="0"/>
              <w:rPr>
                <w:sz w:val="22"/>
                <w:szCs w:val="22"/>
              </w:rPr>
            </w:pPr>
            <w:r w:rsidRPr="008550C6">
              <w:rPr>
                <w:sz w:val="22"/>
                <w:szCs w:val="22"/>
              </w:rPr>
              <w:t>0.2299</w:t>
            </w:r>
          </w:p>
        </w:tc>
        <w:tc>
          <w:tcPr>
            <w:tcW w:w="784" w:type="pct"/>
            <w:tcBorders>
              <w:top w:val="nil"/>
              <w:left w:val="single" w:sz="4" w:space="0" w:color="auto"/>
              <w:right w:val="nil"/>
            </w:tcBorders>
          </w:tcPr>
          <w:p w14:paraId="1F4F12F2" w14:textId="208B39E3" w:rsidR="00362D44" w:rsidRPr="008550C6" w:rsidRDefault="00362D44" w:rsidP="00362D44">
            <w:pPr>
              <w:widowControl w:val="0"/>
              <w:autoSpaceDE w:val="0"/>
              <w:autoSpaceDN w:val="0"/>
              <w:adjustRightInd w:val="0"/>
              <w:rPr>
                <w:sz w:val="22"/>
                <w:szCs w:val="22"/>
              </w:rPr>
            </w:pPr>
            <w:r w:rsidRPr="008550C6">
              <w:rPr>
                <w:sz w:val="22"/>
                <w:szCs w:val="22"/>
              </w:rPr>
              <w:t>0.2319</w:t>
            </w:r>
          </w:p>
        </w:tc>
        <w:tc>
          <w:tcPr>
            <w:tcW w:w="648" w:type="pct"/>
            <w:tcBorders>
              <w:top w:val="nil"/>
              <w:left w:val="nil"/>
              <w:right w:val="nil"/>
            </w:tcBorders>
          </w:tcPr>
          <w:p w14:paraId="37968F67" w14:textId="183874D0" w:rsidR="00362D44" w:rsidRPr="008550C6" w:rsidRDefault="00362D44" w:rsidP="00362D44">
            <w:pPr>
              <w:widowControl w:val="0"/>
              <w:autoSpaceDE w:val="0"/>
              <w:autoSpaceDN w:val="0"/>
              <w:adjustRightInd w:val="0"/>
              <w:rPr>
                <w:sz w:val="22"/>
                <w:szCs w:val="22"/>
              </w:rPr>
            </w:pPr>
            <w:r w:rsidRPr="008550C6">
              <w:rPr>
                <w:sz w:val="22"/>
                <w:szCs w:val="22"/>
              </w:rPr>
              <w:t>0.2319</w:t>
            </w:r>
          </w:p>
        </w:tc>
        <w:tc>
          <w:tcPr>
            <w:tcW w:w="785" w:type="pct"/>
            <w:tcBorders>
              <w:top w:val="nil"/>
              <w:left w:val="nil"/>
              <w:right w:val="nil"/>
            </w:tcBorders>
          </w:tcPr>
          <w:p w14:paraId="260832D1" w14:textId="48E5FDA5" w:rsidR="00362D44" w:rsidRPr="008550C6" w:rsidRDefault="00362D44" w:rsidP="00362D44">
            <w:pPr>
              <w:widowControl w:val="0"/>
              <w:autoSpaceDE w:val="0"/>
              <w:autoSpaceDN w:val="0"/>
              <w:adjustRightInd w:val="0"/>
              <w:rPr>
                <w:sz w:val="22"/>
                <w:szCs w:val="22"/>
              </w:rPr>
            </w:pPr>
            <w:r w:rsidRPr="008550C6">
              <w:rPr>
                <w:sz w:val="22"/>
                <w:szCs w:val="22"/>
              </w:rPr>
              <w:t>0.2319</w:t>
            </w:r>
          </w:p>
        </w:tc>
      </w:tr>
      <w:tr w:rsidR="008550C6" w:rsidRPr="008550C6" w14:paraId="0F553AA4" w14:textId="77777777" w:rsidTr="000D0314">
        <w:trPr>
          <w:jc w:val="center"/>
        </w:trPr>
        <w:tc>
          <w:tcPr>
            <w:tcW w:w="734" w:type="pct"/>
            <w:tcBorders>
              <w:top w:val="nil"/>
              <w:left w:val="nil"/>
              <w:bottom w:val="nil"/>
              <w:right w:val="nil"/>
            </w:tcBorders>
          </w:tcPr>
          <w:p w14:paraId="7075AFAD" w14:textId="77777777" w:rsidR="008049E2" w:rsidRPr="008550C6" w:rsidRDefault="008049E2" w:rsidP="008049E2">
            <w:pPr>
              <w:widowControl w:val="0"/>
              <w:autoSpaceDE w:val="0"/>
              <w:autoSpaceDN w:val="0"/>
              <w:adjustRightInd w:val="0"/>
              <w:rPr>
                <w:sz w:val="22"/>
                <w:szCs w:val="22"/>
              </w:rPr>
            </w:pPr>
            <w:r w:rsidRPr="008550C6">
              <w:rPr>
                <w:sz w:val="22"/>
                <w:szCs w:val="22"/>
              </w:rPr>
              <w:t>Observations</w:t>
            </w:r>
          </w:p>
        </w:tc>
        <w:tc>
          <w:tcPr>
            <w:tcW w:w="733" w:type="pct"/>
            <w:tcBorders>
              <w:top w:val="nil"/>
              <w:left w:val="nil"/>
              <w:bottom w:val="nil"/>
              <w:right w:val="nil"/>
            </w:tcBorders>
          </w:tcPr>
          <w:p w14:paraId="6DE161A0" w14:textId="56C5A2C1" w:rsidR="008049E2" w:rsidRPr="008550C6" w:rsidRDefault="008049E2" w:rsidP="008049E2">
            <w:pPr>
              <w:widowControl w:val="0"/>
              <w:autoSpaceDE w:val="0"/>
              <w:autoSpaceDN w:val="0"/>
              <w:adjustRightInd w:val="0"/>
              <w:rPr>
                <w:sz w:val="22"/>
                <w:szCs w:val="22"/>
              </w:rPr>
            </w:pPr>
            <w:r w:rsidRPr="008550C6">
              <w:rPr>
                <w:sz w:val="22"/>
                <w:szCs w:val="22"/>
              </w:rPr>
              <w:t>2,499</w:t>
            </w:r>
          </w:p>
        </w:tc>
        <w:tc>
          <w:tcPr>
            <w:tcW w:w="632" w:type="pct"/>
            <w:tcBorders>
              <w:top w:val="nil"/>
              <w:left w:val="nil"/>
              <w:bottom w:val="nil"/>
              <w:right w:val="nil"/>
            </w:tcBorders>
          </w:tcPr>
          <w:p w14:paraId="7A6B38F9" w14:textId="170E4689" w:rsidR="008049E2" w:rsidRPr="008550C6" w:rsidRDefault="008049E2" w:rsidP="008049E2">
            <w:pPr>
              <w:widowControl w:val="0"/>
              <w:autoSpaceDE w:val="0"/>
              <w:autoSpaceDN w:val="0"/>
              <w:adjustRightInd w:val="0"/>
              <w:rPr>
                <w:sz w:val="22"/>
                <w:szCs w:val="22"/>
              </w:rPr>
            </w:pPr>
            <w:r w:rsidRPr="008550C6">
              <w:rPr>
                <w:sz w:val="22"/>
                <w:szCs w:val="22"/>
              </w:rPr>
              <w:t>2,499</w:t>
            </w:r>
          </w:p>
        </w:tc>
        <w:tc>
          <w:tcPr>
            <w:tcW w:w="684" w:type="pct"/>
            <w:tcBorders>
              <w:top w:val="nil"/>
              <w:left w:val="nil"/>
              <w:bottom w:val="nil"/>
              <w:right w:val="single" w:sz="4" w:space="0" w:color="auto"/>
            </w:tcBorders>
          </w:tcPr>
          <w:p w14:paraId="7E75A06A" w14:textId="453A8BA0" w:rsidR="008049E2" w:rsidRPr="008550C6" w:rsidRDefault="008049E2" w:rsidP="008049E2">
            <w:pPr>
              <w:widowControl w:val="0"/>
              <w:autoSpaceDE w:val="0"/>
              <w:autoSpaceDN w:val="0"/>
              <w:adjustRightInd w:val="0"/>
              <w:rPr>
                <w:sz w:val="22"/>
                <w:szCs w:val="22"/>
              </w:rPr>
            </w:pPr>
            <w:r w:rsidRPr="008550C6">
              <w:rPr>
                <w:sz w:val="22"/>
                <w:szCs w:val="22"/>
              </w:rPr>
              <w:t>2,499</w:t>
            </w:r>
          </w:p>
        </w:tc>
        <w:tc>
          <w:tcPr>
            <w:tcW w:w="784" w:type="pct"/>
            <w:tcBorders>
              <w:top w:val="nil"/>
              <w:left w:val="single" w:sz="4" w:space="0" w:color="auto"/>
              <w:bottom w:val="nil"/>
              <w:right w:val="nil"/>
            </w:tcBorders>
          </w:tcPr>
          <w:p w14:paraId="0197FB5F" w14:textId="0B23DF51" w:rsidR="008049E2" w:rsidRPr="008550C6" w:rsidRDefault="008049E2" w:rsidP="008049E2">
            <w:pPr>
              <w:widowControl w:val="0"/>
              <w:autoSpaceDE w:val="0"/>
              <w:autoSpaceDN w:val="0"/>
              <w:adjustRightInd w:val="0"/>
              <w:rPr>
                <w:sz w:val="22"/>
                <w:szCs w:val="22"/>
              </w:rPr>
            </w:pPr>
            <w:r w:rsidRPr="008550C6">
              <w:rPr>
                <w:sz w:val="22"/>
                <w:szCs w:val="22"/>
              </w:rPr>
              <w:t>2,499</w:t>
            </w:r>
          </w:p>
        </w:tc>
        <w:tc>
          <w:tcPr>
            <w:tcW w:w="648" w:type="pct"/>
            <w:tcBorders>
              <w:top w:val="nil"/>
              <w:left w:val="nil"/>
              <w:bottom w:val="nil"/>
              <w:right w:val="nil"/>
            </w:tcBorders>
          </w:tcPr>
          <w:p w14:paraId="3E931E8A" w14:textId="4138E866" w:rsidR="008049E2" w:rsidRPr="008550C6" w:rsidRDefault="008049E2" w:rsidP="008049E2">
            <w:pPr>
              <w:widowControl w:val="0"/>
              <w:autoSpaceDE w:val="0"/>
              <w:autoSpaceDN w:val="0"/>
              <w:adjustRightInd w:val="0"/>
              <w:rPr>
                <w:sz w:val="22"/>
                <w:szCs w:val="22"/>
              </w:rPr>
            </w:pPr>
            <w:r w:rsidRPr="008550C6">
              <w:rPr>
                <w:sz w:val="22"/>
                <w:szCs w:val="22"/>
              </w:rPr>
              <w:t>2,499</w:t>
            </w:r>
          </w:p>
        </w:tc>
        <w:tc>
          <w:tcPr>
            <w:tcW w:w="785" w:type="pct"/>
            <w:tcBorders>
              <w:top w:val="nil"/>
              <w:left w:val="nil"/>
              <w:bottom w:val="nil"/>
              <w:right w:val="nil"/>
            </w:tcBorders>
          </w:tcPr>
          <w:p w14:paraId="2D07625C" w14:textId="6FF14150" w:rsidR="008049E2" w:rsidRPr="008550C6" w:rsidRDefault="008049E2" w:rsidP="008049E2">
            <w:pPr>
              <w:widowControl w:val="0"/>
              <w:autoSpaceDE w:val="0"/>
              <w:autoSpaceDN w:val="0"/>
              <w:adjustRightInd w:val="0"/>
              <w:rPr>
                <w:sz w:val="22"/>
                <w:szCs w:val="22"/>
              </w:rPr>
            </w:pPr>
            <w:r w:rsidRPr="008550C6">
              <w:rPr>
                <w:sz w:val="22"/>
                <w:szCs w:val="22"/>
              </w:rPr>
              <w:t>2,499</w:t>
            </w:r>
          </w:p>
        </w:tc>
      </w:tr>
      <w:tr w:rsidR="008550C6" w:rsidRPr="008550C6" w14:paraId="0FE9AFD7" w14:textId="77777777" w:rsidTr="00362D44">
        <w:trPr>
          <w:jc w:val="center"/>
        </w:trPr>
        <w:tc>
          <w:tcPr>
            <w:tcW w:w="734" w:type="pct"/>
            <w:tcBorders>
              <w:top w:val="nil"/>
              <w:left w:val="nil"/>
              <w:bottom w:val="single" w:sz="4" w:space="0" w:color="auto"/>
              <w:right w:val="nil"/>
            </w:tcBorders>
          </w:tcPr>
          <w:p w14:paraId="5E772CD2" w14:textId="630CB2CF" w:rsidR="000D0314" w:rsidRPr="008550C6" w:rsidRDefault="000D0314" w:rsidP="000D0314">
            <w:pPr>
              <w:widowControl w:val="0"/>
              <w:autoSpaceDE w:val="0"/>
              <w:autoSpaceDN w:val="0"/>
              <w:adjustRightInd w:val="0"/>
              <w:rPr>
                <w:sz w:val="22"/>
                <w:szCs w:val="22"/>
              </w:rPr>
            </w:pPr>
            <w:r w:rsidRPr="008550C6">
              <w:rPr>
                <w:sz w:val="22"/>
                <w:szCs w:val="22"/>
              </w:rPr>
              <w:t>Number of states</w:t>
            </w:r>
          </w:p>
        </w:tc>
        <w:tc>
          <w:tcPr>
            <w:tcW w:w="733" w:type="pct"/>
            <w:tcBorders>
              <w:top w:val="nil"/>
              <w:left w:val="nil"/>
              <w:bottom w:val="single" w:sz="4" w:space="0" w:color="auto"/>
              <w:right w:val="nil"/>
            </w:tcBorders>
          </w:tcPr>
          <w:p w14:paraId="1CFF6881" w14:textId="7934A595" w:rsidR="000D0314" w:rsidRPr="008550C6" w:rsidRDefault="000D0314" w:rsidP="000D0314">
            <w:pPr>
              <w:widowControl w:val="0"/>
              <w:autoSpaceDE w:val="0"/>
              <w:autoSpaceDN w:val="0"/>
              <w:adjustRightInd w:val="0"/>
              <w:rPr>
                <w:sz w:val="22"/>
                <w:szCs w:val="22"/>
              </w:rPr>
            </w:pPr>
            <w:r w:rsidRPr="008550C6">
              <w:rPr>
                <w:sz w:val="22"/>
                <w:szCs w:val="22"/>
              </w:rPr>
              <w:t>51</w:t>
            </w:r>
          </w:p>
        </w:tc>
        <w:tc>
          <w:tcPr>
            <w:tcW w:w="632" w:type="pct"/>
            <w:tcBorders>
              <w:top w:val="nil"/>
              <w:left w:val="nil"/>
              <w:bottom w:val="single" w:sz="4" w:space="0" w:color="auto"/>
              <w:right w:val="nil"/>
            </w:tcBorders>
          </w:tcPr>
          <w:p w14:paraId="0D58EC24" w14:textId="73C14507" w:rsidR="000D0314" w:rsidRPr="008550C6" w:rsidRDefault="000D0314" w:rsidP="000D0314">
            <w:pPr>
              <w:widowControl w:val="0"/>
              <w:autoSpaceDE w:val="0"/>
              <w:autoSpaceDN w:val="0"/>
              <w:adjustRightInd w:val="0"/>
              <w:rPr>
                <w:sz w:val="22"/>
                <w:szCs w:val="22"/>
              </w:rPr>
            </w:pPr>
            <w:r w:rsidRPr="008550C6">
              <w:rPr>
                <w:sz w:val="22"/>
                <w:szCs w:val="22"/>
              </w:rPr>
              <w:t>51</w:t>
            </w:r>
          </w:p>
        </w:tc>
        <w:tc>
          <w:tcPr>
            <w:tcW w:w="684" w:type="pct"/>
            <w:tcBorders>
              <w:top w:val="nil"/>
              <w:left w:val="nil"/>
              <w:bottom w:val="single" w:sz="4" w:space="0" w:color="auto"/>
              <w:right w:val="single" w:sz="4" w:space="0" w:color="auto"/>
            </w:tcBorders>
          </w:tcPr>
          <w:p w14:paraId="2767DB4D" w14:textId="58822024" w:rsidR="000D0314" w:rsidRPr="008550C6" w:rsidRDefault="000D0314" w:rsidP="000D0314">
            <w:pPr>
              <w:widowControl w:val="0"/>
              <w:autoSpaceDE w:val="0"/>
              <w:autoSpaceDN w:val="0"/>
              <w:adjustRightInd w:val="0"/>
              <w:rPr>
                <w:sz w:val="22"/>
                <w:szCs w:val="22"/>
              </w:rPr>
            </w:pPr>
            <w:r w:rsidRPr="008550C6">
              <w:rPr>
                <w:sz w:val="22"/>
                <w:szCs w:val="22"/>
              </w:rPr>
              <w:t>51</w:t>
            </w:r>
          </w:p>
        </w:tc>
        <w:tc>
          <w:tcPr>
            <w:tcW w:w="784" w:type="pct"/>
            <w:tcBorders>
              <w:top w:val="nil"/>
              <w:left w:val="single" w:sz="4" w:space="0" w:color="auto"/>
              <w:bottom w:val="single" w:sz="4" w:space="0" w:color="auto"/>
              <w:right w:val="nil"/>
            </w:tcBorders>
          </w:tcPr>
          <w:p w14:paraId="5654D19E" w14:textId="09486A66" w:rsidR="000D0314" w:rsidRPr="008550C6" w:rsidRDefault="000D0314" w:rsidP="000D0314">
            <w:pPr>
              <w:widowControl w:val="0"/>
              <w:autoSpaceDE w:val="0"/>
              <w:autoSpaceDN w:val="0"/>
              <w:adjustRightInd w:val="0"/>
              <w:rPr>
                <w:sz w:val="22"/>
                <w:szCs w:val="22"/>
              </w:rPr>
            </w:pPr>
            <w:r w:rsidRPr="008550C6">
              <w:rPr>
                <w:sz w:val="22"/>
                <w:szCs w:val="22"/>
              </w:rPr>
              <w:t>51</w:t>
            </w:r>
          </w:p>
        </w:tc>
        <w:tc>
          <w:tcPr>
            <w:tcW w:w="648" w:type="pct"/>
            <w:tcBorders>
              <w:top w:val="nil"/>
              <w:left w:val="nil"/>
              <w:bottom w:val="single" w:sz="4" w:space="0" w:color="auto"/>
              <w:right w:val="nil"/>
            </w:tcBorders>
          </w:tcPr>
          <w:p w14:paraId="0EFA8087" w14:textId="3A2678C3" w:rsidR="000D0314" w:rsidRPr="008550C6" w:rsidRDefault="000D0314" w:rsidP="000D0314">
            <w:pPr>
              <w:widowControl w:val="0"/>
              <w:autoSpaceDE w:val="0"/>
              <w:autoSpaceDN w:val="0"/>
              <w:adjustRightInd w:val="0"/>
              <w:rPr>
                <w:sz w:val="22"/>
                <w:szCs w:val="22"/>
              </w:rPr>
            </w:pPr>
            <w:r w:rsidRPr="008550C6">
              <w:rPr>
                <w:sz w:val="22"/>
                <w:szCs w:val="22"/>
              </w:rPr>
              <w:t>51</w:t>
            </w:r>
          </w:p>
        </w:tc>
        <w:tc>
          <w:tcPr>
            <w:tcW w:w="785" w:type="pct"/>
            <w:tcBorders>
              <w:top w:val="nil"/>
              <w:left w:val="nil"/>
              <w:bottom w:val="single" w:sz="4" w:space="0" w:color="auto"/>
              <w:right w:val="nil"/>
            </w:tcBorders>
          </w:tcPr>
          <w:p w14:paraId="3B2184A0" w14:textId="70F3A309" w:rsidR="000D0314" w:rsidRPr="008550C6" w:rsidRDefault="000D0314" w:rsidP="000D0314">
            <w:pPr>
              <w:widowControl w:val="0"/>
              <w:autoSpaceDE w:val="0"/>
              <w:autoSpaceDN w:val="0"/>
              <w:adjustRightInd w:val="0"/>
              <w:rPr>
                <w:sz w:val="22"/>
                <w:szCs w:val="22"/>
              </w:rPr>
            </w:pPr>
            <w:r w:rsidRPr="008550C6">
              <w:rPr>
                <w:sz w:val="22"/>
                <w:szCs w:val="22"/>
              </w:rPr>
              <w:t>51</w:t>
            </w:r>
          </w:p>
        </w:tc>
      </w:tr>
    </w:tbl>
    <w:p w14:paraId="5F3111C1" w14:textId="54C71609" w:rsidR="00B3500A" w:rsidRPr="00472A6C" w:rsidRDefault="00B3500A" w:rsidP="00B3500A">
      <w:pPr>
        <w:spacing w:after="200" w:line="276" w:lineRule="auto"/>
        <w:jc w:val="both"/>
        <w:rPr>
          <w:rFonts w:asciiTheme="majorBidi" w:hAnsiTheme="majorBidi" w:cstheme="majorBidi"/>
          <w:sz w:val="18"/>
          <w:szCs w:val="18"/>
        </w:rPr>
      </w:pPr>
      <w:r w:rsidRPr="008550C6">
        <w:rPr>
          <w:rFonts w:asciiTheme="majorBidi" w:hAnsiTheme="majorBidi" w:cstheme="majorBidi"/>
          <w:i/>
          <w:iCs/>
          <w:sz w:val="18"/>
          <w:szCs w:val="18"/>
        </w:rPr>
        <w:t xml:space="preserve">Note: </w:t>
      </w:r>
      <w:r w:rsidRPr="00472A6C">
        <w:rPr>
          <w:rFonts w:asciiTheme="majorBidi" w:hAnsiTheme="majorBidi" w:cstheme="majorBidi"/>
          <w:sz w:val="18"/>
          <w:szCs w:val="18"/>
          <w:lang w:val="en-US" w:eastAsia="en-US"/>
          <w14:ligatures w14:val="standardContextual"/>
        </w:rPr>
        <w:t xml:space="preserve">This table reports regression results on the association between bootstrap variable return to scale efficiency score and state and national votes following Spatial </w:t>
      </w:r>
      <w:r w:rsidR="00472A6C">
        <w:rPr>
          <w:rFonts w:asciiTheme="majorBidi" w:hAnsiTheme="majorBidi" w:cstheme="majorBidi"/>
          <w:sz w:val="18"/>
          <w:szCs w:val="18"/>
          <w:lang w:val="en-US" w:eastAsia="en-US"/>
          <w14:ligatures w14:val="standardContextual"/>
        </w:rPr>
        <w:t>A</w:t>
      </w:r>
      <w:r w:rsidRPr="00472A6C">
        <w:rPr>
          <w:rFonts w:asciiTheme="majorBidi" w:hAnsiTheme="majorBidi" w:cstheme="majorBidi"/>
          <w:sz w:val="18"/>
          <w:szCs w:val="18"/>
          <w:lang w:val="en-US" w:eastAsia="en-US"/>
          <w14:ligatures w14:val="standardContextual"/>
        </w:rPr>
        <w:t xml:space="preserve">utogressive </w:t>
      </w:r>
      <w:r w:rsidRPr="007E4ED2">
        <w:rPr>
          <w:rFonts w:asciiTheme="majorBidi" w:hAnsiTheme="majorBidi" w:cstheme="majorBidi"/>
          <w:sz w:val="18"/>
          <w:szCs w:val="18"/>
          <w:lang w:val="en-US" w:eastAsia="en-US"/>
          <w14:ligatures w14:val="standardContextual"/>
        </w:rPr>
        <w:t>model (SAR).</w:t>
      </w:r>
      <w:r w:rsidRPr="00472A6C">
        <w:rPr>
          <w:rFonts w:asciiTheme="majorBidi" w:hAnsiTheme="majorBidi" w:cstheme="majorBidi"/>
          <w:sz w:val="18"/>
          <w:szCs w:val="18"/>
          <w:lang w:val="en-US" w:eastAsia="en-US"/>
          <w14:ligatures w14:val="standardContextual"/>
        </w:rPr>
        <w:t xml:space="preserve"> </w:t>
      </w:r>
      <w:r w:rsidRPr="00472A6C">
        <w:rPr>
          <w:rFonts w:asciiTheme="majorBidi" w:hAnsiTheme="majorBidi" w:cstheme="majorBidi"/>
          <w:sz w:val="18"/>
          <w:szCs w:val="18"/>
        </w:rPr>
        <w:t xml:space="preserve">The variables’ coefficients and t-statistics (in brackets) are reported in the table; ***, **, * denote significance at the 1%, 5%, and 10% levels, respectively. </w:t>
      </w:r>
      <w:r w:rsidRPr="007E4ED2">
        <w:rPr>
          <w:rFonts w:asciiTheme="majorBidi" w:hAnsiTheme="majorBidi" w:cstheme="majorBidi"/>
          <w:i/>
          <w:iCs/>
          <w:sz w:val="18"/>
          <w:szCs w:val="18"/>
        </w:rPr>
        <w:t>VRS</w:t>
      </w:r>
      <w:r w:rsidRPr="00472A6C">
        <w:rPr>
          <w:rFonts w:asciiTheme="majorBidi" w:hAnsiTheme="majorBidi" w:cstheme="majorBidi"/>
          <w:sz w:val="18"/>
          <w:szCs w:val="18"/>
        </w:rPr>
        <w:t xml:space="preserve">: Bias-corrected bootstrap variable return to scale efficiency score; </w:t>
      </w:r>
      <w:r w:rsidRPr="007E4ED2">
        <w:rPr>
          <w:rFonts w:asciiTheme="majorBidi" w:hAnsiTheme="majorBidi" w:cstheme="majorBidi"/>
          <w:i/>
          <w:iCs/>
          <w:sz w:val="18"/>
          <w:szCs w:val="18"/>
        </w:rPr>
        <w:t>SVOTE</w:t>
      </w:r>
      <w:r w:rsidRPr="00472A6C">
        <w:rPr>
          <w:rFonts w:asciiTheme="majorBidi" w:hAnsiTheme="majorBidi" w:cstheme="majorBidi"/>
          <w:sz w:val="18"/>
          <w:szCs w:val="18"/>
        </w:rPr>
        <w:t xml:space="preserve">: Dummy variable equals 1 if state votes for the Democratic party and 0 if state votes for Republican; </w:t>
      </w:r>
      <w:r w:rsidRPr="007E4ED2">
        <w:rPr>
          <w:rFonts w:asciiTheme="majorBidi" w:hAnsiTheme="majorBidi" w:cstheme="majorBidi"/>
          <w:i/>
          <w:iCs/>
          <w:sz w:val="18"/>
          <w:szCs w:val="18"/>
        </w:rPr>
        <w:t>NVOTE</w:t>
      </w:r>
      <w:r w:rsidRPr="00472A6C">
        <w:rPr>
          <w:rFonts w:asciiTheme="majorBidi" w:hAnsiTheme="majorBidi" w:cstheme="majorBidi"/>
          <w:sz w:val="18"/>
          <w:szCs w:val="18"/>
        </w:rPr>
        <w:t xml:space="preserve">: Dummy variable equals 1 if the Democratic party wins the general election and 0 otherwise; </w:t>
      </w:r>
      <w:r w:rsidRPr="007E4ED2">
        <w:rPr>
          <w:rFonts w:asciiTheme="majorBidi" w:hAnsiTheme="majorBidi" w:cstheme="majorBidi"/>
          <w:i/>
          <w:iCs/>
          <w:sz w:val="18"/>
          <w:szCs w:val="18"/>
        </w:rPr>
        <w:t>LNTA</w:t>
      </w:r>
      <w:r w:rsidRPr="00472A6C">
        <w:rPr>
          <w:rFonts w:asciiTheme="majorBidi" w:hAnsiTheme="majorBidi" w:cstheme="majorBidi"/>
          <w:sz w:val="18"/>
          <w:szCs w:val="18"/>
        </w:rPr>
        <w:t xml:space="preserve">: Logarithm of </w:t>
      </w:r>
      <w:r w:rsidR="00472A6C" w:rsidRPr="00472A6C">
        <w:rPr>
          <w:rFonts w:asciiTheme="majorBidi" w:hAnsiTheme="majorBidi" w:cstheme="majorBidi"/>
          <w:sz w:val="18"/>
          <w:szCs w:val="18"/>
        </w:rPr>
        <w:t>t</w:t>
      </w:r>
      <w:r w:rsidRPr="00472A6C">
        <w:rPr>
          <w:rFonts w:asciiTheme="majorBidi" w:hAnsiTheme="majorBidi" w:cstheme="majorBidi"/>
          <w:sz w:val="18"/>
          <w:szCs w:val="18"/>
        </w:rPr>
        <w:t xml:space="preserve">otal assets, NPLTL: Non-performing loans over total loans; </w:t>
      </w:r>
      <w:r w:rsidR="008049E2" w:rsidRPr="007E4ED2">
        <w:rPr>
          <w:rFonts w:asciiTheme="majorBidi" w:hAnsiTheme="majorBidi" w:cstheme="majorBidi"/>
          <w:i/>
          <w:iCs/>
          <w:sz w:val="18"/>
          <w:szCs w:val="18"/>
        </w:rPr>
        <w:t>DOA</w:t>
      </w:r>
      <w:r w:rsidRPr="00472A6C">
        <w:rPr>
          <w:rFonts w:asciiTheme="majorBidi" w:hAnsiTheme="majorBidi" w:cstheme="majorBidi"/>
          <w:sz w:val="18"/>
          <w:szCs w:val="18"/>
        </w:rPr>
        <w:t xml:space="preserve">: </w:t>
      </w:r>
      <w:r w:rsidR="008049E2" w:rsidRPr="00472A6C">
        <w:rPr>
          <w:rFonts w:asciiTheme="majorBidi" w:hAnsiTheme="majorBidi" w:cstheme="majorBidi"/>
          <w:sz w:val="18"/>
          <w:szCs w:val="18"/>
        </w:rPr>
        <w:t>Total deposits</w:t>
      </w:r>
      <w:r w:rsidRPr="00472A6C">
        <w:rPr>
          <w:rFonts w:asciiTheme="majorBidi" w:hAnsiTheme="majorBidi" w:cstheme="majorBidi"/>
          <w:sz w:val="18"/>
          <w:szCs w:val="18"/>
        </w:rPr>
        <w:t xml:space="preserve"> over total assets; </w:t>
      </w:r>
      <w:r w:rsidRPr="007E4ED2">
        <w:rPr>
          <w:rFonts w:asciiTheme="majorBidi" w:hAnsiTheme="majorBidi" w:cstheme="majorBidi"/>
          <w:i/>
          <w:iCs/>
          <w:sz w:val="18"/>
          <w:szCs w:val="18"/>
        </w:rPr>
        <w:t>C</w:t>
      </w:r>
      <w:r w:rsidR="00783103" w:rsidRPr="007E4ED2">
        <w:rPr>
          <w:rFonts w:asciiTheme="majorBidi" w:hAnsiTheme="majorBidi" w:cstheme="majorBidi"/>
          <w:i/>
          <w:iCs/>
          <w:sz w:val="18"/>
          <w:szCs w:val="18"/>
        </w:rPr>
        <w:t>OVID</w:t>
      </w:r>
      <w:r w:rsidR="00235D31" w:rsidRPr="007E4ED2">
        <w:rPr>
          <w:rFonts w:asciiTheme="majorBidi" w:hAnsiTheme="majorBidi" w:cstheme="majorBidi"/>
          <w:i/>
          <w:iCs/>
          <w:sz w:val="18"/>
          <w:szCs w:val="18"/>
        </w:rPr>
        <w:t>-</w:t>
      </w:r>
      <w:r w:rsidRPr="007E4ED2">
        <w:rPr>
          <w:rFonts w:asciiTheme="majorBidi" w:hAnsiTheme="majorBidi" w:cstheme="majorBidi"/>
          <w:i/>
          <w:iCs/>
          <w:sz w:val="18"/>
          <w:szCs w:val="18"/>
        </w:rPr>
        <w:t>19</w:t>
      </w:r>
      <w:r w:rsidRPr="00472A6C">
        <w:rPr>
          <w:rFonts w:asciiTheme="majorBidi" w:hAnsiTheme="majorBidi" w:cstheme="majorBidi"/>
          <w:sz w:val="18"/>
          <w:szCs w:val="18"/>
        </w:rPr>
        <w:t>: Dummy variable equals 1 if the year is 2020 and 0 otherwise.</w:t>
      </w:r>
    </w:p>
    <w:p w14:paraId="7882F01A" w14:textId="77777777" w:rsidR="00B3500A" w:rsidRPr="008550C6" w:rsidRDefault="00B3500A" w:rsidP="00B3500A"/>
    <w:p w14:paraId="5242113A" w14:textId="77777777" w:rsidR="00B3500A" w:rsidRPr="008550C6" w:rsidRDefault="00B3500A" w:rsidP="00B3500A"/>
    <w:p w14:paraId="51A8B567" w14:textId="77777777" w:rsidR="00B2281A" w:rsidRPr="008550C6" w:rsidRDefault="00B2281A" w:rsidP="00B3500A"/>
    <w:p w14:paraId="17075CC3" w14:textId="77777777" w:rsidR="00AE510E" w:rsidRPr="008550C6" w:rsidRDefault="00AE510E" w:rsidP="00B3500A"/>
    <w:p w14:paraId="59D28FD0" w14:textId="77777777" w:rsidR="00AE510E" w:rsidRPr="008550C6" w:rsidRDefault="00AE510E" w:rsidP="00B3500A"/>
    <w:p w14:paraId="2F24A8ED" w14:textId="77777777" w:rsidR="00AE510E" w:rsidRPr="008550C6" w:rsidRDefault="00AE510E" w:rsidP="00B3500A"/>
    <w:p w14:paraId="12DC96D5" w14:textId="77777777" w:rsidR="00AE510E" w:rsidRPr="008550C6" w:rsidRDefault="00AE510E" w:rsidP="00B3500A"/>
    <w:p w14:paraId="2E118BDF" w14:textId="77777777" w:rsidR="00AE510E" w:rsidRPr="008550C6" w:rsidRDefault="00AE510E" w:rsidP="00B3500A"/>
    <w:p w14:paraId="5E508B4C" w14:textId="77777777" w:rsidR="00043F8E" w:rsidRPr="008550C6" w:rsidRDefault="00043F8E" w:rsidP="00B3500A"/>
    <w:p w14:paraId="28D90927" w14:textId="77777777" w:rsidR="00AE510E" w:rsidRPr="008550C6" w:rsidRDefault="00AE510E" w:rsidP="00B3500A"/>
    <w:p w14:paraId="38010B0F" w14:textId="77777777" w:rsidR="00AE510E" w:rsidRPr="008550C6" w:rsidRDefault="00AE510E" w:rsidP="00B3500A"/>
    <w:p w14:paraId="219950C7" w14:textId="77777777" w:rsidR="00AE510E" w:rsidRPr="008550C6" w:rsidRDefault="00AE510E" w:rsidP="00B3500A"/>
    <w:p w14:paraId="0FDDBDC9" w14:textId="77777777" w:rsidR="00AE510E" w:rsidRPr="008550C6" w:rsidRDefault="00AE510E" w:rsidP="00B3500A"/>
    <w:p w14:paraId="03FAAC1A" w14:textId="77777777" w:rsidR="00AE510E" w:rsidRPr="008550C6" w:rsidRDefault="00AE510E" w:rsidP="00B3500A"/>
    <w:p w14:paraId="6C636A18" w14:textId="77777777" w:rsidR="00AE510E" w:rsidRPr="008550C6" w:rsidRDefault="00AE510E" w:rsidP="00B3500A"/>
    <w:p w14:paraId="77CD92E1" w14:textId="77777777" w:rsidR="00AE510E" w:rsidRPr="008550C6" w:rsidRDefault="00AE510E" w:rsidP="00B3500A"/>
    <w:p w14:paraId="3052B2A9" w14:textId="3E9162B4" w:rsidR="00B3500A" w:rsidRPr="008550C6" w:rsidRDefault="00B3500A" w:rsidP="00B3500A">
      <w:pPr>
        <w:jc w:val="both"/>
        <w:rPr>
          <w:b/>
          <w:bCs/>
          <w:sz w:val="22"/>
          <w:szCs w:val="22"/>
        </w:rPr>
      </w:pPr>
      <w:r w:rsidRPr="008550C6">
        <w:rPr>
          <w:b/>
          <w:bCs/>
          <w:sz w:val="22"/>
          <w:szCs w:val="22"/>
        </w:rPr>
        <w:t>T</w:t>
      </w:r>
      <w:r w:rsidR="008550C6" w:rsidRPr="008550C6">
        <w:rPr>
          <w:b/>
          <w:bCs/>
          <w:sz w:val="22"/>
          <w:szCs w:val="22"/>
        </w:rPr>
        <w:t>ABLE</w:t>
      </w:r>
      <w:r w:rsidRPr="008550C6">
        <w:rPr>
          <w:b/>
          <w:bCs/>
          <w:sz w:val="22"/>
          <w:szCs w:val="22"/>
        </w:rPr>
        <w:t xml:space="preserve"> 7</w:t>
      </w:r>
    </w:p>
    <w:p w14:paraId="6F9CDBE0" w14:textId="1EEA958B" w:rsidR="00B3500A" w:rsidRPr="008550C6" w:rsidRDefault="00B3500A" w:rsidP="00B3500A">
      <w:pPr>
        <w:jc w:val="both"/>
        <w:rPr>
          <w:sz w:val="22"/>
          <w:szCs w:val="22"/>
        </w:rPr>
      </w:pPr>
      <w:r w:rsidRPr="008550C6">
        <w:rPr>
          <w:sz w:val="22"/>
          <w:szCs w:val="22"/>
        </w:rPr>
        <w:t xml:space="preserve">Spatial </w:t>
      </w:r>
      <w:r w:rsidR="00472A6C">
        <w:rPr>
          <w:sz w:val="22"/>
          <w:szCs w:val="22"/>
        </w:rPr>
        <w:t>D</w:t>
      </w:r>
      <w:r w:rsidRPr="008550C6">
        <w:rPr>
          <w:sz w:val="22"/>
          <w:szCs w:val="22"/>
        </w:rPr>
        <w:t>ynamic model (SDM) when bootstrap variable return to scale (VRS) is the dependent variable.</w:t>
      </w:r>
    </w:p>
    <w:tbl>
      <w:tblPr>
        <w:tblW w:w="5000" w:type="pct"/>
        <w:jc w:val="center"/>
        <w:tblCellMar>
          <w:left w:w="75" w:type="dxa"/>
          <w:right w:w="75" w:type="dxa"/>
        </w:tblCellMar>
        <w:tblLook w:val="0000" w:firstRow="0" w:lastRow="0" w:firstColumn="0" w:lastColumn="0" w:noHBand="0" w:noVBand="0"/>
      </w:tblPr>
      <w:tblGrid>
        <w:gridCol w:w="1420"/>
        <w:gridCol w:w="1560"/>
        <w:gridCol w:w="931"/>
        <w:gridCol w:w="1283"/>
        <w:gridCol w:w="1610"/>
        <w:gridCol w:w="944"/>
        <w:gridCol w:w="1278"/>
      </w:tblGrid>
      <w:tr w:rsidR="008550C6" w:rsidRPr="007E3420" w14:paraId="5C944809" w14:textId="77777777" w:rsidTr="007E3420">
        <w:trPr>
          <w:jc w:val="center"/>
        </w:trPr>
        <w:tc>
          <w:tcPr>
            <w:tcW w:w="786" w:type="pct"/>
            <w:tcBorders>
              <w:top w:val="single" w:sz="6" w:space="0" w:color="auto"/>
              <w:left w:val="nil"/>
              <w:bottom w:val="nil"/>
              <w:right w:val="nil"/>
            </w:tcBorders>
          </w:tcPr>
          <w:p w14:paraId="5D71E5A4" w14:textId="77777777" w:rsidR="000D0314" w:rsidRPr="007E3420" w:rsidRDefault="000D0314" w:rsidP="00235859">
            <w:pPr>
              <w:widowControl w:val="0"/>
              <w:autoSpaceDE w:val="0"/>
              <w:autoSpaceDN w:val="0"/>
              <w:adjustRightInd w:val="0"/>
              <w:rPr>
                <w:b/>
                <w:bCs/>
                <w:sz w:val="18"/>
                <w:szCs w:val="18"/>
              </w:rPr>
            </w:pPr>
          </w:p>
        </w:tc>
        <w:tc>
          <w:tcPr>
            <w:tcW w:w="864" w:type="pct"/>
            <w:tcBorders>
              <w:top w:val="single" w:sz="6" w:space="0" w:color="auto"/>
              <w:left w:val="nil"/>
              <w:bottom w:val="nil"/>
              <w:right w:val="nil"/>
            </w:tcBorders>
          </w:tcPr>
          <w:p w14:paraId="7583A6E2" w14:textId="77777777" w:rsidR="000D0314" w:rsidRPr="007E3420" w:rsidRDefault="000D0314" w:rsidP="00235859">
            <w:pPr>
              <w:widowControl w:val="0"/>
              <w:autoSpaceDE w:val="0"/>
              <w:autoSpaceDN w:val="0"/>
              <w:adjustRightInd w:val="0"/>
              <w:jc w:val="center"/>
              <w:rPr>
                <w:b/>
                <w:bCs/>
                <w:sz w:val="18"/>
                <w:szCs w:val="18"/>
              </w:rPr>
            </w:pPr>
            <w:r w:rsidRPr="007E3420">
              <w:rPr>
                <w:b/>
                <w:bCs/>
                <w:sz w:val="18"/>
                <w:szCs w:val="18"/>
              </w:rPr>
              <w:t>(1)</w:t>
            </w:r>
          </w:p>
        </w:tc>
        <w:tc>
          <w:tcPr>
            <w:tcW w:w="516" w:type="pct"/>
            <w:tcBorders>
              <w:top w:val="single" w:sz="6" w:space="0" w:color="auto"/>
              <w:left w:val="nil"/>
              <w:bottom w:val="nil"/>
              <w:right w:val="nil"/>
            </w:tcBorders>
          </w:tcPr>
          <w:p w14:paraId="3C0AAB9B" w14:textId="7DAABD93" w:rsidR="000D0314" w:rsidRPr="007E3420" w:rsidRDefault="000D0314" w:rsidP="00235859">
            <w:pPr>
              <w:widowControl w:val="0"/>
              <w:autoSpaceDE w:val="0"/>
              <w:autoSpaceDN w:val="0"/>
              <w:adjustRightInd w:val="0"/>
              <w:jc w:val="center"/>
              <w:rPr>
                <w:b/>
                <w:bCs/>
                <w:sz w:val="18"/>
                <w:szCs w:val="18"/>
              </w:rPr>
            </w:pPr>
            <w:r w:rsidRPr="007E3420">
              <w:rPr>
                <w:b/>
                <w:bCs/>
                <w:sz w:val="18"/>
                <w:szCs w:val="18"/>
              </w:rPr>
              <w:t>(2)</w:t>
            </w:r>
          </w:p>
        </w:tc>
        <w:tc>
          <w:tcPr>
            <w:tcW w:w="711" w:type="pct"/>
            <w:tcBorders>
              <w:top w:val="single" w:sz="6" w:space="0" w:color="auto"/>
              <w:left w:val="nil"/>
              <w:bottom w:val="nil"/>
              <w:right w:val="single" w:sz="4" w:space="0" w:color="auto"/>
            </w:tcBorders>
          </w:tcPr>
          <w:p w14:paraId="0066327A" w14:textId="671CE96E" w:rsidR="000D0314" w:rsidRPr="007E3420" w:rsidRDefault="000D0314" w:rsidP="00235859">
            <w:pPr>
              <w:widowControl w:val="0"/>
              <w:autoSpaceDE w:val="0"/>
              <w:autoSpaceDN w:val="0"/>
              <w:adjustRightInd w:val="0"/>
              <w:jc w:val="center"/>
              <w:rPr>
                <w:b/>
                <w:bCs/>
                <w:sz w:val="18"/>
                <w:szCs w:val="18"/>
              </w:rPr>
            </w:pPr>
            <w:r w:rsidRPr="007E3420">
              <w:rPr>
                <w:b/>
                <w:bCs/>
                <w:sz w:val="18"/>
                <w:szCs w:val="18"/>
              </w:rPr>
              <w:t>(3)</w:t>
            </w:r>
          </w:p>
        </w:tc>
        <w:tc>
          <w:tcPr>
            <w:tcW w:w="892" w:type="pct"/>
            <w:tcBorders>
              <w:top w:val="single" w:sz="6" w:space="0" w:color="auto"/>
              <w:left w:val="single" w:sz="4" w:space="0" w:color="auto"/>
              <w:bottom w:val="nil"/>
              <w:right w:val="nil"/>
            </w:tcBorders>
          </w:tcPr>
          <w:p w14:paraId="6BAB2BA3" w14:textId="78314DB7" w:rsidR="000D0314" w:rsidRPr="007E3420" w:rsidRDefault="000D0314" w:rsidP="00235859">
            <w:pPr>
              <w:widowControl w:val="0"/>
              <w:autoSpaceDE w:val="0"/>
              <w:autoSpaceDN w:val="0"/>
              <w:adjustRightInd w:val="0"/>
              <w:jc w:val="center"/>
              <w:rPr>
                <w:b/>
                <w:bCs/>
                <w:sz w:val="18"/>
                <w:szCs w:val="18"/>
              </w:rPr>
            </w:pPr>
            <w:r w:rsidRPr="007E3420">
              <w:rPr>
                <w:b/>
                <w:bCs/>
                <w:sz w:val="18"/>
                <w:szCs w:val="18"/>
              </w:rPr>
              <w:t>(4)</w:t>
            </w:r>
          </w:p>
        </w:tc>
        <w:tc>
          <w:tcPr>
            <w:tcW w:w="523" w:type="pct"/>
            <w:tcBorders>
              <w:top w:val="single" w:sz="6" w:space="0" w:color="auto"/>
              <w:left w:val="nil"/>
              <w:bottom w:val="nil"/>
              <w:right w:val="nil"/>
            </w:tcBorders>
          </w:tcPr>
          <w:p w14:paraId="02C527E8" w14:textId="62344172" w:rsidR="000D0314" w:rsidRPr="007E3420" w:rsidRDefault="000D0314" w:rsidP="00235859">
            <w:pPr>
              <w:widowControl w:val="0"/>
              <w:autoSpaceDE w:val="0"/>
              <w:autoSpaceDN w:val="0"/>
              <w:adjustRightInd w:val="0"/>
              <w:jc w:val="center"/>
              <w:rPr>
                <w:b/>
                <w:bCs/>
                <w:sz w:val="18"/>
                <w:szCs w:val="18"/>
              </w:rPr>
            </w:pPr>
            <w:r w:rsidRPr="007E3420">
              <w:rPr>
                <w:b/>
                <w:bCs/>
                <w:sz w:val="18"/>
                <w:szCs w:val="18"/>
              </w:rPr>
              <w:t>(5)</w:t>
            </w:r>
          </w:p>
        </w:tc>
        <w:tc>
          <w:tcPr>
            <w:tcW w:w="708" w:type="pct"/>
            <w:tcBorders>
              <w:top w:val="single" w:sz="6" w:space="0" w:color="auto"/>
              <w:left w:val="nil"/>
              <w:bottom w:val="nil"/>
              <w:right w:val="nil"/>
            </w:tcBorders>
          </w:tcPr>
          <w:p w14:paraId="6098AF91" w14:textId="152F42E2" w:rsidR="000D0314" w:rsidRPr="007E3420" w:rsidRDefault="000D0314" w:rsidP="00235859">
            <w:pPr>
              <w:widowControl w:val="0"/>
              <w:autoSpaceDE w:val="0"/>
              <w:autoSpaceDN w:val="0"/>
              <w:adjustRightInd w:val="0"/>
              <w:jc w:val="center"/>
              <w:rPr>
                <w:b/>
                <w:bCs/>
                <w:sz w:val="18"/>
                <w:szCs w:val="18"/>
              </w:rPr>
            </w:pPr>
            <w:r w:rsidRPr="007E3420">
              <w:rPr>
                <w:b/>
                <w:bCs/>
                <w:sz w:val="18"/>
                <w:szCs w:val="18"/>
              </w:rPr>
              <w:t>(6)</w:t>
            </w:r>
          </w:p>
        </w:tc>
      </w:tr>
      <w:tr w:rsidR="008550C6" w:rsidRPr="007E3420" w14:paraId="0267E9A9" w14:textId="77777777" w:rsidTr="007E3420">
        <w:trPr>
          <w:jc w:val="center"/>
        </w:trPr>
        <w:tc>
          <w:tcPr>
            <w:tcW w:w="786" w:type="pct"/>
            <w:tcBorders>
              <w:top w:val="nil"/>
              <w:left w:val="nil"/>
              <w:bottom w:val="single" w:sz="6" w:space="0" w:color="auto"/>
              <w:right w:val="nil"/>
            </w:tcBorders>
          </w:tcPr>
          <w:p w14:paraId="3F9C6380" w14:textId="77777777" w:rsidR="000D0314" w:rsidRPr="007E3420" w:rsidRDefault="000D0314" w:rsidP="00235859">
            <w:pPr>
              <w:widowControl w:val="0"/>
              <w:autoSpaceDE w:val="0"/>
              <w:autoSpaceDN w:val="0"/>
              <w:adjustRightInd w:val="0"/>
              <w:rPr>
                <w:b/>
                <w:bCs/>
                <w:sz w:val="18"/>
                <w:szCs w:val="18"/>
              </w:rPr>
            </w:pPr>
            <w:r w:rsidRPr="007E3420">
              <w:rPr>
                <w:b/>
                <w:bCs/>
                <w:sz w:val="18"/>
                <w:szCs w:val="18"/>
              </w:rPr>
              <w:t>VARIABLES</w:t>
            </w:r>
          </w:p>
        </w:tc>
        <w:tc>
          <w:tcPr>
            <w:tcW w:w="864" w:type="pct"/>
            <w:tcBorders>
              <w:top w:val="nil"/>
              <w:left w:val="nil"/>
              <w:bottom w:val="single" w:sz="6" w:space="0" w:color="auto"/>
              <w:right w:val="nil"/>
            </w:tcBorders>
          </w:tcPr>
          <w:p w14:paraId="6DA2045B" w14:textId="0B43C266" w:rsidR="000D0314" w:rsidRPr="007E3420" w:rsidRDefault="000D0314" w:rsidP="00235859">
            <w:pPr>
              <w:widowControl w:val="0"/>
              <w:autoSpaceDE w:val="0"/>
              <w:autoSpaceDN w:val="0"/>
              <w:adjustRightInd w:val="0"/>
              <w:jc w:val="center"/>
              <w:rPr>
                <w:b/>
                <w:bCs/>
                <w:sz w:val="18"/>
                <w:szCs w:val="18"/>
              </w:rPr>
            </w:pPr>
            <w:r w:rsidRPr="007E3420">
              <w:rPr>
                <w:b/>
                <w:bCs/>
                <w:sz w:val="18"/>
                <w:szCs w:val="18"/>
              </w:rPr>
              <w:t>VRS-Main within state effects</w:t>
            </w:r>
          </w:p>
        </w:tc>
        <w:tc>
          <w:tcPr>
            <w:tcW w:w="516" w:type="pct"/>
            <w:tcBorders>
              <w:top w:val="nil"/>
              <w:left w:val="nil"/>
              <w:bottom w:val="single" w:sz="6" w:space="0" w:color="auto"/>
              <w:right w:val="nil"/>
            </w:tcBorders>
          </w:tcPr>
          <w:p w14:paraId="14DFF9EF" w14:textId="38315318" w:rsidR="000D0314" w:rsidRPr="007E3420" w:rsidRDefault="000D0314" w:rsidP="00235859">
            <w:pPr>
              <w:widowControl w:val="0"/>
              <w:autoSpaceDE w:val="0"/>
              <w:autoSpaceDN w:val="0"/>
              <w:adjustRightInd w:val="0"/>
              <w:jc w:val="center"/>
              <w:rPr>
                <w:b/>
                <w:bCs/>
                <w:sz w:val="18"/>
                <w:szCs w:val="18"/>
              </w:rPr>
            </w:pPr>
            <w:r w:rsidRPr="007E3420">
              <w:rPr>
                <w:b/>
                <w:bCs/>
                <w:sz w:val="18"/>
                <w:szCs w:val="18"/>
              </w:rPr>
              <w:t>VRS-Spatial</w:t>
            </w:r>
          </w:p>
        </w:tc>
        <w:tc>
          <w:tcPr>
            <w:tcW w:w="711" w:type="pct"/>
            <w:tcBorders>
              <w:top w:val="nil"/>
              <w:left w:val="nil"/>
              <w:bottom w:val="single" w:sz="6" w:space="0" w:color="auto"/>
              <w:right w:val="single" w:sz="4" w:space="0" w:color="auto"/>
            </w:tcBorders>
          </w:tcPr>
          <w:p w14:paraId="6F840DD4" w14:textId="09E87505" w:rsidR="000D0314" w:rsidRPr="007E3420" w:rsidRDefault="000D0314" w:rsidP="00235859">
            <w:pPr>
              <w:widowControl w:val="0"/>
              <w:autoSpaceDE w:val="0"/>
              <w:autoSpaceDN w:val="0"/>
              <w:adjustRightInd w:val="0"/>
              <w:jc w:val="center"/>
              <w:rPr>
                <w:b/>
                <w:bCs/>
                <w:sz w:val="18"/>
                <w:szCs w:val="18"/>
              </w:rPr>
            </w:pPr>
            <w:r w:rsidRPr="007E3420">
              <w:rPr>
                <w:b/>
                <w:bCs/>
                <w:sz w:val="18"/>
                <w:szCs w:val="18"/>
              </w:rPr>
              <w:t>VRS-Variance</w:t>
            </w:r>
          </w:p>
        </w:tc>
        <w:tc>
          <w:tcPr>
            <w:tcW w:w="892" w:type="pct"/>
            <w:tcBorders>
              <w:top w:val="nil"/>
              <w:left w:val="single" w:sz="4" w:space="0" w:color="auto"/>
              <w:bottom w:val="single" w:sz="6" w:space="0" w:color="auto"/>
              <w:right w:val="nil"/>
            </w:tcBorders>
          </w:tcPr>
          <w:p w14:paraId="38136D36" w14:textId="3DE10B9B" w:rsidR="000D0314" w:rsidRPr="007E3420" w:rsidRDefault="000D0314" w:rsidP="00235859">
            <w:pPr>
              <w:widowControl w:val="0"/>
              <w:autoSpaceDE w:val="0"/>
              <w:autoSpaceDN w:val="0"/>
              <w:adjustRightInd w:val="0"/>
              <w:jc w:val="center"/>
              <w:rPr>
                <w:b/>
                <w:bCs/>
                <w:sz w:val="18"/>
                <w:szCs w:val="18"/>
              </w:rPr>
            </w:pPr>
            <w:r w:rsidRPr="007E3420">
              <w:rPr>
                <w:b/>
                <w:bCs/>
                <w:sz w:val="18"/>
                <w:szCs w:val="18"/>
              </w:rPr>
              <w:t>VRS-Main within state effects</w:t>
            </w:r>
          </w:p>
        </w:tc>
        <w:tc>
          <w:tcPr>
            <w:tcW w:w="523" w:type="pct"/>
            <w:tcBorders>
              <w:top w:val="nil"/>
              <w:left w:val="nil"/>
              <w:bottom w:val="single" w:sz="6" w:space="0" w:color="auto"/>
              <w:right w:val="nil"/>
            </w:tcBorders>
          </w:tcPr>
          <w:p w14:paraId="3CAA19AA" w14:textId="41F18F20" w:rsidR="000D0314" w:rsidRPr="007E3420" w:rsidRDefault="000D0314" w:rsidP="00235859">
            <w:pPr>
              <w:widowControl w:val="0"/>
              <w:autoSpaceDE w:val="0"/>
              <w:autoSpaceDN w:val="0"/>
              <w:adjustRightInd w:val="0"/>
              <w:jc w:val="center"/>
              <w:rPr>
                <w:b/>
                <w:bCs/>
                <w:sz w:val="18"/>
                <w:szCs w:val="18"/>
              </w:rPr>
            </w:pPr>
            <w:r w:rsidRPr="007E3420">
              <w:rPr>
                <w:b/>
                <w:bCs/>
                <w:sz w:val="18"/>
                <w:szCs w:val="18"/>
              </w:rPr>
              <w:t>VRS-Spatial</w:t>
            </w:r>
          </w:p>
        </w:tc>
        <w:tc>
          <w:tcPr>
            <w:tcW w:w="708" w:type="pct"/>
            <w:tcBorders>
              <w:top w:val="nil"/>
              <w:left w:val="nil"/>
              <w:bottom w:val="single" w:sz="6" w:space="0" w:color="auto"/>
              <w:right w:val="nil"/>
            </w:tcBorders>
          </w:tcPr>
          <w:p w14:paraId="64A754AA" w14:textId="0899764C" w:rsidR="000D0314" w:rsidRPr="007E3420" w:rsidRDefault="000D0314" w:rsidP="00235859">
            <w:pPr>
              <w:widowControl w:val="0"/>
              <w:autoSpaceDE w:val="0"/>
              <w:autoSpaceDN w:val="0"/>
              <w:adjustRightInd w:val="0"/>
              <w:jc w:val="center"/>
              <w:rPr>
                <w:b/>
                <w:bCs/>
                <w:sz w:val="18"/>
                <w:szCs w:val="18"/>
              </w:rPr>
            </w:pPr>
            <w:r w:rsidRPr="007E3420">
              <w:rPr>
                <w:b/>
                <w:bCs/>
                <w:sz w:val="18"/>
                <w:szCs w:val="18"/>
              </w:rPr>
              <w:t>VRS-Variance</w:t>
            </w:r>
          </w:p>
        </w:tc>
      </w:tr>
      <w:tr w:rsidR="008550C6" w:rsidRPr="008550C6" w14:paraId="00426060" w14:textId="77777777" w:rsidTr="007E3420">
        <w:trPr>
          <w:jc w:val="center"/>
        </w:trPr>
        <w:tc>
          <w:tcPr>
            <w:tcW w:w="786" w:type="pct"/>
            <w:tcBorders>
              <w:top w:val="nil"/>
              <w:left w:val="nil"/>
              <w:bottom w:val="nil"/>
              <w:right w:val="nil"/>
            </w:tcBorders>
          </w:tcPr>
          <w:p w14:paraId="677B9B16" w14:textId="77777777" w:rsidR="000D0314" w:rsidRPr="008550C6" w:rsidRDefault="000D0314" w:rsidP="00D62AD1">
            <w:pPr>
              <w:widowControl w:val="0"/>
              <w:autoSpaceDE w:val="0"/>
              <w:autoSpaceDN w:val="0"/>
              <w:adjustRightInd w:val="0"/>
              <w:rPr>
                <w:sz w:val="18"/>
                <w:szCs w:val="18"/>
              </w:rPr>
            </w:pPr>
          </w:p>
        </w:tc>
        <w:tc>
          <w:tcPr>
            <w:tcW w:w="864" w:type="pct"/>
            <w:tcBorders>
              <w:top w:val="nil"/>
              <w:left w:val="nil"/>
              <w:bottom w:val="nil"/>
              <w:right w:val="nil"/>
            </w:tcBorders>
          </w:tcPr>
          <w:p w14:paraId="0BF978A9" w14:textId="77777777" w:rsidR="000D0314" w:rsidRPr="008550C6" w:rsidRDefault="000D0314" w:rsidP="00D62AD1">
            <w:pPr>
              <w:widowControl w:val="0"/>
              <w:autoSpaceDE w:val="0"/>
              <w:autoSpaceDN w:val="0"/>
              <w:adjustRightInd w:val="0"/>
              <w:jc w:val="center"/>
              <w:rPr>
                <w:sz w:val="18"/>
                <w:szCs w:val="18"/>
              </w:rPr>
            </w:pPr>
          </w:p>
        </w:tc>
        <w:tc>
          <w:tcPr>
            <w:tcW w:w="516" w:type="pct"/>
            <w:tcBorders>
              <w:top w:val="nil"/>
              <w:left w:val="nil"/>
              <w:bottom w:val="nil"/>
              <w:right w:val="nil"/>
            </w:tcBorders>
          </w:tcPr>
          <w:p w14:paraId="375719D5" w14:textId="10B49786" w:rsidR="000D0314" w:rsidRPr="008550C6" w:rsidRDefault="000D0314" w:rsidP="00D62AD1">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2386E29D" w14:textId="77777777" w:rsidR="000D0314" w:rsidRPr="008550C6" w:rsidRDefault="000D0314" w:rsidP="00D62AD1">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08B05989" w14:textId="77777777" w:rsidR="000D0314" w:rsidRPr="008550C6" w:rsidRDefault="000D0314" w:rsidP="00D62AD1">
            <w:pPr>
              <w:widowControl w:val="0"/>
              <w:autoSpaceDE w:val="0"/>
              <w:autoSpaceDN w:val="0"/>
              <w:adjustRightInd w:val="0"/>
              <w:jc w:val="center"/>
              <w:rPr>
                <w:sz w:val="18"/>
                <w:szCs w:val="18"/>
              </w:rPr>
            </w:pPr>
          </w:p>
        </w:tc>
        <w:tc>
          <w:tcPr>
            <w:tcW w:w="523" w:type="pct"/>
            <w:tcBorders>
              <w:top w:val="nil"/>
              <w:left w:val="nil"/>
              <w:bottom w:val="nil"/>
              <w:right w:val="nil"/>
            </w:tcBorders>
          </w:tcPr>
          <w:p w14:paraId="4FD65567" w14:textId="1C1C9E50" w:rsidR="000D0314" w:rsidRPr="008550C6" w:rsidRDefault="000D0314" w:rsidP="00D62AD1">
            <w:pPr>
              <w:widowControl w:val="0"/>
              <w:autoSpaceDE w:val="0"/>
              <w:autoSpaceDN w:val="0"/>
              <w:adjustRightInd w:val="0"/>
              <w:jc w:val="center"/>
              <w:rPr>
                <w:sz w:val="18"/>
                <w:szCs w:val="18"/>
              </w:rPr>
            </w:pPr>
          </w:p>
        </w:tc>
        <w:tc>
          <w:tcPr>
            <w:tcW w:w="708" w:type="pct"/>
            <w:tcBorders>
              <w:top w:val="nil"/>
              <w:left w:val="nil"/>
              <w:bottom w:val="nil"/>
              <w:right w:val="nil"/>
            </w:tcBorders>
          </w:tcPr>
          <w:p w14:paraId="6C9737BE" w14:textId="77777777" w:rsidR="000D0314" w:rsidRPr="008550C6" w:rsidRDefault="000D0314" w:rsidP="00D62AD1">
            <w:pPr>
              <w:widowControl w:val="0"/>
              <w:autoSpaceDE w:val="0"/>
              <w:autoSpaceDN w:val="0"/>
              <w:adjustRightInd w:val="0"/>
              <w:jc w:val="center"/>
              <w:rPr>
                <w:sz w:val="18"/>
                <w:szCs w:val="18"/>
              </w:rPr>
            </w:pPr>
          </w:p>
        </w:tc>
      </w:tr>
      <w:tr w:rsidR="008550C6" w:rsidRPr="007E4ED2" w14:paraId="2FFB70FE" w14:textId="77777777" w:rsidTr="007E3420">
        <w:trPr>
          <w:jc w:val="center"/>
        </w:trPr>
        <w:tc>
          <w:tcPr>
            <w:tcW w:w="786" w:type="pct"/>
            <w:tcBorders>
              <w:top w:val="nil"/>
              <w:left w:val="nil"/>
              <w:bottom w:val="nil"/>
              <w:right w:val="nil"/>
            </w:tcBorders>
          </w:tcPr>
          <w:p w14:paraId="0D77E92B" w14:textId="77777777" w:rsidR="000D0314" w:rsidRPr="007E4ED2" w:rsidRDefault="000D0314" w:rsidP="00235859">
            <w:pPr>
              <w:widowControl w:val="0"/>
              <w:autoSpaceDE w:val="0"/>
              <w:autoSpaceDN w:val="0"/>
              <w:adjustRightInd w:val="0"/>
              <w:rPr>
                <w:sz w:val="18"/>
                <w:szCs w:val="18"/>
              </w:rPr>
            </w:pPr>
            <w:r w:rsidRPr="007E4ED2">
              <w:rPr>
                <w:sz w:val="18"/>
                <w:szCs w:val="18"/>
              </w:rPr>
              <w:t>SVOTE</w:t>
            </w:r>
          </w:p>
        </w:tc>
        <w:tc>
          <w:tcPr>
            <w:tcW w:w="864" w:type="pct"/>
            <w:tcBorders>
              <w:top w:val="nil"/>
              <w:left w:val="nil"/>
              <w:bottom w:val="nil"/>
              <w:right w:val="nil"/>
            </w:tcBorders>
          </w:tcPr>
          <w:p w14:paraId="4C38C321" w14:textId="2BBFD241" w:rsidR="000D0314" w:rsidRPr="007E4ED2" w:rsidRDefault="000D0314" w:rsidP="00235859">
            <w:pPr>
              <w:widowControl w:val="0"/>
              <w:autoSpaceDE w:val="0"/>
              <w:autoSpaceDN w:val="0"/>
              <w:adjustRightInd w:val="0"/>
              <w:jc w:val="center"/>
              <w:rPr>
                <w:sz w:val="18"/>
                <w:szCs w:val="18"/>
              </w:rPr>
            </w:pPr>
            <w:r w:rsidRPr="007E4ED2">
              <w:rPr>
                <w:sz w:val="18"/>
                <w:szCs w:val="18"/>
              </w:rPr>
              <w:t>0.0173***</w:t>
            </w:r>
          </w:p>
        </w:tc>
        <w:tc>
          <w:tcPr>
            <w:tcW w:w="516" w:type="pct"/>
            <w:tcBorders>
              <w:top w:val="nil"/>
              <w:left w:val="nil"/>
              <w:bottom w:val="nil"/>
              <w:right w:val="nil"/>
            </w:tcBorders>
          </w:tcPr>
          <w:p w14:paraId="53D966E4" w14:textId="71B11C01" w:rsidR="000D0314" w:rsidRPr="007E4ED2"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564D1BBC" w14:textId="77777777" w:rsidR="000D0314" w:rsidRPr="007E4ED2"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672DCC24" w14:textId="77777777" w:rsidR="000D0314" w:rsidRPr="007E4ED2" w:rsidRDefault="000D0314" w:rsidP="00235859">
            <w:pPr>
              <w:widowControl w:val="0"/>
              <w:autoSpaceDE w:val="0"/>
              <w:autoSpaceDN w:val="0"/>
              <w:adjustRightInd w:val="0"/>
              <w:jc w:val="center"/>
              <w:rPr>
                <w:sz w:val="18"/>
                <w:szCs w:val="18"/>
              </w:rPr>
            </w:pPr>
          </w:p>
        </w:tc>
        <w:tc>
          <w:tcPr>
            <w:tcW w:w="523" w:type="pct"/>
            <w:tcBorders>
              <w:top w:val="nil"/>
              <w:left w:val="nil"/>
              <w:bottom w:val="nil"/>
              <w:right w:val="nil"/>
            </w:tcBorders>
          </w:tcPr>
          <w:p w14:paraId="3247197A" w14:textId="31B964EB" w:rsidR="000D0314" w:rsidRPr="007E4ED2"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6CA924F3" w14:textId="77777777" w:rsidR="000D0314" w:rsidRPr="007E4ED2" w:rsidRDefault="000D0314" w:rsidP="00235859">
            <w:pPr>
              <w:widowControl w:val="0"/>
              <w:autoSpaceDE w:val="0"/>
              <w:autoSpaceDN w:val="0"/>
              <w:adjustRightInd w:val="0"/>
              <w:jc w:val="center"/>
              <w:rPr>
                <w:sz w:val="18"/>
                <w:szCs w:val="18"/>
              </w:rPr>
            </w:pPr>
          </w:p>
        </w:tc>
      </w:tr>
      <w:tr w:rsidR="008550C6" w:rsidRPr="007E4ED2" w14:paraId="6442FB06" w14:textId="77777777" w:rsidTr="007E3420">
        <w:trPr>
          <w:jc w:val="center"/>
        </w:trPr>
        <w:tc>
          <w:tcPr>
            <w:tcW w:w="786" w:type="pct"/>
            <w:tcBorders>
              <w:top w:val="nil"/>
              <w:left w:val="nil"/>
              <w:bottom w:val="nil"/>
              <w:right w:val="nil"/>
            </w:tcBorders>
          </w:tcPr>
          <w:p w14:paraId="5C2A9DB5" w14:textId="77777777" w:rsidR="000D0314" w:rsidRPr="007E4ED2" w:rsidRDefault="000D0314" w:rsidP="00235859">
            <w:pPr>
              <w:widowControl w:val="0"/>
              <w:autoSpaceDE w:val="0"/>
              <w:autoSpaceDN w:val="0"/>
              <w:adjustRightInd w:val="0"/>
              <w:rPr>
                <w:sz w:val="18"/>
                <w:szCs w:val="18"/>
              </w:rPr>
            </w:pPr>
          </w:p>
        </w:tc>
        <w:tc>
          <w:tcPr>
            <w:tcW w:w="864" w:type="pct"/>
            <w:tcBorders>
              <w:top w:val="nil"/>
              <w:left w:val="nil"/>
              <w:bottom w:val="nil"/>
              <w:right w:val="nil"/>
            </w:tcBorders>
          </w:tcPr>
          <w:p w14:paraId="69F115FF" w14:textId="5D55CA76" w:rsidR="000D0314" w:rsidRPr="007E4ED2" w:rsidRDefault="000D0314" w:rsidP="00235859">
            <w:pPr>
              <w:widowControl w:val="0"/>
              <w:autoSpaceDE w:val="0"/>
              <w:autoSpaceDN w:val="0"/>
              <w:adjustRightInd w:val="0"/>
              <w:jc w:val="center"/>
              <w:rPr>
                <w:sz w:val="18"/>
                <w:szCs w:val="18"/>
              </w:rPr>
            </w:pPr>
            <w:r w:rsidRPr="007E4ED2">
              <w:rPr>
                <w:sz w:val="18"/>
                <w:szCs w:val="18"/>
              </w:rPr>
              <w:t>(3.5816)</w:t>
            </w:r>
          </w:p>
        </w:tc>
        <w:tc>
          <w:tcPr>
            <w:tcW w:w="516" w:type="pct"/>
            <w:tcBorders>
              <w:top w:val="nil"/>
              <w:left w:val="nil"/>
              <w:bottom w:val="nil"/>
              <w:right w:val="nil"/>
            </w:tcBorders>
          </w:tcPr>
          <w:p w14:paraId="6B9EEFE6" w14:textId="4CE94F2E" w:rsidR="000D0314" w:rsidRPr="007E4ED2"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4B662D16" w14:textId="77777777" w:rsidR="000D0314" w:rsidRPr="007E4ED2"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29DC7970" w14:textId="77777777" w:rsidR="000D0314" w:rsidRPr="007E4ED2" w:rsidRDefault="000D0314" w:rsidP="00235859">
            <w:pPr>
              <w:widowControl w:val="0"/>
              <w:autoSpaceDE w:val="0"/>
              <w:autoSpaceDN w:val="0"/>
              <w:adjustRightInd w:val="0"/>
              <w:jc w:val="center"/>
              <w:rPr>
                <w:sz w:val="18"/>
                <w:szCs w:val="18"/>
              </w:rPr>
            </w:pPr>
          </w:p>
        </w:tc>
        <w:tc>
          <w:tcPr>
            <w:tcW w:w="523" w:type="pct"/>
            <w:tcBorders>
              <w:top w:val="nil"/>
              <w:left w:val="nil"/>
              <w:bottom w:val="nil"/>
              <w:right w:val="nil"/>
            </w:tcBorders>
          </w:tcPr>
          <w:p w14:paraId="43B49AFC" w14:textId="22DC4125" w:rsidR="000D0314" w:rsidRPr="007E4ED2"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02AA8F2A" w14:textId="77777777" w:rsidR="000D0314" w:rsidRPr="007E4ED2" w:rsidRDefault="000D0314" w:rsidP="00235859">
            <w:pPr>
              <w:widowControl w:val="0"/>
              <w:autoSpaceDE w:val="0"/>
              <w:autoSpaceDN w:val="0"/>
              <w:adjustRightInd w:val="0"/>
              <w:jc w:val="center"/>
              <w:rPr>
                <w:sz w:val="18"/>
                <w:szCs w:val="18"/>
              </w:rPr>
            </w:pPr>
          </w:p>
        </w:tc>
      </w:tr>
      <w:tr w:rsidR="008550C6" w:rsidRPr="007E4ED2" w14:paraId="228955CC" w14:textId="77777777" w:rsidTr="007E3420">
        <w:trPr>
          <w:jc w:val="center"/>
        </w:trPr>
        <w:tc>
          <w:tcPr>
            <w:tcW w:w="786" w:type="pct"/>
            <w:tcBorders>
              <w:top w:val="nil"/>
              <w:left w:val="nil"/>
              <w:bottom w:val="nil"/>
              <w:right w:val="nil"/>
            </w:tcBorders>
          </w:tcPr>
          <w:p w14:paraId="78A4FAEE" w14:textId="77777777" w:rsidR="000D0314" w:rsidRPr="007E4ED2" w:rsidRDefault="000D0314" w:rsidP="00235859">
            <w:pPr>
              <w:widowControl w:val="0"/>
              <w:autoSpaceDE w:val="0"/>
              <w:autoSpaceDN w:val="0"/>
              <w:adjustRightInd w:val="0"/>
              <w:rPr>
                <w:sz w:val="18"/>
                <w:szCs w:val="18"/>
              </w:rPr>
            </w:pPr>
            <w:r w:rsidRPr="007E4ED2">
              <w:rPr>
                <w:sz w:val="18"/>
                <w:szCs w:val="18"/>
              </w:rPr>
              <w:t>NVOTE</w:t>
            </w:r>
          </w:p>
        </w:tc>
        <w:tc>
          <w:tcPr>
            <w:tcW w:w="864" w:type="pct"/>
            <w:tcBorders>
              <w:top w:val="nil"/>
              <w:left w:val="nil"/>
              <w:bottom w:val="nil"/>
              <w:right w:val="nil"/>
            </w:tcBorders>
          </w:tcPr>
          <w:p w14:paraId="6C3B86ED" w14:textId="77777777" w:rsidR="000D0314" w:rsidRPr="007E4ED2" w:rsidRDefault="000D0314" w:rsidP="00235859">
            <w:pPr>
              <w:widowControl w:val="0"/>
              <w:autoSpaceDE w:val="0"/>
              <w:autoSpaceDN w:val="0"/>
              <w:adjustRightInd w:val="0"/>
              <w:jc w:val="center"/>
              <w:rPr>
                <w:sz w:val="18"/>
                <w:szCs w:val="18"/>
              </w:rPr>
            </w:pPr>
          </w:p>
        </w:tc>
        <w:tc>
          <w:tcPr>
            <w:tcW w:w="516" w:type="pct"/>
            <w:tcBorders>
              <w:top w:val="nil"/>
              <w:left w:val="nil"/>
              <w:bottom w:val="nil"/>
              <w:right w:val="nil"/>
            </w:tcBorders>
          </w:tcPr>
          <w:p w14:paraId="14179B73" w14:textId="73E715AD" w:rsidR="000D0314" w:rsidRPr="007E4ED2"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68B34691" w14:textId="77777777" w:rsidR="000D0314" w:rsidRPr="007E4ED2"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40A726EE" w14:textId="3450BD9C" w:rsidR="000D0314" w:rsidRPr="007E4ED2" w:rsidRDefault="000D0314" w:rsidP="00235859">
            <w:pPr>
              <w:widowControl w:val="0"/>
              <w:autoSpaceDE w:val="0"/>
              <w:autoSpaceDN w:val="0"/>
              <w:adjustRightInd w:val="0"/>
              <w:jc w:val="center"/>
              <w:rPr>
                <w:sz w:val="18"/>
                <w:szCs w:val="18"/>
              </w:rPr>
            </w:pPr>
            <w:r w:rsidRPr="007E4ED2">
              <w:rPr>
                <w:sz w:val="18"/>
                <w:szCs w:val="18"/>
              </w:rPr>
              <w:t>0.0004</w:t>
            </w:r>
          </w:p>
        </w:tc>
        <w:tc>
          <w:tcPr>
            <w:tcW w:w="523" w:type="pct"/>
            <w:tcBorders>
              <w:top w:val="nil"/>
              <w:left w:val="nil"/>
              <w:bottom w:val="nil"/>
              <w:right w:val="nil"/>
            </w:tcBorders>
          </w:tcPr>
          <w:p w14:paraId="33FA0161" w14:textId="23DBCAE9" w:rsidR="000D0314" w:rsidRPr="007E4ED2"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1913AABA" w14:textId="77777777" w:rsidR="000D0314" w:rsidRPr="007E4ED2" w:rsidRDefault="000D0314" w:rsidP="00235859">
            <w:pPr>
              <w:widowControl w:val="0"/>
              <w:autoSpaceDE w:val="0"/>
              <w:autoSpaceDN w:val="0"/>
              <w:adjustRightInd w:val="0"/>
              <w:jc w:val="center"/>
              <w:rPr>
                <w:sz w:val="18"/>
                <w:szCs w:val="18"/>
              </w:rPr>
            </w:pPr>
          </w:p>
        </w:tc>
      </w:tr>
      <w:tr w:rsidR="008550C6" w:rsidRPr="007E4ED2" w14:paraId="7DD5EAC3" w14:textId="77777777" w:rsidTr="007E3420">
        <w:trPr>
          <w:jc w:val="center"/>
        </w:trPr>
        <w:tc>
          <w:tcPr>
            <w:tcW w:w="786" w:type="pct"/>
            <w:tcBorders>
              <w:top w:val="nil"/>
              <w:left w:val="nil"/>
              <w:bottom w:val="nil"/>
              <w:right w:val="nil"/>
            </w:tcBorders>
          </w:tcPr>
          <w:p w14:paraId="09AD3DBE" w14:textId="77777777" w:rsidR="000D0314" w:rsidRPr="007E4ED2" w:rsidRDefault="000D0314" w:rsidP="00235859">
            <w:pPr>
              <w:widowControl w:val="0"/>
              <w:autoSpaceDE w:val="0"/>
              <w:autoSpaceDN w:val="0"/>
              <w:adjustRightInd w:val="0"/>
              <w:rPr>
                <w:sz w:val="18"/>
                <w:szCs w:val="18"/>
              </w:rPr>
            </w:pPr>
          </w:p>
        </w:tc>
        <w:tc>
          <w:tcPr>
            <w:tcW w:w="864" w:type="pct"/>
            <w:tcBorders>
              <w:top w:val="nil"/>
              <w:left w:val="nil"/>
              <w:bottom w:val="nil"/>
              <w:right w:val="nil"/>
            </w:tcBorders>
          </w:tcPr>
          <w:p w14:paraId="56265234" w14:textId="77777777" w:rsidR="000D0314" w:rsidRPr="007E4ED2" w:rsidRDefault="000D0314" w:rsidP="00235859">
            <w:pPr>
              <w:widowControl w:val="0"/>
              <w:autoSpaceDE w:val="0"/>
              <w:autoSpaceDN w:val="0"/>
              <w:adjustRightInd w:val="0"/>
              <w:jc w:val="center"/>
              <w:rPr>
                <w:sz w:val="18"/>
                <w:szCs w:val="18"/>
              </w:rPr>
            </w:pPr>
          </w:p>
        </w:tc>
        <w:tc>
          <w:tcPr>
            <w:tcW w:w="516" w:type="pct"/>
            <w:tcBorders>
              <w:top w:val="nil"/>
              <w:left w:val="nil"/>
              <w:bottom w:val="nil"/>
              <w:right w:val="nil"/>
            </w:tcBorders>
          </w:tcPr>
          <w:p w14:paraId="1D72FB30" w14:textId="02745B60" w:rsidR="000D0314" w:rsidRPr="007E4ED2"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5F1B1E2D" w14:textId="77777777" w:rsidR="000D0314" w:rsidRPr="007E4ED2"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2E6197F7" w14:textId="6EFCB24E" w:rsidR="000D0314" w:rsidRPr="007E4ED2" w:rsidRDefault="000D0314" w:rsidP="00235859">
            <w:pPr>
              <w:widowControl w:val="0"/>
              <w:autoSpaceDE w:val="0"/>
              <w:autoSpaceDN w:val="0"/>
              <w:adjustRightInd w:val="0"/>
              <w:jc w:val="center"/>
              <w:rPr>
                <w:sz w:val="18"/>
                <w:szCs w:val="18"/>
              </w:rPr>
            </w:pPr>
            <w:r w:rsidRPr="007E4ED2">
              <w:rPr>
                <w:sz w:val="18"/>
                <w:szCs w:val="18"/>
              </w:rPr>
              <w:t>(0.0000)</w:t>
            </w:r>
          </w:p>
        </w:tc>
        <w:tc>
          <w:tcPr>
            <w:tcW w:w="523" w:type="pct"/>
            <w:tcBorders>
              <w:top w:val="nil"/>
              <w:left w:val="nil"/>
              <w:bottom w:val="nil"/>
              <w:right w:val="nil"/>
            </w:tcBorders>
          </w:tcPr>
          <w:p w14:paraId="7EF85AF2" w14:textId="316555D4" w:rsidR="000D0314" w:rsidRPr="007E4ED2"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18C5F85E" w14:textId="77777777" w:rsidR="000D0314" w:rsidRPr="007E4ED2" w:rsidRDefault="000D0314" w:rsidP="00235859">
            <w:pPr>
              <w:widowControl w:val="0"/>
              <w:autoSpaceDE w:val="0"/>
              <w:autoSpaceDN w:val="0"/>
              <w:adjustRightInd w:val="0"/>
              <w:jc w:val="center"/>
              <w:rPr>
                <w:sz w:val="18"/>
                <w:szCs w:val="18"/>
              </w:rPr>
            </w:pPr>
          </w:p>
        </w:tc>
      </w:tr>
      <w:tr w:rsidR="008550C6" w:rsidRPr="008550C6" w14:paraId="4C666331" w14:textId="77777777" w:rsidTr="007E3420">
        <w:trPr>
          <w:jc w:val="center"/>
        </w:trPr>
        <w:tc>
          <w:tcPr>
            <w:tcW w:w="786" w:type="pct"/>
            <w:tcBorders>
              <w:top w:val="nil"/>
              <w:left w:val="nil"/>
              <w:bottom w:val="nil"/>
              <w:right w:val="nil"/>
            </w:tcBorders>
          </w:tcPr>
          <w:p w14:paraId="129C3906" w14:textId="77777777" w:rsidR="000D0314" w:rsidRPr="008550C6" w:rsidRDefault="000D0314" w:rsidP="00235859">
            <w:pPr>
              <w:widowControl w:val="0"/>
              <w:autoSpaceDE w:val="0"/>
              <w:autoSpaceDN w:val="0"/>
              <w:adjustRightInd w:val="0"/>
              <w:rPr>
                <w:sz w:val="18"/>
                <w:szCs w:val="18"/>
              </w:rPr>
            </w:pPr>
            <w:r w:rsidRPr="008550C6">
              <w:rPr>
                <w:sz w:val="18"/>
                <w:szCs w:val="18"/>
              </w:rPr>
              <w:t>LNTA</w:t>
            </w:r>
          </w:p>
        </w:tc>
        <w:tc>
          <w:tcPr>
            <w:tcW w:w="864" w:type="pct"/>
            <w:tcBorders>
              <w:top w:val="nil"/>
              <w:left w:val="nil"/>
              <w:bottom w:val="nil"/>
              <w:right w:val="nil"/>
            </w:tcBorders>
          </w:tcPr>
          <w:p w14:paraId="0E444A2A" w14:textId="4D63594F" w:rsidR="000D0314" w:rsidRPr="008550C6" w:rsidRDefault="000D0314" w:rsidP="00235859">
            <w:pPr>
              <w:widowControl w:val="0"/>
              <w:autoSpaceDE w:val="0"/>
              <w:autoSpaceDN w:val="0"/>
              <w:adjustRightInd w:val="0"/>
              <w:jc w:val="center"/>
              <w:rPr>
                <w:sz w:val="18"/>
                <w:szCs w:val="18"/>
              </w:rPr>
            </w:pPr>
            <w:r w:rsidRPr="008550C6">
              <w:rPr>
                <w:sz w:val="18"/>
                <w:szCs w:val="18"/>
              </w:rPr>
              <w:t>0.0369***</w:t>
            </w:r>
          </w:p>
        </w:tc>
        <w:tc>
          <w:tcPr>
            <w:tcW w:w="516" w:type="pct"/>
            <w:tcBorders>
              <w:top w:val="nil"/>
              <w:left w:val="nil"/>
              <w:bottom w:val="nil"/>
              <w:right w:val="nil"/>
            </w:tcBorders>
          </w:tcPr>
          <w:p w14:paraId="165F8558" w14:textId="34F05D26"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698B38CA" w14:textId="77777777" w:rsidR="000D0314" w:rsidRPr="008550C6"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1D0E8396" w14:textId="16540D10" w:rsidR="000D0314" w:rsidRPr="008550C6" w:rsidRDefault="000D0314" w:rsidP="00235859">
            <w:pPr>
              <w:widowControl w:val="0"/>
              <w:autoSpaceDE w:val="0"/>
              <w:autoSpaceDN w:val="0"/>
              <w:adjustRightInd w:val="0"/>
              <w:jc w:val="center"/>
              <w:rPr>
                <w:sz w:val="18"/>
                <w:szCs w:val="18"/>
              </w:rPr>
            </w:pPr>
            <w:r w:rsidRPr="008550C6">
              <w:rPr>
                <w:sz w:val="18"/>
                <w:szCs w:val="18"/>
              </w:rPr>
              <w:t>0.0367***</w:t>
            </w:r>
          </w:p>
        </w:tc>
        <w:tc>
          <w:tcPr>
            <w:tcW w:w="523" w:type="pct"/>
            <w:tcBorders>
              <w:top w:val="nil"/>
              <w:left w:val="nil"/>
              <w:bottom w:val="nil"/>
              <w:right w:val="nil"/>
            </w:tcBorders>
          </w:tcPr>
          <w:p w14:paraId="781E7D96" w14:textId="1A36A81E"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44C4C92B" w14:textId="77777777" w:rsidR="000D0314" w:rsidRPr="008550C6" w:rsidRDefault="000D0314" w:rsidP="00235859">
            <w:pPr>
              <w:widowControl w:val="0"/>
              <w:autoSpaceDE w:val="0"/>
              <w:autoSpaceDN w:val="0"/>
              <w:adjustRightInd w:val="0"/>
              <w:jc w:val="center"/>
              <w:rPr>
                <w:sz w:val="18"/>
                <w:szCs w:val="18"/>
              </w:rPr>
            </w:pPr>
          </w:p>
        </w:tc>
      </w:tr>
      <w:tr w:rsidR="008550C6" w:rsidRPr="008550C6" w14:paraId="392F38C5" w14:textId="77777777" w:rsidTr="007E3420">
        <w:trPr>
          <w:jc w:val="center"/>
        </w:trPr>
        <w:tc>
          <w:tcPr>
            <w:tcW w:w="786" w:type="pct"/>
            <w:tcBorders>
              <w:top w:val="nil"/>
              <w:left w:val="nil"/>
              <w:bottom w:val="nil"/>
              <w:right w:val="nil"/>
            </w:tcBorders>
          </w:tcPr>
          <w:p w14:paraId="0EF83036" w14:textId="77777777" w:rsidR="000D0314" w:rsidRPr="008550C6" w:rsidRDefault="000D0314" w:rsidP="00235859">
            <w:pPr>
              <w:widowControl w:val="0"/>
              <w:autoSpaceDE w:val="0"/>
              <w:autoSpaceDN w:val="0"/>
              <w:adjustRightInd w:val="0"/>
              <w:rPr>
                <w:sz w:val="18"/>
                <w:szCs w:val="18"/>
              </w:rPr>
            </w:pPr>
          </w:p>
        </w:tc>
        <w:tc>
          <w:tcPr>
            <w:tcW w:w="864" w:type="pct"/>
            <w:tcBorders>
              <w:top w:val="nil"/>
              <w:left w:val="nil"/>
              <w:bottom w:val="nil"/>
              <w:right w:val="nil"/>
            </w:tcBorders>
          </w:tcPr>
          <w:p w14:paraId="625E4030" w14:textId="5061450C" w:rsidR="000D0314" w:rsidRPr="008550C6" w:rsidRDefault="000D0314" w:rsidP="00235859">
            <w:pPr>
              <w:widowControl w:val="0"/>
              <w:autoSpaceDE w:val="0"/>
              <w:autoSpaceDN w:val="0"/>
              <w:adjustRightInd w:val="0"/>
              <w:jc w:val="center"/>
              <w:rPr>
                <w:sz w:val="18"/>
                <w:szCs w:val="18"/>
              </w:rPr>
            </w:pPr>
            <w:r w:rsidRPr="008550C6">
              <w:rPr>
                <w:sz w:val="18"/>
                <w:szCs w:val="18"/>
              </w:rPr>
              <w:t>(16.8402)</w:t>
            </w:r>
          </w:p>
        </w:tc>
        <w:tc>
          <w:tcPr>
            <w:tcW w:w="516" w:type="pct"/>
            <w:tcBorders>
              <w:top w:val="nil"/>
              <w:left w:val="nil"/>
              <w:bottom w:val="nil"/>
              <w:right w:val="nil"/>
            </w:tcBorders>
          </w:tcPr>
          <w:p w14:paraId="7D0DCB47" w14:textId="17A169BD"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153C70DC" w14:textId="77777777" w:rsidR="000D0314" w:rsidRPr="008550C6"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4AC26A62" w14:textId="3F497014" w:rsidR="000D0314" w:rsidRPr="008550C6" w:rsidRDefault="000D0314" w:rsidP="00235859">
            <w:pPr>
              <w:widowControl w:val="0"/>
              <w:autoSpaceDE w:val="0"/>
              <w:autoSpaceDN w:val="0"/>
              <w:adjustRightInd w:val="0"/>
              <w:jc w:val="center"/>
              <w:rPr>
                <w:sz w:val="18"/>
                <w:szCs w:val="18"/>
              </w:rPr>
            </w:pPr>
            <w:r w:rsidRPr="008550C6">
              <w:rPr>
                <w:sz w:val="18"/>
                <w:szCs w:val="18"/>
              </w:rPr>
              <w:t>(16.7665)</w:t>
            </w:r>
          </w:p>
        </w:tc>
        <w:tc>
          <w:tcPr>
            <w:tcW w:w="523" w:type="pct"/>
            <w:tcBorders>
              <w:top w:val="nil"/>
              <w:left w:val="nil"/>
              <w:bottom w:val="nil"/>
              <w:right w:val="nil"/>
            </w:tcBorders>
          </w:tcPr>
          <w:p w14:paraId="5C055817" w14:textId="457BBDC1"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54115D25" w14:textId="77777777" w:rsidR="000D0314" w:rsidRPr="008550C6" w:rsidRDefault="000D0314" w:rsidP="00235859">
            <w:pPr>
              <w:widowControl w:val="0"/>
              <w:autoSpaceDE w:val="0"/>
              <w:autoSpaceDN w:val="0"/>
              <w:adjustRightInd w:val="0"/>
              <w:jc w:val="center"/>
              <w:rPr>
                <w:sz w:val="18"/>
                <w:szCs w:val="18"/>
              </w:rPr>
            </w:pPr>
          </w:p>
        </w:tc>
      </w:tr>
      <w:tr w:rsidR="008550C6" w:rsidRPr="008550C6" w14:paraId="7CC04B39" w14:textId="77777777" w:rsidTr="007E3420">
        <w:trPr>
          <w:jc w:val="center"/>
        </w:trPr>
        <w:tc>
          <w:tcPr>
            <w:tcW w:w="786" w:type="pct"/>
            <w:tcBorders>
              <w:top w:val="nil"/>
              <w:left w:val="nil"/>
              <w:bottom w:val="nil"/>
              <w:right w:val="nil"/>
            </w:tcBorders>
          </w:tcPr>
          <w:p w14:paraId="63A1BFB8" w14:textId="77777777" w:rsidR="000D0314" w:rsidRPr="008550C6" w:rsidRDefault="000D0314" w:rsidP="00235859">
            <w:pPr>
              <w:widowControl w:val="0"/>
              <w:autoSpaceDE w:val="0"/>
              <w:autoSpaceDN w:val="0"/>
              <w:adjustRightInd w:val="0"/>
              <w:rPr>
                <w:sz w:val="18"/>
                <w:szCs w:val="18"/>
              </w:rPr>
            </w:pPr>
            <w:r w:rsidRPr="008550C6">
              <w:rPr>
                <w:sz w:val="18"/>
                <w:szCs w:val="18"/>
              </w:rPr>
              <w:t>NPLTL</w:t>
            </w:r>
          </w:p>
        </w:tc>
        <w:tc>
          <w:tcPr>
            <w:tcW w:w="864" w:type="pct"/>
            <w:tcBorders>
              <w:top w:val="nil"/>
              <w:left w:val="nil"/>
              <w:bottom w:val="nil"/>
              <w:right w:val="nil"/>
            </w:tcBorders>
          </w:tcPr>
          <w:p w14:paraId="4F44F419" w14:textId="7C795690" w:rsidR="000D0314" w:rsidRPr="008550C6" w:rsidRDefault="000D0314" w:rsidP="00235859">
            <w:pPr>
              <w:widowControl w:val="0"/>
              <w:autoSpaceDE w:val="0"/>
              <w:autoSpaceDN w:val="0"/>
              <w:adjustRightInd w:val="0"/>
              <w:jc w:val="center"/>
              <w:rPr>
                <w:sz w:val="18"/>
                <w:szCs w:val="18"/>
              </w:rPr>
            </w:pPr>
            <w:r w:rsidRPr="008550C6">
              <w:rPr>
                <w:sz w:val="18"/>
                <w:szCs w:val="18"/>
              </w:rPr>
              <w:t>-0.9589*</w:t>
            </w:r>
          </w:p>
        </w:tc>
        <w:tc>
          <w:tcPr>
            <w:tcW w:w="516" w:type="pct"/>
            <w:tcBorders>
              <w:top w:val="nil"/>
              <w:left w:val="nil"/>
              <w:bottom w:val="nil"/>
              <w:right w:val="nil"/>
            </w:tcBorders>
          </w:tcPr>
          <w:p w14:paraId="186DD724" w14:textId="231181DE"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48E34490" w14:textId="77777777" w:rsidR="000D0314" w:rsidRPr="008550C6"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51CA22E6" w14:textId="75D16D2E" w:rsidR="000D0314" w:rsidRPr="008550C6" w:rsidRDefault="000D0314" w:rsidP="00235859">
            <w:pPr>
              <w:widowControl w:val="0"/>
              <w:autoSpaceDE w:val="0"/>
              <w:autoSpaceDN w:val="0"/>
              <w:adjustRightInd w:val="0"/>
              <w:jc w:val="center"/>
              <w:rPr>
                <w:sz w:val="18"/>
                <w:szCs w:val="18"/>
              </w:rPr>
            </w:pPr>
            <w:r w:rsidRPr="008550C6">
              <w:rPr>
                <w:sz w:val="18"/>
                <w:szCs w:val="18"/>
              </w:rPr>
              <w:t>-0.9006*</w:t>
            </w:r>
          </w:p>
        </w:tc>
        <w:tc>
          <w:tcPr>
            <w:tcW w:w="523" w:type="pct"/>
            <w:tcBorders>
              <w:top w:val="nil"/>
              <w:left w:val="nil"/>
              <w:bottom w:val="nil"/>
              <w:right w:val="nil"/>
            </w:tcBorders>
          </w:tcPr>
          <w:p w14:paraId="55994B67" w14:textId="167AAD44"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74EE8063" w14:textId="77777777" w:rsidR="000D0314" w:rsidRPr="008550C6" w:rsidRDefault="000D0314" w:rsidP="00235859">
            <w:pPr>
              <w:widowControl w:val="0"/>
              <w:autoSpaceDE w:val="0"/>
              <w:autoSpaceDN w:val="0"/>
              <w:adjustRightInd w:val="0"/>
              <w:jc w:val="center"/>
              <w:rPr>
                <w:sz w:val="18"/>
                <w:szCs w:val="18"/>
              </w:rPr>
            </w:pPr>
          </w:p>
        </w:tc>
      </w:tr>
      <w:tr w:rsidR="008550C6" w:rsidRPr="008550C6" w14:paraId="2BD90FD9" w14:textId="77777777" w:rsidTr="007E3420">
        <w:trPr>
          <w:jc w:val="center"/>
        </w:trPr>
        <w:tc>
          <w:tcPr>
            <w:tcW w:w="786" w:type="pct"/>
            <w:tcBorders>
              <w:top w:val="nil"/>
              <w:left w:val="nil"/>
              <w:bottom w:val="nil"/>
              <w:right w:val="nil"/>
            </w:tcBorders>
          </w:tcPr>
          <w:p w14:paraId="7812D43F" w14:textId="77777777" w:rsidR="000D0314" w:rsidRPr="008550C6" w:rsidRDefault="000D0314" w:rsidP="00235859">
            <w:pPr>
              <w:widowControl w:val="0"/>
              <w:autoSpaceDE w:val="0"/>
              <w:autoSpaceDN w:val="0"/>
              <w:adjustRightInd w:val="0"/>
              <w:rPr>
                <w:sz w:val="18"/>
                <w:szCs w:val="18"/>
              </w:rPr>
            </w:pPr>
          </w:p>
        </w:tc>
        <w:tc>
          <w:tcPr>
            <w:tcW w:w="864" w:type="pct"/>
            <w:tcBorders>
              <w:top w:val="nil"/>
              <w:left w:val="nil"/>
              <w:bottom w:val="nil"/>
              <w:right w:val="nil"/>
            </w:tcBorders>
          </w:tcPr>
          <w:p w14:paraId="05656F8C" w14:textId="17D01DA0" w:rsidR="000D0314" w:rsidRPr="008550C6" w:rsidRDefault="000D0314" w:rsidP="00235859">
            <w:pPr>
              <w:widowControl w:val="0"/>
              <w:autoSpaceDE w:val="0"/>
              <w:autoSpaceDN w:val="0"/>
              <w:adjustRightInd w:val="0"/>
              <w:jc w:val="center"/>
              <w:rPr>
                <w:sz w:val="18"/>
                <w:szCs w:val="18"/>
              </w:rPr>
            </w:pPr>
            <w:r w:rsidRPr="008550C6">
              <w:rPr>
                <w:sz w:val="18"/>
                <w:szCs w:val="18"/>
              </w:rPr>
              <w:t>(1.8841)</w:t>
            </w:r>
          </w:p>
        </w:tc>
        <w:tc>
          <w:tcPr>
            <w:tcW w:w="516" w:type="pct"/>
            <w:tcBorders>
              <w:top w:val="nil"/>
              <w:left w:val="nil"/>
              <w:bottom w:val="nil"/>
              <w:right w:val="nil"/>
            </w:tcBorders>
          </w:tcPr>
          <w:p w14:paraId="68C0BAE4" w14:textId="0292B2A9"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44CEB7EF" w14:textId="77777777" w:rsidR="000D0314" w:rsidRPr="008550C6"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4973365F" w14:textId="5D4DBAD0" w:rsidR="000D0314" w:rsidRPr="008550C6" w:rsidRDefault="000D0314" w:rsidP="00235859">
            <w:pPr>
              <w:widowControl w:val="0"/>
              <w:autoSpaceDE w:val="0"/>
              <w:autoSpaceDN w:val="0"/>
              <w:adjustRightInd w:val="0"/>
              <w:jc w:val="center"/>
              <w:rPr>
                <w:sz w:val="18"/>
                <w:szCs w:val="18"/>
              </w:rPr>
            </w:pPr>
            <w:r w:rsidRPr="008550C6">
              <w:rPr>
                <w:sz w:val="18"/>
                <w:szCs w:val="18"/>
              </w:rPr>
              <w:t>(1.7669)</w:t>
            </w:r>
          </w:p>
        </w:tc>
        <w:tc>
          <w:tcPr>
            <w:tcW w:w="523" w:type="pct"/>
            <w:tcBorders>
              <w:top w:val="nil"/>
              <w:left w:val="nil"/>
              <w:bottom w:val="nil"/>
              <w:right w:val="nil"/>
            </w:tcBorders>
          </w:tcPr>
          <w:p w14:paraId="7F37DEF7" w14:textId="25864585"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1D71A524" w14:textId="77777777" w:rsidR="000D0314" w:rsidRPr="008550C6" w:rsidRDefault="000D0314" w:rsidP="00235859">
            <w:pPr>
              <w:widowControl w:val="0"/>
              <w:autoSpaceDE w:val="0"/>
              <w:autoSpaceDN w:val="0"/>
              <w:adjustRightInd w:val="0"/>
              <w:jc w:val="center"/>
              <w:rPr>
                <w:sz w:val="18"/>
                <w:szCs w:val="18"/>
              </w:rPr>
            </w:pPr>
          </w:p>
        </w:tc>
      </w:tr>
      <w:tr w:rsidR="008550C6" w:rsidRPr="008550C6" w14:paraId="67E33498" w14:textId="77777777" w:rsidTr="007E3420">
        <w:trPr>
          <w:jc w:val="center"/>
        </w:trPr>
        <w:tc>
          <w:tcPr>
            <w:tcW w:w="786" w:type="pct"/>
            <w:tcBorders>
              <w:top w:val="nil"/>
              <w:left w:val="nil"/>
              <w:bottom w:val="nil"/>
              <w:right w:val="nil"/>
            </w:tcBorders>
          </w:tcPr>
          <w:p w14:paraId="4141D365" w14:textId="117EAF99" w:rsidR="000D0314" w:rsidRPr="008550C6" w:rsidRDefault="000D0314" w:rsidP="00235859">
            <w:pPr>
              <w:widowControl w:val="0"/>
              <w:autoSpaceDE w:val="0"/>
              <w:autoSpaceDN w:val="0"/>
              <w:adjustRightInd w:val="0"/>
              <w:rPr>
                <w:sz w:val="18"/>
                <w:szCs w:val="18"/>
              </w:rPr>
            </w:pPr>
            <w:r w:rsidRPr="008550C6">
              <w:rPr>
                <w:sz w:val="18"/>
                <w:szCs w:val="18"/>
              </w:rPr>
              <w:t>DOA</w:t>
            </w:r>
          </w:p>
        </w:tc>
        <w:tc>
          <w:tcPr>
            <w:tcW w:w="864" w:type="pct"/>
            <w:tcBorders>
              <w:top w:val="nil"/>
              <w:left w:val="nil"/>
              <w:bottom w:val="nil"/>
              <w:right w:val="nil"/>
            </w:tcBorders>
          </w:tcPr>
          <w:p w14:paraId="1557A22F" w14:textId="29DFF7A5" w:rsidR="000D0314" w:rsidRPr="008550C6" w:rsidRDefault="000D0314" w:rsidP="00235859">
            <w:pPr>
              <w:widowControl w:val="0"/>
              <w:autoSpaceDE w:val="0"/>
              <w:autoSpaceDN w:val="0"/>
              <w:adjustRightInd w:val="0"/>
              <w:jc w:val="center"/>
              <w:rPr>
                <w:sz w:val="18"/>
                <w:szCs w:val="18"/>
              </w:rPr>
            </w:pPr>
            <w:r w:rsidRPr="008550C6">
              <w:rPr>
                <w:sz w:val="18"/>
                <w:szCs w:val="18"/>
              </w:rPr>
              <w:t>-0.0243</w:t>
            </w:r>
          </w:p>
        </w:tc>
        <w:tc>
          <w:tcPr>
            <w:tcW w:w="516" w:type="pct"/>
            <w:tcBorders>
              <w:top w:val="nil"/>
              <w:left w:val="nil"/>
              <w:bottom w:val="nil"/>
              <w:right w:val="nil"/>
            </w:tcBorders>
          </w:tcPr>
          <w:p w14:paraId="34E3E8A0" w14:textId="3F51977A"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2660099C" w14:textId="77777777" w:rsidR="000D0314" w:rsidRPr="008550C6"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4D5D6416" w14:textId="6E77C852" w:rsidR="000D0314" w:rsidRPr="008550C6" w:rsidRDefault="000D0314" w:rsidP="00235859">
            <w:pPr>
              <w:widowControl w:val="0"/>
              <w:autoSpaceDE w:val="0"/>
              <w:autoSpaceDN w:val="0"/>
              <w:adjustRightInd w:val="0"/>
              <w:jc w:val="center"/>
              <w:rPr>
                <w:sz w:val="18"/>
                <w:szCs w:val="18"/>
              </w:rPr>
            </w:pPr>
            <w:r w:rsidRPr="008550C6">
              <w:rPr>
                <w:sz w:val="18"/>
                <w:szCs w:val="18"/>
              </w:rPr>
              <w:t>-0.0272</w:t>
            </w:r>
          </w:p>
        </w:tc>
        <w:tc>
          <w:tcPr>
            <w:tcW w:w="523" w:type="pct"/>
            <w:tcBorders>
              <w:top w:val="nil"/>
              <w:left w:val="nil"/>
              <w:bottom w:val="nil"/>
              <w:right w:val="nil"/>
            </w:tcBorders>
          </w:tcPr>
          <w:p w14:paraId="2472FDC0" w14:textId="633445CB"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6A7D66F2" w14:textId="77777777" w:rsidR="000D0314" w:rsidRPr="008550C6" w:rsidRDefault="000D0314" w:rsidP="00235859">
            <w:pPr>
              <w:widowControl w:val="0"/>
              <w:autoSpaceDE w:val="0"/>
              <w:autoSpaceDN w:val="0"/>
              <w:adjustRightInd w:val="0"/>
              <w:jc w:val="center"/>
              <w:rPr>
                <w:sz w:val="18"/>
                <w:szCs w:val="18"/>
              </w:rPr>
            </w:pPr>
          </w:p>
        </w:tc>
      </w:tr>
      <w:tr w:rsidR="008550C6" w:rsidRPr="008550C6" w14:paraId="6701B9A0" w14:textId="77777777" w:rsidTr="007E3420">
        <w:trPr>
          <w:jc w:val="center"/>
        </w:trPr>
        <w:tc>
          <w:tcPr>
            <w:tcW w:w="786" w:type="pct"/>
            <w:tcBorders>
              <w:top w:val="nil"/>
              <w:left w:val="nil"/>
              <w:bottom w:val="nil"/>
              <w:right w:val="nil"/>
            </w:tcBorders>
          </w:tcPr>
          <w:p w14:paraId="12658D87" w14:textId="77777777" w:rsidR="000D0314" w:rsidRPr="008550C6" w:rsidRDefault="000D0314" w:rsidP="00235859">
            <w:pPr>
              <w:widowControl w:val="0"/>
              <w:autoSpaceDE w:val="0"/>
              <w:autoSpaceDN w:val="0"/>
              <w:adjustRightInd w:val="0"/>
              <w:rPr>
                <w:sz w:val="18"/>
                <w:szCs w:val="18"/>
              </w:rPr>
            </w:pPr>
          </w:p>
        </w:tc>
        <w:tc>
          <w:tcPr>
            <w:tcW w:w="864" w:type="pct"/>
            <w:tcBorders>
              <w:top w:val="nil"/>
              <w:left w:val="nil"/>
              <w:bottom w:val="nil"/>
              <w:right w:val="nil"/>
            </w:tcBorders>
          </w:tcPr>
          <w:p w14:paraId="5CF33381" w14:textId="260D4A75" w:rsidR="000D0314" w:rsidRPr="008550C6" w:rsidRDefault="000D0314" w:rsidP="00235859">
            <w:pPr>
              <w:widowControl w:val="0"/>
              <w:autoSpaceDE w:val="0"/>
              <w:autoSpaceDN w:val="0"/>
              <w:adjustRightInd w:val="0"/>
              <w:jc w:val="center"/>
              <w:rPr>
                <w:sz w:val="18"/>
                <w:szCs w:val="18"/>
              </w:rPr>
            </w:pPr>
            <w:r w:rsidRPr="008550C6">
              <w:rPr>
                <w:sz w:val="18"/>
                <w:szCs w:val="18"/>
              </w:rPr>
              <w:t>(0.9619)</w:t>
            </w:r>
          </w:p>
        </w:tc>
        <w:tc>
          <w:tcPr>
            <w:tcW w:w="516" w:type="pct"/>
            <w:tcBorders>
              <w:top w:val="nil"/>
              <w:left w:val="nil"/>
              <w:bottom w:val="nil"/>
              <w:right w:val="nil"/>
            </w:tcBorders>
          </w:tcPr>
          <w:p w14:paraId="5628F3CE" w14:textId="30CDC182"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7C1E09B6" w14:textId="77777777" w:rsidR="000D0314" w:rsidRPr="008550C6"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27679031" w14:textId="0A04A258" w:rsidR="000D0314" w:rsidRPr="008550C6" w:rsidRDefault="000D0314" w:rsidP="00235859">
            <w:pPr>
              <w:widowControl w:val="0"/>
              <w:autoSpaceDE w:val="0"/>
              <w:autoSpaceDN w:val="0"/>
              <w:adjustRightInd w:val="0"/>
              <w:jc w:val="center"/>
              <w:rPr>
                <w:sz w:val="18"/>
                <w:szCs w:val="18"/>
              </w:rPr>
            </w:pPr>
            <w:r w:rsidRPr="008550C6">
              <w:rPr>
                <w:sz w:val="18"/>
                <w:szCs w:val="18"/>
              </w:rPr>
              <w:t>(1.0769)</w:t>
            </w:r>
          </w:p>
        </w:tc>
        <w:tc>
          <w:tcPr>
            <w:tcW w:w="523" w:type="pct"/>
            <w:tcBorders>
              <w:top w:val="nil"/>
              <w:left w:val="nil"/>
              <w:bottom w:val="nil"/>
              <w:right w:val="nil"/>
            </w:tcBorders>
          </w:tcPr>
          <w:p w14:paraId="440B5D26" w14:textId="5C6AC648"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03016163" w14:textId="77777777" w:rsidR="000D0314" w:rsidRPr="008550C6" w:rsidRDefault="000D0314" w:rsidP="00235859">
            <w:pPr>
              <w:widowControl w:val="0"/>
              <w:autoSpaceDE w:val="0"/>
              <w:autoSpaceDN w:val="0"/>
              <w:adjustRightInd w:val="0"/>
              <w:jc w:val="center"/>
              <w:rPr>
                <w:sz w:val="18"/>
                <w:szCs w:val="18"/>
              </w:rPr>
            </w:pPr>
          </w:p>
        </w:tc>
      </w:tr>
      <w:tr w:rsidR="008550C6" w:rsidRPr="008550C6" w14:paraId="6DEE1211" w14:textId="77777777" w:rsidTr="007E3420">
        <w:trPr>
          <w:jc w:val="center"/>
        </w:trPr>
        <w:tc>
          <w:tcPr>
            <w:tcW w:w="786" w:type="pct"/>
            <w:tcBorders>
              <w:top w:val="nil"/>
              <w:left w:val="nil"/>
              <w:bottom w:val="nil"/>
              <w:right w:val="nil"/>
            </w:tcBorders>
          </w:tcPr>
          <w:p w14:paraId="483B24D7" w14:textId="31E83B3D" w:rsidR="000D0314" w:rsidRPr="008550C6" w:rsidRDefault="000D0314" w:rsidP="00235859">
            <w:pPr>
              <w:widowControl w:val="0"/>
              <w:autoSpaceDE w:val="0"/>
              <w:autoSpaceDN w:val="0"/>
              <w:adjustRightInd w:val="0"/>
              <w:rPr>
                <w:sz w:val="18"/>
                <w:szCs w:val="18"/>
              </w:rPr>
            </w:pPr>
            <w:r w:rsidRPr="008550C6">
              <w:rPr>
                <w:sz w:val="18"/>
                <w:szCs w:val="18"/>
              </w:rPr>
              <w:t>C</w:t>
            </w:r>
            <w:r w:rsidR="00783103">
              <w:rPr>
                <w:sz w:val="18"/>
                <w:szCs w:val="18"/>
              </w:rPr>
              <w:t>OVID</w:t>
            </w:r>
            <w:r w:rsidRPr="008550C6">
              <w:rPr>
                <w:sz w:val="18"/>
                <w:szCs w:val="18"/>
              </w:rPr>
              <w:t>-19</w:t>
            </w:r>
          </w:p>
        </w:tc>
        <w:tc>
          <w:tcPr>
            <w:tcW w:w="864" w:type="pct"/>
            <w:tcBorders>
              <w:top w:val="nil"/>
              <w:left w:val="nil"/>
              <w:bottom w:val="nil"/>
              <w:right w:val="nil"/>
            </w:tcBorders>
          </w:tcPr>
          <w:p w14:paraId="2001244C" w14:textId="2E852C4A" w:rsidR="000D0314" w:rsidRPr="008550C6" w:rsidRDefault="000D0314" w:rsidP="00235859">
            <w:pPr>
              <w:widowControl w:val="0"/>
              <w:autoSpaceDE w:val="0"/>
              <w:autoSpaceDN w:val="0"/>
              <w:adjustRightInd w:val="0"/>
              <w:jc w:val="center"/>
              <w:rPr>
                <w:sz w:val="18"/>
                <w:szCs w:val="18"/>
              </w:rPr>
            </w:pPr>
            <w:r w:rsidRPr="008550C6">
              <w:rPr>
                <w:sz w:val="18"/>
                <w:szCs w:val="18"/>
              </w:rPr>
              <w:t>-0.0157</w:t>
            </w:r>
          </w:p>
        </w:tc>
        <w:tc>
          <w:tcPr>
            <w:tcW w:w="516" w:type="pct"/>
            <w:tcBorders>
              <w:top w:val="nil"/>
              <w:left w:val="nil"/>
              <w:bottom w:val="nil"/>
              <w:right w:val="nil"/>
            </w:tcBorders>
          </w:tcPr>
          <w:p w14:paraId="5F3FE849" w14:textId="7828825B"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31BF24DE" w14:textId="77777777" w:rsidR="000D0314" w:rsidRPr="008550C6"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0CF62527" w14:textId="057A418E" w:rsidR="000D0314" w:rsidRPr="008550C6" w:rsidRDefault="000D0314" w:rsidP="00235859">
            <w:pPr>
              <w:widowControl w:val="0"/>
              <w:autoSpaceDE w:val="0"/>
              <w:autoSpaceDN w:val="0"/>
              <w:adjustRightInd w:val="0"/>
              <w:jc w:val="center"/>
              <w:rPr>
                <w:sz w:val="18"/>
                <w:szCs w:val="18"/>
              </w:rPr>
            </w:pPr>
            <w:r w:rsidRPr="008550C6">
              <w:rPr>
                <w:sz w:val="18"/>
                <w:szCs w:val="18"/>
              </w:rPr>
              <w:t>-0.0191</w:t>
            </w:r>
          </w:p>
        </w:tc>
        <w:tc>
          <w:tcPr>
            <w:tcW w:w="523" w:type="pct"/>
            <w:tcBorders>
              <w:top w:val="nil"/>
              <w:left w:val="nil"/>
              <w:bottom w:val="nil"/>
              <w:right w:val="nil"/>
            </w:tcBorders>
          </w:tcPr>
          <w:p w14:paraId="35B5D97B" w14:textId="1765829E"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1C651BF4" w14:textId="77777777" w:rsidR="000D0314" w:rsidRPr="008550C6" w:rsidRDefault="000D0314" w:rsidP="00235859">
            <w:pPr>
              <w:widowControl w:val="0"/>
              <w:autoSpaceDE w:val="0"/>
              <w:autoSpaceDN w:val="0"/>
              <w:adjustRightInd w:val="0"/>
              <w:jc w:val="center"/>
              <w:rPr>
                <w:sz w:val="18"/>
                <w:szCs w:val="18"/>
              </w:rPr>
            </w:pPr>
          </w:p>
        </w:tc>
      </w:tr>
      <w:tr w:rsidR="008550C6" w:rsidRPr="008550C6" w14:paraId="4D1C6ADA" w14:textId="77777777" w:rsidTr="007E3420">
        <w:trPr>
          <w:jc w:val="center"/>
        </w:trPr>
        <w:tc>
          <w:tcPr>
            <w:tcW w:w="786" w:type="pct"/>
            <w:tcBorders>
              <w:top w:val="nil"/>
              <w:left w:val="nil"/>
              <w:bottom w:val="nil"/>
              <w:right w:val="nil"/>
            </w:tcBorders>
          </w:tcPr>
          <w:p w14:paraId="6137F961" w14:textId="77777777" w:rsidR="000D0314" w:rsidRPr="008550C6" w:rsidRDefault="000D0314" w:rsidP="00235859">
            <w:pPr>
              <w:widowControl w:val="0"/>
              <w:autoSpaceDE w:val="0"/>
              <w:autoSpaceDN w:val="0"/>
              <w:adjustRightInd w:val="0"/>
              <w:rPr>
                <w:sz w:val="18"/>
                <w:szCs w:val="18"/>
              </w:rPr>
            </w:pPr>
          </w:p>
        </w:tc>
        <w:tc>
          <w:tcPr>
            <w:tcW w:w="864" w:type="pct"/>
            <w:tcBorders>
              <w:top w:val="nil"/>
              <w:left w:val="nil"/>
              <w:bottom w:val="nil"/>
              <w:right w:val="nil"/>
            </w:tcBorders>
          </w:tcPr>
          <w:p w14:paraId="3B66EAF6" w14:textId="66EE4158" w:rsidR="000D0314" w:rsidRPr="008550C6" w:rsidRDefault="000D0314" w:rsidP="00235859">
            <w:pPr>
              <w:widowControl w:val="0"/>
              <w:autoSpaceDE w:val="0"/>
              <w:autoSpaceDN w:val="0"/>
              <w:adjustRightInd w:val="0"/>
              <w:jc w:val="center"/>
              <w:rPr>
                <w:sz w:val="18"/>
                <w:szCs w:val="18"/>
              </w:rPr>
            </w:pPr>
            <w:r w:rsidRPr="008550C6">
              <w:rPr>
                <w:sz w:val="18"/>
                <w:szCs w:val="18"/>
              </w:rPr>
              <w:t>(1.3010)</w:t>
            </w:r>
          </w:p>
        </w:tc>
        <w:tc>
          <w:tcPr>
            <w:tcW w:w="516" w:type="pct"/>
            <w:tcBorders>
              <w:top w:val="nil"/>
              <w:left w:val="nil"/>
              <w:bottom w:val="nil"/>
              <w:right w:val="nil"/>
            </w:tcBorders>
          </w:tcPr>
          <w:p w14:paraId="0F573507" w14:textId="25CC845E"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1F9A072A" w14:textId="77777777" w:rsidR="000D0314" w:rsidRPr="008550C6"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7311A3E1" w14:textId="6ED4C935" w:rsidR="000D0314" w:rsidRPr="008550C6" w:rsidRDefault="000D0314" w:rsidP="00235859">
            <w:pPr>
              <w:widowControl w:val="0"/>
              <w:autoSpaceDE w:val="0"/>
              <w:autoSpaceDN w:val="0"/>
              <w:adjustRightInd w:val="0"/>
              <w:jc w:val="center"/>
              <w:rPr>
                <w:sz w:val="18"/>
                <w:szCs w:val="18"/>
              </w:rPr>
            </w:pPr>
            <w:r w:rsidRPr="008550C6">
              <w:rPr>
                <w:sz w:val="18"/>
                <w:szCs w:val="18"/>
              </w:rPr>
              <w:t>(1.5586)</w:t>
            </w:r>
          </w:p>
        </w:tc>
        <w:tc>
          <w:tcPr>
            <w:tcW w:w="523" w:type="pct"/>
            <w:tcBorders>
              <w:top w:val="nil"/>
              <w:left w:val="nil"/>
              <w:bottom w:val="nil"/>
              <w:right w:val="nil"/>
            </w:tcBorders>
          </w:tcPr>
          <w:p w14:paraId="668BD966" w14:textId="2AA01D11"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1E2002E9" w14:textId="77777777" w:rsidR="000D0314" w:rsidRPr="008550C6" w:rsidRDefault="000D0314" w:rsidP="00235859">
            <w:pPr>
              <w:widowControl w:val="0"/>
              <w:autoSpaceDE w:val="0"/>
              <w:autoSpaceDN w:val="0"/>
              <w:adjustRightInd w:val="0"/>
              <w:jc w:val="center"/>
              <w:rPr>
                <w:sz w:val="18"/>
                <w:szCs w:val="18"/>
              </w:rPr>
            </w:pPr>
          </w:p>
        </w:tc>
      </w:tr>
      <w:tr w:rsidR="008550C6" w:rsidRPr="008550C6" w14:paraId="73E8661D" w14:textId="77777777" w:rsidTr="007E3420">
        <w:trPr>
          <w:jc w:val="center"/>
        </w:trPr>
        <w:tc>
          <w:tcPr>
            <w:tcW w:w="786" w:type="pct"/>
            <w:tcBorders>
              <w:top w:val="nil"/>
              <w:left w:val="nil"/>
              <w:bottom w:val="nil"/>
              <w:right w:val="nil"/>
            </w:tcBorders>
          </w:tcPr>
          <w:p w14:paraId="675B1D2B" w14:textId="77777777" w:rsidR="000D0314" w:rsidRPr="008550C6" w:rsidRDefault="000D0314" w:rsidP="00235859">
            <w:pPr>
              <w:widowControl w:val="0"/>
              <w:autoSpaceDE w:val="0"/>
              <w:autoSpaceDN w:val="0"/>
              <w:adjustRightInd w:val="0"/>
              <w:rPr>
                <w:sz w:val="18"/>
                <w:szCs w:val="18"/>
              </w:rPr>
            </w:pPr>
            <w:r w:rsidRPr="008550C6">
              <w:rPr>
                <w:sz w:val="18"/>
                <w:szCs w:val="18"/>
              </w:rPr>
              <w:t>rho</w:t>
            </w:r>
          </w:p>
        </w:tc>
        <w:tc>
          <w:tcPr>
            <w:tcW w:w="864" w:type="pct"/>
            <w:tcBorders>
              <w:top w:val="nil"/>
              <w:left w:val="nil"/>
              <w:bottom w:val="nil"/>
              <w:right w:val="nil"/>
            </w:tcBorders>
          </w:tcPr>
          <w:p w14:paraId="2D7AE1F3" w14:textId="77777777" w:rsidR="000D0314" w:rsidRPr="008550C6" w:rsidRDefault="000D0314" w:rsidP="00235859">
            <w:pPr>
              <w:widowControl w:val="0"/>
              <w:autoSpaceDE w:val="0"/>
              <w:autoSpaceDN w:val="0"/>
              <w:adjustRightInd w:val="0"/>
              <w:jc w:val="center"/>
              <w:rPr>
                <w:sz w:val="18"/>
                <w:szCs w:val="18"/>
              </w:rPr>
            </w:pPr>
          </w:p>
        </w:tc>
        <w:tc>
          <w:tcPr>
            <w:tcW w:w="516" w:type="pct"/>
            <w:tcBorders>
              <w:top w:val="nil"/>
              <w:left w:val="nil"/>
              <w:bottom w:val="nil"/>
              <w:right w:val="nil"/>
            </w:tcBorders>
          </w:tcPr>
          <w:p w14:paraId="15ACEFD8" w14:textId="175576ED" w:rsidR="000D0314" w:rsidRPr="008550C6" w:rsidRDefault="000D0314" w:rsidP="00235859">
            <w:pPr>
              <w:widowControl w:val="0"/>
              <w:autoSpaceDE w:val="0"/>
              <w:autoSpaceDN w:val="0"/>
              <w:adjustRightInd w:val="0"/>
              <w:jc w:val="center"/>
              <w:rPr>
                <w:sz w:val="18"/>
                <w:szCs w:val="18"/>
              </w:rPr>
            </w:pPr>
            <w:r w:rsidRPr="008550C6">
              <w:rPr>
                <w:sz w:val="18"/>
                <w:szCs w:val="18"/>
              </w:rPr>
              <w:t>0.0000</w:t>
            </w:r>
          </w:p>
        </w:tc>
        <w:tc>
          <w:tcPr>
            <w:tcW w:w="711" w:type="pct"/>
            <w:tcBorders>
              <w:top w:val="nil"/>
              <w:left w:val="nil"/>
              <w:bottom w:val="nil"/>
              <w:right w:val="single" w:sz="4" w:space="0" w:color="auto"/>
            </w:tcBorders>
          </w:tcPr>
          <w:p w14:paraId="2679F668" w14:textId="77777777" w:rsidR="000D0314" w:rsidRPr="008550C6"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2FEEAB74" w14:textId="77777777" w:rsidR="000D0314" w:rsidRPr="008550C6" w:rsidRDefault="000D0314" w:rsidP="00235859">
            <w:pPr>
              <w:widowControl w:val="0"/>
              <w:autoSpaceDE w:val="0"/>
              <w:autoSpaceDN w:val="0"/>
              <w:adjustRightInd w:val="0"/>
              <w:jc w:val="center"/>
              <w:rPr>
                <w:sz w:val="18"/>
                <w:szCs w:val="18"/>
              </w:rPr>
            </w:pPr>
          </w:p>
        </w:tc>
        <w:tc>
          <w:tcPr>
            <w:tcW w:w="523" w:type="pct"/>
            <w:tcBorders>
              <w:top w:val="nil"/>
              <w:left w:val="nil"/>
              <w:bottom w:val="nil"/>
              <w:right w:val="nil"/>
            </w:tcBorders>
          </w:tcPr>
          <w:p w14:paraId="5D56C392" w14:textId="06E3D568" w:rsidR="000D0314" w:rsidRPr="008550C6" w:rsidRDefault="000D0314" w:rsidP="00235859">
            <w:pPr>
              <w:widowControl w:val="0"/>
              <w:autoSpaceDE w:val="0"/>
              <w:autoSpaceDN w:val="0"/>
              <w:adjustRightInd w:val="0"/>
              <w:jc w:val="center"/>
              <w:rPr>
                <w:sz w:val="18"/>
                <w:szCs w:val="18"/>
              </w:rPr>
            </w:pPr>
            <w:r w:rsidRPr="008550C6">
              <w:rPr>
                <w:sz w:val="18"/>
                <w:szCs w:val="18"/>
              </w:rPr>
              <w:t>0.0899</w:t>
            </w:r>
          </w:p>
        </w:tc>
        <w:tc>
          <w:tcPr>
            <w:tcW w:w="708" w:type="pct"/>
            <w:tcBorders>
              <w:top w:val="nil"/>
              <w:left w:val="nil"/>
              <w:bottom w:val="nil"/>
              <w:right w:val="nil"/>
            </w:tcBorders>
          </w:tcPr>
          <w:p w14:paraId="64999B51" w14:textId="77777777" w:rsidR="000D0314" w:rsidRPr="008550C6" w:rsidRDefault="000D0314" w:rsidP="00235859">
            <w:pPr>
              <w:widowControl w:val="0"/>
              <w:autoSpaceDE w:val="0"/>
              <w:autoSpaceDN w:val="0"/>
              <w:adjustRightInd w:val="0"/>
              <w:jc w:val="center"/>
              <w:rPr>
                <w:sz w:val="18"/>
                <w:szCs w:val="18"/>
              </w:rPr>
            </w:pPr>
          </w:p>
        </w:tc>
      </w:tr>
      <w:tr w:rsidR="008550C6" w:rsidRPr="008550C6" w14:paraId="29D1C8BE" w14:textId="77777777" w:rsidTr="007E3420">
        <w:trPr>
          <w:jc w:val="center"/>
        </w:trPr>
        <w:tc>
          <w:tcPr>
            <w:tcW w:w="786" w:type="pct"/>
            <w:tcBorders>
              <w:top w:val="nil"/>
              <w:left w:val="nil"/>
              <w:bottom w:val="nil"/>
              <w:right w:val="nil"/>
            </w:tcBorders>
          </w:tcPr>
          <w:p w14:paraId="35A251C2" w14:textId="77777777" w:rsidR="000D0314" w:rsidRPr="008550C6" w:rsidRDefault="000D0314" w:rsidP="00235859">
            <w:pPr>
              <w:widowControl w:val="0"/>
              <w:autoSpaceDE w:val="0"/>
              <w:autoSpaceDN w:val="0"/>
              <w:adjustRightInd w:val="0"/>
              <w:rPr>
                <w:sz w:val="18"/>
                <w:szCs w:val="18"/>
              </w:rPr>
            </w:pPr>
          </w:p>
        </w:tc>
        <w:tc>
          <w:tcPr>
            <w:tcW w:w="864" w:type="pct"/>
            <w:tcBorders>
              <w:top w:val="nil"/>
              <w:left w:val="nil"/>
              <w:bottom w:val="nil"/>
              <w:right w:val="nil"/>
            </w:tcBorders>
          </w:tcPr>
          <w:p w14:paraId="2F27569F" w14:textId="77777777" w:rsidR="000D0314" w:rsidRPr="008550C6" w:rsidRDefault="000D0314" w:rsidP="00235859">
            <w:pPr>
              <w:widowControl w:val="0"/>
              <w:autoSpaceDE w:val="0"/>
              <w:autoSpaceDN w:val="0"/>
              <w:adjustRightInd w:val="0"/>
              <w:jc w:val="center"/>
              <w:rPr>
                <w:sz w:val="18"/>
                <w:szCs w:val="18"/>
              </w:rPr>
            </w:pPr>
          </w:p>
        </w:tc>
        <w:tc>
          <w:tcPr>
            <w:tcW w:w="516" w:type="pct"/>
            <w:tcBorders>
              <w:top w:val="nil"/>
              <w:left w:val="nil"/>
              <w:bottom w:val="nil"/>
              <w:right w:val="nil"/>
            </w:tcBorders>
          </w:tcPr>
          <w:p w14:paraId="1F329669" w14:textId="19084E91" w:rsidR="000D0314" w:rsidRPr="008550C6" w:rsidRDefault="000D0314" w:rsidP="00235859">
            <w:pPr>
              <w:widowControl w:val="0"/>
              <w:autoSpaceDE w:val="0"/>
              <w:autoSpaceDN w:val="0"/>
              <w:adjustRightInd w:val="0"/>
              <w:jc w:val="center"/>
              <w:rPr>
                <w:sz w:val="18"/>
                <w:szCs w:val="18"/>
              </w:rPr>
            </w:pPr>
            <w:r w:rsidRPr="008550C6">
              <w:rPr>
                <w:sz w:val="18"/>
                <w:szCs w:val="18"/>
              </w:rPr>
              <w:t>(0.0000)</w:t>
            </w:r>
          </w:p>
        </w:tc>
        <w:tc>
          <w:tcPr>
            <w:tcW w:w="711" w:type="pct"/>
            <w:tcBorders>
              <w:top w:val="nil"/>
              <w:left w:val="nil"/>
              <w:bottom w:val="nil"/>
              <w:right w:val="single" w:sz="4" w:space="0" w:color="auto"/>
            </w:tcBorders>
          </w:tcPr>
          <w:p w14:paraId="72C0FAE1" w14:textId="77777777" w:rsidR="000D0314" w:rsidRPr="008550C6"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7065878A" w14:textId="77777777" w:rsidR="000D0314" w:rsidRPr="008550C6" w:rsidRDefault="000D0314" w:rsidP="00235859">
            <w:pPr>
              <w:widowControl w:val="0"/>
              <w:autoSpaceDE w:val="0"/>
              <w:autoSpaceDN w:val="0"/>
              <w:adjustRightInd w:val="0"/>
              <w:jc w:val="center"/>
              <w:rPr>
                <w:sz w:val="18"/>
                <w:szCs w:val="18"/>
              </w:rPr>
            </w:pPr>
          </w:p>
        </w:tc>
        <w:tc>
          <w:tcPr>
            <w:tcW w:w="523" w:type="pct"/>
            <w:tcBorders>
              <w:top w:val="nil"/>
              <w:left w:val="nil"/>
              <w:bottom w:val="nil"/>
              <w:right w:val="nil"/>
            </w:tcBorders>
          </w:tcPr>
          <w:p w14:paraId="63696B8A" w14:textId="3133A22E" w:rsidR="000D0314" w:rsidRPr="008550C6" w:rsidRDefault="000D0314" w:rsidP="00235859">
            <w:pPr>
              <w:widowControl w:val="0"/>
              <w:autoSpaceDE w:val="0"/>
              <w:autoSpaceDN w:val="0"/>
              <w:adjustRightInd w:val="0"/>
              <w:jc w:val="center"/>
              <w:rPr>
                <w:sz w:val="18"/>
                <w:szCs w:val="18"/>
              </w:rPr>
            </w:pPr>
            <w:r w:rsidRPr="008550C6">
              <w:rPr>
                <w:sz w:val="18"/>
                <w:szCs w:val="18"/>
              </w:rPr>
              <w:t>(0.9273)</w:t>
            </w:r>
          </w:p>
        </w:tc>
        <w:tc>
          <w:tcPr>
            <w:tcW w:w="708" w:type="pct"/>
            <w:tcBorders>
              <w:top w:val="nil"/>
              <w:left w:val="nil"/>
              <w:bottom w:val="nil"/>
              <w:right w:val="nil"/>
            </w:tcBorders>
          </w:tcPr>
          <w:p w14:paraId="5E4F7895" w14:textId="77777777" w:rsidR="000D0314" w:rsidRPr="008550C6" w:rsidRDefault="000D0314" w:rsidP="00235859">
            <w:pPr>
              <w:widowControl w:val="0"/>
              <w:autoSpaceDE w:val="0"/>
              <w:autoSpaceDN w:val="0"/>
              <w:adjustRightInd w:val="0"/>
              <w:jc w:val="center"/>
              <w:rPr>
                <w:sz w:val="18"/>
                <w:szCs w:val="18"/>
              </w:rPr>
            </w:pPr>
          </w:p>
        </w:tc>
      </w:tr>
      <w:tr w:rsidR="008550C6" w:rsidRPr="008550C6" w14:paraId="24A98685" w14:textId="77777777" w:rsidTr="007E3420">
        <w:trPr>
          <w:jc w:val="center"/>
        </w:trPr>
        <w:tc>
          <w:tcPr>
            <w:tcW w:w="786" w:type="pct"/>
            <w:tcBorders>
              <w:top w:val="nil"/>
              <w:left w:val="nil"/>
              <w:bottom w:val="nil"/>
              <w:right w:val="nil"/>
            </w:tcBorders>
          </w:tcPr>
          <w:p w14:paraId="700EE7FA" w14:textId="77777777" w:rsidR="000D0314" w:rsidRPr="008550C6" w:rsidRDefault="000D0314" w:rsidP="00235859">
            <w:pPr>
              <w:widowControl w:val="0"/>
              <w:autoSpaceDE w:val="0"/>
              <w:autoSpaceDN w:val="0"/>
              <w:adjustRightInd w:val="0"/>
              <w:rPr>
                <w:sz w:val="18"/>
                <w:szCs w:val="18"/>
              </w:rPr>
            </w:pPr>
            <w:r w:rsidRPr="008550C6">
              <w:rPr>
                <w:sz w:val="18"/>
                <w:szCs w:val="18"/>
              </w:rPr>
              <w:t>lgt_theta</w:t>
            </w:r>
          </w:p>
        </w:tc>
        <w:tc>
          <w:tcPr>
            <w:tcW w:w="864" w:type="pct"/>
            <w:tcBorders>
              <w:top w:val="nil"/>
              <w:left w:val="nil"/>
              <w:bottom w:val="nil"/>
              <w:right w:val="nil"/>
            </w:tcBorders>
          </w:tcPr>
          <w:p w14:paraId="06E6628D" w14:textId="77777777" w:rsidR="000D0314" w:rsidRPr="008550C6" w:rsidRDefault="000D0314" w:rsidP="00235859">
            <w:pPr>
              <w:widowControl w:val="0"/>
              <w:autoSpaceDE w:val="0"/>
              <w:autoSpaceDN w:val="0"/>
              <w:adjustRightInd w:val="0"/>
              <w:jc w:val="center"/>
              <w:rPr>
                <w:sz w:val="18"/>
                <w:szCs w:val="18"/>
              </w:rPr>
            </w:pPr>
          </w:p>
        </w:tc>
        <w:tc>
          <w:tcPr>
            <w:tcW w:w="516" w:type="pct"/>
            <w:tcBorders>
              <w:top w:val="nil"/>
              <w:left w:val="nil"/>
              <w:bottom w:val="nil"/>
              <w:right w:val="nil"/>
            </w:tcBorders>
          </w:tcPr>
          <w:p w14:paraId="1B829690" w14:textId="10796185"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7BD6DAEA" w14:textId="5A550441" w:rsidR="000D0314" w:rsidRPr="008550C6" w:rsidRDefault="000D0314" w:rsidP="00235859">
            <w:pPr>
              <w:widowControl w:val="0"/>
              <w:autoSpaceDE w:val="0"/>
              <w:autoSpaceDN w:val="0"/>
              <w:adjustRightInd w:val="0"/>
              <w:jc w:val="center"/>
              <w:rPr>
                <w:sz w:val="18"/>
                <w:szCs w:val="18"/>
              </w:rPr>
            </w:pPr>
            <w:r w:rsidRPr="008550C6">
              <w:rPr>
                <w:sz w:val="18"/>
                <w:szCs w:val="18"/>
              </w:rPr>
              <w:t>-1.1144***</w:t>
            </w:r>
          </w:p>
        </w:tc>
        <w:tc>
          <w:tcPr>
            <w:tcW w:w="892" w:type="pct"/>
            <w:tcBorders>
              <w:top w:val="nil"/>
              <w:left w:val="single" w:sz="4" w:space="0" w:color="auto"/>
              <w:bottom w:val="nil"/>
              <w:right w:val="nil"/>
            </w:tcBorders>
          </w:tcPr>
          <w:p w14:paraId="7C994395" w14:textId="77777777" w:rsidR="000D0314" w:rsidRPr="008550C6" w:rsidRDefault="000D0314" w:rsidP="00235859">
            <w:pPr>
              <w:widowControl w:val="0"/>
              <w:autoSpaceDE w:val="0"/>
              <w:autoSpaceDN w:val="0"/>
              <w:adjustRightInd w:val="0"/>
              <w:jc w:val="center"/>
              <w:rPr>
                <w:sz w:val="18"/>
                <w:szCs w:val="18"/>
              </w:rPr>
            </w:pPr>
          </w:p>
        </w:tc>
        <w:tc>
          <w:tcPr>
            <w:tcW w:w="523" w:type="pct"/>
            <w:tcBorders>
              <w:top w:val="nil"/>
              <w:left w:val="nil"/>
              <w:bottom w:val="nil"/>
              <w:right w:val="nil"/>
            </w:tcBorders>
          </w:tcPr>
          <w:p w14:paraId="2B7341CD" w14:textId="7E8C208C"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7FB02C89" w14:textId="6FC980D7" w:rsidR="000D0314" w:rsidRPr="008550C6" w:rsidRDefault="000D0314" w:rsidP="00235859">
            <w:pPr>
              <w:widowControl w:val="0"/>
              <w:autoSpaceDE w:val="0"/>
              <w:autoSpaceDN w:val="0"/>
              <w:adjustRightInd w:val="0"/>
              <w:jc w:val="center"/>
              <w:rPr>
                <w:sz w:val="18"/>
                <w:szCs w:val="18"/>
              </w:rPr>
            </w:pPr>
            <w:r w:rsidRPr="008550C6">
              <w:rPr>
                <w:sz w:val="18"/>
                <w:szCs w:val="18"/>
              </w:rPr>
              <w:t>-1.0781***</w:t>
            </w:r>
          </w:p>
        </w:tc>
      </w:tr>
      <w:tr w:rsidR="008550C6" w:rsidRPr="008550C6" w14:paraId="08991CE5" w14:textId="77777777" w:rsidTr="007E3420">
        <w:trPr>
          <w:jc w:val="center"/>
        </w:trPr>
        <w:tc>
          <w:tcPr>
            <w:tcW w:w="786" w:type="pct"/>
            <w:tcBorders>
              <w:top w:val="nil"/>
              <w:left w:val="nil"/>
              <w:bottom w:val="nil"/>
              <w:right w:val="nil"/>
            </w:tcBorders>
          </w:tcPr>
          <w:p w14:paraId="169A74CF" w14:textId="77777777" w:rsidR="000D0314" w:rsidRPr="008550C6" w:rsidRDefault="000D0314" w:rsidP="00235859">
            <w:pPr>
              <w:widowControl w:val="0"/>
              <w:autoSpaceDE w:val="0"/>
              <w:autoSpaceDN w:val="0"/>
              <w:adjustRightInd w:val="0"/>
              <w:rPr>
                <w:sz w:val="18"/>
                <w:szCs w:val="18"/>
              </w:rPr>
            </w:pPr>
          </w:p>
        </w:tc>
        <w:tc>
          <w:tcPr>
            <w:tcW w:w="864" w:type="pct"/>
            <w:tcBorders>
              <w:top w:val="nil"/>
              <w:left w:val="nil"/>
              <w:bottom w:val="nil"/>
              <w:right w:val="nil"/>
            </w:tcBorders>
          </w:tcPr>
          <w:p w14:paraId="3E7FF088" w14:textId="77777777" w:rsidR="000D0314" w:rsidRPr="008550C6" w:rsidRDefault="000D0314" w:rsidP="00235859">
            <w:pPr>
              <w:widowControl w:val="0"/>
              <w:autoSpaceDE w:val="0"/>
              <w:autoSpaceDN w:val="0"/>
              <w:adjustRightInd w:val="0"/>
              <w:jc w:val="center"/>
              <w:rPr>
                <w:sz w:val="18"/>
                <w:szCs w:val="18"/>
              </w:rPr>
            </w:pPr>
          </w:p>
        </w:tc>
        <w:tc>
          <w:tcPr>
            <w:tcW w:w="516" w:type="pct"/>
            <w:tcBorders>
              <w:top w:val="nil"/>
              <w:left w:val="nil"/>
              <w:bottom w:val="nil"/>
              <w:right w:val="nil"/>
            </w:tcBorders>
          </w:tcPr>
          <w:p w14:paraId="7B1B26BA" w14:textId="3B8204A4"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5BA9B8B6" w14:textId="1DF7664B" w:rsidR="000D0314" w:rsidRPr="008550C6" w:rsidRDefault="000D0314" w:rsidP="00235859">
            <w:pPr>
              <w:widowControl w:val="0"/>
              <w:autoSpaceDE w:val="0"/>
              <w:autoSpaceDN w:val="0"/>
              <w:adjustRightInd w:val="0"/>
              <w:jc w:val="center"/>
              <w:rPr>
                <w:sz w:val="18"/>
                <w:szCs w:val="18"/>
              </w:rPr>
            </w:pPr>
            <w:r w:rsidRPr="008550C6">
              <w:rPr>
                <w:sz w:val="18"/>
                <w:szCs w:val="18"/>
              </w:rPr>
              <w:t>(8.3241)</w:t>
            </w:r>
          </w:p>
        </w:tc>
        <w:tc>
          <w:tcPr>
            <w:tcW w:w="892" w:type="pct"/>
            <w:tcBorders>
              <w:top w:val="nil"/>
              <w:left w:val="single" w:sz="4" w:space="0" w:color="auto"/>
              <w:bottom w:val="nil"/>
              <w:right w:val="nil"/>
            </w:tcBorders>
          </w:tcPr>
          <w:p w14:paraId="192003CC" w14:textId="77777777" w:rsidR="000D0314" w:rsidRPr="008550C6" w:rsidRDefault="000D0314" w:rsidP="00235859">
            <w:pPr>
              <w:widowControl w:val="0"/>
              <w:autoSpaceDE w:val="0"/>
              <w:autoSpaceDN w:val="0"/>
              <w:adjustRightInd w:val="0"/>
              <w:jc w:val="center"/>
              <w:rPr>
                <w:sz w:val="18"/>
                <w:szCs w:val="18"/>
              </w:rPr>
            </w:pPr>
          </w:p>
        </w:tc>
        <w:tc>
          <w:tcPr>
            <w:tcW w:w="523" w:type="pct"/>
            <w:tcBorders>
              <w:top w:val="nil"/>
              <w:left w:val="nil"/>
              <w:bottom w:val="nil"/>
              <w:right w:val="nil"/>
            </w:tcBorders>
          </w:tcPr>
          <w:p w14:paraId="023E77F7" w14:textId="2DD36EA7"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318CFB80" w14:textId="7437DBC7" w:rsidR="000D0314" w:rsidRPr="008550C6" w:rsidRDefault="000D0314" w:rsidP="00235859">
            <w:pPr>
              <w:widowControl w:val="0"/>
              <w:autoSpaceDE w:val="0"/>
              <w:autoSpaceDN w:val="0"/>
              <w:adjustRightInd w:val="0"/>
              <w:jc w:val="center"/>
              <w:rPr>
                <w:sz w:val="18"/>
                <w:szCs w:val="18"/>
              </w:rPr>
            </w:pPr>
            <w:r w:rsidRPr="008550C6">
              <w:rPr>
                <w:sz w:val="18"/>
                <w:szCs w:val="18"/>
              </w:rPr>
              <w:t>(7.9970)</w:t>
            </w:r>
          </w:p>
        </w:tc>
      </w:tr>
      <w:tr w:rsidR="008550C6" w:rsidRPr="008550C6" w14:paraId="1D82BA3B" w14:textId="77777777" w:rsidTr="007E3420">
        <w:trPr>
          <w:jc w:val="center"/>
        </w:trPr>
        <w:tc>
          <w:tcPr>
            <w:tcW w:w="786" w:type="pct"/>
            <w:tcBorders>
              <w:top w:val="nil"/>
              <w:left w:val="nil"/>
              <w:bottom w:val="nil"/>
              <w:right w:val="nil"/>
            </w:tcBorders>
          </w:tcPr>
          <w:p w14:paraId="74F63AEE" w14:textId="77777777" w:rsidR="000D0314" w:rsidRPr="008550C6" w:rsidRDefault="000D0314" w:rsidP="00235859">
            <w:pPr>
              <w:widowControl w:val="0"/>
              <w:autoSpaceDE w:val="0"/>
              <w:autoSpaceDN w:val="0"/>
              <w:adjustRightInd w:val="0"/>
              <w:rPr>
                <w:sz w:val="18"/>
                <w:szCs w:val="18"/>
              </w:rPr>
            </w:pPr>
            <w:r w:rsidRPr="008550C6">
              <w:rPr>
                <w:sz w:val="18"/>
                <w:szCs w:val="18"/>
              </w:rPr>
              <w:t>sigma2_e</w:t>
            </w:r>
          </w:p>
        </w:tc>
        <w:tc>
          <w:tcPr>
            <w:tcW w:w="864" w:type="pct"/>
            <w:tcBorders>
              <w:top w:val="nil"/>
              <w:left w:val="nil"/>
              <w:bottom w:val="nil"/>
              <w:right w:val="nil"/>
            </w:tcBorders>
          </w:tcPr>
          <w:p w14:paraId="253FB014" w14:textId="77777777" w:rsidR="000D0314" w:rsidRPr="008550C6" w:rsidRDefault="000D0314" w:rsidP="00235859">
            <w:pPr>
              <w:widowControl w:val="0"/>
              <w:autoSpaceDE w:val="0"/>
              <w:autoSpaceDN w:val="0"/>
              <w:adjustRightInd w:val="0"/>
              <w:jc w:val="center"/>
              <w:rPr>
                <w:sz w:val="18"/>
                <w:szCs w:val="18"/>
              </w:rPr>
            </w:pPr>
          </w:p>
        </w:tc>
        <w:tc>
          <w:tcPr>
            <w:tcW w:w="516" w:type="pct"/>
            <w:tcBorders>
              <w:top w:val="nil"/>
              <w:left w:val="nil"/>
              <w:bottom w:val="nil"/>
              <w:right w:val="nil"/>
            </w:tcBorders>
          </w:tcPr>
          <w:p w14:paraId="59CC9297" w14:textId="3499BDD3"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182082C0" w14:textId="243A73A2" w:rsidR="000D0314" w:rsidRPr="008550C6" w:rsidRDefault="000D0314" w:rsidP="00235859">
            <w:pPr>
              <w:widowControl w:val="0"/>
              <w:autoSpaceDE w:val="0"/>
              <w:autoSpaceDN w:val="0"/>
              <w:adjustRightInd w:val="0"/>
              <w:jc w:val="center"/>
              <w:rPr>
                <w:sz w:val="18"/>
                <w:szCs w:val="18"/>
              </w:rPr>
            </w:pPr>
            <w:r w:rsidRPr="008550C6">
              <w:rPr>
                <w:sz w:val="18"/>
                <w:szCs w:val="18"/>
              </w:rPr>
              <w:t>0.0058***</w:t>
            </w:r>
          </w:p>
        </w:tc>
        <w:tc>
          <w:tcPr>
            <w:tcW w:w="892" w:type="pct"/>
            <w:tcBorders>
              <w:top w:val="nil"/>
              <w:left w:val="single" w:sz="4" w:space="0" w:color="auto"/>
              <w:bottom w:val="nil"/>
              <w:right w:val="nil"/>
            </w:tcBorders>
          </w:tcPr>
          <w:p w14:paraId="3244B5B3" w14:textId="77777777" w:rsidR="000D0314" w:rsidRPr="008550C6" w:rsidRDefault="000D0314" w:rsidP="00235859">
            <w:pPr>
              <w:widowControl w:val="0"/>
              <w:autoSpaceDE w:val="0"/>
              <w:autoSpaceDN w:val="0"/>
              <w:adjustRightInd w:val="0"/>
              <w:jc w:val="center"/>
              <w:rPr>
                <w:sz w:val="18"/>
                <w:szCs w:val="18"/>
              </w:rPr>
            </w:pPr>
          </w:p>
        </w:tc>
        <w:tc>
          <w:tcPr>
            <w:tcW w:w="523" w:type="pct"/>
            <w:tcBorders>
              <w:top w:val="nil"/>
              <w:left w:val="nil"/>
              <w:bottom w:val="nil"/>
              <w:right w:val="nil"/>
            </w:tcBorders>
          </w:tcPr>
          <w:p w14:paraId="1770BDCF" w14:textId="394F0DF2"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5B2E626C" w14:textId="333113F8" w:rsidR="000D0314" w:rsidRPr="008550C6" w:rsidRDefault="000D0314" w:rsidP="00235859">
            <w:pPr>
              <w:widowControl w:val="0"/>
              <w:autoSpaceDE w:val="0"/>
              <w:autoSpaceDN w:val="0"/>
              <w:adjustRightInd w:val="0"/>
              <w:jc w:val="center"/>
              <w:rPr>
                <w:sz w:val="18"/>
                <w:szCs w:val="18"/>
              </w:rPr>
            </w:pPr>
            <w:r w:rsidRPr="008550C6">
              <w:rPr>
                <w:sz w:val="18"/>
                <w:szCs w:val="18"/>
              </w:rPr>
              <w:t>0.0058***</w:t>
            </w:r>
          </w:p>
        </w:tc>
      </w:tr>
      <w:tr w:rsidR="008550C6" w:rsidRPr="008550C6" w14:paraId="37E67CE6" w14:textId="77777777" w:rsidTr="007E3420">
        <w:trPr>
          <w:jc w:val="center"/>
        </w:trPr>
        <w:tc>
          <w:tcPr>
            <w:tcW w:w="786" w:type="pct"/>
            <w:tcBorders>
              <w:top w:val="nil"/>
              <w:left w:val="nil"/>
              <w:bottom w:val="nil"/>
              <w:right w:val="nil"/>
            </w:tcBorders>
          </w:tcPr>
          <w:p w14:paraId="3B2F199D" w14:textId="77777777" w:rsidR="000D0314" w:rsidRPr="008550C6" w:rsidRDefault="000D0314" w:rsidP="00235859">
            <w:pPr>
              <w:widowControl w:val="0"/>
              <w:autoSpaceDE w:val="0"/>
              <w:autoSpaceDN w:val="0"/>
              <w:adjustRightInd w:val="0"/>
              <w:rPr>
                <w:sz w:val="18"/>
                <w:szCs w:val="18"/>
              </w:rPr>
            </w:pPr>
          </w:p>
        </w:tc>
        <w:tc>
          <w:tcPr>
            <w:tcW w:w="864" w:type="pct"/>
            <w:tcBorders>
              <w:top w:val="nil"/>
              <w:left w:val="nil"/>
              <w:bottom w:val="nil"/>
              <w:right w:val="nil"/>
            </w:tcBorders>
          </w:tcPr>
          <w:p w14:paraId="18F66E02" w14:textId="77777777" w:rsidR="000D0314" w:rsidRPr="008550C6" w:rsidRDefault="000D0314" w:rsidP="00235859">
            <w:pPr>
              <w:widowControl w:val="0"/>
              <w:autoSpaceDE w:val="0"/>
              <w:autoSpaceDN w:val="0"/>
              <w:adjustRightInd w:val="0"/>
              <w:jc w:val="center"/>
              <w:rPr>
                <w:sz w:val="18"/>
                <w:szCs w:val="18"/>
              </w:rPr>
            </w:pPr>
          </w:p>
        </w:tc>
        <w:tc>
          <w:tcPr>
            <w:tcW w:w="516" w:type="pct"/>
            <w:tcBorders>
              <w:top w:val="nil"/>
              <w:left w:val="nil"/>
              <w:bottom w:val="nil"/>
              <w:right w:val="nil"/>
            </w:tcBorders>
          </w:tcPr>
          <w:p w14:paraId="7B9C0B3A" w14:textId="63197EAB"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2C67A3B0" w14:textId="5CF08859" w:rsidR="000D0314" w:rsidRPr="008550C6" w:rsidRDefault="000D0314" w:rsidP="00235859">
            <w:pPr>
              <w:widowControl w:val="0"/>
              <w:autoSpaceDE w:val="0"/>
              <w:autoSpaceDN w:val="0"/>
              <w:adjustRightInd w:val="0"/>
              <w:jc w:val="center"/>
              <w:rPr>
                <w:sz w:val="18"/>
                <w:szCs w:val="18"/>
              </w:rPr>
            </w:pPr>
            <w:r w:rsidRPr="008550C6">
              <w:rPr>
                <w:sz w:val="18"/>
                <w:szCs w:val="18"/>
              </w:rPr>
              <w:t>(34.9803)</w:t>
            </w:r>
          </w:p>
        </w:tc>
        <w:tc>
          <w:tcPr>
            <w:tcW w:w="892" w:type="pct"/>
            <w:tcBorders>
              <w:top w:val="nil"/>
              <w:left w:val="single" w:sz="4" w:space="0" w:color="auto"/>
              <w:bottom w:val="nil"/>
              <w:right w:val="nil"/>
            </w:tcBorders>
          </w:tcPr>
          <w:p w14:paraId="1EFF54E8" w14:textId="77777777" w:rsidR="000D0314" w:rsidRPr="008550C6" w:rsidRDefault="000D0314" w:rsidP="00235859">
            <w:pPr>
              <w:widowControl w:val="0"/>
              <w:autoSpaceDE w:val="0"/>
              <w:autoSpaceDN w:val="0"/>
              <w:adjustRightInd w:val="0"/>
              <w:jc w:val="center"/>
              <w:rPr>
                <w:sz w:val="18"/>
                <w:szCs w:val="18"/>
              </w:rPr>
            </w:pPr>
          </w:p>
        </w:tc>
        <w:tc>
          <w:tcPr>
            <w:tcW w:w="523" w:type="pct"/>
            <w:tcBorders>
              <w:top w:val="nil"/>
              <w:left w:val="nil"/>
              <w:bottom w:val="nil"/>
              <w:right w:val="nil"/>
            </w:tcBorders>
          </w:tcPr>
          <w:p w14:paraId="0BCE24CC" w14:textId="558C1530"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bottom w:val="nil"/>
              <w:right w:val="nil"/>
            </w:tcBorders>
          </w:tcPr>
          <w:p w14:paraId="7E665C0E" w14:textId="7E323479" w:rsidR="000D0314" w:rsidRPr="008550C6" w:rsidRDefault="000D0314" w:rsidP="00235859">
            <w:pPr>
              <w:widowControl w:val="0"/>
              <w:autoSpaceDE w:val="0"/>
              <w:autoSpaceDN w:val="0"/>
              <w:adjustRightInd w:val="0"/>
              <w:jc w:val="center"/>
              <w:rPr>
                <w:sz w:val="18"/>
                <w:szCs w:val="18"/>
              </w:rPr>
            </w:pPr>
            <w:r w:rsidRPr="008550C6">
              <w:rPr>
                <w:sz w:val="18"/>
                <w:szCs w:val="18"/>
              </w:rPr>
              <w:t>(34.9780)</w:t>
            </w:r>
          </w:p>
        </w:tc>
      </w:tr>
      <w:tr w:rsidR="008550C6" w:rsidRPr="008550C6" w14:paraId="220A0FFA" w14:textId="77777777" w:rsidTr="007E3420">
        <w:trPr>
          <w:jc w:val="center"/>
        </w:trPr>
        <w:tc>
          <w:tcPr>
            <w:tcW w:w="786" w:type="pct"/>
            <w:tcBorders>
              <w:top w:val="nil"/>
              <w:left w:val="nil"/>
              <w:right w:val="nil"/>
            </w:tcBorders>
          </w:tcPr>
          <w:p w14:paraId="2052481E" w14:textId="77777777" w:rsidR="000D0314" w:rsidRPr="008550C6" w:rsidRDefault="000D0314" w:rsidP="00235859">
            <w:pPr>
              <w:widowControl w:val="0"/>
              <w:autoSpaceDE w:val="0"/>
              <w:autoSpaceDN w:val="0"/>
              <w:adjustRightInd w:val="0"/>
              <w:rPr>
                <w:sz w:val="18"/>
                <w:szCs w:val="18"/>
              </w:rPr>
            </w:pPr>
            <w:r w:rsidRPr="008550C6">
              <w:rPr>
                <w:sz w:val="18"/>
                <w:szCs w:val="18"/>
              </w:rPr>
              <w:t>Constant</w:t>
            </w:r>
          </w:p>
        </w:tc>
        <w:tc>
          <w:tcPr>
            <w:tcW w:w="864" w:type="pct"/>
            <w:tcBorders>
              <w:top w:val="nil"/>
              <w:left w:val="nil"/>
              <w:right w:val="nil"/>
            </w:tcBorders>
          </w:tcPr>
          <w:p w14:paraId="0FA56218" w14:textId="55DF1032" w:rsidR="000D0314" w:rsidRPr="008550C6" w:rsidRDefault="000D0314" w:rsidP="00235859">
            <w:pPr>
              <w:widowControl w:val="0"/>
              <w:autoSpaceDE w:val="0"/>
              <w:autoSpaceDN w:val="0"/>
              <w:adjustRightInd w:val="0"/>
              <w:jc w:val="center"/>
              <w:rPr>
                <w:sz w:val="18"/>
                <w:szCs w:val="18"/>
              </w:rPr>
            </w:pPr>
            <w:r w:rsidRPr="008550C6">
              <w:rPr>
                <w:sz w:val="18"/>
                <w:szCs w:val="18"/>
              </w:rPr>
              <w:t>0.0168</w:t>
            </w:r>
          </w:p>
        </w:tc>
        <w:tc>
          <w:tcPr>
            <w:tcW w:w="516" w:type="pct"/>
            <w:tcBorders>
              <w:top w:val="nil"/>
              <w:left w:val="nil"/>
              <w:right w:val="nil"/>
            </w:tcBorders>
          </w:tcPr>
          <w:p w14:paraId="5E55FCFC" w14:textId="55CBDCC1"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right w:val="single" w:sz="4" w:space="0" w:color="auto"/>
            </w:tcBorders>
          </w:tcPr>
          <w:p w14:paraId="23D7445D" w14:textId="77777777" w:rsidR="000D0314" w:rsidRPr="008550C6"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right w:val="nil"/>
            </w:tcBorders>
          </w:tcPr>
          <w:p w14:paraId="14665E15" w14:textId="5457526A" w:rsidR="000D0314" w:rsidRPr="008550C6" w:rsidRDefault="000D0314" w:rsidP="00235859">
            <w:pPr>
              <w:widowControl w:val="0"/>
              <w:autoSpaceDE w:val="0"/>
              <w:autoSpaceDN w:val="0"/>
              <w:adjustRightInd w:val="0"/>
              <w:jc w:val="center"/>
              <w:rPr>
                <w:sz w:val="18"/>
                <w:szCs w:val="18"/>
              </w:rPr>
            </w:pPr>
            <w:r w:rsidRPr="008550C6">
              <w:rPr>
                <w:sz w:val="18"/>
                <w:szCs w:val="18"/>
              </w:rPr>
              <w:t>-0.0024</w:t>
            </w:r>
          </w:p>
        </w:tc>
        <w:tc>
          <w:tcPr>
            <w:tcW w:w="523" w:type="pct"/>
            <w:tcBorders>
              <w:top w:val="nil"/>
              <w:left w:val="nil"/>
              <w:right w:val="nil"/>
            </w:tcBorders>
          </w:tcPr>
          <w:p w14:paraId="05A02B89" w14:textId="2F6D2FB6"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right w:val="nil"/>
            </w:tcBorders>
          </w:tcPr>
          <w:p w14:paraId="6CB2CA5C" w14:textId="77777777" w:rsidR="000D0314" w:rsidRPr="008550C6" w:rsidRDefault="000D0314" w:rsidP="00235859">
            <w:pPr>
              <w:widowControl w:val="0"/>
              <w:autoSpaceDE w:val="0"/>
              <w:autoSpaceDN w:val="0"/>
              <w:adjustRightInd w:val="0"/>
              <w:jc w:val="center"/>
              <w:rPr>
                <w:sz w:val="18"/>
                <w:szCs w:val="18"/>
              </w:rPr>
            </w:pPr>
          </w:p>
        </w:tc>
      </w:tr>
      <w:tr w:rsidR="008550C6" w:rsidRPr="008550C6" w14:paraId="10EDFD47" w14:textId="77777777" w:rsidTr="007E3420">
        <w:trPr>
          <w:jc w:val="center"/>
        </w:trPr>
        <w:tc>
          <w:tcPr>
            <w:tcW w:w="786" w:type="pct"/>
            <w:tcBorders>
              <w:top w:val="nil"/>
              <w:left w:val="nil"/>
              <w:bottom w:val="single" w:sz="4" w:space="0" w:color="auto"/>
              <w:right w:val="nil"/>
            </w:tcBorders>
          </w:tcPr>
          <w:p w14:paraId="7713BAAA" w14:textId="77777777" w:rsidR="000D0314" w:rsidRPr="008550C6" w:rsidRDefault="000D0314" w:rsidP="00235859">
            <w:pPr>
              <w:widowControl w:val="0"/>
              <w:autoSpaceDE w:val="0"/>
              <w:autoSpaceDN w:val="0"/>
              <w:adjustRightInd w:val="0"/>
              <w:rPr>
                <w:sz w:val="18"/>
                <w:szCs w:val="18"/>
              </w:rPr>
            </w:pPr>
          </w:p>
        </w:tc>
        <w:tc>
          <w:tcPr>
            <w:tcW w:w="864" w:type="pct"/>
            <w:tcBorders>
              <w:top w:val="nil"/>
              <w:left w:val="nil"/>
              <w:bottom w:val="single" w:sz="4" w:space="0" w:color="auto"/>
              <w:right w:val="nil"/>
            </w:tcBorders>
          </w:tcPr>
          <w:p w14:paraId="4AED0B96" w14:textId="041DC164" w:rsidR="000D0314" w:rsidRPr="008550C6" w:rsidRDefault="000D0314" w:rsidP="00235859">
            <w:pPr>
              <w:widowControl w:val="0"/>
              <w:autoSpaceDE w:val="0"/>
              <w:autoSpaceDN w:val="0"/>
              <w:adjustRightInd w:val="0"/>
              <w:jc w:val="center"/>
              <w:rPr>
                <w:sz w:val="18"/>
                <w:szCs w:val="18"/>
              </w:rPr>
            </w:pPr>
            <w:r w:rsidRPr="008550C6">
              <w:rPr>
                <w:sz w:val="18"/>
                <w:szCs w:val="18"/>
              </w:rPr>
              <w:t>(0.2033)</w:t>
            </w:r>
          </w:p>
        </w:tc>
        <w:tc>
          <w:tcPr>
            <w:tcW w:w="516" w:type="pct"/>
            <w:tcBorders>
              <w:top w:val="nil"/>
              <w:left w:val="nil"/>
              <w:bottom w:val="single" w:sz="4" w:space="0" w:color="auto"/>
              <w:right w:val="nil"/>
            </w:tcBorders>
          </w:tcPr>
          <w:p w14:paraId="3EF73D50" w14:textId="334ABEF2" w:rsidR="000D0314" w:rsidRPr="008550C6" w:rsidRDefault="000D0314" w:rsidP="00235859">
            <w:pPr>
              <w:widowControl w:val="0"/>
              <w:autoSpaceDE w:val="0"/>
              <w:autoSpaceDN w:val="0"/>
              <w:adjustRightInd w:val="0"/>
              <w:jc w:val="center"/>
              <w:rPr>
                <w:sz w:val="18"/>
                <w:szCs w:val="18"/>
              </w:rPr>
            </w:pPr>
          </w:p>
        </w:tc>
        <w:tc>
          <w:tcPr>
            <w:tcW w:w="711" w:type="pct"/>
            <w:tcBorders>
              <w:top w:val="nil"/>
              <w:left w:val="nil"/>
              <w:bottom w:val="single" w:sz="4" w:space="0" w:color="auto"/>
              <w:right w:val="single" w:sz="4" w:space="0" w:color="auto"/>
            </w:tcBorders>
          </w:tcPr>
          <w:p w14:paraId="2DF7EA2D" w14:textId="77777777" w:rsidR="000D0314" w:rsidRPr="008550C6" w:rsidRDefault="000D0314" w:rsidP="00235859">
            <w:pPr>
              <w:widowControl w:val="0"/>
              <w:autoSpaceDE w:val="0"/>
              <w:autoSpaceDN w:val="0"/>
              <w:adjustRightInd w:val="0"/>
              <w:jc w:val="center"/>
              <w:rPr>
                <w:sz w:val="18"/>
                <w:szCs w:val="18"/>
              </w:rPr>
            </w:pPr>
          </w:p>
        </w:tc>
        <w:tc>
          <w:tcPr>
            <w:tcW w:w="892" w:type="pct"/>
            <w:tcBorders>
              <w:top w:val="nil"/>
              <w:left w:val="single" w:sz="4" w:space="0" w:color="auto"/>
              <w:bottom w:val="single" w:sz="4" w:space="0" w:color="auto"/>
              <w:right w:val="nil"/>
            </w:tcBorders>
          </w:tcPr>
          <w:p w14:paraId="1ADF8F1A" w14:textId="371C0E9C" w:rsidR="000D0314" w:rsidRPr="008550C6" w:rsidRDefault="000D0314" w:rsidP="00235859">
            <w:pPr>
              <w:widowControl w:val="0"/>
              <w:autoSpaceDE w:val="0"/>
              <w:autoSpaceDN w:val="0"/>
              <w:adjustRightInd w:val="0"/>
              <w:jc w:val="center"/>
              <w:rPr>
                <w:sz w:val="18"/>
                <w:szCs w:val="18"/>
              </w:rPr>
            </w:pPr>
            <w:r w:rsidRPr="008550C6">
              <w:rPr>
                <w:sz w:val="18"/>
                <w:szCs w:val="18"/>
              </w:rPr>
              <w:t>(0.0294)</w:t>
            </w:r>
          </w:p>
        </w:tc>
        <w:tc>
          <w:tcPr>
            <w:tcW w:w="523" w:type="pct"/>
            <w:tcBorders>
              <w:top w:val="nil"/>
              <w:left w:val="nil"/>
              <w:bottom w:val="single" w:sz="4" w:space="0" w:color="auto"/>
              <w:right w:val="nil"/>
            </w:tcBorders>
          </w:tcPr>
          <w:p w14:paraId="3D54D4BE" w14:textId="5686B5C7" w:rsidR="000D0314" w:rsidRPr="008550C6" w:rsidRDefault="000D0314" w:rsidP="00235859">
            <w:pPr>
              <w:widowControl w:val="0"/>
              <w:autoSpaceDE w:val="0"/>
              <w:autoSpaceDN w:val="0"/>
              <w:adjustRightInd w:val="0"/>
              <w:jc w:val="center"/>
              <w:rPr>
                <w:sz w:val="18"/>
                <w:szCs w:val="18"/>
              </w:rPr>
            </w:pPr>
          </w:p>
        </w:tc>
        <w:tc>
          <w:tcPr>
            <w:tcW w:w="708" w:type="pct"/>
            <w:tcBorders>
              <w:top w:val="nil"/>
              <w:left w:val="nil"/>
              <w:bottom w:val="single" w:sz="4" w:space="0" w:color="auto"/>
              <w:right w:val="nil"/>
            </w:tcBorders>
          </w:tcPr>
          <w:p w14:paraId="7A726086" w14:textId="77777777" w:rsidR="000D0314" w:rsidRPr="008550C6" w:rsidRDefault="000D0314" w:rsidP="00235859">
            <w:pPr>
              <w:widowControl w:val="0"/>
              <w:autoSpaceDE w:val="0"/>
              <w:autoSpaceDN w:val="0"/>
              <w:adjustRightInd w:val="0"/>
              <w:jc w:val="center"/>
              <w:rPr>
                <w:sz w:val="18"/>
                <w:szCs w:val="18"/>
              </w:rPr>
            </w:pPr>
          </w:p>
        </w:tc>
      </w:tr>
      <w:tr w:rsidR="008550C6" w:rsidRPr="008550C6" w14:paraId="7447EDE9" w14:textId="77777777" w:rsidTr="007E3420">
        <w:trPr>
          <w:jc w:val="center"/>
        </w:trPr>
        <w:tc>
          <w:tcPr>
            <w:tcW w:w="786" w:type="pct"/>
            <w:tcBorders>
              <w:top w:val="single" w:sz="4" w:space="0" w:color="auto"/>
              <w:left w:val="nil"/>
              <w:bottom w:val="single" w:sz="4" w:space="0" w:color="auto"/>
              <w:right w:val="nil"/>
            </w:tcBorders>
          </w:tcPr>
          <w:p w14:paraId="6B9A2032" w14:textId="77777777" w:rsidR="000D0314" w:rsidRPr="008550C6" w:rsidRDefault="000D0314" w:rsidP="00BE63D7">
            <w:pPr>
              <w:widowControl w:val="0"/>
              <w:autoSpaceDE w:val="0"/>
              <w:autoSpaceDN w:val="0"/>
              <w:adjustRightInd w:val="0"/>
              <w:rPr>
                <w:sz w:val="18"/>
                <w:szCs w:val="18"/>
              </w:rPr>
            </w:pPr>
          </w:p>
        </w:tc>
        <w:tc>
          <w:tcPr>
            <w:tcW w:w="864" w:type="pct"/>
            <w:tcBorders>
              <w:top w:val="single" w:sz="4" w:space="0" w:color="auto"/>
              <w:left w:val="nil"/>
              <w:bottom w:val="single" w:sz="4" w:space="0" w:color="auto"/>
              <w:right w:val="nil"/>
            </w:tcBorders>
          </w:tcPr>
          <w:p w14:paraId="12D1FCE0" w14:textId="257C61DA" w:rsidR="000D0314" w:rsidRPr="007E3420" w:rsidRDefault="000D0314" w:rsidP="00BE63D7">
            <w:pPr>
              <w:widowControl w:val="0"/>
              <w:autoSpaceDE w:val="0"/>
              <w:autoSpaceDN w:val="0"/>
              <w:adjustRightInd w:val="0"/>
              <w:jc w:val="center"/>
              <w:rPr>
                <w:b/>
                <w:bCs/>
                <w:sz w:val="18"/>
                <w:szCs w:val="18"/>
              </w:rPr>
            </w:pPr>
            <w:r w:rsidRPr="007E3420">
              <w:rPr>
                <w:b/>
                <w:bCs/>
                <w:sz w:val="18"/>
                <w:szCs w:val="18"/>
              </w:rPr>
              <w:t>VRS-Wx: Spillover effects</w:t>
            </w:r>
          </w:p>
        </w:tc>
        <w:tc>
          <w:tcPr>
            <w:tcW w:w="516" w:type="pct"/>
            <w:tcBorders>
              <w:top w:val="single" w:sz="4" w:space="0" w:color="auto"/>
              <w:left w:val="nil"/>
              <w:bottom w:val="single" w:sz="4" w:space="0" w:color="auto"/>
              <w:right w:val="nil"/>
            </w:tcBorders>
          </w:tcPr>
          <w:p w14:paraId="2E68E58E" w14:textId="77777777" w:rsidR="000D0314" w:rsidRPr="007E3420" w:rsidRDefault="000D0314" w:rsidP="00BE63D7">
            <w:pPr>
              <w:widowControl w:val="0"/>
              <w:autoSpaceDE w:val="0"/>
              <w:autoSpaceDN w:val="0"/>
              <w:adjustRightInd w:val="0"/>
              <w:jc w:val="center"/>
              <w:rPr>
                <w:b/>
                <w:bCs/>
                <w:sz w:val="18"/>
                <w:szCs w:val="18"/>
              </w:rPr>
            </w:pPr>
          </w:p>
        </w:tc>
        <w:tc>
          <w:tcPr>
            <w:tcW w:w="711" w:type="pct"/>
            <w:tcBorders>
              <w:top w:val="single" w:sz="4" w:space="0" w:color="auto"/>
              <w:left w:val="nil"/>
              <w:bottom w:val="single" w:sz="4" w:space="0" w:color="auto"/>
              <w:right w:val="single" w:sz="4" w:space="0" w:color="auto"/>
            </w:tcBorders>
          </w:tcPr>
          <w:p w14:paraId="093B38CE" w14:textId="77777777" w:rsidR="000D0314" w:rsidRPr="007E3420" w:rsidRDefault="000D0314" w:rsidP="00BE63D7">
            <w:pPr>
              <w:widowControl w:val="0"/>
              <w:autoSpaceDE w:val="0"/>
              <w:autoSpaceDN w:val="0"/>
              <w:adjustRightInd w:val="0"/>
              <w:jc w:val="center"/>
              <w:rPr>
                <w:b/>
                <w:bCs/>
                <w:sz w:val="18"/>
                <w:szCs w:val="18"/>
              </w:rPr>
            </w:pPr>
          </w:p>
        </w:tc>
        <w:tc>
          <w:tcPr>
            <w:tcW w:w="892" w:type="pct"/>
            <w:tcBorders>
              <w:top w:val="single" w:sz="4" w:space="0" w:color="auto"/>
              <w:left w:val="single" w:sz="4" w:space="0" w:color="auto"/>
              <w:bottom w:val="single" w:sz="4" w:space="0" w:color="auto"/>
              <w:right w:val="nil"/>
            </w:tcBorders>
          </w:tcPr>
          <w:p w14:paraId="3FFEDD80" w14:textId="07C2E6CA" w:rsidR="000D0314" w:rsidRPr="007E3420" w:rsidRDefault="000D0314" w:rsidP="00BE63D7">
            <w:pPr>
              <w:widowControl w:val="0"/>
              <w:autoSpaceDE w:val="0"/>
              <w:autoSpaceDN w:val="0"/>
              <w:adjustRightInd w:val="0"/>
              <w:jc w:val="center"/>
              <w:rPr>
                <w:b/>
                <w:bCs/>
                <w:sz w:val="18"/>
                <w:szCs w:val="18"/>
              </w:rPr>
            </w:pPr>
            <w:r w:rsidRPr="007E3420">
              <w:rPr>
                <w:b/>
                <w:bCs/>
                <w:sz w:val="18"/>
                <w:szCs w:val="18"/>
              </w:rPr>
              <w:t>VRS-Wx: Spillover effects</w:t>
            </w:r>
          </w:p>
        </w:tc>
        <w:tc>
          <w:tcPr>
            <w:tcW w:w="523" w:type="pct"/>
            <w:tcBorders>
              <w:top w:val="single" w:sz="4" w:space="0" w:color="auto"/>
              <w:left w:val="nil"/>
              <w:bottom w:val="single" w:sz="4" w:space="0" w:color="auto"/>
              <w:right w:val="nil"/>
            </w:tcBorders>
          </w:tcPr>
          <w:p w14:paraId="009EDA63" w14:textId="77777777" w:rsidR="000D0314" w:rsidRPr="007E3420" w:rsidRDefault="000D0314" w:rsidP="00BE63D7">
            <w:pPr>
              <w:widowControl w:val="0"/>
              <w:autoSpaceDE w:val="0"/>
              <w:autoSpaceDN w:val="0"/>
              <w:adjustRightInd w:val="0"/>
              <w:jc w:val="center"/>
              <w:rPr>
                <w:b/>
                <w:bCs/>
                <w:sz w:val="18"/>
                <w:szCs w:val="18"/>
              </w:rPr>
            </w:pPr>
          </w:p>
        </w:tc>
        <w:tc>
          <w:tcPr>
            <w:tcW w:w="708" w:type="pct"/>
            <w:tcBorders>
              <w:top w:val="single" w:sz="4" w:space="0" w:color="auto"/>
              <w:left w:val="nil"/>
              <w:bottom w:val="single" w:sz="4" w:space="0" w:color="auto"/>
              <w:right w:val="nil"/>
            </w:tcBorders>
          </w:tcPr>
          <w:p w14:paraId="692CBC7D" w14:textId="77777777" w:rsidR="000D0314" w:rsidRPr="008550C6" w:rsidRDefault="000D0314" w:rsidP="00BE63D7">
            <w:pPr>
              <w:widowControl w:val="0"/>
              <w:autoSpaceDE w:val="0"/>
              <w:autoSpaceDN w:val="0"/>
              <w:adjustRightInd w:val="0"/>
              <w:jc w:val="center"/>
              <w:rPr>
                <w:sz w:val="18"/>
                <w:szCs w:val="18"/>
              </w:rPr>
            </w:pPr>
          </w:p>
        </w:tc>
      </w:tr>
      <w:tr w:rsidR="008550C6" w:rsidRPr="008550C6" w14:paraId="258B4078" w14:textId="77777777" w:rsidTr="007E3420">
        <w:trPr>
          <w:jc w:val="center"/>
        </w:trPr>
        <w:tc>
          <w:tcPr>
            <w:tcW w:w="786" w:type="pct"/>
            <w:tcBorders>
              <w:top w:val="single" w:sz="4" w:space="0" w:color="auto"/>
              <w:left w:val="nil"/>
              <w:bottom w:val="nil"/>
              <w:right w:val="nil"/>
            </w:tcBorders>
          </w:tcPr>
          <w:p w14:paraId="401179D1" w14:textId="3F589AF1" w:rsidR="000D0314" w:rsidRPr="008550C6" w:rsidRDefault="000D0314" w:rsidP="000D0314">
            <w:pPr>
              <w:widowControl w:val="0"/>
              <w:autoSpaceDE w:val="0"/>
              <w:autoSpaceDN w:val="0"/>
              <w:adjustRightInd w:val="0"/>
              <w:rPr>
                <w:sz w:val="18"/>
                <w:szCs w:val="18"/>
              </w:rPr>
            </w:pPr>
            <w:r w:rsidRPr="008550C6">
              <w:rPr>
                <w:sz w:val="18"/>
                <w:szCs w:val="18"/>
              </w:rPr>
              <w:t>W</w:t>
            </w:r>
            <w:r w:rsidRPr="008550C6">
              <w:rPr>
                <w:sz w:val="18"/>
                <w:szCs w:val="18"/>
                <w:vertAlign w:val="subscript"/>
              </w:rPr>
              <w:t>SVOTE</w:t>
            </w:r>
          </w:p>
        </w:tc>
        <w:tc>
          <w:tcPr>
            <w:tcW w:w="864" w:type="pct"/>
            <w:tcBorders>
              <w:top w:val="single" w:sz="4" w:space="0" w:color="auto"/>
              <w:left w:val="nil"/>
              <w:bottom w:val="nil"/>
              <w:right w:val="nil"/>
            </w:tcBorders>
          </w:tcPr>
          <w:p w14:paraId="797B0BC8" w14:textId="401F4521" w:rsidR="000D0314" w:rsidRPr="008550C6" w:rsidRDefault="000D0314" w:rsidP="000D0314">
            <w:pPr>
              <w:widowControl w:val="0"/>
              <w:autoSpaceDE w:val="0"/>
              <w:autoSpaceDN w:val="0"/>
              <w:adjustRightInd w:val="0"/>
              <w:jc w:val="center"/>
              <w:rPr>
                <w:sz w:val="18"/>
                <w:szCs w:val="18"/>
              </w:rPr>
            </w:pPr>
            <w:r w:rsidRPr="008550C6">
              <w:rPr>
                <w:sz w:val="18"/>
                <w:szCs w:val="18"/>
              </w:rPr>
              <w:t>-0.0036</w:t>
            </w:r>
          </w:p>
        </w:tc>
        <w:tc>
          <w:tcPr>
            <w:tcW w:w="516" w:type="pct"/>
            <w:tcBorders>
              <w:top w:val="single" w:sz="4" w:space="0" w:color="auto"/>
              <w:left w:val="nil"/>
              <w:bottom w:val="nil"/>
              <w:right w:val="nil"/>
            </w:tcBorders>
          </w:tcPr>
          <w:p w14:paraId="47EA2987"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single" w:sz="4" w:space="0" w:color="auto"/>
              <w:left w:val="nil"/>
              <w:bottom w:val="nil"/>
              <w:right w:val="single" w:sz="4" w:space="0" w:color="auto"/>
            </w:tcBorders>
          </w:tcPr>
          <w:p w14:paraId="7D480665"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single" w:sz="4" w:space="0" w:color="auto"/>
              <w:left w:val="single" w:sz="4" w:space="0" w:color="auto"/>
              <w:bottom w:val="nil"/>
              <w:right w:val="nil"/>
            </w:tcBorders>
          </w:tcPr>
          <w:p w14:paraId="4F2A3AA4" w14:textId="77777777" w:rsidR="000D0314" w:rsidRPr="008550C6" w:rsidRDefault="000D0314" w:rsidP="000D0314">
            <w:pPr>
              <w:widowControl w:val="0"/>
              <w:autoSpaceDE w:val="0"/>
              <w:autoSpaceDN w:val="0"/>
              <w:adjustRightInd w:val="0"/>
              <w:jc w:val="center"/>
              <w:rPr>
                <w:sz w:val="18"/>
                <w:szCs w:val="18"/>
              </w:rPr>
            </w:pPr>
          </w:p>
        </w:tc>
        <w:tc>
          <w:tcPr>
            <w:tcW w:w="523" w:type="pct"/>
            <w:tcBorders>
              <w:top w:val="single" w:sz="4" w:space="0" w:color="auto"/>
              <w:left w:val="nil"/>
              <w:bottom w:val="nil"/>
              <w:right w:val="nil"/>
            </w:tcBorders>
          </w:tcPr>
          <w:p w14:paraId="1FF707E4"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single" w:sz="4" w:space="0" w:color="auto"/>
              <w:left w:val="nil"/>
              <w:bottom w:val="nil"/>
              <w:right w:val="nil"/>
            </w:tcBorders>
          </w:tcPr>
          <w:p w14:paraId="62F67FA1"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167B1E3F" w14:textId="77777777" w:rsidTr="007E3420">
        <w:trPr>
          <w:jc w:val="center"/>
        </w:trPr>
        <w:tc>
          <w:tcPr>
            <w:tcW w:w="786" w:type="pct"/>
            <w:tcBorders>
              <w:top w:val="nil"/>
              <w:left w:val="nil"/>
              <w:bottom w:val="nil"/>
              <w:right w:val="nil"/>
            </w:tcBorders>
          </w:tcPr>
          <w:p w14:paraId="6A351488" w14:textId="77777777" w:rsidR="000D0314" w:rsidRPr="008550C6" w:rsidRDefault="000D0314" w:rsidP="000D0314">
            <w:pPr>
              <w:widowControl w:val="0"/>
              <w:autoSpaceDE w:val="0"/>
              <w:autoSpaceDN w:val="0"/>
              <w:adjustRightInd w:val="0"/>
              <w:rPr>
                <w:sz w:val="18"/>
                <w:szCs w:val="18"/>
              </w:rPr>
            </w:pPr>
          </w:p>
        </w:tc>
        <w:tc>
          <w:tcPr>
            <w:tcW w:w="864" w:type="pct"/>
            <w:tcBorders>
              <w:top w:val="nil"/>
              <w:left w:val="nil"/>
              <w:bottom w:val="nil"/>
              <w:right w:val="nil"/>
            </w:tcBorders>
          </w:tcPr>
          <w:p w14:paraId="1161968D" w14:textId="4C521058" w:rsidR="000D0314" w:rsidRPr="008550C6" w:rsidRDefault="000D0314" w:rsidP="000D0314">
            <w:pPr>
              <w:widowControl w:val="0"/>
              <w:autoSpaceDE w:val="0"/>
              <w:autoSpaceDN w:val="0"/>
              <w:adjustRightInd w:val="0"/>
              <w:jc w:val="center"/>
              <w:rPr>
                <w:sz w:val="18"/>
                <w:szCs w:val="18"/>
              </w:rPr>
            </w:pPr>
            <w:r w:rsidRPr="008550C6">
              <w:rPr>
                <w:sz w:val="18"/>
                <w:szCs w:val="18"/>
              </w:rPr>
              <w:t>(0.3503)</w:t>
            </w:r>
          </w:p>
        </w:tc>
        <w:tc>
          <w:tcPr>
            <w:tcW w:w="516" w:type="pct"/>
            <w:tcBorders>
              <w:top w:val="nil"/>
              <w:left w:val="nil"/>
              <w:bottom w:val="nil"/>
              <w:right w:val="nil"/>
            </w:tcBorders>
          </w:tcPr>
          <w:p w14:paraId="18DE9C56"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2F205EE4"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07E52DE5" w14:textId="77777777" w:rsidR="000D0314" w:rsidRPr="008550C6" w:rsidRDefault="000D0314" w:rsidP="000D0314">
            <w:pPr>
              <w:widowControl w:val="0"/>
              <w:autoSpaceDE w:val="0"/>
              <w:autoSpaceDN w:val="0"/>
              <w:adjustRightInd w:val="0"/>
              <w:jc w:val="center"/>
              <w:rPr>
                <w:sz w:val="18"/>
                <w:szCs w:val="18"/>
              </w:rPr>
            </w:pPr>
          </w:p>
        </w:tc>
        <w:tc>
          <w:tcPr>
            <w:tcW w:w="523" w:type="pct"/>
            <w:tcBorders>
              <w:top w:val="nil"/>
              <w:left w:val="nil"/>
              <w:bottom w:val="nil"/>
              <w:right w:val="nil"/>
            </w:tcBorders>
          </w:tcPr>
          <w:p w14:paraId="6BAC156F"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nil"/>
              <w:right w:val="nil"/>
            </w:tcBorders>
          </w:tcPr>
          <w:p w14:paraId="43BF21A9"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23CFB5CC" w14:textId="77777777" w:rsidTr="007E3420">
        <w:trPr>
          <w:jc w:val="center"/>
        </w:trPr>
        <w:tc>
          <w:tcPr>
            <w:tcW w:w="786" w:type="pct"/>
            <w:tcBorders>
              <w:top w:val="nil"/>
              <w:left w:val="nil"/>
              <w:bottom w:val="nil"/>
              <w:right w:val="nil"/>
            </w:tcBorders>
          </w:tcPr>
          <w:p w14:paraId="435BAB94" w14:textId="2C243D03" w:rsidR="000D0314" w:rsidRPr="008550C6" w:rsidRDefault="000D0314" w:rsidP="000D0314">
            <w:pPr>
              <w:widowControl w:val="0"/>
              <w:autoSpaceDE w:val="0"/>
              <w:autoSpaceDN w:val="0"/>
              <w:adjustRightInd w:val="0"/>
              <w:rPr>
                <w:sz w:val="18"/>
                <w:szCs w:val="18"/>
              </w:rPr>
            </w:pPr>
            <w:r w:rsidRPr="008550C6">
              <w:rPr>
                <w:sz w:val="18"/>
                <w:szCs w:val="18"/>
              </w:rPr>
              <w:t>W</w:t>
            </w:r>
            <w:r w:rsidRPr="008550C6">
              <w:rPr>
                <w:sz w:val="18"/>
                <w:szCs w:val="18"/>
                <w:vertAlign w:val="subscript"/>
              </w:rPr>
              <w:t>NVOTE</w:t>
            </w:r>
          </w:p>
        </w:tc>
        <w:tc>
          <w:tcPr>
            <w:tcW w:w="864" w:type="pct"/>
            <w:tcBorders>
              <w:top w:val="nil"/>
              <w:left w:val="nil"/>
              <w:bottom w:val="nil"/>
              <w:right w:val="nil"/>
            </w:tcBorders>
          </w:tcPr>
          <w:p w14:paraId="2ED22A5A" w14:textId="7C2CDABD" w:rsidR="000D0314" w:rsidRPr="008550C6" w:rsidRDefault="000D0314" w:rsidP="000D0314">
            <w:pPr>
              <w:widowControl w:val="0"/>
              <w:autoSpaceDE w:val="0"/>
              <w:autoSpaceDN w:val="0"/>
              <w:adjustRightInd w:val="0"/>
              <w:jc w:val="center"/>
              <w:rPr>
                <w:sz w:val="18"/>
                <w:szCs w:val="18"/>
              </w:rPr>
            </w:pPr>
            <w:r w:rsidRPr="008550C6">
              <w:rPr>
                <w:sz w:val="18"/>
                <w:szCs w:val="18"/>
              </w:rPr>
              <w:t>-0.0281***</w:t>
            </w:r>
          </w:p>
        </w:tc>
        <w:tc>
          <w:tcPr>
            <w:tcW w:w="516" w:type="pct"/>
            <w:tcBorders>
              <w:top w:val="nil"/>
              <w:left w:val="nil"/>
              <w:bottom w:val="nil"/>
              <w:right w:val="nil"/>
            </w:tcBorders>
          </w:tcPr>
          <w:p w14:paraId="1DBAFA1C"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2919BEC4"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5BB840B0" w14:textId="65FA16EC" w:rsidR="000D0314" w:rsidRPr="008550C6" w:rsidRDefault="000D0314" w:rsidP="000D0314">
            <w:pPr>
              <w:widowControl w:val="0"/>
              <w:autoSpaceDE w:val="0"/>
              <w:autoSpaceDN w:val="0"/>
              <w:adjustRightInd w:val="0"/>
              <w:jc w:val="center"/>
              <w:rPr>
                <w:sz w:val="18"/>
                <w:szCs w:val="18"/>
              </w:rPr>
            </w:pPr>
            <w:r w:rsidRPr="008550C6">
              <w:rPr>
                <w:sz w:val="18"/>
                <w:szCs w:val="18"/>
              </w:rPr>
              <w:t>0.0049</w:t>
            </w:r>
          </w:p>
        </w:tc>
        <w:tc>
          <w:tcPr>
            <w:tcW w:w="523" w:type="pct"/>
            <w:tcBorders>
              <w:top w:val="nil"/>
              <w:left w:val="nil"/>
              <w:bottom w:val="nil"/>
              <w:right w:val="nil"/>
            </w:tcBorders>
          </w:tcPr>
          <w:p w14:paraId="1A4B451C"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nil"/>
              <w:right w:val="nil"/>
            </w:tcBorders>
          </w:tcPr>
          <w:p w14:paraId="54A6F346"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7DCAF9F0" w14:textId="77777777" w:rsidTr="007E3420">
        <w:trPr>
          <w:jc w:val="center"/>
        </w:trPr>
        <w:tc>
          <w:tcPr>
            <w:tcW w:w="786" w:type="pct"/>
            <w:tcBorders>
              <w:top w:val="nil"/>
              <w:left w:val="nil"/>
              <w:bottom w:val="nil"/>
              <w:right w:val="nil"/>
            </w:tcBorders>
          </w:tcPr>
          <w:p w14:paraId="727E2621" w14:textId="77777777" w:rsidR="000D0314" w:rsidRPr="008550C6" w:rsidRDefault="000D0314" w:rsidP="000D0314">
            <w:pPr>
              <w:widowControl w:val="0"/>
              <w:autoSpaceDE w:val="0"/>
              <w:autoSpaceDN w:val="0"/>
              <w:adjustRightInd w:val="0"/>
              <w:rPr>
                <w:sz w:val="18"/>
                <w:szCs w:val="18"/>
              </w:rPr>
            </w:pPr>
          </w:p>
        </w:tc>
        <w:tc>
          <w:tcPr>
            <w:tcW w:w="864" w:type="pct"/>
            <w:tcBorders>
              <w:top w:val="nil"/>
              <w:left w:val="nil"/>
              <w:bottom w:val="nil"/>
              <w:right w:val="nil"/>
            </w:tcBorders>
          </w:tcPr>
          <w:p w14:paraId="6C89A3B7" w14:textId="0349DE9B" w:rsidR="000D0314" w:rsidRPr="008550C6" w:rsidRDefault="000D0314" w:rsidP="000D0314">
            <w:pPr>
              <w:widowControl w:val="0"/>
              <w:autoSpaceDE w:val="0"/>
              <w:autoSpaceDN w:val="0"/>
              <w:adjustRightInd w:val="0"/>
              <w:jc w:val="center"/>
              <w:rPr>
                <w:sz w:val="18"/>
                <w:szCs w:val="18"/>
              </w:rPr>
            </w:pPr>
            <w:r w:rsidRPr="008550C6">
              <w:rPr>
                <w:sz w:val="18"/>
                <w:szCs w:val="18"/>
              </w:rPr>
              <w:t>(6.9581)</w:t>
            </w:r>
          </w:p>
        </w:tc>
        <w:tc>
          <w:tcPr>
            <w:tcW w:w="516" w:type="pct"/>
            <w:tcBorders>
              <w:top w:val="nil"/>
              <w:left w:val="nil"/>
              <w:bottom w:val="nil"/>
              <w:right w:val="nil"/>
            </w:tcBorders>
          </w:tcPr>
          <w:p w14:paraId="69ED51D6"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50698157"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7A93D772" w14:textId="464E4276" w:rsidR="000D0314" w:rsidRPr="008550C6" w:rsidRDefault="000D0314" w:rsidP="000D0314">
            <w:pPr>
              <w:widowControl w:val="0"/>
              <w:autoSpaceDE w:val="0"/>
              <w:autoSpaceDN w:val="0"/>
              <w:adjustRightInd w:val="0"/>
              <w:jc w:val="center"/>
              <w:rPr>
                <w:sz w:val="18"/>
                <w:szCs w:val="18"/>
              </w:rPr>
            </w:pPr>
            <w:r w:rsidRPr="008550C6">
              <w:rPr>
                <w:sz w:val="18"/>
                <w:szCs w:val="18"/>
              </w:rPr>
              <w:t>(1.4810)</w:t>
            </w:r>
          </w:p>
        </w:tc>
        <w:tc>
          <w:tcPr>
            <w:tcW w:w="523" w:type="pct"/>
            <w:tcBorders>
              <w:top w:val="nil"/>
              <w:left w:val="nil"/>
              <w:bottom w:val="nil"/>
              <w:right w:val="nil"/>
            </w:tcBorders>
          </w:tcPr>
          <w:p w14:paraId="3669CCE4"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nil"/>
              <w:right w:val="nil"/>
            </w:tcBorders>
          </w:tcPr>
          <w:p w14:paraId="13E61BF3"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16356A2C" w14:textId="77777777" w:rsidTr="007E3420">
        <w:trPr>
          <w:jc w:val="center"/>
        </w:trPr>
        <w:tc>
          <w:tcPr>
            <w:tcW w:w="786" w:type="pct"/>
            <w:tcBorders>
              <w:top w:val="nil"/>
              <w:left w:val="nil"/>
              <w:bottom w:val="nil"/>
              <w:right w:val="nil"/>
            </w:tcBorders>
          </w:tcPr>
          <w:p w14:paraId="6EE36305" w14:textId="054557BD" w:rsidR="000D0314" w:rsidRPr="008550C6" w:rsidRDefault="000D0314" w:rsidP="000D0314">
            <w:pPr>
              <w:widowControl w:val="0"/>
              <w:autoSpaceDE w:val="0"/>
              <w:autoSpaceDN w:val="0"/>
              <w:adjustRightInd w:val="0"/>
              <w:rPr>
                <w:sz w:val="18"/>
                <w:szCs w:val="18"/>
              </w:rPr>
            </w:pPr>
            <w:r w:rsidRPr="008550C6">
              <w:rPr>
                <w:sz w:val="18"/>
                <w:szCs w:val="18"/>
              </w:rPr>
              <w:t>W</w:t>
            </w:r>
            <w:r w:rsidRPr="008550C6">
              <w:rPr>
                <w:sz w:val="18"/>
                <w:szCs w:val="18"/>
                <w:vertAlign w:val="subscript"/>
              </w:rPr>
              <w:t>LNTA</w:t>
            </w:r>
          </w:p>
        </w:tc>
        <w:tc>
          <w:tcPr>
            <w:tcW w:w="864" w:type="pct"/>
            <w:tcBorders>
              <w:top w:val="nil"/>
              <w:left w:val="nil"/>
              <w:bottom w:val="nil"/>
              <w:right w:val="nil"/>
            </w:tcBorders>
          </w:tcPr>
          <w:p w14:paraId="245ABA51" w14:textId="5D57E61A" w:rsidR="000D0314" w:rsidRPr="008550C6" w:rsidRDefault="000D0314" w:rsidP="000D0314">
            <w:pPr>
              <w:widowControl w:val="0"/>
              <w:autoSpaceDE w:val="0"/>
              <w:autoSpaceDN w:val="0"/>
              <w:adjustRightInd w:val="0"/>
              <w:jc w:val="center"/>
              <w:rPr>
                <w:sz w:val="18"/>
                <w:szCs w:val="18"/>
              </w:rPr>
            </w:pPr>
            <w:r w:rsidRPr="008550C6">
              <w:rPr>
                <w:sz w:val="18"/>
                <w:szCs w:val="18"/>
              </w:rPr>
              <w:t>-3.5485***</w:t>
            </w:r>
          </w:p>
        </w:tc>
        <w:tc>
          <w:tcPr>
            <w:tcW w:w="516" w:type="pct"/>
            <w:tcBorders>
              <w:top w:val="nil"/>
              <w:left w:val="nil"/>
              <w:bottom w:val="nil"/>
              <w:right w:val="nil"/>
            </w:tcBorders>
          </w:tcPr>
          <w:p w14:paraId="740503DB"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7F71E982"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5018114B" w14:textId="435883D5" w:rsidR="000D0314" w:rsidRPr="008550C6" w:rsidRDefault="000D0314" w:rsidP="000D0314">
            <w:pPr>
              <w:widowControl w:val="0"/>
              <w:autoSpaceDE w:val="0"/>
              <w:autoSpaceDN w:val="0"/>
              <w:adjustRightInd w:val="0"/>
              <w:jc w:val="center"/>
              <w:rPr>
                <w:sz w:val="18"/>
                <w:szCs w:val="18"/>
              </w:rPr>
            </w:pPr>
            <w:r w:rsidRPr="008550C6">
              <w:rPr>
                <w:sz w:val="18"/>
                <w:szCs w:val="18"/>
              </w:rPr>
              <w:t>-0.0257***</w:t>
            </w:r>
          </w:p>
        </w:tc>
        <w:tc>
          <w:tcPr>
            <w:tcW w:w="523" w:type="pct"/>
            <w:tcBorders>
              <w:top w:val="nil"/>
              <w:left w:val="nil"/>
              <w:bottom w:val="nil"/>
              <w:right w:val="nil"/>
            </w:tcBorders>
          </w:tcPr>
          <w:p w14:paraId="5D3C8B32"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nil"/>
              <w:right w:val="nil"/>
            </w:tcBorders>
          </w:tcPr>
          <w:p w14:paraId="76B4EEAD"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140BE2B5" w14:textId="77777777" w:rsidTr="007E3420">
        <w:trPr>
          <w:jc w:val="center"/>
        </w:trPr>
        <w:tc>
          <w:tcPr>
            <w:tcW w:w="786" w:type="pct"/>
            <w:tcBorders>
              <w:top w:val="nil"/>
              <w:left w:val="nil"/>
              <w:bottom w:val="nil"/>
              <w:right w:val="nil"/>
            </w:tcBorders>
          </w:tcPr>
          <w:p w14:paraId="1A36CF43" w14:textId="77777777" w:rsidR="000D0314" w:rsidRPr="008550C6" w:rsidRDefault="000D0314" w:rsidP="000D0314">
            <w:pPr>
              <w:widowControl w:val="0"/>
              <w:autoSpaceDE w:val="0"/>
              <w:autoSpaceDN w:val="0"/>
              <w:adjustRightInd w:val="0"/>
              <w:rPr>
                <w:sz w:val="18"/>
                <w:szCs w:val="18"/>
              </w:rPr>
            </w:pPr>
          </w:p>
        </w:tc>
        <w:tc>
          <w:tcPr>
            <w:tcW w:w="864" w:type="pct"/>
            <w:tcBorders>
              <w:top w:val="nil"/>
              <w:left w:val="nil"/>
              <w:bottom w:val="nil"/>
              <w:right w:val="nil"/>
            </w:tcBorders>
          </w:tcPr>
          <w:p w14:paraId="43B9F66F" w14:textId="43EDA398" w:rsidR="000D0314" w:rsidRPr="008550C6" w:rsidRDefault="000D0314" w:rsidP="000D0314">
            <w:pPr>
              <w:widowControl w:val="0"/>
              <w:autoSpaceDE w:val="0"/>
              <w:autoSpaceDN w:val="0"/>
              <w:adjustRightInd w:val="0"/>
              <w:jc w:val="center"/>
              <w:rPr>
                <w:sz w:val="18"/>
                <w:szCs w:val="18"/>
              </w:rPr>
            </w:pPr>
            <w:r w:rsidRPr="008550C6">
              <w:rPr>
                <w:sz w:val="18"/>
                <w:szCs w:val="18"/>
              </w:rPr>
              <w:t>(3.0066)</w:t>
            </w:r>
          </w:p>
        </w:tc>
        <w:tc>
          <w:tcPr>
            <w:tcW w:w="516" w:type="pct"/>
            <w:tcBorders>
              <w:top w:val="nil"/>
              <w:left w:val="nil"/>
              <w:bottom w:val="nil"/>
              <w:right w:val="nil"/>
            </w:tcBorders>
          </w:tcPr>
          <w:p w14:paraId="592CF3C5"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2C90B6E4"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46C51900" w14:textId="35C6497D" w:rsidR="000D0314" w:rsidRPr="008550C6" w:rsidRDefault="000D0314" w:rsidP="000D0314">
            <w:pPr>
              <w:widowControl w:val="0"/>
              <w:autoSpaceDE w:val="0"/>
              <w:autoSpaceDN w:val="0"/>
              <w:adjustRightInd w:val="0"/>
              <w:jc w:val="center"/>
              <w:rPr>
                <w:sz w:val="18"/>
                <w:szCs w:val="18"/>
              </w:rPr>
            </w:pPr>
            <w:r w:rsidRPr="008550C6">
              <w:rPr>
                <w:sz w:val="18"/>
                <w:szCs w:val="18"/>
              </w:rPr>
              <w:t>(-6.4520)</w:t>
            </w:r>
          </w:p>
        </w:tc>
        <w:tc>
          <w:tcPr>
            <w:tcW w:w="523" w:type="pct"/>
            <w:tcBorders>
              <w:top w:val="nil"/>
              <w:left w:val="nil"/>
              <w:bottom w:val="nil"/>
              <w:right w:val="nil"/>
            </w:tcBorders>
          </w:tcPr>
          <w:p w14:paraId="144EA83E"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nil"/>
              <w:right w:val="nil"/>
            </w:tcBorders>
          </w:tcPr>
          <w:p w14:paraId="289916C9"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692C14B2" w14:textId="77777777" w:rsidTr="007E3420">
        <w:trPr>
          <w:jc w:val="center"/>
        </w:trPr>
        <w:tc>
          <w:tcPr>
            <w:tcW w:w="786" w:type="pct"/>
            <w:tcBorders>
              <w:top w:val="nil"/>
              <w:left w:val="nil"/>
              <w:bottom w:val="nil"/>
              <w:right w:val="nil"/>
            </w:tcBorders>
          </w:tcPr>
          <w:p w14:paraId="2704EA62" w14:textId="50439140" w:rsidR="000D0314" w:rsidRPr="008550C6" w:rsidRDefault="000D0314" w:rsidP="000D0314">
            <w:pPr>
              <w:widowControl w:val="0"/>
              <w:autoSpaceDE w:val="0"/>
              <w:autoSpaceDN w:val="0"/>
              <w:adjustRightInd w:val="0"/>
              <w:rPr>
                <w:sz w:val="18"/>
                <w:szCs w:val="18"/>
              </w:rPr>
            </w:pPr>
            <w:r w:rsidRPr="008550C6">
              <w:rPr>
                <w:sz w:val="18"/>
                <w:szCs w:val="18"/>
              </w:rPr>
              <w:t>W</w:t>
            </w:r>
            <w:r w:rsidRPr="008550C6">
              <w:rPr>
                <w:sz w:val="18"/>
                <w:szCs w:val="18"/>
                <w:vertAlign w:val="subscript"/>
              </w:rPr>
              <w:t>NPLTL</w:t>
            </w:r>
          </w:p>
        </w:tc>
        <w:tc>
          <w:tcPr>
            <w:tcW w:w="864" w:type="pct"/>
            <w:tcBorders>
              <w:top w:val="nil"/>
              <w:left w:val="nil"/>
              <w:bottom w:val="nil"/>
              <w:right w:val="nil"/>
            </w:tcBorders>
          </w:tcPr>
          <w:p w14:paraId="02A08706" w14:textId="34B4E290" w:rsidR="000D0314" w:rsidRPr="008550C6" w:rsidRDefault="000D0314" w:rsidP="000D0314">
            <w:pPr>
              <w:widowControl w:val="0"/>
              <w:autoSpaceDE w:val="0"/>
              <w:autoSpaceDN w:val="0"/>
              <w:adjustRightInd w:val="0"/>
              <w:jc w:val="center"/>
              <w:rPr>
                <w:sz w:val="18"/>
                <w:szCs w:val="18"/>
              </w:rPr>
            </w:pPr>
            <w:r w:rsidRPr="008550C6">
              <w:rPr>
                <w:sz w:val="18"/>
                <w:szCs w:val="18"/>
              </w:rPr>
              <w:t>0.0093</w:t>
            </w:r>
          </w:p>
        </w:tc>
        <w:tc>
          <w:tcPr>
            <w:tcW w:w="516" w:type="pct"/>
            <w:tcBorders>
              <w:top w:val="nil"/>
              <w:left w:val="nil"/>
              <w:bottom w:val="nil"/>
              <w:right w:val="nil"/>
            </w:tcBorders>
          </w:tcPr>
          <w:p w14:paraId="40E90E0D"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47CCD7D9"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1881727B" w14:textId="12FE025A" w:rsidR="000D0314" w:rsidRPr="008550C6" w:rsidRDefault="000D0314" w:rsidP="000D0314">
            <w:pPr>
              <w:widowControl w:val="0"/>
              <w:autoSpaceDE w:val="0"/>
              <w:autoSpaceDN w:val="0"/>
              <w:adjustRightInd w:val="0"/>
              <w:jc w:val="center"/>
              <w:rPr>
                <w:sz w:val="18"/>
                <w:szCs w:val="18"/>
              </w:rPr>
            </w:pPr>
            <w:r w:rsidRPr="008550C6">
              <w:rPr>
                <w:sz w:val="18"/>
                <w:szCs w:val="18"/>
              </w:rPr>
              <w:t>-4.0176***</w:t>
            </w:r>
          </w:p>
        </w:tc>
        <w:tc>
          <w:tcPr>
            <w:tcW w:w="523" w:type="pct"/>
            <w:tcBorders>
              <w:top w:val="nil"/>
              <w:left w:val="nil"/>
              <w:bottom w:val="nil"/>
              <w:right w:val="nil"/>
            </w:tcBorders>
          </w:tcPr>
          <w:p w14:paraId="733D5B6A"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nil"/>
              <w:right w:val="nil"/>
            </w:tcBorders>
          </w:tcPr>
          <w:p w14:paraId="13E8E87F"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75C6F076" w14:textId="77777777" w:rsidTr="007E3420">
        <w:trPr>
          <w:jc w:val="center"/>
        </w:trPr>
        <w:tc>
          <w:tcPr>
            <w:tcW w:w="786" w:type="pct"/>
            <w:tcBorders>
              <w:top w:val="nil"/>
              <w:left w:val="nil"/>
              <w:bottom w:val="nil"/>
              <w:right w:val="nil"/>
            </w:tcBorders>
          </w:tcPr>
          <w:p w14:paraId="0C44262A" w14:textId="77777777" w:rsidR="000D0314" w:rsidRPr="008550C6" w:rsidRDefault="000D0314" w:rsidP="000D0314">
            <w:pPr>
              <w:widowControl w:val="0"/>
              <w:autoSpaceDE w:val="0"/>
              <w:autoSpaceDN w:val="0"/>
              <w:adjustRightInd w:val="0"/>
              <w:rPr>
                <w:sz w:val="18"/>
                <w:szCs w:val="18"/>
              </w:rPr>
            </w:pPr>
          </w:p>
        </w:tc>
        <w:tc>
          <w:tcPr>
            <w:tcW w:w="864" w:type="pct"/>
            <w:tcBorders>
              <w:top w:val="nil"/>
              <w:left w:val="nil"/>
              <w:bottom w:val="nil"/>
              <w:right w:val="nil"/>
            </w:tcBorders>
          </w:tcPr>
          <w:p w14:paraId="2D78D37B" w14:textId="1A648C6D" w:rsidR="000D0314" w:rsidRPr="008550C6" w:rsidRDefault="000D0314" w:rsidP="000D0314">
            <w:pPr>
              <w:widowControl w:val="0"/>
              <w:autoSpaceDE w:val="0"/>
              <w:autoSpaceDN w:val="0"/>
              <w:adjustRightInd w:val="0"/>
              <w:jc w:val="center"/>
              <w:rPr>
                <w:sz w:val="18"/>
                <w:szCs w:val="18"/>
              </w:rPr>
            </w:pPr>
            <w:r w:rsidRPr="008550C6">
              <w:rPr>
                <w:sz w:val="18"/>
                <w:szCs w:val="18"/>
              </w:rPr>
              <w:t>(0.1773)</w:t>
            </w:r>
          </w:p>
        </w:tc>
        <w:tc>
          <w:tcPr>
            <w:tcW w:w="516" w:type="pct"/>
            <w:tcBorders>
              <w:top w:val="nil"/>
              <w:left w:val="nil"/>
              <w:bottom w:val="nil"/>
              <w:right w:val="nil"/>
            </w:tcBorders>
          </w:tcPr>
          <w:p w14:paraId="69D952A4"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51444D85"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445ECF64" w14:textId="35ACE42E" w:rsidR="000D0314" w:rsidRPr="008550C6" w:rsidRDefault="000D0314" w:rsidP="000D0314">
            <w:pPr>
              <w:widowControl w:val="0"/>
              <w:autoSpaceDE w:val="0"/>
              <w:autoSpaceDN w:val="0"/>
              <w:adjustRightInd w:val="0"/>
              <w:jc w:val="center"/>
              <w:rPr>
                <w:sz w:val="18"/>
                <w:szCs w:val="18"/>
              </w:rPr>
            </w:pPr>
            <w:r w:rsidRPr="008550C6">
              <w:rPr>
                <w:sz w:val="18"/>
                <w:szCs w:val="18"/>
              </w:rPr>
              <w:t>(-3.3363)</w:t>
            </w:r>
          </w:p>
        </w:tc>
        <w:tc>
          <w:tcPr>
            <w:tcW w:w="523" w:type="pct"/>
            <w:tcBorders>
              <w:top w:val="nil"/>
              <w:left w:val="nil"/>
              <w:bottom w:val="nil"/>
              <w:right w:val="nil"/>
            </w:tcBorders>
          </w:tcPr>
          <w:p w14:paraId="35EF5482"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nil"/>
              <w:right w:val="nil"/>
            </w:tcBorders>
          </w:tcPr>
          <w:p w14:paraId="3989C7E8"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648E3CA5" w14:textId="77777777" w:rsidTr="007E3420">
        <w:trPr>
          <w:jc w:val="center"/>
        </w:trPr>
        <w:tc>
          <w:tcPr>
            <w:tcW w:w="786" w:type="pct"/>
            <w:tcBorders>
              <w:top w:val="nil"/>
              <w:left w:val="nil"/>
              <w:bottom w:val="nil"/>
              <w:right w:val="nil"/>
            </w:tcBorders>
          </w:tcPr>
          <w:p w14:paraId="6C03CF42" w14:textId="4B2828CE" w:rsidR="000D0314" w:rsidRPr="008550C6" w:rsidRDefault="000D0314" w:rsidP="000D0314">
            <w:pPr>
              <w:widowControl w:val="0"/>
              <w:autoSpaceDE w:val="0"/>
              <w:autoSpaceDN w:val="0"/>
              <w:adjustRightInd w:val="0"/>
              <w:rPr>
                <w:sz w:val="18"/>
                <w:szCs w:val="18"/>
              </w:rPr>
            </w:pPr>
            <w:r w:rsidRPr="008550C6">
              <w:rPr>
                <w:sz w:val="18"/>
                <w:szCs w:val="18"/>
              </w:rPr>
              <w:t>W</w:t>
            </w:r>
            <w:r w:rsidRPr="008550C6">
              <w:rPr>
                <w:sz w:val="18"/>
                <w:szCs w:val="18"/>
                <w:vertAlign w:val="subscript"/>
              </w:rPr>
              <w:t>DOA</w:t>
            </w:r>
          </w:p>
        </w:tc>
        <w:tc>
          <w:tcPr>
            <w:tcW w:w="864" w:type="pct"/>
            <w:tcBorders>
              <w:top w:val="nil"/>
              <w:left w:val="nil"/>
              <w:bottom w:val="nil"/>
              <w:right w:val="nil"/>
            </w:tcBorders>
          </w:tcPr>
          <w:p w14:paraId="6933027F" w14:textId="1E6BEA78" w:rsidR="000D0314" w:rsidRPr="008550C6" w:rsidRDefault="000D0314" w:rsidP="000D0314">
            <w:pPr>
              <w:widowControl w:val="0"/>
              <w:autoSpaceDE w:val="0"/>
              <w:autoSpaceDN w:val="0"/>
              <w:adjustRightInd w:val="0"/>
              <w:jc w:val="center"/>
              <w:rPr>
                <w:sz w:val="18"/>
                <w:szCs w:val="18"/>
              </w:rPr>
            </w:pPr>
            <w:r w:rsidRPr="008550C6">
              <w:rPr>
                <w:sz w:val="18"/>
                <w:szCs w:val="18"/>
              </w:rPr>
              <w:t>-0.0036</w:t>
            </w:r>
          </w:p>
        </w:tc>
        <w:tc>
          <w:tcPr>
            <w:tcW w:w="516" w:type="pct"/>
            <w:tcBorders>
              <w:top w:val="nil"/>
              <w:left w:val="nil"/>
              <w:bottom w:val="nil"/>
              <w:right w:val="nil"/>
            </w:tcBorders>
          </w:tcPr>
          <w:p w14:paraId="74796C09"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7132916C"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3C01DBB0" w14:textId="44BA7601" w:rsidR="000D0314" w:rsidRPr="008550C6" w:rsidRDefault="000D0314" w:rsidP="000D0314">
            <w:pPr>
              <w:widowControl w:val="0"/>
              <w:autoSpaceDE w:val="0"/>
              <w:autoSpaceDN w:val="0"/>
              <w:adjustRightInd w:val="0"/>
              <w:jc w:val="center"/>
              <w:rPr>
                <w:sz w:val="18"/>
                <w:szCs w:val="18"/>
              </w:rPr>
            </w:pPr>
            <w:r w:rsidRPr="008550C6">
              <w:rPr>
                <w:sz w:val="18"/>
                <w:szCs w:val="18"/>
              </w:rPr>
              <w:t>-0.0004</w:t>
            </w:r>
          </w:p>
        </w:tc>
        <w:tc>
          <w:tcPr>
            <w:tcW w:w="523" w:type="pct"/>
            <w:tcBorders>
              <w:top w:val="nil"/>
              <w:left w:val="nil"/>
              <w:bottom w:val="nil"/>
              <w:right w:val="nil"/>
            </w:tcBorders>
          </w:tcPr>
          <w:p w14:paraId="2BDC0DC7"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nil"/>
              <w:right w:val="nil"/>
            </w:tcBorders>
          </w:tcPr>
          <w:p w14:paraId="340951A7"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2DA240C7" w14:textId="77777777" w:rsidTr="007E3420">
        <w:trPr>
          <w:jc w:val="center"/>
        </w:trPr>
        <w:tc>
          <w:tcPr>
            <w:tcW w:w="786" w:type="pct"/>
            <w:tcBorders>
              <w:top w:val="nil"/>
              <w:left w:val="nil"/>
              <w:bottom w:val="nil"/>
              <w:right w:val="nil"/>
            </w:tcBorders>
          </w:tcPr>
          <w:p w14:paraId="3FB982FF" w14:textId="77777777" w:rsidR="000D0314" w:rsidRPr="008550C6" w:rsidRDefault="000D0314" w:rsidP="000D0314">
            <w:pPr>
              <w:widowControl w:val="0"/>
              <w:autoSpaceDE w:val="0"/>
              <w:autoSpaceDN w:val="0"/>
              <w:adjustRightInd w:val="0"/>
              <w:rPr>
                <w:sz w:val="18"/>
                <w:szCs w:val="18"/>
              </w:rPr>
            </w:pPr>
          </w:p>
        </w:tc>
        <w:tc>
          <w:tcPr>
            <w:tcW w:w="864" w:type="pct"/>
            <w:tcBorders>
              <w:top w:val="nil"/>
              <w:left w:val="nil"/>
              <w:bottom w:val="nil"/>
              <w:right w:val="nil"/>
            </w:tcBorders>
          </w:tcPr>
          <w:p w14:paraId="4AE3508B" w14:textId="0EA9DC69" w:rsidR="000D0314" w:rsidRPr="008550C6" w:rsidRDefault="000D0314" w:rsidP="000D0314">
            <w:pPr>
              <w:widowControl w:val="0"/>
              <w:autoSpaceDE w:val="0"/>
              <w:autoSpaceDN w:val="0"/>
              <w:adjustRightInd w:val="0"/>
              <w:jc w:val="center"/>
              <w:rPr>
                <w:sz w:val="18"/>
                <w:szCs w:val="18"/>
              </w:rPr>
            </w:pPr>
            <w:r w:rsidRPr="008550C6">
              <w:rPr>
                <w:sz w:val="18"/>
                <w:szCs w:val="18"/>
              </w:rPr>
              <w:t>(0.3503)</w:t>
            </w:r>
          </w:p>
        </w:tc>
        <w:tc>
          <w:tcPr>
            <w:tcW w:w="516" w:type="pct"/>
            <w:tcBorders>
              <w:top w:val="nil"/>
              <w:left w:val="nil"/>
              <w:bottom w:val="nil"/>
              <w:right w:val="nil"/>
            </w:tcBorders>
          </w:tcPr>
          <w:p w14:paraId="479399CE"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04806069"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4BFF5730" w14:textId="404DCE2B" w:rsidR="000D0314" w:rsidRPr="008550C6" w:rsidRDefault="000D0314" w:rsidP="000D0314">
            <w:pPr>
              <w:widowControl w:val="0"/>
              <w:autoSpaceDE w:val="0"/>
              <w:autoSpaceDN w:val="0"/>
              <w:adjustRightInd w:val="0"/>
              <w:jc w:val="center"/>
              <w:rPr>
                <w:sz w:val="18"/>
                <w:szCs w:val="18"/>
              </w:rPr>
            </w:pPr>
            <w:r w:rsidRPr="008550C6">
              <w:rPr>
                <w:sz w:val="18"/>
                <w:szCs w:val="18"/>
              </w:rPr>
              <w:t>(-0.0067)</w:t>
            </w:r>
          </w:p>
        </w:tc>
        <w:tc>
          <w:tcPr>
            <w:tcW w:w="523" w:type="pct"/>
            <w:tcBorders>
              <w:top w:val="nil"/>
              <w:left w:val="nil"/>
              <w:bottom w:val="nil"/>
              <w:right w:val="nil"/>
            </w:tcBorders>
          </w:tcPr>
          <w:p w14:paraId="037B3AAD"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nil"/>
              <w:right w:val="nil"/>
            </w:tcBorders>
          </w:tcPr>
          <w:p w14:paraId="2986A630"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2DD583E3" w14:textId="77777777" w:rsidTr="007E3420">
        <w:trPr>
          <w:jc w:val="center"/>
        </w:trPr>
        <w:tc>
          <w:tcPr>
            <w:tcW w:w="786" w:type="pct"/>
            <w:tcBorders>
              <w:top w:val="nil"/>
              <w:left w:val="nil"/>
              <w:bottom w:val="nil"/>
              <w:right w:val="nil"/>
            </w:tcBorders>
          </w:tcPr>
          <w:p w14:paraId="067EFB89" w14:textId="235CF3CB" w:rsidR="000D0314" w:rsidRPr="008550C6" w:rsidRDefault="000D0314" w:rsidP="000D0314">
            <w:pPr>
              <w:widowControl w:val="0"/>
              <w:autoSpaceDE w:val="0"/>
              <w:autoSpaceDN w:val="0"/>
              <w:adjustRightInd w:val="0"/>
              <w:rPr>
                <w:sz w:val="18"/>
                <w:szCs w:val="18"/>
              </w:rPr>
            </w:pPr>
            <w:r w:rsidRPr="008550C6">
              <w:rPr>
                <w:sz w:val="18"/>
                <w:szCs w:val="18"/>
              </w:rPr>
              <w:t>W</w:t>
            </w:r>
            <w:r w:rsidRPr="008550C6">
              <w:rPr>
                <w:sz w:val="18"/>
                <w:szCs w:val="18"/>
                <w:vertAlign w:val="subscript"/>
              </w:rPr>
              <w:t>VRS</w:t>
            </w:r>
          </w:p>
        </w:tc>
        <w:tc>
          <w:tcPr>
            <w:tcW w:w="864" w:type="pct"/>
            <w:tcBorders>
              <w:top w:val="nil"/>
              <w:left w:val="nil"/>
              <w:bottom w:val="nil"/>
              <w:right w:val="nil"/>
            </w:tcBorders>
          </w:tcPr>
          <w:p w14:paraId="50845BDC" w14:textId="6350CEDE" w:rsidR="000D0314" w:rsidRPr="008550C6" w:rsidRDefault="000D0314" w:rsidP="000D0314">
            <w:pPr>
              <w:widowControl w:val="0"/>
              <w:autoSpaceDE w:val="0"/>
              <w:autoSpaceDN w:val="0"/>
              <w:adjustRightInd w:val="0"/>
              <w:jc w:val="center"/>
              <w:rPr>
                <w:sz w:val="18"/>
                <w:szCs w:val="18"/>
              </w:rPr>
            </w:pPr>
            <w:r w:rsidRPr="008550C6">
              <w:rPr>
                <w:sz w:val="18"/>
                <w:szCs w:val="18"/>
              </w:rPr>
              <w:t>0.7295***</w:t>
            </w:r>
          </w:p>
        </w:tc>
        <w:tc>
          <w:tcPr>
            <w:tcW w:w="516" w:type="pct"/>
            <w:tcBorders>
              <w:top w:val="nil"/>
              <w:left w:val="nil"/>
              <w:bottom w:val="nil"/>
              <w:right w:val="nil"/>
            </w:tcBorders>
          </w:tcPr>
          <w:p w14:paraId="1B6E1055"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68755FE6"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79ECE9C8" w14:textId="34BB907F" w:rsidR="000D0314" w:rsidRPr="008550C6" w:rsidRDefault="000D0314" w:rsidP="000D0314">
            <w:pPr>
              <w:widowControl w:val="0"/>
              <w:autoSpaceDE w:val="0"/>
              <w:autoSpaceDN w:val="0"/>
              <w:adjustRightInd w:val="0"/>
              <w:jc w:val="center"/>
              <w:rPr>
                <w:sz w:val="18"/>
                <w:szCs w:val="18"/>
              </w:rPr>
            </w:pPr>
            <w:r w:rsidRPr="008550C6">
              <w:rPr>
                <w:sz w:val="18"/>
                <w:szCs w:val="18"/>
              </w:rPr>
              <w:t>0.6310***</w:t>
            </w:r>
          </w:p>
        </w:tc>
        <w:tc>
          <w:tcPr>
            <w:tcW w:w="523" w:type="pct"/>
            <w:tcBorders>
              <w:top w:val="nil"/>
              <w:left w:val="nil"/>
              <w:bottom w:val="nil"/>
              <w:right w:val="nil"/>
            </w:tcBorders>
          </w:tcPr>
          <w:p w14:paraId="5579690B"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nil"/>
              <w:right w:val="nil"/>
            </w:tcBorders>
          </w:tcPr>
          <w:p w14:paraId="2DBFB027"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4DA88C1C" w14:textId="77777777" w:rsidTr="007E3420">
        <w:trPr>
          <w:jc w:val="center"/>
        </w:trPr>
        <w:tc>
          <w:tcPr>
            <w:tcW w:w="786" w:type="pct"/>
            <w:tcBorders>
              <w:top w:val="nil"/>
              <w:left w:val="nil"/>
              <w:bottom w:val="nil"/>
              <w:right w:val="nil"/>
            </w:tcBorders>
          </w:tcPr>
          <w:p w14:paraId="73316C62" w14:textId="77777777" w:rsidR="000D0314" w:rsidRPr="008550C6" w:rsidRDefault="000D0314" w:rsidP="000D0314">
            <w:pPr>
              <w:widowControl w:val="0"/>
              <w:autoSpaceDE w:val="0"/>
              <w:autoSpaceDN w:val="0"/>
              <w:adjustRightInd w:val="0"/>
              <w:rPr>
                <w:sz w:val="18"/>
                <w:szCs w:val="18"/>
              </w:rPr>
            </w:pPr>
          </w:p>
        </w:tc>
        <w:tc>
          <w:tcPr>
            <w:tcW w:w="864" w:type="pct"/>
            <w:tcBorders>
              <w:top w:val="nil"/>
              <w:left w:val="nil"/>
              <w:bottom w:val="nil"/>
              <w:right w:val="nil"/>
            </w:tcBorders>
          </w:tcPr>
          <w:p w14:paraId="4A17F266" w14:textId="2E1D16A8" w:rsidR="000D0314" w:rsidRPr="008550C6" w:rsidRDefault="000D0314" w:rsidP="000D0314">
            <w:pPr>
              <w:widowControl w:val="0"/>
              <w:autoSpaceDE w:val="0"/>
              <w:autoSpaceDN w:val="0"/>
              <w:adjustRightInd w:val="0"/>
              <w:jc w:val="center"/>
              <w:rPr>
                <w:sz w:val="18"/>
                <w:szCs w:val="18"/>
              </w:rPr>
            </w:pPr>
            <w:r w:rsidRPr="008550C6">
              <w:rPr>
                <w:sz w:val="18"/>
                <w:szCs w:val="18"/>
              </w:rPr>
              <w:t>(6.3759)</w:t>
            </w:r>
          </w:p>
        </w:tc>
        <w:tc>
          <w:tcPr>
            <w:tcW w:w="516" w:type="pct"/>
            <w:tcBorders>
              <w:top w:val="nil"/>
              <w:left w:val="nil"/>
              <w:bottom w:val="nil"/>
              <w:right w:val="nil"/>
            </w:tcBorders>
          </w:tcPr>
          <w:p w14:paraId="089D0DDE"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0C29C25C"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39120C8D" w14:textId="1AA32025" w:rsidR="000D0314" w:rsidRPr="008550C6" w:rsidRDefault="000D0314" w:rsidP="000D0314">
            <w:pPr>
              <w:widowControl w:val="0"/>
              <w:autoSpaceDE w:val="0"/>
              <w:autoSpaceDN w:val="0"/>
              <w:adjustRightInd w:val="0"/>
              <w:jc w:val="center"/>
              <w:rPr>
                <w:sz w:val="18"/>
                <w:szCs w:val="18"/>
              </w:rPr>
            </w:pPr>
            <w:r w:rsidRPr="008550C6">
              <w:rPr>
                <w:sz w:val="18"/>
                <w:szCs w:val="18"/>
              </w:rPr>
              <w:t>(5.7891)</w:t>
            </w:r>
          </w:p>
        </w:tc>
        <w:tc>
          <w:tcPr>
            <w:tcW w:w="523" w:type="pct"/>
            <w:tcBorders>
              <w:top w:val="nil"/>
              <w:left w:val="nil"/>
              <w:bottom w:val="nil"/>
              <w:right w:val="nil"/>
            </w:tcBorders>
          </w:tcPr>
          <w:p w14:paraId="194EBFDD"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nil"/>
              <w:right w:val="nil"/>
            </w:tcBorders>
          </w:tcPr>
          <w:p w14:paraId="7D2348B0"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5EFEBAED" w14:textId="77777777" w:rsidTr="007E3420">
        <w:trPr>
          <w:jc w:val="center"/>
        </w:trPr>
        <w:tc>
          <w:tcPr>
            <w:tcW w:w="786" w:type="pct"/>
            <w:tcBorders>
              <w:top w:val="nil"/>
              <w:left w:val="nil"/>
              <w:bottom w:val="nil"/>
              <w:right w:val="nil"/>
            </w:tcBorders>
          </w:tcPr>
          <w:p w14:paraId="5613F7E5" w14:textId="77777777" w:rsidR="000D0314" w:rsidRPr="008550C6" w:rsidRDefault="000D0314" w:rsidP="000D0314">
            <w:pPr>
              <w:widowControl w:val="0"/>
              <w:autoSpaceDE w:val="0"/>
              <w:autoSpaceDN w:val="0"/>
              <w:adjustRightInd w:val="0"/>
              <w:rPr>
                <w:sz w:val="18"/>
                <w:szCs w:val="18"/>
              </w:rPr>
            </w:pPr>
          </w:p>
        </w:tc>
        <w:tc>
          <w:tcPr>
            <w:tcW w:w="864" w:type="pct"/>
            <w:tcBorders>
              <w:top w:val="nil"/>
              <w:left w:val="nil"/>
              <w:bottom w:val="nil"/>
              <w:right w:val="nil"/>
            </w:tcBorders>
          </w:tcPr>
          <w:p w14:paraId="5719F158" w14:textId="77777777" w:rsidR="000D0314" w:rsidRPr="008550C6" w:rsidRDefault="000D0314" w:rsidP="000D0314">
            <w:pPr>
              <w:widowControl w:val="0"/>
              <w:autoSpaceDE w:val="0"/>
              <w:autoSpaceDN w:val="0"/>
              <w:adjustRightInd w:val="0"/>
              <w:jc w:val="center"/>
              <w:rPr>
                <w:sz w:val="18"/>
                <w:szCs w:val="18"/>
              </w:rPr>
            </w:pPr>
          </w:p>
        </w:tc>
        <w:tc>
          <w:tcPr>
            <w:tcW w:w="516" w:type="pct"/>
            <w:tcBorders>
              <w:top w:val="nil"/>
              <w:left w:val="nil"/>
              <w:bottom w:val="nil"/>
              <w:right w:val="nil"/>
            </w:tcBorders>
          </w:tcPr>
          <w:p w14:paraId="2B7E86A6"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30004860"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15E55BF3" w14:textId="77777777" w:rsidR="000D0314" w:rsidRPr="008550C6" w:rsidRDefault="000D0314" w:rsidP="000D0314">
            <w:pPr>
              <w:widowControl w:val="0"/>
              <w:autoSpaceDE w:val="0"/>
              <w:autoSpaceDN w:val="0"/>
              <w:adjustRightInd w:val="0"/>
              <w:jc w:val="center"/>
              <w:rPr>
                <w:sz w:val="18"/>
                <w:szCs w:val="18"/>
              </w:rPr>
            </w:pPr>
          </w:p>
        </w:tc>
        <w:tc>
          <w:tcPr>
            <w:tcW w:w="523" w:type="pct"/>
            <w:tcBorders>
              <w:top w:val="nil"/>
              <w:left w:val="nil"/>
              <w:bottom w:val="nil"/>
              <w:right w:val="nil"/>
            </w:tcBorders>
          </w:tcPr>
          <w:p w14:paraId="33A6565A"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nil"/>
              <w:right w:val="nil"/>
            </w:tcBorders>
          </w:tcPr>
          <w:p w14:paraId="0F4B8374"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1D892DD3" w14:textId="77777777" w:rsidTr="007E3420">
        <w:trPr>
          <w:jc w:val="center"/>
        </w:trPr>
        <w:tc>
          <w:tcPr>
            <w:tcW w:w="786" w:type="pct"/>
            <w:tcBorders>
              <w:top w:val="nil"/>
              <w:left w:val="nil"/>
              <w:bottom w:val="nil"/>
              <w:right w:val="nil"/>
            </w:tcBorders>
          </w:tcPr>
          <w:p w14:paraId="747CCFCC" w14:textId="77777777" w:rsidR="000D0314" w:rsidRPr="008550C6" w:rsidRDefault="000D0314" w:rsidP="000D0314">
            <w:pPr>
              <w:widowControl w:val="0"/>
              <w:autoSpaceDE w:val="0"/>
              <w:autoSpaceDN w:val="0"/>
              <w:adjustRightInd w:val="0"/>
              <w:rPr>
                <w:sz w:val="18"/>
                <w:szCs w:val="18"/>
              </w:rPr>
            </w:pPr>
          </w:p>
        </w:tc>
        <w:tc>
          <w:tcPr>
            <w:tcW w:w="864" w:type="pct"/>
            <w:tcBorders>
              <w:top w:val="nil"/>
              <w:left w:val="nil"/>
              <w:bottom w:val="nil"/>
              <w:right w:val="nil"/>
            </w:tcBorders>
          </w:tcPr>
          <w:p w14:paraId="733CCD07" w14:textId="77777777" w:rsidR="000D0314" w:rsidRPr="008550C6" w:rsidRDefault="000D0314" w:rsidP="000D0314">
            <w:pPr>
              <w:widowControl w:val="0"/>
              <w:autoSpaceDE w:val="0"/>
              <w:autoSpaceDN w:val="0"/>
              <w:adjustRightInd w:val="0"/>
              <w:jc w:val="center"/>
              <w:rPr>
                <w:sz w:val="18"/>
                <w:szCs w:val="18"/>
              </w:rPr>
            </w:pPr>
          </w:p>
        </w:tc>
        <w:tc>
          <w:tcPr>
            <w:tcW w:w="516" w:type="pct"/>
            <w:tcBorders>
              <w:top w:val="nil"/>
              <w:left w:val="nil"/>
              <w:bottom w:val="nil"/>
              <w:right w:val="nil"/>
            </w:tcBorders>
          </w:tcPr>
          <w:p w14:paraId="5341E33D" w14:textId="77777777"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nil"/>
              <w:right w:val="single" w:sz="4" w:space="0" w:color="auto"/>
            </w:tcBorders>
          </w:tcPr>
          <w:p w14:paraId="21B78EC7" w14:textId="77777777"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nil"/>
              <w:right w:val="nil"/>
            </w:tcBorders>
          </w:tcPr>
          <w:p w14:paraId="19ED2630" w14:textId="77777777" w:rsidR="000D0314" w:rsidRPr="008550C6" w:rsidRDefault="000D0314" w:rsidP="000D0314">
            <w:pPr>
              <w:widowControl w:val="0"/>
              <w:autoSpaceDE w:val="0"/>
              <w:autoSpaceDN w:val="0"/>
              <w:adjustRightInd w:val="0"/>
              <w:jc w:val="center"/>
              <w:rPr>
                <w:sz w:val="18"/>
                <w:szCs w:val="18"/>
              </w:rPr>
            </w:pPr>
          </w:p>
        </w:tc>
        <w:tc>
          <w:tcPr>
            <w:tcW w:w="523" w:type="pct"/>
            <w:tcBorders>
              <w:top w:val="nil"/>
              <w:left w:val="nil"/>
              <w:bottom w:val="nil"/>
              <w:right w:val="nil"/>
            </w:tcBorders>
          </w:tcPr>
          <w:p w14:paraId="2FB64A5A" w14:textId="77777777"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nil"/>
              <w:right w:val="nil"/>
            </w:tcBorders>
          </w:tcPr>
          <w:p w14:paraId="7F4F3AA1" w14:textId="77777777" w:rsidR="000D0314" w:rsidRPr="008550C6" w:rsidRDefault="000D0314" w:rsidP="000D0314">
            <w:pPr>
              <w:widowControl w:val="0"/>
              <w:autoSpaceDE w:val="0"/>
              <w:autoSpaceDN w:val="0"/>
              <w:adjustRightInd w:val="0"/>
              <w:jc w:val="center"/>
              <w:rPr>
                <w:sz w:val="18"/>
                <w:szCs w:val="18"/>
              </w:rPr>
            </w:pPr>
          </w:p>
        </w:tc>
      </w:tr>
      <w:tr w:rsidR="008550C6" w:rsidRPr="008550C6" w14:paraId="6C31FEB1" w14:textId="77777777" w:rsidTr="007E3420">
        <w:trPr>
          <w:jc w:val="center"/>
        </w:trPr>
        <w:tc>
          <w:tcPr>
            <w:tcW w:w="786" w:type="pct"/>
            <w:tcBorders>
              <w:top w:val="nil"/>
              <w:left w:val="nil"/>
              <w:bottom w:val="nil"/>
              <w:right w:val="nil"/>
            </w:tcBorders>
          </w:tcPr>
          <w:p w14:paraId="151A455E" w14:textId="2AAD6995" w:rsidR="000D0314" w:rsidRPr="008550C6" w:rsidRDefault="000D0314" w:rsidP="000D0314">
            <w:pPr>
              <w:widowControl w:val="0"/>
              <w:autoSpaceDE w:val="0"/>
              <w:autoSpaceDN w:val="0"/>
              <w:adjustRightInd w:val="0"/>
              <w:rPr>
                <w:sz w:val="18"/>
                <w:szCs w:val="18"/>
              </w:rPr>
            </w:pPr>
            <w:r w:rsidRPr="008550C6">
              <w:rPr>
                <w:sz w:val="18"/>
                <w:szCs w:val="18"/>
              </w:rPr>
              <w:t>R-squared</w:t>
            </w:r>
          </w:p>
        </w:tc>
        <w:tc>
          <w:tcPr>
            <w:tcW w:w="864" w:type="pct"/>
            <w:tcBorders>
              <w:top w:val="nil"/>
              <w:left w:val="nil"/>
              <w:bottom w:val="nil"/>
              <w:right w:val="nil"/>
            </w:tcBorders>
          </w:tcPr>
          <w:p w14:paraId="2BE3DFF2" w14:textId="59B83CB7" w:rsidR="000D0314" w:rsidRPr="008550C6" w:rsidRDefault="000D0314" w:rsidP="000D0314">
            <w:pPr>
              <w:widowControl w:val="0"/>
              <w:autoSpaceDE w:val="0"/>
              <w:autoSpaceDN w:val="0"/>
              <w:adjustRightInd w:val="0"/>
              <w:jc w:val="center"/>
              <w:rPr>
                <w:sz w:val="18"/>
                <w:szCs w:val="18"/>
              </w:rPr>
            </w:pPr>
            <w:r w:rsidRPr="008550C6">
              <w:rPr>
                <w:sz w:val="18"/>
                <w:szCs w:val="18"/>
              </w:rPr>
              <w:t>0.4172</w:t>
            </w:r>
          </w:p>
        </w:tc>
        <w:tc>
          <w:tcPr>
            <w:tcW w:w="516" w:type="pct"/>
            <w:tcBorders>
              <w:top w:val="nil"/>
              <w:left w:val="nil"/>
              <w:bottom w:val="nil"/>
              <w:right w:val="nil"/>
            </w:tcBorders>
          </w:tcPr>
          <w:p w14:paraId="570AB2BC" w14:textId="2C25F011" w:rsidR="000D0314" w:rsidRPr="008550C6" w:rsidRDefault="000D0314" w:rsidP="000D0314">
            <w:pPr>
              <w:widowControl w:val="0"/>
              <w:autoSpaceDE w:val="0"/>
              <w:autoSpaceDN w:val="0"/>
              <w:adjustRightInd w:val="0"/>
              <w:jc w:val="center"/>
              <w:rPr>
                <w:sz w:val="18"/>
                <w:szCs w:val="18"/>
              </w:rPr>
            </w:pPr>
            <w:r w:rsidRPr="008550C6">
              <w:rPr>
                <w:sz w:val="18"/>
                <w:szCs w:val="18"/>
              </w:rPr>
              <w:t>0.4172</w:t>
            </w:r>
          </w:p>
        </w:tc>
        <w:tc>
          <w:tcPr>
            <w:tcW w:w="711" w:type="pct"/>
            <w:tcBorders>
              <w:top w:val="nil"/>
              <w:left w:val="nil"/>
              <w:bottom w:val="nil"/>
              <w:right w:val="single" w:sz="4" w:space="0" w:color="auto"/>
            </w:tcBorders>
          </w:tcPr>
          <w:p w14:paraId="5077BF1F" w14:textId="46778E39" w:rsidR="000D0314" w:rsidRPr="008550C6" w:rsidRDefault="000D0314" w:rsidP="000D0314">
            <w:pPr>
              <w:widowControl w:val="0"/>
              <w:autoSpaceDE w:val="0"/>
              <w:autoSpaceDN w:val="0"/>
              <w:adjustRightInd w:val="0"/>
              <w:jc w:val="center"/>
              <w:rPr>
                <w:sz w:val="18"/>
                <w:szCs w:val="18"/>
              </w:rPr>
            </w:pPr>
            <w:r w:rsidRPr="008550C6">
              <w:rPr>
                <w:sz w:val="18"/>
                <w:szCs w:val="18"/>
              </w:rPr>
              <w:t>0.4172</w:t>
            </w:r>
          </w:p>
        </w:tc>
        <w:tc>
          <w:tcPr>
            <w:tcW w:w="892" w:type="pct"/>
            <w:tcBorders>
              <w:top w:val="nil"/>
              <w:left w:val="single" w:sz="4" w:space="0" w:color="auto"/>
              <w:bottom w:val="nil"/>
              <w:right w:val="nil"/>
            </w:tcBorders>
          </w:tcPr>
          <w:p w14:paraId="1CEBE686" w14:textId="7397F692" w:rsidR="000D0314" w:rsidRPr="008550C6" w:rsidRDefault="000D0314" w:rsidP="000D0314">
            <w:pPr>
              <w:widowControl w:val="0"/>
              <w:autoSpaceDE w:val="0"/>
              <w:autoSpaceDN w:val="0"/>
              <w:adjustRightInd w:val="0"/>
              <w:jc w:val="center"/>
              <w:rPr>
                <w:sz w:val="18"/>
                <w:szCs w:val="18"/>
              </w:rPr>
            </w:pPr>
            <w:r w:rsidRPr="008550C6">
              <w:rPr>
                <w:sz w:val="18"/>
                <w:szCs w:val="18"/>
              </w:rPr>
              <w:t>0.4252</w:t>
            </w:r>
          </w:p>
        </w:tc>
        <w:tc>
          <w:tcPr>
            <w:tcW w:w="523" w:type="pct"/>
            <w:tcBorders>
              <w:top w:val="nil"/>
              <w:left w:val="nil"/>
              <w:bottom w:val="nil"/>
              <w:right w:val="nil"/>
            </w:tcBorders>
          </w:tcPr>
          <w:p w14:paraId="4E96ACD6" w14:textId="2201B4AB" w:rsidR="000D0314" w:rsidRPr="008550C6" w:rsidRDefault="000D0314" w:rsidP="000D0314">
            <w:pPr>
              <w:widowControl w:val="0"/>
              <w:autoSpaceDE w:val="0"/>
              <w:autoSpaceDN w:val="0"/>
              <w:adjustRightInd w:val="0"/>
              <w:jc w:val="center"/>
              <w:rPr>
                <w:sz w:val="18"/>
                <w:szCs w:val="18"/>
              </w:rPr>
            </w:pPr>
            <w:r w:rsidRPr="008550C6">
              <w:rPr>
                <w:sz w:val="18"/>
                <w:szCs w:val="18"/>
              </w:rPr>
              <w:t>0.4252</w:t>
            </w:r>
          </w:p>
        </w:tc>
        <w:tc>
          <w:tcPr>
            <w:tcW w:w="708" w:type="pct"/>
            <w:tcBorders>
              <w:top w:val="nil"/>
              <w:left w:val="nil"/>
              <w:bottom w:val="nil"/>
              <w:right w:val="nil"/>
            </w:tcBorders>
          </w:tcPr>
          <w:p w14:paraId="05717213" w14:textId="367CC576" w:rsidR="000D0314" w:rsidRPr="008550C6" w:rsidRDefault="000D0314" w:rsidP="000D0314">
            <w:pPr>
              <w:widowControl w:val="0"/>
              <w:autoSpaceDE w:val="0"/>
              <w:autoSpaceDN w:val="0"/>
              <w:adjustRightInd w:val="0"/>
              <w:jc w:val="center"/>
              <w:rPr>
                <w:sz w:val="18"/>
                <w:szCs w:val="18"/>
              </w:rPr>
            </w:pPr>
            <w:r w:rsidRPr="008550C6">
              <w:rPr>
                <w:sz w:val="18"/>
                <w:szCs w:val="18"/>
              </w:rPr>
              <w:t>0.4252</w:t>
            </w:r>
          </w:p>
        </w:tc>
      </w:tr>
      <w:tr w:rsidR="008550C6" w:rsidRPr="008550C6" w14:paraId="6F7997D6" w14:textId="77777777" w:rsidTr="007E3420">
        <w:trPr>
          <w:jc w:val="center"/>
        </w:trPr>
        <w:tc>
          <w:tcPr>
            <w:tcW w:w="786" w:type="pct"/>
            <w:tcBorders>
              <w:top w:val="nil"/>
              <w:left w:val="nil"/>
              <w:bottom w:val="nil"/>
              <w:right w:val="nil"/>
            </w:tcBorders>
          </w:tcPr>
          <w:p w14:paraId="5504CA8E" w14:textId="77777777" w:rsidR="000D0314" w:rsidRPr="008550C6" w:rsidRDefault="000D0314" w:rsidP="000D0314">
            <w:pPr>
              <w:widowControl w:val="0"/>
              <w:autoSpaceDE w:val="0"/>
              <w:autoSpaceDN w:val="0"/>
              <w:adjustRightInd w:val="0"/>
              <w:rPr>
                <w:sz w:val="18"/>
                <w:szCs w:val="18"/>
              </w:rPr>
            </w:pPr>
            <w:r w:rsidRPr="008550C6">
              <w:rPr>
                <w:sz w:val="18"/>
                <w:szCs w:val="18"/>
              </w:rPr>
              <w:t>Observations</w:t>
            </w:r>
          </w:p>
        </w:tc>
        <w:tc>
          <w:tcPr>
            <w:tcW w:w="864" w:type="pct"/>
            <w:tcBorders>
              <w:top w:val="nil"/>
              <w:left w:val="nil"/>
              <w:bottom w:val="nil"/>
              <w:right w:val="nil"/>
            </w:tcBorders>
          </w:tcPr>
          <w:p w14:paraId="33DB85F9" w14:textId="3F590BAD" w:rsidR="000D0314" w:rsidRPr="008550C6" w:rsidRDefault="000D0314" w:rsidP="000D0314">
            <w:pPr>
              <w:widowControl w:val="0"/>
              <w:autoSpaceDE w:val="0"/>
              <w:autoSpaceDN w:val="0"/>
              <w:adjustRightInd w:val="0"/>
              <w:jc w:val="center"/>
              <w:rPr>
                <w:sz w:val="18"/>
                <w:szCs w:val="18"/>
              </w:rPr>
            </w:pPr>
            <w:r w:rsidRPr="008550C6">
              <w:rPr>
                <w:sz w:val="18"/>
                <w:szCs w:val="18"/>
              </w:rPr>
              <w:t>2,499</w:t>
            </w:r>
          </w:p>
        </w:tc>
        <w:tc>
          <w:tcPr>
            <w:tcW w:w="516" w:type="pct"/>
            <w:tcBorders>
              <w:top w:val="nil"/>
              <w:left w:val="nil"/>
              <w:bottom w:val="nil"/>
              <w:right w:val="nil"/>
            </w:tcBorders>
          </w:tcPr>
          <w:p w14:paraId="71E346BC" w14:textId="454DA2FB" w:rsidR="000D0314" w:rsidRPr="008550C6" w:rsidRDefault="000D0314" w:rsidP="000D0314">
            <w:pPr>
              <w:widowControl w:val="0"/>
              <w:autoSpaceDE w:val="0"/>
              <w:autoSpaceDN w:val="0"/>
              <w:adjustRightInd w:val="0"/>
              <w:jc w:val="center"/>
              <w:rPr>
                <w:sz w:val="18"/>
                <w:szCs w:val="18"/>
              </w:rPr>
            </w:pPr>
            <w:r w:rsidRPr="008550C6">
              <w:rPr>
                <w:sz w:val="18"/>
                <w:szCs w:val="18"/>
              </w:rPr>
              <w:t>2,499</w:t>
            </w:r>
          </w:p>
        </w:tc>
        <w:tc>
          <w:tcPr>
            <w:tcW w:w="711" w:type="pct"/>
            <w:tcBorders>
              <w:top w:val="nil"/>
              <w:left w:val="nil"/>
              <w:bottom w:val="nil"/>
              <w:right w:val="single" w:sz="4" w:space="0" w:color="auto"/>
            </w:tcBorders>
          </w:tcPr>
          <w:p w14:paraId="371D9BA0" w14:textId="7A0B381B" w:rsidR="000D0314" w:rsidRPr="008550C6" w:rsidRDefault="000D0314" w:rsidP="000D0314">
            <w:pPr>
              <w:widowControl w:val="0"/>
              <w:autoSpaceDE w:val="0"/>
              <w:autoSpaceDN w:val="0"/>
              <w:adjustRightInd w:val="0"/>
              <w:jc w:val="center"/>
              <w:rPr>
                <w:sz w:val="18"/>
                <w:szCs w:val="18"/>
              </w:rPr>
            </w:pPr>
            <w:r w:rsidRPr="008550C6">
              <w:rPr>
                <w:sz w:val="18"/>
                <w:szCs w:val="18"/>
              </w:rPr>
              <w:t>2,499</w:t>
            </w:r>
          </w:p>
        </w:tc>
        <w:tc>
          <w:tcPr>
            <w:tcW w:w="892" w:type="pct"/>
            <w:tcBorders>
              <w:top w:val="nil"/>
              <w:left w:val="single" w:sz="4" w:space="0" w:color="auto"/>
              <w:bottom w:val="nil"/>
              <w:right w:val="nil"/>
            </w:tcBorders>
          </w:tcPr>
          <w:p w14:paraId="05E81063" w14:textId="0DD02431" w:rsidR="000D0314" w:rsidRPr="008550C6" w:rsidRDefault="000D0314" w:rsidP="000D0314">
            <w:pPr>
              <w:widowControl w:val="0"/>
              <w:autoSpaceDE w:val="0"/>
              <w:autoSpaceDN w:val="0"/>
              <w:adjustRightInd w:val="0"/>
              <w:jc w:val="center"/>
              <w:rPr>
                <w:sz w:val="18"/>
                <w:szCs w:val="18"/>
              </w:rPr>
            </w:pPr>
            <w:r w:rsidRPr="008550C6">
              <w:rPr>
                <w:sz w:val="18"/>
                <w:szCs w:val="18"/>
              </w:rPr>
              <w:t>2,499</w:t>
            </w:r>
          </w:p>
        </w:tc>
        <w:tc>
          <w:tcPr>
            <w:tcW w:w="523" w:type="pct"/>
            <w:tcBorders>
              <w:top w:val="nil"/>
              <w:left w:val="nil"/>
              <w:bottom w:val="nil"/>
              <w:right w:val="nil"/>
            </w:tcBorders>
          </w:tcPr>
          <w:p w14:paraId="6FFAC6EC" w14:textId="5FC2C811" w:rsidR="000D0314" w:rsidRPr="008550C6" w:rsidRDefault="000D0314" w:rsidP="000D0314">
            <w:pPr>
              <w:widowControl w:val="0"/>
              <w:autoSpaceDE w:val="0"/>
              <w:autoSpaceDN w:val="0"/>
              <w:adjustRightInd w:val="0"/>
              <w:jc w:val="center"/>
              <w:rPr>
                <w:sz w:val="18"/>
                <w:szCs w:val="18"/>
              </w:rPr>
            </w:pPr>
            <w:r w:rsidRPr="008550C6">
              <w:rPr>
                <w:sz w:val="18"/>
                <w:szCs w:val="18"/>
              </w:rPr>
              <w:t>2,499</w:t>
            </w:r>
          </w:p>
        </w:tc>
        <w:tc>
          <w:tcPr>
            <w:tcW w:w="708" w:type="pct"/>
            <w:tcBorders>
              <w:top w:val="nil"/>
              <w:left w:val="nil"/>
              <w:bottom w:val="nil"/>
              <w:right w:val="nil"/>
            </w:tcBorders>
          </w:tcPr>
          <w:p w14:paraId="02AE3024" w14:textId="6499BC12" w:rsidR="000D0314" w:rsidRPr="008550C6" w:rsidRDefault="000D0314" w:rsidP="000D0314">
            <w:pPr>
              <w:widowControl w:val="0"/>
              <w:autoSpaceDE w:val="0"/>
              <w:autoSpaceDN w:val="0"/>
              <w:adjustRightInd w:val="0"/>
              <w:jc w:val="center"/>
              <w:rPr>
                <w:sz w:val="18"/>
                <w:szCs w:val="18"/>
              </w:rPr>
            </w:pPr>
            <w:r w:rsidRPr="008550C6">
              <w:rPr>
                <w:sz w:val="18"/>
                <w:szCs w:val="18"/>
              </w:rPr>
              <w:t>2,499</w:t>
            </w:r>
          </w:p>
        </w:tc>
      </w:tr>
      <w:tr w:rsidR="008550C6" w:rsidRPr="008550C6" w14:paraId="1AA26748" w14:textId="77777777" w:rsidTr="007E3420">
        <w:trPr>
          <w:jc w:val="center"/>
        </w:trPr>
        <w:tc>
          <w:tcPr>
            <w:tcW w:w="786" w:type="pct"/>
            <w:tcBorders>
              <w:top w:val="nil"/>
              <w:left w:val="nil"/>
              <w:bottom w:val="nil"/>
              <w:right w:val="nil"/>
            </w:tcBorders>
          </w:tcPr>
          <w:p w14:paraId="06099573" w14:textId="6220BB71" w:rsidR="000D0314" w:rsidRPr="008550C6" w:rsidRDefault="000D0314" w:rsidP="000D0314">
            <w:pPr>
              <w:widowControl w:val="0"/>
              <w:autoSpaceDE w:val="0"/>
              <w:autoSpaceDN w:val="0"/>
              <w:adjustRightInd w:val="0"/>
              <w:rPr>
                <w:sz w:val="18"/>
                <w:szCs w:val="18"/>
              </w:rPr>
            </w:pPr>
            <w:r w:rsidRPr="008550C6">
              <w:rPr>
                <w:sz w:val="18"/>
                <w:szCs w:val="18"/>
              </w:rPr>
              <w:t>Number of states</w:t>
            </w:r>
          </w:p>
        </w:tc>
        <w:tc>
          <w:tcPr>
            <w:tcW w:w="864" w:type="pct"/>
            <w:tcBorders>
              <w:top w:val="nil"/>
              <w:left w:val="nil"/>
              <w:bottom w:val="nil"/>
              <w:right w:val="nil"/>
            </w:tcBorders>
          </w:tcPr>
          <w:p w14:paraId="38B711AD" w14:textId="1C66CC82" w:rsidR="000D0314" w:rsidRPr="008550C6" w:rsidRDefault="000D0314" w:rsidP="000D0314">
            <w:pPr>
              <w:widowControl w:val="0"/>
              <w:autoSpaceDE w:val="0"/>
              <w:autoSpaceDN w:val="0"/>
              <w:adjustRightInd w:val="0"/>
              <w:jc w:val="center"/>
              <w:rPr>
                <w:sz w:val="18"/>
                <w:szCs w:val="18"/>
              </w:rPr>
            </w:pPr>
            <w:r w:rsidRPr="008550C6">
              <w:rPr>
                <w:sz w:val="18"/>
                <w:szCs w:val="18"/>
              </w:rPr>
              <w:t>51</w:t>
            </w:r>
          </w:p>
        </w:tc>
        <w:tc>
          <w:tcPr>
            <w:tcW w:w="516" w:type="pct"/>
            <w:tcBorders>
              <w:top w:val="nil"/>
              <w:left w:val="nil"/>
              <w:bottom w:val="nil"/>
              <w:right w:val="nil"/>
            </w:tcBorders>
          </w:tcPr>
          <w:p w14:paraId="622DFCD3" w14:textId="003F9F07" w:rsidR="000D0314" w:rsidRPr="008550C6" w:rsidRDefault="000D0314" w:rsidP="000D0314">
            <w:pPr>
              <w:widowControl w:val="0"/>
              <w:autoSpaceDE w:val="0"/>
              <w:autoSpaceDN w:val="0"/>
              <w:adjustRightInd w:val="0"/>
              <w:jc w:val="center"/>
              <w:rPr>
                <w:sz w:val="18"/>
                <w:szCs w:val="18"/>
              </w:rPr>
            </w:pPr>
            <w:r w:rsidRPr="008550C6">
              <w:rPr>
                <w:sz w:val="18"/>
                <w:szCs w:val="18"/>
              </w:rPr>
              <w:t>51</w:t>
            </w:r>
          </w:p>
        </w:tc>
        <w:tc>
          <w:tcPr>
            <w:tcW w:w="711" w:type="pct"/>
            <w:tcBorders>
              <w:top w:val="nil"/>
              <w:left w:val="nil"/>
              <w:bottom w:val="nil"/>
              <w:right w:val="single" w:sz="4" w:space="0" w:color="auto"/>
            </w:tcBorders>
          </w:tcPr>
          <w:p w14:paraId="194928D6" w14:textId="23C48C3D" w:rsidR="000D0314" w:rsidRPr="008550C6" w:rsidRDefault="000D0314" w:rsidP="000D0314">
            <w:pPr>
              <w:widowControl w:val="0"/>
              <w:autoSpaceDE w:val="0"/>
              <w:autoSpaceDN w:val="0"/>
              <w:adjustRightInd w:val="0"/>
              <w:jc w:val="center"/>
              <w:rPr>
                <w:sz w:val="18"/>
                <w:szCs w:val="18"/>
              </w:rPr>
            </w:pPr>
            <w:r w:rsidRPr="008550C6">
              <w:rPr>
                <w:sz w:val="18"/>
                <w:szCs w:val="18"/>
              </w:rPr>
              <w:t>51</w:t>
            </w:r>
          </w:p>
        </w:tc>
        <w:tc>
          <w:tcPr>
            <w:tcW w:w="892" w:type="pct"/>
            <w:tcBorders>
              <w:top w:val="nil"/>
              <w:left w:val="single" w:sz="4" w:space="0" w:color="auto"/>
              <w:bottom w:val="nil"/>
              <w:right w:val="nil"/>
            </w:tcBorders>
          </w:tcPr>
          <w:p w14:paraId="26B048B9" w14:textId="4644B895" w:rsidR="000D0314" w:rsidRPr="008550C6" w:rsidRDefault="000D0314" w:rsidP="000D0314">
            <w:pPr>
              <w:widowControl w:val="0"/>
              <w:autoSpaceDE w:val="0"/>
              <w:autoSpaceDN w:val="0"/>
              <w:adjustRightInd w:val="0"/>
              <w:jc w:val="center"/>
              <w:rPr>
                <w:sz w:val="18"/>
                <w:szCs w:val="18"/>
              </w:rPr>
            </w:pPr>
            <w:r w:rsidRPr="008550C6">
              <w:rPr>
                <w:sz w:val="18"/>
                <w:szCs w:val="18"/>
              </w:rPr>
              <w:t>51</w:t>
            </w:r>
          </w:p>
        </w:tc>
        <w:tc>
          <w:tcPr>
            <w:tcW w:w="523" w:type="pct"/>
            <w:tcBorders>
              <w:top w:val="nil"/>
              <w:left w:val="nil"/>
              <w:bottom w:val="nil"/>
              <w:right w:val="nil"/>
            </w:tcBorders>
          </w:tcPr>
          <w:p w14:paraId="3B8AB467" w14:textId="605122CE" w:rsidR="000D0314" w:rsidRPr="008550C6" w:rsidRDefault="000D0314" w:rsidP="000D0314">
            <w:pPr>
              <w:widowControl w:val="0"/>
              <w:autoSpaceDE w:val="0"/>
              <w:autoSpaceDN w:val="0"/>
              <w:adjustRightInd w:val="0"/>
              <w:jc w:val="center"/>
              <w:rPr>
                <w:sz w:val="18"/>
                <w:szCs w:val="18"/>
              </w:rPr>
            </w:pPr>
            <w:r w:rsidRPr="008550C6">
              <w:rPr>
                <w:sz w:val="18"/>
                <w:szCs w:val="18"/>
              </w:rPr>
              <w:t>51</w:t>
            </w:r>
          </w:p>
        </w:tc>
        <w:tc>
          <w:tcPr>
            <w:tcW w:w="708" w:type="pct"/>
            <w:tcBorders>
              <w:top w:val="nil"/>
              <w:left w:val="nil"/>
              <w:bottom w:val="nil"/>
              <w:right w:val="nil"/>
            </w:tcBorders>
          </w:tcPr>
          <w:p w14:paraId="5337B187" w14:textId="23B12E2D" w:rsidR="000D0314" w:rsidRPr="008550C6" w:rsidRDefault="000D0314" w:rsidP="000D0314">
            <w:pPr>
              <w:widowControl w:val="0"/>
              <w:autoSpaceDE w:val="0"/>
              <w:autoSpaceDN w:val="0"/>
              <w:adjustRightInd w:val="0"/>
              <w:jc w:val="center"/>
              <w:rPr>
                <w:sz w:val="18"/>
                <w:szCs w:val="18"/>
              </w:rPr>
            </w:pPr>
            <w:r w:rsidRPr="008550C6">
              <w:rPr>
                <w:sz w:val="18"/>
                <w:szCs w:val="18"/>
              </w:rPr>
              <w:t>51</w:t>
            </w:r>
          </w:p>
        </w:tc>
      </w:tr>
      <w:tr w:rsidR="008550C6" w:rsidRPr="008550C6" w14:paraId="151D5DF0" w14:textId="77777777" w:rsidTr="007E3420">
        <w:tblPrEx>
          <w:tblBorders>
            <w:bottom w:val="single" w:sz="6" w:space="0" w:color="auto"/>
          </w:tblBorders>
        </w:tblPrEx>
        <w:trPr>
          <w:jc w:val="center"/>
        </w:trPr>
        <w:tc>
          <w:tcPr>
            <w:tcW w:w="786" w:type="pct"/>
            <w:tcBorders>
              <w:top w:val="nil"/>
              <w:left w:val="nil"/>
              <w:bottom w:val="single" w:sz="6" w:space="0" w:color="auto"/>
              <w:right w:val="nil"/>
            </w:tcBorders>
          </w:tcPr>
          <w:p w14:paraId="26C2E6E1" w14:textId="5D5A16A4" w:rsidR="000D0314" w:rsidRPr="008550C6" w:rsidRDefault="000D0314" w:rsidP="000D0314">
            <w:pPr>
              <w:widowControl w:val="0"/>
              <w:autoSpaceDE w:val="0"/>
              <w:autoSpaceDN w:val="0"/>
              <w:adjustRightInd w:val="0"/>
              <w:rPr>
                <w:sz w:val="18"/>
                <w:szCs w:val="18"/>
              </w:rPr>
            </w:pPr>
          </w:p>
        </w:tc>
        <w:tc>
          <w:tcPr>
            <w:tcW w:w="864" w:type="pct"/>
            <w:tcBorders>
              <w:top w:val="nil"/>
              <w:left w:val="nil"/>
              <w:bottom w:val="single" w:sz="6" w:space="0" w:color="auto"/>
              <w:right w:val="nil"/>
            </w:tcBorders>
          </w:tcPr>
          <w:p w14:paraId="1E201324" w14:textId="7482EA0E" w:rsidR="000D0314" w:rsidRPr="008550C6" w:rsidRDefault="000D0314" w:rsidP="000D0314">
            <w:pPr>
              <w:widowControl w:val="0"/>
              <w:autoSpaceDE w:val="0"/>
              <w:autoSpaceDN w:val="0"/>
              <w:adjustRightInd w:val="0"/>
              <w:jc w:val="center"/>
              <w:rPr>
                <w:sz w:val="18"/>
                <w:szCs w:val="18"/>
              </w:rPr>
            </w:pPr>
          </w:p>
        </w:tc>
        <w:tc>
          <w:tcPr>
            <w:tcW w:w="516" w:type="pct"/>
            <w:tcBorders>
              <w:top w:val="nil"/>
              <w:left w:val="nil"/>
              <w:bottom w:val="single" w:sz="6" w:space="0" w:color="auto"/>
              <w:right w:val="nil"/>
            </w:tcBorders>
          </w:tcPr>
          <w:p w14:paraId="2620F23B" w14:textId="1A41C32B" w:rsidR="000D0314" w:rsidRPr="008550C6" w:rsidRDefault="000D0314" w:rsidP="000D0314">
            <w:pPr>
              <w:widowControl w:val="0"/>
              <w:autoSpaceDE w:val="0"/>
              <w:autoSpaceDN w:val="0"/>
              <w:adjustRightInd w:val="0"/>
              <w:jc w:val="center"/>
              <w:rPr>
                <w:sz w:val="18"/>
                <w:szCs w:val="18"/>
              </w:rPr>
            </w:pPr>
          </w:p>
        </w:tc>
        <w:tc>
          <w:tcPr>
            <w:tcW w:w="711" w:type="pct"/>
            <w:tcBorders>
              <w:top w:val="nil"/>
              <w:left w:val="nil"/>
              <w:bottom w:val="single" w:sz="6" w:space="0" w:color="auto"/>
              <w:right w:val="single" w:sz="4" w:space="0" w:color="auto"/>
            </w:tcBorders>
          </w:tcPr>
          <w:p w14:paraId="58F977D5" w14:textId="3717771F" w:rsidR="000D0314" w:rsidRPr="008550C6" w:rsidRDefault="000D0314" w:rsidP="000D0314">
            <w:pPr>
              <w:widowControl w:val="0"/>
              <w:autoSpaceDE w:val="0"/>
              <w:autoSpaceDN w:val="0"/>
              <w:adjustRightInd w:val="0"/>
              <w:jc w:val="center"/>
              <w:rPr>
                <w:sz w:val="18"/>
                <w:szCs w:val="18"/>
              </w:rPr>
            </w:pPr>
          </w:p>
        </w:tc>
        <w:tc>
          <w:tcPr>
            <w:tcW w:w="892" w:type="pct"/>
            <w:tcBorders>
              <w:top w:val="nil"/>
              <w:left w:val="single" w:sz="4" w:space="0" w:color="auto"/>
              <w:bottom w:val="single" w:sz="6" w:space="0" w:color="auto"/>
              <w:right w:val="nil"/>
            </w:tcBorders>
          </w:tcPr>
          <w:p w14:paraId="7576FB45" w14:textId="2BE6249D" w:rsidR="000D0314" w:rsidRPr="008550C6" w:rsidRDefault="000D0314" w:rsidP="000D0314">
            <w:pPr>
              <w:widowControl w:val="0"/>
              <w:autoSpaceDE w:val="0"/>
              <w:autoSpaceDN w:val="0"/>
              <w:adjustRightInd w:val="0"/>
              <w:jc w:val="center"/>
              <w:rPr>
                <w:sz w:val="18"/>
                <w:szCs w:val="18"/>
              </w:rPr>
            </w:pPr>
          </w:p>
        </w:tc>
        <w:tc>
          <w:tcPr>
            <w:tcW w:w="523" w:type="pct"/>
            <w:tcBorders>
              <w:top w:val="nil"/>
              <w:left w:val="nil"/>
              <w:bottom w:val="single" w:sz="6" w:space="0" w:color="auto"/>
              <w:right w:val="nil"/>
            </w:tcBorders>
          </w:tcPr>
          <w:p w14:paraId="3F0DC40F" w14:textId="5A562EC6" w:rsidR="000D0314" w:rsidRPr="008550C6" w:rsidRDefault="000D0314" w:rsidP="000D0314">
            <w:pPr>
              <w:widowControl w:val="0"/>
              <w:autoSpaceDE w:val="0"/>
              <w:autoSpaceDN w:val="0"/>
              <w:adjustRightInd w:val="0"/>
              <w:jc w:val="center"/>
              <w:rPr>
                <w:sz w:val="18"/>
                <w:szCs w:val="18"/>
              </w:rPr>
            </w:pPr>
          </w:p>
        </w:tc>
        <w:tc>
          <w:tcPr>
            <w:tcW w:w="708" w:type="pct"/>
            <w:tcBorders>
              <w:top w:val="nil"/>
              <w:left w:val="nil"/>
              <w:bottom w:val="single" w:sz="6" w:space="0" w:color="auto"/>
              <w:right w:val="nil"/>
            </w:tcBorders>
          </w:tcPr>
          <w:p w14:paraId="0E274F64" w14:textId="6BB00254" w:rsidR="000D0314" w:rsidRPr="008550C6" w:rsidRDefault="000D0314" w:rsidP="000D0314">
            <w:pPr>
              <w:widowControl w:val="0"/>
              <w:autoSpaceDE w:val="0"/>
              <w:autoSpaceDN w:val="0"/>
              <w:adjustRightInd w:val="0"/>
              <w:jc w:val="center"/>
              <w:rPr>
                <w:sz w:val="18"/>
                <w:szCs w:val="18"/>
              </w:rPr>
            </w:pPr>
          </w:p>
        </w:tc>
      </w:tr>
    </w:tbl>
    <w:p w14:paraId="22A972EB" w14:textId="4E452485" w:rsidR="00B3500A" w:rsidRPr="00472A6C" w:rsidRDefault="00B3500A" w:rsidP="009B5A32">
      <w:pPr>
        <w:widowControl w:val="0"/>
        <w:autoSpaceDE w:val="0"/>
        <w:autoSpaceDN w:val="0"/>
        <w:adjustRightInd w:val="0"/>
        <w:jc w:val="both"/>
        <w:rPr>
          <w:rFonts w:asciiTheme="majorBidi" w:hAnsiTheme="majorBidi" w:cstheme="majorBidi"/>
        </w:rPr>
      </w:pPr>
      <w:r w:rsidRPr="00472A6C">
        <w:rPr>
          <w:i/>
          <w:iCs/>
          <w:sz w:val="18"/>
          <w:szCs w:val="18"/>
        </w:rPr>
        <w:t>Note:</w:t>
      </w:r>
      <w:r w:rsidRPr="008550C6">
        <w:rPr>
          <w:sz w:val="18"/>
          <w:szCs w:val="18"/>
        </w:rPr>
        <w:t xml:space="preserve"> </w:t>
      </w:r>
      <w:r w:rsidRPr="00472A6C">
        <w:rPr>
          <w:sz w:val="18"/>
          <w:szCs w:val="18"/>
        </w:rPr>
        <w:t xml:space="preserve">This table reports regression results on the association between bootstrap variable return to scale </w:t>
      </w:r>
      <w:r w:rsidR="00414A02" w:rsidRPr="00472A6C">
        <w:rPr>
          <w:rFonts w:asciiTheme="majorBidi" w:hAnsiTheme="majorBidi" w:cstheme="majorBidi"/>
          <w:sz w:val="18"/>
          <w:szCs w:val="18"/>
          <w:lang w:val="en-US" w:eastAsia="en-US"/>
          <w14:ligatures w14:val="standardContextual"/>
        </w:rPr>
        <w:t>efficiency</w:t>
      </w:r>
      <w:r w:rsidRPr="00472A6C">
        <w:rPr>
          <w:rFonts w:asciiTheme="majorBidi" w:hAnsiTheme="majorBidi" w:cstheme="majorBidi"/>
          <w:sz w:val="18"/>
          <w:szCs w:val="18"/>
          <w:lang w:val="en-US" w:eastAsia="en-US"/>
          <w14:ligatures w14:val="standardContextual"/>
        </w:rPr>
        <w:t xml:space="preserve"> score and state and national votes following Spatial </w:t>
      </w:r>
      <w:r w:rsidR="00472A6C">
        <w:rPr>
          <w:rFonts w:asciiTheme="majorBidi" w:hAnsiTheme="majorBidi" w:cstheme="majorBidi"/>
          <w:sz w:val="18"/>
          <w:szCs w:val="18"/>
          <w:lang w:val="en-US" w:eastAsia="en-US"/>
          <w14:ligatures w14:val="standardContextual"/>
        </w:rPr>
        <w:t>D</w:t>
      </w:r>
      <w:r w:rsidRPr="00472A6C">
        <w:rPr>
          <w:rFonts w:asciiTheme="majorBidi" w:hAnsiTheme="majorBidi" w:cstheme="majorBidi"/>
          <w:sz w:val="18"/>
          <w:szCs w:val="18"/>
          <w:lang w:val="en-US" w:eastAsia="en-US"/>
          <w14:ligatures w14:val="standardContextual"/>
        </w:rPr>
        <w:t xml:space="preserve">ynamic model (SDM). </w:t>
      </w:r>
      <w:r w:rsidRPr="00472A6C">
        <w:rPr>
          <w:rFonts w:asciiTheme="majorBidi" w:hAnsiTheme="majorBidi" w:cstheme="majorBidi"/>
          <w:sz w:val="18"/>
          <w:szCs w:val="18"/>
        </w:rPr>
        <w:t>The variables’ coefficients and t-statistics (in brackets) are reported in the table; ***, **, * denote significance at the 1%, 5%, and 10% levels, respectively.</w:t>
      </w:r>
    </w:p>
    <w:p w14:paraId="122CB8F3" w14:textId="77777777" w:rsidR="00B3500A" w:rsidRPr="008550C6" w:rsidRDefault="00B3500A" w:rsidP="00B3500A"/>
    <w:p w14:paraId="32AB05C3" w14:textId="77777777" w:rsidR="008049E2" w:rsidRPr="008550C6" w:rsidRDefault="008049E2" w:rsidP="00B3500A"/>
    <w:p w14:paraId="7CF9A88E" w14:textId="77777777" w:rsidR="008049E2" w:rsidRPr="008550C6" w:rsidRDefault="008049E2" w:rsidP="00B3500A"/>
    <w:p w14:paraId="2B568277" w14:textId="77777777" w:rsidR="0017197F" w:rsidRPr="008550C6" w:rsidRDefault="0017197F" w:rsidP="00B3500A"/>
    <w:p w14:paraId="536CEA34" w14:textId="77777777" w:rsidR="008049E2" w:rsidRPr="008550C6" w:rsidRDefault="008049E2" w:rsidP="00B3500A"/>
    <w:p w14:paraId="002F5227" w14:textId="77777777" w:rsidR="008049E2" w:rsidRPr="008550C6" w:rsidRDefault="008049E2" w:rsidP="00B3500A"/>
    <w:p w14:paraId="768E3195" w14:textId="77777777" w:rsidR="008049E2" w:rsidRPr="008550C6" w:rsidRDefault="008049E2" w:rsidP="00B3500A"/>
    <w:p w14:paraId="53B73185" w14:textId="77777777" w:rsidR="008049E2" w:rsidRPr="008550C6" w:rsidRDefault="008049E2" w:rsidP="00B3500A"/>
    <w:p w14:paraId="5DBF04EA" w14:textId="77777777" w:rsidR="008049E2" w:rsidRPr="008550C6" w:rsidRDefault="008049E2" w:rsidP="00B3500A"/>
    <w:p w14:paraId="2B148B46" w14:textId="77777777" w:rsidR="00672D67" w:rsidRPr="008550C6" w:rsidRDefault="00672D67" w:rsidP="00B3500A"/>
    <w:p w14:paraId="1AD1B709" w14:textId="77777777" w:rsidR="00672D67" w:rsidRPr="008550C6" w:rsidRDefault="00672D67" w:rsidP="00B3500A"/>
    <w:p w14:paraId="39C028A5" w14:textId="77777777" w:rsidR="008049E2" w:rsidRPr="008550C6" w:rsidRDefault="008049E2" w:rsidP="00B3500A"/>
    <w:p w14:paraId="5F2B7887" w14:textId="77777777" w:rsidR="0017197F" w:rsidRPr="008550C6" w:rsidRDefault="0017197F" w:rsidP="00B3500A"/>
    <w:p w14:paraId="18893F27" w14:textId="77777777" w:rsidR="008049E2" w:rsidRPr="008550C6" w:rsidRDefault="008049E2" w:rsidP="00B3500A"/>
    <w:p w14:paraId="48C3ED62" w14:textId="77777777" w:rsidR="008049E2" w:rsidRPr="008550C6" w:rsidRDefault="008049E2" w:rsidP="00B3500A"/>
    <w:p w14:paraId="58C00410" w14:textId="333E0347" w:rsidR="00B3500A" w:rsidRPr="008550C6" w:rsidRDefault="008550C6" w:rsidP="00B3500A">
      <w:pPr>
        <w:jc w:val="both"/>
        <w:rPr>
          <w:b/>
          <w:bCs/>
          <w:sz w:val="22"/>
          <w:szCs w:val="22"/>
        </w:rPr>
      </w:pPr>
      <w:r w:rsidRPr="008550C6">
        <w:rPr>
          <w:b/>
          <w:bCs/>
          <w:sz w:val="22"/>
          <w:szCs w:val="22"/>
        </w:rPr>
        <w:t>TABLE</w:t>
      </w:r>
      <w:r w:rsidR="00B3500A" w:rsidRPr="008550C6">
        <w:rPr>
          <w:b/>
          <w:bCs/>
          <w:sz w:val="22"/>
          <w:szCs w:val="22"/>
        </w:rPr>
        <w:t xml:space="preserve"> 8</w:t>
      </w:r>
    </w:p>
    <w:p w14:paraId="5968C615" w14:textId="6D48028B" w:rsidR="00B3500A" w:rsidRPr="008550C6" w:rsidRDefault="00B3500A" w:rsidP="00B3500A">
      <w:pPr>
        <w:jc w:val="both"/>
        <w:rPr>
          <w:sz w:val="22"/>
          <w:szCs w:val="22"/>
        </w:rPr>
      </w:pPr>
      <w:r w:rsidRPr="008550C6">
        <w:rPr>
          <w:sz w:val="22"/>
          <w:szCs w:val="22"/>
        </w:rPr>
        <w:t xml:space="preserve">Spatial </w:t>
      </w:r>
      <w:r w:rsidR="00667BE2" w:rsidRPr="008550C6">
        <w:rPr>
          <w:sz w:val="22"/>
          <w:szCs w:val="22"/>
        </w:rPr>
        <w:t>T</w:t>
      </w:r>
      <w:r w:rsidRPr="008550C6">
        <w:rPr>
          <w:sz w:val="22"/>
          <w:szCs w:val="22"/>
        </w:rPr>
        <w:t>obit model (STM) when bootstrap variable return to scale (VRS) is the dependent variable.</w:t>
      </w:r>
    </w:p>
    <w:tbl>
      <w:tblPr>
        <w:tblW w:w="5000" w:type="pct"/>
        <w:tblCellMar>
          <w:left w:w="75" w:type="dxa"/>
          <w:right w:w="75" w:type="dxa"/>
        </w:tblCellMar>
        <w:tblLook w:val="0000" w:firstRow="0" w:lastRow="0" w:firstColumn="0" w:lastColumn="0" w:noHBand="0" w:noVBand="0"/>
      </w:tblPr>
      <w:tblGrid>
        <w:gridCol w:w="3157"/>
        <w:gridCol w:w="3224"/>
        <w:gridCol w:w="2645"/>
      </w:tblGrid>
      <w:tr w:rsidR="008550C6" w:rsidRPr="007E3420" w14:paraId="20CE0815" w14:textId="77777777" w:rsidTr="0051262F">
        <w:tc>
          <w:tcPr>
            <w:tcW w:w="1749" w:type="pct"/>
            <w:tcBorders>
              <w:top w:val="single" w:sz="6" w:space="0" w:color="auto"/>
              <w:left w:val="nil"/>
              <w:bottom w:val="nil"/>
              <w:right w:val="nil"/>
            </w:tcBorders>
          </w:tcPr>
          <w:p w14:paraId="0E061FD0" w14:textId="77777777" w:rsidR="00B3500A" w:rsidRPr="007E3420" w:rsidRDefault="00B3500A" w:rsidP="00D62AD1">
            <w:pPr>
              <w:widowControl w:val="0"/>
              <w:autoSpaceDE w:val="0"/>
              <w:autoSpaceDN w:val="0"/>
              <w:adjustRightInd w:val="0"/>
              <w:rPr>
                <w:b/>
                <w:bCs/>
                <w:sz w:val="22"/>
                <w:szCs w:val="22"/>
              </w:rPr>
            </w:pPr>
          </w:p>
        </w:tc>
        <w:tc>
          <w:tcPr>
            <w:tcW w:w="1786" w:type="pct"/>
            <w:tcBorders>
              <w:top w:val="single" w:sz="6" w:space="0" w:color="auto"/>
              <w:left w:val="single" w:sz="4" w:space="0" w:color="auto"/>
              <w:bottom w:val="nil"/>
              <w:right w:val="nil"/>
            </w:tcBorders>
          </w:tcPr>
          <w:p w14:paraId="1BFF35AC" w14:textId="77777777" w:rsidR="00B3500A" w:rsidRPr="007E3420" w:rsidRDefault="00B3500A" w:rsidP="00D62AD1">
            <w:pPr>
              <w:widowControl w:val="0"/>
              <w:autoSpaceDE w:val="0"/>
              <w:autoSpaceDN w:val="0"/>
              <w:adjustRightInd w:val="0"/>
              <w:jc w:val="center"/>
              <w:rPr>
                <w:b/>
                <w:bCs/>
                <w:sz w:val="22"/>
                <w:szCs w:val="22"/>
              </w:rPr>
            </w:pPr>
            <w:r w:rsidRPr="007E3420">
              <w:rPr>
                <w:b/>
                <w:bCs/>
                <w:sz w:val="22"/>
                <w:szCs w:val="22"/>
              </w:rPr>
              <w:t>(1)</w:t>
            </w:r>
          </w:p>
        </w:tc>
        <w:tc>
          <w:tcPr>
            <w:tcW w:w="1465" w:type="pct"/>
            <w:tcBorders>
              <w:top w:val="single" w:sz="6" w:space="0" w:color="auto"/>
              <w:left w:val="nil"/>
              <w:bottom w:val="nil"/>
              <w:right w:val="nil"/>
            </w:tcBorders>
          </w:tcPr>
          <w:p w14:paraId="28BAC96C" w14:textId="77777777" w:rsidR="00B3500A" w:rsidRPr="007E3420" w:rsidRDefault="00B3500A" w:rsidP="00D62AD1">
            <w:pPr>
              <w:widowControl w:val="0"/>
              <w:autoSpaceDE w:val="0"/>
              <w:autoSpaceDN w:val="0"/>
              <w:adjustRightInd w:val="0"/>
              <w:jc w:val="center"/>
              <w:rPr>
                <w:b/>
                <w:bCs/>
                <w:sz w:val="22"/>
                <w:szCs w:val="22"/>
              </w:rPr>
            </w:pPr>
            <w:r w:rsidRPr="007E3420">
              <w:rPr>
                <w:b/>
                <w:bCs/>
                <w:sz w:val="22"/>
                <w:szCs w:val="22"/>
              </w:rPr>
              <w:t>(2)</w:t>
            </w:r>
          </w:p>
        </w:tc>
      </w:tr>
      <w:tr w:rsidR="008550C6" w:rsidRPr="007E3420" w14:paraId="51D423B0" w14:textId="77777777" w:rsidTr="0051262F">
        <w:tc>
          <w:tcPr>
            <w:tcW w:w="1749" w:type="pct"/>
            <w:tcBorders>
              <w:top w:val="nil"/>
              <w:left w:val="nil"/>
              <w:bottom w:val="single" w:sz="6" w:space="0" w:color="auto"/>
              <w:right w:val="nil"/>
            </w:tcBorders>
          </w:tcPr>
          <w:p w14:paraId="1B18CAEC" w14:textId="77777777" w:rsidR="00B3500A" w:rsidRPr="007E3420" w:rsidRDefault="00B3500A" w:rsidP="00D62AD1">
            <w:pPr>
              <w:widowControl w:val="0"/>
              <w:autoSpaceDE w:val="0"/>
              <w:autoSpaceDN w:val="0"/>
              <w:adjustRightInd w:val="0"/>
              <w:rPr>
                <w:b/>
                <w:bCs/>
                <w:sz w:val="22"/>
                <w:szCs w:val="22"/>
              </w:rPr>
            </w:pPr>
            <w:r w:rsidRPr="007E3420">
              <w:rPr>
                <w:b/>
                <w:bCs/>
                <w:sz w:val="22"/>
                <w:szCs w:val="22"/>
              </w:rPr>
              <w:t>VARIABLES</w:t>
            </w:r>
          </w:p>
        </w:tc>
        <w:tc>
          <w:tcPr>
            <w:tcW w:w="1786" w:type="pct"/>
            <w:tcBorders>
              <w:top w:val="nil"/>
              <w:left w:val="single" w:sz="4" w:space="0" w:color="auto"/>
              <w:bottom w:val="single" w:sz="6" w:space="0" w:color="auto"/>
              <w:right w:val="nil"/>
            </w:tcBorders>
          </w:tcPr>
          <w:p w14:paraId="212D898A" w14:textId="66DC7D20" w:rsidR="00B3500A" w:rsidRPr="007E3420" w:rsidRDefault="00727C99" w:rsidP="00D62AD1">
            <w:pPr>
              <w:widowControl w:val="0"/>
              <w:autoSpaceDE w:val="0"/>
              <w:autoSpaceDN w:val="0"/>
              <w:adjustRightInd w:val="0"/>
              <w:jc w:val="center"/>
              <w:rPr>
                <w:b/>
                <w:bCs/>
                <w:sz w:val="22"/>
                <w:szCs w:val="22"/>
              </w:rPr>
            </w:pPr>
            <w:r w:rsidRPr="007E3420">
              <w:rPr>
                <w:b/>
                <w:bCs/>
                <w:sz w:val="22"/>
                <w:szCs w:val="22"/>
              </w:rPr>
              <w:t>VRS</w:t>
            </w:r>
          </w:p>
        </w:tc>
        <w:tc>
          <w:tcPr>
            <w:tcW w:w="1465" w:type="pct"/>
            <w:tcBorders>
              <w:top w:val="nil"/>
              <w:left w:val="nil"/>
              <w:bottom w:val="single" w:sz="6" w:space="0" w:color="auto"/>
              <w:right w:val="nil"/>
            </w:tcBorders>
          </w:tcPr>
          <w:p w14:paraId="6B0249BF" w14:textId="7875F1DF" w:rsidR="00B3500A" w:rsidRPr="007E3420" w:rsidRDefault="00727C99" w:rsidP="00D62AD1">
            <w:pPr>
              <w:widowControl w:val="0"/>
              <w:autoSpaceDE w:val="0"/>
              <w:autoSpaceDN w:val="0"/>
              <w:adjustRightInd w:val="0"/>
              <w:jc w:val="center"/>
              <w:rPr>
                <w:b/>
                <w:bCs/>
                <w:sz w:val="22"/>
                <w:szCs w:val="22"/>
              </w:rPr>
            </w:pPr>
            <w:r w:rsidRPr="007E3420">
              <w:rPr>
                <w:b/>
                <w:bCs/>
                <w:sz w:val="22"/>
                <w:szCs w:val="22"/>
              </w:rPr>
              <w:t>VRS</w:t>
            </w:r>
          </w:p>
        </w:tc>
      </w:tr>
      <w:tr w:rsidR="008550C6" w:rsidRPr="008550C6" w14:paraId="036126C1" w14:textId="77777777" w:rsidTr="0051262F">
        <w:tc>
          <w:tcPr>
            <w:tcW w:w="1749" w:type="pct"/>
            <w:tcBorders>
              <w:top w:val="nil"/>
              <w:left w:val="nil"/>
              <w:bottom w:val="nil"/>
              <w:right w:val="nil"/>
            </w:tcBorders>
          </w:tcPr>
          <w:p w14:paraId="526A0827" w14:textId="77777777" w:rsidR="00B3500A" w:rsidRPr="008550C6" w:rsidRDefault="00B3500A" w:rsidP="00D62AD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48C7AB9D" w14:textId="77777777" w:rsidR="00B3500A" w:rsidRPr="008550C6" w:rsidRDefault="00B3500A" w:rsidP="00D62AD1">
            <w:pPr>
              <w:widowControl w:val="0"/>
              <w:autoSpaceDE w:val="0"/>
              <w:autoSpaceDN w:val="0"/>
              <w:adjustRightInd w:val="0"/>
              <w:jc w:val="center"/>
              <w:rPr>
                <w:sz w:val="22"/>
                <w:szCs w:val="22"/>
              </w:rPr>
            </w:pPr>
          </w:p>
        </w:tc>
        <w:tc>
          <w:tcPr>
            <w:tcW w:w="1465" w:type="pct"/>
            <w:tcBorders>
              <w:top w:val="nil"/>
              <w:left w:val="nil"/>
              <w:bottom w:val="nil"/>
              <w:right w:val="nil"/>
            </w:tcBorders>
          </w:tcPr>
          <w:p w14:paraId="2F0F9202" w14:textId="77777777" w:rsidR="00B3500A" w:rsidRPr="008550C6" w:rsidRDefault="00B3500A" w:rsidP="00D62AD1">
            <w:pPr>
              <w:widowControl w:val="0"/>
              <w:autoSpaceDE w:val="0"/>
              <w:autoSpaceDN w:val="0"/>
              <w:adjustRightInd w:val="0"/>
              <w:jc w:val="center"/>
              <w:rPr>
                <w:sz w:val="22"/>
                <w:szCs w:val="22"/>
              </w:rPr>
            </w:pPr>
          </w:p>
        </w:tc>
      </w:tr>
      <w:tr w:rsidR="008550C6" w:rsidRPr="007E4ED2" w14:paraId="0B8916BE" w14:textId="77777777" w:rsidTr="0051262F">
        <w:tc>
          <w:tcPr>
            <w:tcW w:w="1749" w:type="pct"/>
            <w:tcBorders>
              <w:top w:val="nil"/>
              <w:left w:val="nil"/>
              <w:bottom w:val="nil"/>
              <w:right w:val="nil"/>
            </w:tcBorders>
          </w:tcPr>
          <w:p w14:paraId="41186D4A" w14:textId="77777777" w:rsidR="00B3500A" w:rsidRPr="007E4ED2" w:rsidRDefault="00B3500A" w:rsidP="00D62AD1">
            <w:pPr>
              <w:widowControl w:val="0"/>
              <w:autoSpaceDE w:val="0"/>
              <w:autoSpaceDN w:val="0"/>
              <w:adjustRightInd w:val="0"/>
              <w:rPr>
                <w:sz w:val="22"/>
                <w:szCs w:val="22"/>
              </w:rPr>
            </w:pPr>
            <w:r w:rsidRPr="007E4ED2">
              <w:rPr>
                <w:sz w:val="22"/>
                <w:szCs w:val="22"/>
              </w:rPr>
              <w:t>SVOTE</w:t>
            </w:r>
          </w:p>
        </w:tc>
        <w:tc>
          <w:tcPr>
            <w:tcW w:w="1786" w:type="pct"/>
            <w:tcBorders>
              <w:top w:val="nil"/>
              <w:left w:val="single" w:sz="4" w:space="0" w:color="auto"/>
              <w:bottom w:val="nil"/>
              <w:right w:val="nil"/>
            </w:tcBorders>
          </w:tcPr>
          <w:p w14:paraId="61258C0B" w14:textId="770FA218" w:rsidR="00B3500A" w:rsidRPr="007E4ED2" w:rsidRDefault="0051262F" w:rsidP="00D62AD1">
            <w:pPr>
              <w:widowControl w:val="0"/>
              <w:autoSpaceDE w:val="0"/>
              <w:autoSpaceDN w:val="0"/>
              <w:adjustRightInd w:val="0"/>
              <w:jc w:val="center"/>
              <w:rPr>
                <w:sz w:val="22"/>
                <w:szCs w:val="22"/>
              </w:rPr>
            </w:pPr>
            <w:r w:rsidRPr="007E4ED2">
              <w:rPr>
                <w:sz w:val="22"/>
                <w:szCs w:val="22"/>
              </w:rPr>
              <w:t>0.0153</w:t>
            </w:r>
            <w:r w:rsidR="00B3500A" w:rsidRPr="007E4ED2">
              <w:rPr>
                <w:sz w:val="22"/>
                <w:szCs w:val="22"/>
              </w:rPr>
              <w:t>***</w:t>
            </w:r>
          </w:p>
        </w:tc>
        <w:tc>
          <w:tcPr>
            <w:tcW w:w="1465" w:type="pct"/>
            <w:tcBorders>
              <w:top w:val="nil"/>
              <w:left w:val="nil"/>
              <w:bottom w:val="nil"/>
              <w:right w:val="nil"/>
            </w:tcBorders>
          </w:tcPr>
          <w:p w14:paraId="787A6BDE" w14:textId="77777777" w:rsidR="00B3500A" w:rsidRPr="007E4ED2" w:rsidRDefault="00B3500A" w:rsidP="00D62AD1">
            <w:pPr>
              <w:widowControl w:val="0"/>
              <w:autoSpaceDE w:val="0"/>
              <w:autoSpaceDN w:val="0"/>
              <w:adjustRightInd w:val="0"/>
              <w:jc w:val="center"/>
              <w:rPr>
                <w:sz w:val="22"/>
                <w:szCs w:val="22"/>
              </w:rPr>
            </w:pPr>
          </w:p>
        </w:tc>
      </w:tr>
      <w:tr w:rsidR="008550C6" w:rsidRPr="007E4ED2" w14:paraId="0904101B" w14:textId="77777777" w:rsidTr="0051262F">
        <w:tc>
          <w:tcPr>
            <w:tcW w:w="1749" w:type="pct"/>
            <w:tcBorders>
              <w:top w:val="nil"/>
              <w:left w:val="nil"/>
              <w:bottom w:val="nil"/>
              <w:right w:val="nil"/>
            </w:tcBorders>
          </w:tcPr>
          <w:p w14:paraId="253A2A80" w14:textId="77777777" w:rsidR="00B3500A" w:rsidRPr="007E4ED2" w:rsidRDefault="00B3500A" w:rsidP="00D62AD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437D422C" w14:textId="3B8A115D" w:rsidR="00B3500A" w:rsidRPr="007E4ED2" w:rsidRDefault="00B3500A" w:rsidP="00D62AD1">
            <w:pPr>
              <w:widowControl w:val="0"/>
              <w:autoSpaceDE w:val="0"/>
              <w:autoSpaceDN w:val="0"/>
              <w:adjustRightInd w:val="0"/>
              <w:jc w:val="center"/>
              <w:rPr>
                <w:sz w:val="22"/>
                <w:szCs w:val="22"/>
              </w:rPr>
            </w:pPr>
            <w:r w:rsidRPr="007E4ED2">
              <w:rPr>
                <w:sz w:val="22"/>
                <w:szCs w:val="22"/>
              </w:rPr>
              <w:t>(3.</w:t>
            </w:r>
            <w:r w:rsidR="0051262F" w:rsidRPr="007E4ED2">
              <w:rPr>
                <w:sz w:val="22"/>
                <w:szCs w:val="22"/>
              </w:rPr>
              <w:t>61</w:t>
            </w:r>
            <w:r w:rsidRPr="007E4ED2">
              <w:rPr>
                <w:sz w:val="22"/>
                <w:szCs w:val="22"/>
              </w:rPr>
              <w:t xml:space="preserve">)   </w:t>
            </w:r>
          </w:p>
        </w:tc>
        <w:tc>
          <w:tcPr>
            <w:tcW w:w="1465" w:type="pct"/>
            <w:tcBorders>
              <w:top w:val="nil"/>
              <w:left w:val="nil"/>
              <w:bottom w:val="nil"/>
              <w:right w:val="nil"/>
            </w:tcBorders>
          </w:tcPr>
          <w:p w14:paraId="37606B60" w14:textId="77777777" w:rsidR="00B3500A" w:rsidRPr="007E4ED2" w:rsidRDefault="00B3500A" w:rsidP="00D62AD1">
            <w:pPr>
              <w:widowControl w:val="0"/>
              <w:autoSpaceDE w:val="0"/>
              <w:autoSpaceDN w:val="0"/>
              <w:adjustRightInd w:val="0"/>
              <w:jc w:val="center"/>
              <w:rPr>
                <w:sz w:val="22"/>
                <w:szCs w:val="22"/>
              </w:rPr>
            </w:pPr>
          </w:p>
        </w:tc>
      </w:tr>
      <w:tr w:rsidR="008550C6" w:rsidRPr="007E4ED2" w14:paraId="1AD8E9BA" w14:textId="77777777" w:rsidTr="0051262F">
        <w:tc>
          <w:tcPr>
            <w:tcW w:w="1749" w:type="pct"/>
            <w:tcBorders>
              <w:top w:val="nil"/>
              <w:left w:val="nil"/>
              <w:bottom w:val="nil"/>
              <w:right w:val="nil"/>
            </w:tcBorders>
          </w:tcPr>
          <w:p w14:paraId="7BEA8132" w14:textId="77777777" w:rsidR="00B3500A" w:rsidRPr="007E4ED2" w:rsidRDefault="00B3500A" w:rsidP="00D62AD1">
            <w:pPr>
              <w:widowControl w:val="0"/>
              <w:autoSpaceDE w:val="0"/>
              <w:autoSpaceDN w:val="0"/>
              <w:adjustRightInd w:val="0"/>
              <w:rPr>
                <w:sz w:val="22"/>
                <w:szCs w:val="22"/>
              </w:rPr>
            </w:pPr>
            <w:r w:rsidRPr="007E4ED2">
              <w:rPr>
                <w:sz w:val="22"/>
                <w:szCs w:val="22"/>
              </w:rPr>
              <w:t>NVOTE</w:t>
            </w:r>
          </w:p>
        </w:tc>
        <w:tc>
          <w:tcPr>
            <w:tcW w:w="1786" w:type="pct"/>
            <w:tcBorders>
              <w:top w:val="nil"/>
              <w:left w:val="single" w:sz="4" w:space="0" w:color="auto"/>
              <w:bottom w:val="nil"/>
              <w:right w:val="nil"/>
            </w:tcBorders>
          </w:tcPr>
          <w:p w14:paraId="6E6B4D81" w14:textId="77777777" w:rsidR="00B3500A" w:rsidRPr="007E4ED2" w:rsidRDefault="00B3500A" w:rsidP="00D62AD1">
            <w:pPr>
              <w:widowControl w:val="0"/>
              <w:autoSpaceDE w:val="0"/>
              <w:autoSpaceDN w:val="0"/>
              <w:adjustRightInd w:val="0"/>
              <w:jc w:val="center"/>
              <w:rPr>
                <w:sz w:val="22"/>
                <w:szCs w:val="22"/>
              </w:rPr>
            </w:pPr>
          </w:p>
        </w:tc>
        <w:tc>
          <w:tcPr>
            <w:tcW w:w="1465" w:type="pct"/>
            <w:tcBorders>
              <w:top w:val="nil"/>
              <w:left w:val="nil"/>
              <w:bottom w:val="nil"/>
              <w:right w:val="nil"/>
            </w:tcBorders>
          </w:tcPr>
          <w:p w14:paraId="25892EE6" w14:textId="21494E48" w:rsidR="00B3500A" w:rsidRPr="007E4ED2" w:rsidRDefault="00B3500A" w:rsidP="00D62AD1">
            <w:pPr>
              <w:widowControl w:val="0"/>
              <w:autoSpaceDE w:val="0"/>
              <w:autoSpaceDN w:val="0"/>
              <w:adjustRightInd w:val="0"/>
              <w:jc w:val="center"/>
              <w:rPr>
                <w:sz w:val="22"/>
                <w:szCs w:val="22"/>
              </w:rPr>
            </w:pPr>
            <w:r w:rsidRPr="007E4ED2">
              <w:rPr>
                <w:sz w:val="22"/>
                <w:szCs w:val="22"/>
              </w:rPr>
              <w:t>0.01</w:t>
            </w:r>
            <w:r w:rsidR="00563230" w:rsidRPr="007E4ED2">
              <w:rPr>
                <w:sz w:val="22"/>
                <w:szCs w:val="22"/>
              </w:rPr>
              <w:t>69</w:t>
            </w:r>
            <w:r w:rsidRPr="007E4ED2">
              <w:rPr>
                <w:sz w:val="22"/>
                <w:szCs w:val="22"/>
              </w:rPr>
              <w:t xml:space="preserve">***   </w:t>
            </w:r>
          </w:p>
        </w:tc>
      </w:tr>
      <w:tr w:rsidR="008550C6" w:rsidRPr="007E4ED2" w14:paraId="33CFD509" w14:textId="77777777" w:rsidTr="0051262F">
        <w:tc>
          <w:tcPr>
            <w:tcW w:w="1749" w:type="pct"/>
            <w:tcBorders>
              <w:top w:val="nil"/>
              <w:left w:val="nil"/>
              <w:bottom w:val="nil"/>
              <w:right w:val="nil"/>
            </w:tcBorders>
          </w:tcPr>
          <w:p w14:paraId="0E8B3294" w14:textId="77777777" w:rsidR="00B3500A" w:rsidRPr="007E4ED2" w:rsidRDefault="00B3500A" w:rsidP="00D62AD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0D201F7A" w14:textId="77777777" w:rsidR="00B3500A" w:rsidRPr="007E4ED2" w:rsidRDefault="00B3500A" w:rsidP="00D62AD1">
            <w:pPr>
              <w:widowControl w:val="0"/>
              <w:autoSpaceDE w:val="0"/>
              <w:autoSpaceDN w:val="0"/>
              <w:adjustRightInd w:val="0"/>
              <w:jc w:val="center"/>
              <w:rPr>
                <w:sz w:val="22"/>
                <w:szCs w:val="22"/>
              </w:rPr>
            </w:pPr>
          </w:p>
        </w:tc>
        <w:tc>
          <w:tcPr>
            <w:tcW w:w="1465" w:type="pct"/>
            <w:tcBorders>
              <w:top w:val="nil"/>
              <w:left w:val="nil"/>
              <w:bottom w:val="nil"/>
              <w:right w:val="nil"/>
            </w:tcBorders>
          </w:tcPr>
          <w:p w14:paraId="24643848" w14:textId="67170934" w:rsidR="00B3500A" w:rsidRPr="007E4ED2" w:rsidRDefault="00B3500A" w:rsidP="00D62AD1">
            <w:pPr>
              <w:widowControl w:val="0"/>
              <w:autoSpaceDE w:val="0"/>
              <w:autoSpaceDN w:val="0"/>
              <w:adjustRightInd w:val="0"/>
              <w:jc w:val="center"/>
              <w:rPr>
                <w:sz w:val="22"/>
                <w:szCs w:val="22"/>
              </w:rPr>
            </w:pPr>
            <w:r w:rsidRPr="007E4ED2">
              <w:rPr>
                <w:sz w:val="22"/>
                <w:szCs w:val="22"/>
              </w:rPr>
              <w:t>(4.7</w:t>
            </w:r>
            <w:r w:rsidR="00563230" w:rsidRPr="007E4ED2">
              <w:rPr>
                <w:sz w:val="22"/>
                <w:szCs w:val="22"/>
              </w:rPr>
              <w:t>0</w:t>
            </w:r>
            <w:r w:rsidRPr="007E4ED2">
              <w:rPr>
                <w:sz w:val="22"/>
                <w:szCs w:val="22"/>
              </w:rPr>
              <w:t xml:space="preserve">)   </w:t>
            </w:r>
          </w:p>
        </w:tc>
      </w:tr>
      <w:tr w:rsidR="008550C6" w:rsidRPr="007E4ED2" w14:paraId="0C2F2B02" w14:textId="77777777" w:rsidTr="0051262F">
        <w:tc>
          <w:tcPr>
            <w:tcW w:w="1749" w:type="pct"/>
            <w:tcBorders>
              <w:top w:val="nil"/>
              <w:left w:val="nil"/>
              <w:bottom w:val="nil"/>
              <w:right w:val="nil"/>
            </w:tcBorders>
          </w:tcPr>
          <w:p w14:paraId="472C7A8F" w14:textId="77777777" w:rsidR="00B3500A" w:rsidRPr="007E4ED2" w:rsidRDefault="00B3500A" w:rsidP="00D62AD1">
            <w:pPr>
              <w:widowControl w:val="0"/>
              <w:autoSpaceDE w:val="0"/>
              <w:autoSpaceDN w:val="0"/>
              <w:adjustRightInd w:val="0"/>
              <w:rPr>
                <w:sz w:val="22"/>
                <w:szCs w:val="22"/>
              </w:rPr>
            </w:pPr>
            <w:r w:rsidRPr="007E4ED2">
              <w:rPr>
                <w:sz w:val="22"/>
                <w:szCs w:val="22"/>
              </w:rPr>
              <w:t>LNTA</w:t>
            </w:r>
          </w:p>
        </w:tc>
        <w:tc>
          <w:tcPr>
            <w:tcW w:w="1786" w:type="pct"/>
            <w:tcBorders>
              <w:top w:val="nil"/>
              <w:left w:val="single" w:sz="4" w:space="0" w:color="auto"/>
              <w:bottom w:val="nil"/>
              <w:right w:val="nil"/>
            </w:tcBorders>
          </w:tcPr>
          <w:p w14:paraId="106693F2" w14:textId="1426B33B" w:rsidR="00B3500A" w:rsidRPr="007E4ED2" w:rsidRDefault="0051262F" w:rsidP="00D62AD1">
            <w:pPr>
              <w:widowControl w:val="0"/>
              <w:autoSpaceDE w:val="0"/>
              <w:autoSpaceDN w:val="0"/>
              <w:adjustRightInd w:val="0"/>
              <w:jc w:val="center"/>
              <w:rPr>
                <w:sz w:val="22"/>
                <w:szCs w:val="22"/>
              </w:rPr>
            </w:pPr>
            <w:r w:rsidRPr="007E4ED2">
              <w:rPr>
                <w:sz w:val="22"/>
                <w:szCs w:val="22"/>
              </w:rPr>
              <w:t>0.0400</w:t>
            </w:r>
            <w:r w:rsidR="00B3500A" w:rsidRPr="007E4ED2">
              <w:rPr>
                <w:sz w:val="22"/>
                <w:szCs w:val="22"/>
              </w:rPr>
              <w:t xml:space="preserve">***   </w:t>
            </w:r>
          </w:p>
        </w:tc>
        <w:tc>
          <w:tcPr>
            <w:tcW w:w="1465" w:type="pct"/>
            <w:tcBorders>
              <w:top w:val="nil"/>
              <w:left w:val="nil"/>
              <w:bottom w:val="nil"/>
              <w:right w:val="nil"/>
            </w:tcBorders>
          </w:tcPr>
          <w:p w14:paraId="4A467624" w14:textId="2249FB24" w:rsidR="00B3500A" w:rsidRPr="007E4ED2" w:rsidRDefault="00B3500A" w:rsidP="00D62AD1">
            <w:pPr>
              <w:widowControl w:val="0"/>
              <w:autoSpaceDE w:val="0"/>
              <w:autoSpaceDN w:val="0"/>
              <w:adjustRightInd w:val="0"/>
              <w:jc w:val="center"/>
              <w:rPr>
                <w:sz w:val="22"/>
                <w:szCs w:val="22"/>
              </w:rPr>
            </w:pPr>
            <w:r w:rsidRPr="007E4ED2">
              <w:rPr>
                <w:sz w:val="22"/>
                <w:szCs w:val="22"/>
              </w:rPr>
              <w:t>0.0</w:t>
            </w:r>
            <w:r w:rsidR="00563230" w:rsidRPr="007E4ED2">
              <w:rPr>
                <w:sz w:val="22"/>
                <w:szCs w:val="22"/>
              </w:rPr>
              <w:t>398</w:t>
            </w:r>
            <w:r w:rsidRPr="007E4ED2">
              <w:rPr>
                <w:sz w:val="22"/>
                <w:szCs w:val="22"/>
              </w:rPr>
              <w:t xml:space="preserve">***   </w:t>
            </w:r>
          </w:p>
        </w:tc>
      </w:tr>
      <w:tr w:rsidR="008550C6" w:rsidRPr="008550C6" w14:paraId="006BA0EE" w14:textId="77777777" w:rsidTr="0051262F">
        <w:tc>
          <w:tcPr>
            <w:tcW w:w="1749" w:type="pct"/>
            <w:tcBorders>
              <w:top w:val="nil"/>
              <w:left w:val="nil"/>
              <w:bottom w:val="nil"/>
              <w:right w:val="nil"/>
            </w:tcBorders>
          </w:tcPr>
          <w:p w14:paraId="08919CBC" w14:textId="77777777" w:rsidR="00B3500A" w:rsidRPr="008550C6" w:rsidRDefault="00B3500A" w:rsidP="00D62AD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553683D4" w14:textId="13057B9D" w:rsidR="00B3500A" w:rsidRPr="008550C6" w:rsidRDefault="00B3500A" w:rsidP="00D62AD1">
            <w:pPr>
              <w:widowControl w:val="0"/>
              <w:autoSpaceDE w:val="0"/>
              <w:autoSpaceDN w:val="0"/>
              <w:adjustRightInd w:val="0"/>
              <w:jc w:val="center"/>
              <w:rPr>
                <w:sz w:val="22"/>
                <w:szCs w:val="22"/>
              </w:rPr>
            </w:pPr>
            <w:r w:rsidRPr="008550C6">
              <w:rPr>
                <w:sz w:val="22"/>
                <w:szCs w:val="22"/>
              </w:rPr>
              <w:t>(2</w:t>
            </w:r>
            <w:r w:rsidR="0051262F" w:rsidRPr="008550C6">
              <w:rPr>
                <w:sz w:val="22"/>
                <w:szCs w:val="22"/>
              </w:rPr>
              <w:t>5.86</w:t>
            </w:r>
            <w:r w:rsidRPr="008550C6">
              <w:rPr>
                <w:sz w:val="22"/>
                <w:szCs w:val="22"/>
              </w:rPr>
              <w:t xml:space="preserve">)   </w:t>
            </w:r>
          </w:p>
        </w:tc>
        <w:tc>
          <w:tcPr>
            <w:tcW w:w="1465" w:type="pct"/>
            <w:tcBorders>
              <w:top w:val="nil"/>
              <w:left w:val="nil"/>
              <w:bottom w:val="nil"/>
              <w:right w:val="nil"/>
            </w:tcBorders>
          </w:tcPr>
          <w:p w14:paraId="276C4A50" w14:textId="74033EE7" w:rsidR="00B3500A" w:rsidRPr="008550C6" w:rsidRDefault="00B3500A" w:rsidP="00D62AD1">
            <w:pPr>
              <w:widowControl w:val="0"/>
              <w:autoSpaceDE w:val="0"/>
              <w:autoSpaceDN w:val="0"/>
              <w:adjustRightInd w:val="0"/>
              <w:jc w:val="center"/>
              <w:rPr>
                <w:sz w:val="22"/>
                <w:szCs w:val="22"/>
              </w:rPr>
            </w:pPr>
            <w:r w:rsidRPr="008550C6">
              <w:rPr>
                <w:sz w:val="22"/>
                <w:szCs w:val="22"/>
              </w:rPr>
              <w:t>(2</w:t>
            </w:r>
            <w:r w:rsidR="00563230" w:rsidRPr="008550C6">
              <w:rPr>
                <w:sz w:val="22"/>
                <w:szCs w:val="22"/>
              </w:rPr>
              <w:t>5</w:t>
            </w:r>
            <w:r w:rsidRPr="008550C6">
              <w:rPr>
                <w:sz w:val="22"/>
                <w:szCs w:val="22"/>
              </w:rPr>
              <w:t>.8</w:t>
            </w:r>
            <w:r w:rsidR="00563230" w:rsidRPr="008550C6">
              <w:rPr>
                <w:sz w:val="22"/>
                <w:szCs w:val="22"/>
              </w:rPr>
              <w:t>4</w:t>
            </w:r>
            <w:r w:rsidRPr="008550C6">
              <w:rPr>
                <w:sz w:val="22"/>
                <w:szCs w:val="22"/>
              </w:rPr>
              <w:t xml:space="preserve">)   </w:t>
            </w:r>
          </w:p>
        </w:tc>
      </w:tr>
      <w:tr w:rsidR="008550C6" w:rsidRPr="008550C6" w14:paraId="40B5CA6C" w14:textId="77777777" w:rsidTr="0051262F">
        <w:tc>
          <w:tcPr>
            <w:tcW w:w="1749" w:type="pct"/>
            <w:tcBorders>
              <w:top w:val="nil"/>
              <w:left w:val="nil"/>
              <w:bottom w:val="nil"/>
              <w:right w:val="nil"/>
            </w:tcBorders>
          </w:tcPr>
          <w:p w14:paraId="3C0970FA" w14:textId="77777777" w:rsidR="00B3500A" w:rsidRPr="008550C6" w:rsidRDefault="00B3500A" w:rsidP="00D62AD1">
            <w:pPr>
              <w:widowControl w:val="0"/>
              <w:autoSpaceDE w:val="0"/>
              <w:autoSpaceDN w:val="0"/>
              <w:adjustRightInd w:val="0"/>
              <w:rPr>
                <w:sz w:val="22"/>
                <w:szCs w:val="22"/>
              </w:rPr>
            </w:pPr>
            <w:r w:rsidRPr="008550C6">
              <w:rPr>
                <w:sz w:val="22"/>
                <w:szCs w:val="22"/>
              </w:rPr>
              <w:t>NPLTL</w:t>
            </w:r>
          </w:p>
        </w:tc>
        <w:tc>
          <w:tcPr>
            <w:tcW w:w="1786" w:type="pct"/>
            <w:tcBorders>
              <w:top w:val="nil"/>
              <w:left w:val="single" w:sz="4" w:space="0" w:color="auto"/>
              <w:bottom w:val="nil"/>
              <w:right w:val="nil"/>
            </w:tcBorders>
          </w:tcPr>
          <w:p w14:paraId="513FE83C" w14:textId="360BDFB5" w:rsidR="00B3500A" w:rsidRPr="008550C6" w:rsidRDefault="0051262F" w:rsidP="00D62AD1">
            <w:pPr>
              <w:widowControl w:val="0"/>
              <w:autoSpaceDE w:val="0"/>
              <w:autoSpaceDN w:val="0"/>
              <w:adjustRightInd w:val="0"/>
              <w:jc w:val="center"/>
              <w:rPr>
                <w:sz w:val="22"/>
                <w:szCs w:val="22"/>
              </w:rPr>
            </w:pPr>
            <w:r w:rsidRPr="008550C6">
              <w:rPr>
                <w:sz w:val="22"/>
                <w:szCs w:val="22"/>
              </w:rPr>
              <w:t>-6.245</w:t>
            </w:r>
            <w:r w:rsidR="00563230" w:rsidRPr="008550C6">
              <w:rPr>
                <w:sz w:val="22"/>
                <w:szCs w:val="22"/>
              </w:rPr>
              <w:t>0</w:t>
            </w:r>
            <w:r w:rsidR="00B3500A" w:rsidRPr="008550C6">
              <w:rPr>
                <w:sz w:val="22"/>
                <w:szCs w:val="22"/>
              </w:rPr>
              <w:t xml:space="preserve">***   </w:t>
            </w:r>
          </w:p>
        </w:tc>
        <w:tc>
          <w:tcPr>
            <w:tcW w:w="1465" w:type="pct"/>
            <w:tcBorders>
              <w:top w:val="nil"/>
              <w:left w:val="nil"/>
              <w:bottom w:val="nil"/>
              <w:right w:val="nil"/>
            </w:tcBorders>
          </w:tcPr>
          <w:p w14:paraId="1BBD1AB1" w14:textId="277B08C3"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563230" w:rsidRPr="008550C6">
              <w:rPr>
                <w:sz w:val="22"/>
                <w:szCs w:val="22"/>
              </w:rPr>
              <w:t>6</w:t>
            </w:r>
            <w:r w:rsidRPr="008550C6">
              <w:rPr>
                <w:sz w:val="22"/>
                <w:szCs w:val="22"/>
              </w:rPr>
              <w:t>.</w:t>
            </w:r>
            <w:r w:rsidR="00563230" w:rsidRPr="008550C6">
              <w:rPr>
                <w:sz w:val="22"/>
                <w:szCs w:val="22"/>
              </w:rPr>
              <w:t>3256</w:t>
            </w:r>
            <w:r w:rsidRPr="008550C6">
              <w:rPr>
                <w:sz w:val="22"/>
                <w:szCs w:val="22"/>
              </w:rPr>
              <w:t xml:space="preserve">***   </w:t>
            </w:r>
          </w:p>
        </w:tc>
      </w:tr>
      <w:tr w:rsidR="008550C6" w:rsidRPr="008550C6" w14:paraId="281AB329" w14:textId="77777777" w:rsidTr="0051262F">
        <w:tc>
          <w:tcPr>
            <w:tcW w:w="1749" w:type="pct"/>
            <w:tcBorders>
              <w:top w:val="nil"/>
              <w:left w:val="nil"/>
              <w:bottom w:val="nil"/>
              <w:right w:val="nil"/>
            </w:tcBorders>
          </w:tcPr>
          <w:p w14:paraId="19236E13" w14:textId="77777777" w:rsidR="00B3500A" w:rsidRPr="008550C6" w:rsidRDefault="00B3500A" w:rsidP="00D62AD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7F428466" w14:textId="4ED154A7" w:rsidR="00B3500A" w:rsidRPr="008550C6" w:rsidRDefault="00B3500A" w:rsidP="00D62AD1">
            <w:pPr>
              <w:widowControl w:val="0"/>
              <w:autoSpaceDE w:val="0"/>
              <w:autoSpaceDN w:val="0"/>
              <w:adjustRightInd w:val="0"/>
              <w:jc w:val="center"/>
              <w:rPr>
                <w:sz w:val="22"/>
                <w:szCs w:val="22"/>
              </w:rPr>
            </w:pPr>
            <w:r w:rsidRPr="008550C6">
              <w:rPr>
                <w:sz w:val="22"/>
                <w:szCs w:val="22"/>
              </w:rPr>
              <w:t>(13.</w:t>
            </w:r>
            <w:r w:rsidR="0051262F" w:rsidRPr="008550C6">
              <w:rPr>
                <w:sz w:val="22"/>
                <w:szCs w:val="22"/>
              </w:rPr>
              <w:t>46</w:t>
            </w:r>
            <w:r w:rsidRPr="008550C6">
              <w:rPr>
                <w:sz w:val="22"/>
                <w:szCs w:val="22"/>
              </w:rPr>
              <w:t xml:space="preserve">)   </w:t>
            </w:r>
          </w:p>
        </w:tc>
        <w:tc>
          <w:tcPr>
            <w:tcW w:w="1465" w:type="pct"/>
            <w:tcBorders>
              <w:top w:val="nil"/>
              <w:left w:val="nil"/>
              <w:bottom w:val="nil"/>
              <w:right w:val="nil"/>
            </w:tcBorders>
          </w:tcPr>
          <w:p w14:paraId="35DE316B" w14:textId="3C892774" w:rsidR="00B3500A" w:rsidRPr="008550C6" w:rsidRDefault="00B3500A" w:rsidP="00D62AD1">
            <w:pPr>
              <w:widowControl w:val="0"/>
              <w:autoSpaceDE w:val="0"/>
              <w:autoSpaceDN w:val="0"/>
              <w:adjustRightInd w:val="0"/>
              <w:jc w:val="center"/>
              <w:rPr>
                <w:sz w:val="22"/>
                <w:szCs w:val="22"/>
              </w:rPr>
            </w:pPr>
            <w:r w:rsidRPr="008550C6">
              <w:rPr>
                <w:sz w:val="22"/>
                <w:szCs w:val="22"/>
              </w:rPr>
              <w:t>(13.</w:t>
            </w:r>
            <w:r w:rsidR="00563230" w:rsidRPr="008550C6">
              <w:rPr>
                <w:sz w:val="22"/>
                <w:szCs w:val="22"/>
              </w:rPr>
              <w:t>70</w:t>
            </w:r>
            <w:r w:rsidRPr="008550C6">
              <w:rPr>
                <w:sz w:val="22"/>
                <w:szCs w:val="22"/>
              </w:rPr>
              <w:t xml:space="preserve">)   </w:t>
            </w:r>
          </w:p>
        </w:tc>
      </w:tr>
      <w:tr w:rsidR="008550C6" w:rsidRPr="008550C6" w14:paraId="2D76AF69" w14:textId="77777777" w:rsidTr="0051262F">
        <w:tc>
          <w:tcPr>
            <w:tcW w:w="1749" w:type="pct"/>
            <w:tcBorders>
              <w:top w:val="nil"/>
              <w:left w:val="nil"/>
              <w:bottom w:val="nil"/>
              <w:right w:val="nil"/>
            </w:tcBorders>
          </w:tcPr>
          <w:p w14:paraId="2357E4D8" w14:textId="6315E976" w:rsidR="00B3500A" w:rsidRPr="008550C6" w:rsidRDefault="0051262F" w:rsidP="00D62AD1">
            <w:pPr>
              <w:widowControl w:val="0"/>
              <w:autoSpaceDE w:val="0"/>
              <w:autoSpaceDN w:val="0"/>
              <w:adjustRightInd w:val="0"/>
              <w:rPr>
                <w:sz w:val="22"/>
                <w:szCs w:val="22"/>
              </w:rPr>
            </w:pPr>
            <w:r w:rsidRPr="008550C6">
              <w:rPr>
                <w:sz w:val="22"/>
                <w:szCs w:val="22"/>
              </w:rPr>
              <w:t>DO</w:t>
            </w:r>
            <w:r w:rsidR="00B3500A" w:rsidRPr="008550C6">
              <w:rPr>
                <w:sz w:val="22"/>
                <w:szCs w:val="22"/>
              </w:rPr>
              <w:t>A</w:t>
            </w:r>
          </w:p>
        </w:tc>
        <w:tc>
          <w:tcPr>
            <w:tcW w:w="1786" w:type="pct"/>
            <w:tcBorders>
              <w:top w:val="nil"/>
              <w:left w:val="single" w:sz="4" w:space="0" w:color="auto"/>
              <w:bottom w:val="nil"/>
              <w:right w:val="nil"/>
            </w:tcBorders>
          </w:tcPr>
          <w:p w14:paraId="7DF2E7BD" w14:textId="6EB0EAA5" w:rsidR="00B3500A" w:rsidRPr="008550C6" w:rsidRDefault="0051262F" w:rsidP="00D62AD1">
            <w:pPr>
              <w:widowControl w:val="0"/>
              <w:autoSpaceDE w:val="0"/>
              <w:autoSpaceDN w:val="0"/>
              <w:adjustRightInd w:val="0"/>
              <w:jc w:val="center"/>
              <w:rPr>
                <w:sz w:val="22"/>
                <w:szCs w:val="22"/>
              </w:rPr>
            </w:pPr>
            <w:r w:rsidRPr="008550C6">
              <w:rPr>
                <w:sz w:val="22"/>
                <w:szCs w:val="22"/>
              </w:rPr>
              <w:t xml:space="preserve">  -0.0696</w:t>
            </w:r>
            <w:r w:rsidR="00B3500A" w:rsidRPr="008550C6">
              <w:rPr>
                <w:sz w:val="22"/>
                <w:szCs w:val="22"/>
              </w:rPr>
              <w:t xml:space="preserve">** </w:t>
            </w:r>
          </w:p>
        </w:tc>
        <w:tc>
          <w:tcPr>
            <w:tcW w:w="1465" w:type="pct"/>
            <w:tcBorders>
              <w:top w:val="nil"/>
              <w:left w:val="nil"/>
              <w:bottom w:val="nil"/>
              <w:right w:val="nil"/>
            </w:tcBorders>
          </w:tcPr>
          <w:p w14:paraId="6AB1437B" w14:textId="369D2E65"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563230" w:rsidRPr="008550C6">
              <w:rPr>
                <w:sz w:val="22"/>
                <w:szCs w:val="22"/>
              </w:rPr>
              <w:t>0</w:t>
            </w:r>
            <w:r w:rsidRPr="008550C6">
              <w:rPr>
                <w:sz w:val="22"/>
                <w:szCs w:val="22"/>
              </w:rPr>
              <w:t>.</w:t>
            </w:r>
            <w:r w:rsidR="00563230" w:rsidRPr="008550C6">
              <w:rPr>
                <w:sz w:val="22"/>
                <w:szCs w:val="22"/>
              </w:rPr>
              <w:t>0796</w:t>
            </w:r>
            <w:r w:rsidRPr="008550C6">
              <w:rPr>
                <w:sz w:val="22"/>
                <w:szCs w:val="22"/>
              </w:rPr>
              <w:t xml:space="preserve">**   </w:t>
            </w:r>
          </w:p>
        </w:tc>
      </w:tr>
      <w:tr w:rsidR="008550C6" w:rsidRPr="008550C6" w14:paraId="394DCF53" w14:textId="77777777" w:rsidTr="0051262F">
        <w:tc>
          <w:tcPr>
            <w:tcW w:w="1749" w:type="pct"/>
            <w:tcBorders>
              <w:top w:val="nil"/>
              <w:left w:val="nil"/>
              <w:bottom w:val="nil"/>
              <w:right w:val="nil"/>
            </w:tcBorders>
          </w:tcPr>
          <w:p w14:paraId="3D340DEF" w14:textId="77777777" w:rsidR="00B3500A" w:rsidRPr="008550C6" w:rsidRDefault="00B3500A" w:rsidP="00D62AD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11076BE9" w14:textId="0C78F051" w:rsidR="00B3500A" w:rsidRPr="008550C6" w:rsidRDefault="00B3500A" w:rsidP="00D62AD1">
            <w:pPr>
              <w:widowControl w:val="0"/>
              <w:autoSpaceDE w:val="0"/>
              <w:autoSpaceDN w:val="0"/>
              <w:adjustRightInd w:val="0"/>
              <w:jc w:val="center"/>
              <w:rPr>
                <w:sz w:val="22"/>
                <w:szCs w:val="22"/>
              </w:rPr>
            </w:pPr>
            <w:r w:rsidRPr="008550C6">
              <w:rPr>
                <w:sz w:val="22"/>
                <w:szCs w:val="22"/>
              </w:rPr>
              <w:t>(2.</w:t>
            </w:r>
            <w:r w:rsidR="0051262F" w:rsidRPr="008550C6">
              <w:rPr>
                <w:sz w:val="22"/>
                <w:szCs w:val="22"/>
              </w:rPr>
              <w:t>87</w:t>
            </w:r>
            <w:r w:rsidRPr="008550C6">
              <w:rPr>
                <w:sz w:val="22"/>
                <w:szCs w:val="22"/>
              </w:rPr>
              <w:t xml:space="preserve">)   </w:t>
            </w:r>
          </w:p>
        </w:tc>
        <w:tc>
          <w:tcPr>
            <w:tcW w:w="1465" w:type="pct"/>
            <w:tcBorders>
              <w:top w:val="nil"/>
              <w:left w:val="nil"/>
              <w:bottom w:val="nil"/>
              <w:right w:val="nil"/>
            </w:tcBorders>
          </w:tcPr>
          <w:p w14:paraId="64C37434" w14:textId="52D38E16"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563230" w:rsidRPr="008550C6">
              <w:rPr>
                <w:sz w:val="22"/>
                <w:szCs w:val="22"/>
              </w:rPr>
              <w:t>3</w:t>
            </w:r>
            <w:r w:rsidRPr="008550C6">
              <w:rPr>
                <w:sz w:val="22"/>
                <w:szCs w:val="22"/>
              </w:rPr>
              <w:t>.</w:t>
            </w:r>
            <w:r w:rsidR="00563230" w:rsidRPr="008550C6">
              <w:rPr>
                <w:sz w:val="22"/>
                <w:szCs w:val="22"/>
              </w:rPr>
              <w:t>32</w:t>
            </w:r>
            <w:r w:rsidRPr="008550C6">
              <w:rPr>
                <w:sz w:val="22"/>
                <w:szCs w:val="22"/>
              </w:rPr>
              <w:t xml:space="preserve">)   </w:t>
            </w:r>
          </w:p>
        </w:tc>
      </w:tr>
      <w:tr w:rsidR="008550C6" w:rsidRPr="008550C6" w14:paraId="78C554B4" w14:textId="77777777" w:rsidTr="0051262F">
        <w:tc>
          <w:tcPr>
            <w:tcW w:w="1749" w:type="pct"/>
            <w:tcBorders>
              <w:top w:val="nil"/>
              <w:left w:val="nil"/>
              <w:bottom w:val="nil"/>
              <w:right w:val="nil"/>
            </w:tcBorders>
          </w:tcPr>
          <w:p w14:paraId="79177439" w14:textId="79E4F9F0" w:rsidR="00B3500A" w:rsidRPr="008550C6" w:rsidRDefault="00B3500A" w:rsidP="00D62AD1">
            <w:pPr>
              <w:widowControl w:val="0"/>
              <w:autoSpaceDE w:val="0"/>
              <w:autoSpaceDN w:val="0"/>
              <w:adjustRightInd w:val="0"/>
              <w:rPr>
                <w:sz w:val="22"/>
                <w:szCs w:val="22"/>
              </w:rPr>
            </w:pPr>
            <w:r w:rsidRPr="008550C6">
              <w:rPr>
                <w:sz w:val="22"/>
                <w:szCs w:val="22"/>
              </w:rPr>
              <w:t>C</w:t>
            </w:r>
            <w:r w:rsidR="00783103">
              <w:rPr>
                <w:sz w:val="22"/>
                <w:szCs w:val="22"/>
              </w:rPr>
              <w:t>OVID</w:t>
            </w:r>
            <w:r w:rsidR="00235D31" w:rsidRPr="008550C6">
              <w:rPr>
                <w:sz w:val="22"/>
                <w:szCs w:val="22"/>
              </w:rPr>
              <w:t>-</w:t>
            </w:r>
            <w:r w:rsidRPr="008550C6">
              <w:rPr>
                <w:sz w:val="22"/>
                <w:szCs w:val="22"/>
              </w:rPr>
              <w:t>19</w:t>
            </w:r>
          </w:p>
        </w:tc>
        <w:tc>
          <w:tcPr>
            <w:tcW w:w="1786" w:type="pct"/>
            <w:tcBorders>
              <w:top w:val="nil"/>
              <w:left w:val="single" w:sz="4" w:space="0" w:color="auto"/>
              <w:bottom w:val="nil"/>
              <w:right w:val="nil"/>
            </w:tcBorders>
          </w:tcPr>
          <w:p w14:paraId="13D29D14" w14:textId="4A5ABB7A" w:rsidR="00B3500A" w:rsidRPr="008550C6" w:rsidRDefault="0051262F" w:rsidP="00D62AD1">
            <w:pPr>
              <w:widowControl w:val="0"/>
              <w:autoSpaceDE w:val="0"/>
              <w:autoSpaceDN w:val="0"/>
              <w:adjustRightInd w:val="0"/>
              <w:jc w:val="center"/>
              <w:rPr>
                <w:sz w:val="22"/>
                <w:szCs w:val="22"/>
              </w:rPr>
            </w:pPr>
            <w:r w:rsidRPr="008550C6">
              <w:rPr>
                <w:sz w:val="22"/>
                <w:szCs w:val="22"/>
              </w:rPr>
              <w:t>-0.0450</w:t>
            </w:r>
            <w:r w:rsidR="00B3500A" w:rsidRPr="008550C6">
              <w:rPr>
                <w:sz w:val="22"/>
                <w:szCs w:val="22"/>
              </w:rPr>
              <w:t xml:space="preserve">***   </w:t>
            </w:r>
          </w:p>
        </w:tc>
        <w:tc>
          <w:tcPr>
            <w:tcW w:w="1465" w:type="pct"/>
            <w:tcBorders>
              <w:top w:val="nil"/>
              <w:left w:val="nil"/>
              <w:bottom w:val="nil"/>
              <w:right w:val="nil"/>
            </w:tcBorders>
          </w:tcPr>
          <w:p w14:paraId="11E0D12D" w14:textId="2EDA1F01" w:rsidR="00B3500A" w:rsidRPr="008550C6" w:rsidRDefault="00B3500A" w:rsidP="00D62AD1">
            <w:pPr>
              <w:widowControl w:val="0"/>
              <w:autoSpaceDE w:val="0"/>
              <w:autoSpaceDN w:val="0"/>
              <w:adjustRightInd w:val="0"/>
              <w:jc w:val="center"/>
              <w:rPr>
                <w:sz w:val="22"/>
                <w:szCs w:val="22"/>
              </w:rPr>
            </w:pPr>
            <w:r w:rsidRPr="008550C6">
              <w:rPr>
                <w:sz w:val="22"/>
                <w:szCs w:val="22"/>
              </w:rPr>
              <w:t>-0.05</w:t>
            </w:r>
            <w:r w:rsidR="00563230" w:rsidRPr="008550C6">
              <w:rPr>
                <w:sz w:val="22"/>
                <w:szCs w:val="22"/>
              </w:rPr>
              <w:t>22</w:t>
            </w:r>
            <w:r w:rsidRPr="008550C6">
              <w:rPr>
                <w:sz w:val="22"/>
                <w:szCs w:val="22"/>
              </w:rPr>
              <w:t xml:space="preserve">***   </w:t>
            </w:r>
          </w:p>
        </w:tc>
      </w:tr>
      <w:tr w:rsidR="008550C6" w:rsidRPr="008550C6" w14:paraId="1DF2750A" w14:textId="77777777" w:rsidTr="0051262F">
        <w:tc>
          <w:tcPr>
            <w:tcW w:w="1749" w:type="pct"/>
            <w:tcBorders>
              <w:top w:val="nil"/>
              <w:left w:val="nil"/>
              <w:bottom w:val="nil"/>
              <w:right w:val="nil"/>
            </w:tcBorders>
          </w:tcPr>
          <w:p w14:paraId="454F87C8" w14:textId="77777777" w:rsidR="00B3500A" w:rsidRPr="008550C6" w:rsidRDefault="00B3500A" w:rsidP="00D62AD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1718F061" w14:textId="69BDC448"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51262F" w:rsidRPr="008550C6">
              <w:rPr>
                <w:sz w:val="22"/>
                <w:szCs w:val="22"/>
              </w:rPr>
              <w:t>3.53</w:t>
            </w:r>
            <w:r w:rsidRPr="008550C6">
              <w:rPr>
                <w:sz w:val="22"/>
                <w:szCs w:val="22"/>
              </w:rPr>
              <w:t xml:space="preserve">)   </w:t>
            </w:r>
          </w:p>
        </w:tc>
        <w:tc>
          <w:tcPr>
            <w:tcW w:w="1465" w:type="pct"/>
            <w:tcBorders>
              <w:top w:val="nil"/>
              <w:left w:val="nil"/>
              <w:bottom w:val="nil"/>
              <w:right w:val="nil"/>
            </w:tcBorders>
          </w:tcPr>
          <w:p w14:paraId="32CA8238" w14:textId="21A4B224" w:rsidR="00B3500A" w:rsidRPr="008550C6" w:rsidRDefault="00B3500A" w:rsidP="00D62AD1">
            <w:pPr>
              <w:widowControl w:val="0"/>
              <w:autoSpaceDE w:val="0"/>
              <w:autoSpaceDN w:val="0"/>
              <w:adjustRightInd w:val="0"/>
              <w:jc w:val="center"/>
              <w:rPr>
                <w:sz w:val="22"/>
                <w:szCs w:val="22"/>
              </w:rPr>
            </w:pPr>
            <w:r w:rsidRPr="008550C6">
              <w:rPr>
                <w:sz w:val="22"/>
                <w:szCs w:val="22"/>
              </w:rPr>
              <w:t>(4.</w:t>
            </w:r>
            <w:r w:rsidR="00563230" w:rsidRPr="008550C6">
              <w:rPr>
                <w:sz w:val="22"/>
                <w:szCs w:val="22"/>
              </w:rPr>
              <w:t>06</w:t>
            </w:r>
            <w:r w:rsidRPr="008550C6">
              <w:rPr>
                <w:sz w:val="22"/>
                <w:szCs w:val="22"/>
              </w:rPr>
              <w:t xml:space="preserve">)   </w:t>
            </w:r>
          </w:p>
        </w:tc>
      </w:tr>
      <w:tr w:rsidR="008550C6" w:rsidRPr="008550C6" w14:paraId="10A2E072" w14:textId="77777777" w:rsidTr="0051262F">
        <w:tc>
          <w:tcPr>
            <w:tcW w:w="1749" w:type="pct"/>
            <w:tcBorders>
              <w:top w:val="nil"/>
              <w:left w:val="nil"/>
              <w:bottom w:val="nil"/>
              <w:right w:val="nil"/>
            </w:tcBorders>
          </w:tcPr>
          <w:p w14:paraId="7980BA2D" w14:textId="77777777" w:rsidR="00B3500A" w:rsidRPr="008550C6" w:rsidRDefault="00B3500A" w:rsidP="00D62AD1">
            <w:pPr>
              <w:widowControl w:val="0"/>
              <w:autoSpaceDE w:val="0"/>
              <w:autoSpaceDN w:val="0"/>
              <w:adjustRightInd w:val="0"/>
              <w:rPr>
                <w:sz w:val="22"/>
                <w:szCs w:val="22"/>
              </w:rPr>
            </w:pPr>
            <w:r w:rsidRPr="008550C6">
              <w:rPr>
                <w:sz w:val="22"/>
                <w:szCs w:val="22"/>
              </w:rPr>
              <w:t>Constant</w:t>
            </w:r>
          </w:p>
        </w:tc>
        <w:tc>
          <w:tcPr>
            <w:tcW w:w="1786" w:type="pct"/>
            <w:tcBorders>
              <w:top w:val="nil"/>
              <w:left w:val="single" w:sz="4" w:space="0" w:color="auto"/>
              <w:bottom w:val="nil"/>
              <w:right w:val="nil"/>
            </w:tcBorders>
          </w:tcPr>
          <w:p w14:paraId="5A733D5E" w14:textId="003D76CC" w:rsidR="00B3500A" w:rsidRPr="008550C6" w:rsidRDefault="0051262F" w:rsidP="00D62AD1">
            <w:pPr>
              <w:widowControl w:val="0"/>
              <w:autoSpaceDE w:val="0"/>
              <w:autoSpaceDN w:val="0"/>
              <w:adjustRightInd w:val="0"/>
              <w:jc w:val="center"/>
              <w:rPr>
                <w:sz w:val="22"/>
                <w:szCs w:val="22"/>
              </w:rPr>
            </w:pPr>
            <w:r w:rsidRPr="008550C6">
              <w:rPr>
                <w:sz w:val="22"/>
                <w:szCs w:val="22"/>
              </w:rPr>
              <w:t>-0.0732</w:t>
            </w:r>
            <w:r w:rsidR="00B3500A" w:rsidRPr="008550C6">
              <w:rPr>
                <w:sz w:val="22"/>
                <w:szCs w:val="22"/>
              </w:rPr>
              <w:t xml:space="preserve">*  </w:t>
            </w:r>
          </w:p>
        </w:tc>
        <w:tc>
          <w:tcPr>
            <w:tcW w:w="1465" w:type="pct"/>
            <w:tcBorders>
              <w:top w:val="nil"/>
              <w:left w:val="nil"/>
              <w:bottom w:val="nil"/>
              <w:right w:val="nil"/>
            </w:tcBorders>
          </w:tcPr>
          <w:p w14:paraId="12062414" w14:textId="44658037" w:rsidR="00B3500A" w:rsidRPr="008550C6" w:rsidRDefault="00B3500A" w:rsidP="00D62AD1">
            <w:pPr>
              <w:widowControl w:val="0"/>
              <w:autoSpaceDE w:val="0"/>
              <w:autoSpaceDN w:val="0"/>
              <w:adjustRightInd w:val="0"/>
              <w:jc w:val="center"/>
              <w:rPr>
                <w:sz w:val="22"/>
                <w:szCs w:val="22"/>
              </w:rPr>
            </w:pPr>
            <w:r w:rsidRPr="008550C6">
              <w:rPr>
                <w:sz w:val="22"/>
                <w:szCs w:val="22"/>
              </w:rPr>
              <w:t>-0.</w:t>
            </w:r>
            <w:r w:rsidR="00563230" w:rsidRPr="008550C6">
              <w:rPr>
                <w:sz w:val="22"/>
                <w:szCs w:val="22"/>
              </w:rPr>
              <w:t>0641</w:t>
            </w:r>
            <w:r w:rsidRPr="008550C6">
              <w:rPr>
                <w:sz w:val="22"/>
                <w:szCs w:val="22"/>
              </w:rPr>
              <w:t xml:space="preserve">*   </w:t>
            </w:r>
          </w:p>
        </w:tc>
      </w:tr>
      <w:tr w:rsidR="008550C6" w:rsidRPr="008550C6" w14:paraId="1B6F9162" w14:textId="77777777" w:rsidTr="0051262F">
        <w:tc>
          <w:tcPr>
            <w:tcW w:w="1749" w:type="pct"/>
            <w:tcBorders>
              <w:top w:val="nil"/>
              <w:left w:val="nil"/>
              <w:bottom w:val="nil"/>
              <w:right w:val="nil"/>
            </w:tcBorders>
          </w:tcPr>
          <w:p w14:paraId="53892C56" w14:textId="77777777" w:rsidR="00B3500A" w:rsidRPr="008550C6" w:rsidRDefault="00B3500A" w:rsidP="00D62AD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5076BE8D" w14:textId="2061CE56"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51262F" w:rsidRPr="008550C6">
              <w:rPr>
                <w:sz w:val="22"/>
                <w:szCs w:val="22"/>
              </w:rPr>
              <w:t>1.92</w:t>
            </w:r>
            <w:r w:rsidRPr="008550C6">
              <w:rPr>
                <w:sz w:val="22"/>
                <w:szCs w:val="22"/>
              </w:rPr>
              <w:t xml:space="preserve">)   </w:t>
            </w:r>
          </w:p>
        </w:tc>
        <w:tc>
          <w:tcPr>
            <w:tcW w:w="1465" w:type="pct"/>
            <w:tcBorders>
              <w:top w:val="nil"/>
              <w:left w:val="nil"/>
              <w:bottom w:val="nil"/>
              <w:right w:val="nil"/>
            </w:tcBorders>
          </w:tcPr>
          <w:p w14:paraId="767902DB" w14:textId="7CE6A36D"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563230" w:rsidRPr="008550C6">
              <w:rPr>
                <w:sz w:val="22"/>
                <w:szCs w:val="22"/>
              </w:rPr>
              <w:t>1.69</w:t>
            </w:r>
            <w:r w:rsidRPr="008550C6">
              <w:rPr>
                <w:sz w:val="22"/>
                <w:szCs w:val="22"/>
              </w:rPr>
              <w:t xml:space="preserve">)   </w:t>
            </w:r>
          </w:p>
        </w:tc>
      </w:tr>
      <w:tr w:rsidR="008550C6" w:rsidRPr="008550C6" w14:paraId="013896FB" w14:textId="77777777" w:rsidTr="0051262F">
        <w:tc>
          <w:tcPr>
            <w:tcW w:w="1749" w:type="pct"/>
            <w:tcBorders>
              <w:top w:val="nil"/>
              <w:left w:val="nil"/>
              <w:bottom w:val="nil"/>
              <w:right w:val="nil"/>
            </w:tcBorders>
          </w:tcPr>
          <w:p w14:paraId="22291FF7" w14:textId="77777777" w:rsidR="00B3500A" w:rsidRPr="008550C6" w:rsidRDefault="00B3500A" w:rsidP="00D62AD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1EBC0586" w14:textId="77777777" w:rsidR="00B3500A" w:rsidRPr="008550C6" w:rsidRDefault="00B3500A" w:rsidP="00D62AD1">
            <w:pPr>
              <w:widowControl w:val="0"/>
              <w:autoSpaceDE w:val="0"/>
              <w:autoSpaceDN w:val="0"/>
              <w:adjustRightInd w:val="0"/>
              <w:jc w:val="center"/>
              <w:rPr>
                <w:sz w:val="22"/>
                <w:szCs w:val="22"/>
              </w:rPr>
            </w:pPr>
          </w:p>
        </w:tc>
        <w:tc>
          <w:tcPr>
            <w:tcW w:w="1465" w:type="pct"/>
            <w:tcBorders>
              <w:top w:val="nil"/>
              <w:left w:val="nil"/>
              <w:bottom w:val="nil"/>
              <w:right w:val="nil"/>
            </w:tcBorders>
          </w:tcPr>
          <w:p w14:paraId="2E2CA166" w14:textId="77777777" w:rsidR="00B3500A" w:rsidRPr="008550C6" w:rsidRDefault="00B3500A" w:rsidP="00D62AD1">
            <w:pPr>
              <w:widowControl w:val="0"/>
              <w:autoSpaceDE w:val="0"/>
              <w:autoSpaceDN w:val="0"/>
              <w:adjustRightInd w:val="0"/>
              <w:jc w:val="center"/>
              <w:rPr>
                <w:sz w:val="22"/>
                <w:szCs w:val="22"/>
              </w:rPr>
            </w:pPr>
          </w:p>
        </w:tc>
      </w:tr>
      <w:tr w:rsidR="008550C6" w:rsidRPr="008550C6" w14:paraId="592392E9" w14:textId="77777777" w:rsidTr="0051262F">
        <w:tblPrEx>
          <w:tblBorders>
            <w:bottom w:val="single" w:sz="6" w:space="0" w:color="auto"/>
          </w:tblBorders>
        </w:tblPrEx>
        <w:tc>
          <w:tcPr>
            <w:tcW w:w="1749" w:type="pct"/>
            <w:tcBorders>
              <w:top w:val="nil"/>
              <w:left w:val="nil"/>
              <w:bottom w:val="nil"/>
              <w:right w:val="nil"/>
            </w:tcBorders>
          </w:tcPr>
          <w:p w14:paraId="3140AFE6" w14:textId="59C954DF" w:rsidR="000A78A2" w:rsidRPr="008550C6" w:rsidRDefault="000A78A2" w:rsidP="000A78A2">
            <w:pPr>
              <w:widowControl w:val="0"/>
              <w:autoSpaceDE w:val="0"/>
              <w:autoSpaceDN w:val="0"/>
              <w:adjustRightInd w:val="0"/>
              <w:rPr>
                <w:sz w:val="22"/>
                <w:szCs w:val="22"/>
              </w:rPr>
            </w:pPr>
            <w:r w:rsidRPr="008550C6">
              <w:rPr>
                <w:sz w:val="22"/>
                <w:szCs w:val="22"/>
              </w:rPr>
              <w:t>R-squared</w:t>
            </w:r>
          </w:p>
        </w:tc>
        <w:tc>
          <w:tcPr>
            <w:tcW w:w="1786" w:type="pct"/>
            <w:tcBorders>
              <w:top w:val="nil"/>
              <w:left w:val="single" w:sz="4" w:space="0" w:color="auto"/>
              <w:bottom w:val="nil"/>
              <w:right w:val="nil"/>
            </w:tcBorders>
          </w:tcPr>
          <w:p w14:paraId="19A8E752" w14:textId="1BC9D01F" w:rsidR="000A78A2" w:rsidRPr="008550C6" w:rsidRDefault="000A78A2" w:rsidP="000A78A2">
            <w:pPr>
              <w:widowControl w:val="0"/>
              <w:autoSpaceDE w:val="0"/>
              <w:autoSpaceDN w:val="0"/>
              <w:adjustRightInd w:val="0"/>
              <w:jc w:val="center"/>
              <w:rPr>
                <w:sz w:val="22"/>
                <w:szCs w:val="22"/>
              </w:rPr>
            </w:pPr>
            <w:r w:rsidRPr="008550C6">
              <w:rPr>
                <w:sz w:val="22"/>
                <w:szCs w:val="22"/>
              </w:rPr>
              <w:t>0.4564</w:t>
            </w:r>
          </w:p>
        </w:tc>
        <w:tc>
          <w:tcPr>
            <w:tcW w:w="1465" w:type="pct"/>
            <w:tcBorders>
              <w:top w:val="nil"/>
              <w:left w:val="nil"/>
              <w:bottom w:val="nil"/>
              <w:right w:val="nil"/>
            </w:tcBorders>
          </w:tcPr>
          <w:p w14:paraId="7FBEE351" w14:textId="2841F853" w:rsidR="000A78A2" w:rsidRPr="008550C6" w:rsidRDefault="000A78A2" w:rsidP="000A78A2">
            <w:pPr>
              <w:widowControl w:val="0"/>
              <w:autoSpaceDE w:val="0"/>
              <w:autoSpaceDN w:val="0"/>
              <w:adjustRightInd w:val="0"/>
              <w:jc w:val="center"/>
              <w:rPr>
                <w:sz w:val="22"/>
                <w:szCs w:val="22"/>
              </w:rPr>
            </w:pPr>
            <w:r w:rsidRPr="008550C6">
              <w:rPr>
                <w:sz w:val="22"/>
                <w:szCs w:val="22"/>
              </w:rPr>
              <w:t>0.4547</w:t>
            </w:r>
          </w:p>
        </w:tc>
      </w:tr>
      <w:tr w:rsidR="008550C6" w:rsidRPr="008550C6" w14:paraId="3BFA8AD4" w14:textId="77777777" w:rsidTr="000A78A2">
        <w:tblPrEx>
          <w:tblBorders>
            <w:bottom w:val="single" w:sz="6" w:space="0" w:color="auto"/>
          </w:tblBorders>
        </w:tblPrEx>
        <w:tc>
          <w:tcPr>
            <w:tcW w:w="1749" w:type="pct"/>
            <w:tcBorders>
              <w:top w:val="nil"/>
              <w:left w:val="nil"/>
              <w:bottom w:val="nil"/>
              <w:right w:val="nil"/>
            </w:tcBorders>
          </w:tcPr>
          <w:p w14:paraId="7304D540" w14:textId="77777777" w:rsidR="00B3500A" w:rsidRPr="008550C6" w:rsidRDefault="00B3500A" w:rsidP="00D62AD1">
            <w:pPr>
              <w:widowControl w:val="0"/>
              <w:autoSpaceDE w:val="0"/>
              <w:autoSpaceDN w:val="0"/>
              <w:adjustRightInd w:val="0"/>
              <w:rPr>
                <w:sz w:val="22"/>
                <w:szCs w:val="22"/>
              </w:rPr>
            </w:pPr>
            <w:r w:rsidRPr="008550C6">
              <w:rPr>
                <w:sz w:val="22"/>
                <w:szCs w:val="22"/>
              </w:rPr>
              <w:t>Observations</w:t>
            </w:r>
          </w:p>
        </w:tc>
        <w:tc>
          <w:tcPr>
            <w:tcW w:w="1786" w:type="pct"/>
            <w:tcBorders>
              <w:top w:val="nil"/>
              <w:left w:val="single" w:sz="4" w:space="0" w:color="auto"/>
              <w:bottom w:val="nil"/>
              <w:right w:val="nil"/>
            </w:tcBorders>
          </w:tcPr>
          <w:p w14:paraId="1B75EFB0" w14:textId="77777777" w:rsidR="00B3500A" w:rsidRPr="008550C6" w:rsidRDefault="00B3500A" w:rsidP="00D62AD1">
            <w:pPr>
              <w:widowControl w:val="0"/>
              <w:autoSpaceDE w:val="0"/>
              <w:autoSpaceDN w:val="0"/>
              <w:adjustRightInd w:val="0"/>
              <w:jc w:val="center"/>
              <w:rPr>
                <w:sz w:val="22"/>
                <w:szCs w:val="22"/>
              </w:rPr>
            </w:pPr>
            <w:r w:rsidRPr="008550C6">
              <w:rPr>
                <w:sz w:val="22"/>
                <w:szCs w:val="22"/>
              </w:rPr>
              <w:t>2,499</w:t>
            </w:r>
          </w:p>
        </w:tc>
        <w:tc>
          <w:tcPr>
            <w:tcW w:w="1465" w:type="pct"/>
            <w:tcBorders>
              <w:top w:val="nil"/>
              <w:left w:val="nil"/>
              <w:bottom w:val="nil"/>
              <w:right w:val="nil"/>
            </w:tcBorders>
          </w:tcPr>
          <w:p w14:paraId="1679067C" w14:textId="77777777" w:rsidR="00B3500A" w:rsidRPr="008550C6" w:rsidRDefault="00B3500A" w:rsidP="00D62AD1">
            <w:pPr>
              <w:widowControl w:val="0"/>
              <w:autoSpaceDE w:val="0"/>
              <w:autoSpaceDN w:val="0"/>
              <w:adjustRightInd w:val="0"/>
              <w:jc w:val="center"/>
              <w:rPr>
                <w:sz w:val="22"/>
                <w:szCs w:val="22"/>
              </w:rPr>
            </w:pPr>
            <w:r w:rsidRPr="008550C6">
              <w:rPr>
                <w:sz w:val="22"/>
                <w:szCs w:val="22"/>
              </w:rPr>
              <w:t>2,499</w:t>
            </w:r>
          </w:p>
        </w:tc>
      </w:tr>
      <w:tr w:rsidR="008550C6" w:rsidRPr="008550C6" w14:paraId="3B0DA897" w14:textId="77777777" w:rsidTr="000A78A2">
        <w:tblPrEx>
          <w:tblBorders>
            <w:bottom w:val="single" w:sz="6" w:space="0" w:color="auto"/>
          </w:tblBorders>
        </w:tblPrEx>
        <w:tc>
          <w:tcPr>
            <w:tcW w:w="1749" w:type="pct"/>
            <w:tcBorders>
              <w:top w:val="nil"/>
              <w:left w:val="nil"/>
              <w:bottom w:val="nil"/>
              <w:right w:val="nil"/>
            </w:tcBorders>
          </w:tcPr>
          <w:p w14:paraId="57037CD5" w14:textId="0F6F881C" w:rsidR="000A78A2" w:rsidRPr="008550C6" w:rsidRDefault="000A78A2" w:rsidP="000A78A2">
            <w:pPr>
              <w:widowControl w:val="0"/>
              <w:autoSpaceDE w:val="0"/>
              <w:autoSpaceDN w:val="0"/>
              <w:adjustRightInd w:val="0"/>
              <w:rPr>
                <w:sz w:val="22"/>
                <w:szCs w:val="22"/>
              </w:rPr>
            </w:pPr>
            <w:r w:rsidRPr="008550C6">
              <w:rPr>
                <w:sz w:val="22"/>
                <w:szCs w:val="22"/>
              </w:rPr>
              <w:t>Number of states</w:t>
            </w:r>
          </w:p>
        </w:tc>
        <w:tc>
          <w:tcPr>
            <w:tcW w:w="1786" w:type="pct"/>
            <w:tcBorders>
              <w:top w:val="nil"/>
              <w:left w:val="single" w:sz="4" w:space="0" w:color="auto"/>
              <w:bottom w:val="nil"/>
              <w:right w:val="nil"/>
            </w:tcBorders>
          </w:tcPr>
          <w:p w14:paraId="3BD8EC1E" w14:textId="44C56660" w:rsidR="000A78A2" w:rsidRPr="008550C6" w:rsidRDefault="000A78A2" w:rsidP="000A78A2">
            <w:pPr>
              <w:widowControl w:val="0"/>
              <w:autoSpaceDE w:val="0"/>
              <w:autoSpaceDN w:val="0"/>
              <w:adjustRightInd w:val="0"/>
              <w:jc w:val="center"/>
              <w:rPr>
                <w:sz w:val="22"/>
                <w:szCs w:val="22"/>
              </w:rPr>
            </w:pPr>
            <w:r w:rsidRPr="008550C6">
              <w:rPr>
                <w:sz w:val="22"/>
                <w:szCs w:val="22"/>
              </w:rPr>
              <w:t>51</w:t>
            </w:r>
          </w:p>
        </w:tc>
        <w:tc>
          <w:tcPr>
            <w:tcW w:w="1465" w:type="pct"/>
            <w:tcBorders>
              <w:top w:val="nil"/>
              <w:left w:val="nil"/>
              <w:bottom w:val="nil"/>
              <w:right w:val="nil"/>
            </w:tcBorders>
          </w:tcPr>
          <w:p w14:paraId="0BE71497" w14:textId="63F5404C" w:rsidR="000A78A2" w:rsidRPr="008550C6" w:rsidRDefault="000A78A2" w:rsidP="000A78A2">
            <w:pPr>
              <w:widowControl w:val="0"/>
              <w:autoSpaceDE w:val="0"/>
              <w:autoSpaceDN w:val="0"/>
              <w:adjustRightInd w:val="0"/>
              <w:jc w:val="center"/>
              <w:rPr>
                <w:sz w:val="22"/>
                <w:szCs w:val="22"/>
              </w:rPr>
            </w:pPr>
            <w:r w:rsidRPr="008550C6">
              <w:rPr>
                <w:sz w:val="22"/>
                <w:szCs w:val="22"/>
              </w:rPr>
              <w:t>51</w:t>
            </w:r>
          </w:p>
        </w:tc>
      </w:tr>
      <w:tr w:rsidR="008550C6" w:rsidRPr="008550C6" w14:paraId="33213782" w14:textId="77777777" w:rsidTr="000A78A2">
        <w:tblPrEx>
          <w:tblBorders>
            <w:bottom w:val="single" w:sz="6" w:space="0" w:color="auto"/>
          </w:tblBorders>
        </w:tblPrEx>
        <w:tc>
          <w:tcPr>
            <w:tcW w:w="1749" w:type="pct"/>
            <w:tcBorders>
              <w:top w:val="nil"/>
              <w:left w:val="nil"/>
              <w:bottom w:val="single" w:sz="4" w:space="0" w:color="auto"/>
              <w:right w:val="nil"/>
            </w:tcBorders>
          </w:tcPr>
          <w:p w14:paraId="3EB369D2" w14:textId="77777777" w:rsidR="000A78A2" w:rsidRPr="008550C6" w:rsidRDefault="000A78A2" w:rsidP="00A96FAC">
            <w:pPr>
              <w:widowControl w:val="0"/>
              <w:autoSpaceDE w:val="0"/>
              <w:autoSpaceDN w:val="0"/>
              <w:adjustRightInd w:val="0"/>
              <w:rPr>
                <w:sz w:val="22"/>
                <w:szCs w:val="22"/>
              </w:rPr>
            </w:pPr>
            <w:r w:rsidRPr="008550C6">
              <w:rPr>
                <w:sz w:val="22"/>
                <w:szCs w:val="22"/>
              </w:rPr>
              <w:t>Wald Chi 2 [p-value]</w:t>
            </w:r>
          </w:p>
        </w:tc>
        <w:tc>
          <w:tcPr>
            <w:tcW w:w="1786" w:type="pct"/>
            <w:tcBorders>
              <w:top w:val="nil"/>
              <w:left w:val="single" w:sz="4" w:space="0" w:color="auto"/>
              <w:bottom w:val="single" w:sz="4" w:space="0" w:color="auto"/>
              <w:right w:val="nil"/>
            </w:tcBorders>
          </w:tcPr>
          <w:p w14:paraId="03EF6214" w14:textId="77777777" w:rsidR="000A78A2" w:rsidRPr="008550C6" w:rsidRDefault="000A78A2" w:rsidP="00A96FAC">
            <w:pPr>
              <w:widowControl w:val="0"/>
              <w:autoSpaceDE w:val="0"/>
              <w:autoSpaceDN w:val="0"/>
              <w:adjustRightInd w:val="0"/>
              <w:jc w:val="center"/>
              <w:rPr>
                <w:sz w:val="22"/>
                <w:szCs w:val="22"/>
              </w:rPr>
            </w:pPr>
            <w:r w:rsidRPr="008550C6">
              <w:rPr>
                <w:sz w:val="22"/>
                <w:szCs w:val="22"/>
              </w:rPr>
              <w:t>0.000***</w:t>
            </w:r>
          </w:p>
        </w:tc>
        <w:tc>
          <w:tcPr>
            <w:tcW w:w="1465" w:type="pct"/>
            <w:tcBorders>
              <w:top w:val="nil"/>
              <w:left w:val="nil"/>
              <w:bottom w:val="single" w:sz="4" w:space="0" w:color="auto"/>
              <w:right w:val="nil"/>
            </w:tcBorders>
          </w:tcPr>
          <w:p w14:paraId="11924301" w14:textId="77777777" w:rsidR="000A78A2" w:rsidRPr="008550C6" w:rsidRDefault="000A78A2" w:rsidP="00A96FAC">
            <w:pPr>
              <w:widowControl w:val="0"/>
              <w:autoSpaceDE w:val="0"/>
              <w:autoSpaceDN w:val="0"/>
              <w:adjustRightInd w:val="0"/>
              <w:jc w:val="center"/>
              <w:rPr>
                <w:sz w:val="22"/>
                <w:szCs w:val="22"/>
              </w:rPr>
            </w:pPr>
            <w:r w:rsidRPr="008550C6">
              <w:rPr>
                <w:sz w:val="22"/>
                <w:szCs w:val="22"/>
              </w:rPr>
              <w:t>0.000***</w:t>
            </w:r>
          </w:p>
        </w:tc>
      </w:tr>
    </w:tbl>
    <w:p w14:paraId="15ACC14F" w14:textId="03522CE5" w:rsidR="00B3500A" w:rsidRPr="00472A6C" w:rsidRDefault="00B3500A" w:rsidP="00472A6C">
      <w:pPr>
        <w:jc w:val="both"/>
        <w:rPr>
          <w:rFonts w:asciiTheme="majorBidi" w:hAnsiTheme="majorBidi" w:cstheme="majorBidi"/>
        </w:rPr>
      </w:pPr>
      <w:r w:rsidRPr="008550C6">
        <w:rPr>
          <w:rFonts w:asciiTheme="majorBidi" w:hAnsiTheme="majorBidi" w:cstheme="majorBidi"/>
          <w:i/>
          <w:iCs/>
          <w:sz w:val="18"/>
          <w:szCs w:val="18"/>
        </w:rPr>
        <w:t>Note</w:t>
      </w:r>
      <w:r w:rsidR="00472A6C">
        <w:rPr>
          <w:rFonts w:asciiTheme="majorBidi" w:hAnsiTheme="majorBidi" w:cstheme="majorBidi"/>
          <w:i/>
          <w:iCs/>
          <w:sz w:val="18"/>
          <w:szCs w:val="18"/>
        </w:rPr>
        <w:t>:</w:t>
      </w:r>
      <w:r w:rsidRPr="008550C6">
        <w:rPr>
          <w:rFonts w:asciiTheme="majorBidi" w:hAnsiTheme="majorBidi" w:cstheme="majorBidi"/>
          <w:i/>
          <w:iCs/>
          <w:sz w:val="18"/>
          <w:szCs w:val="18"/>
        </w:rPr>
        <w:t xml:space="preserve"> </w:t>
      </w:r>
      <w:r w:rsidRPr="00472A6C">
        <w:rPr>
          <w:rFonts w:asciiTheme="majorBidi" w:hAnsiTheme="majorBidi" w:cstheme="majorBidi"/>
          <w:sz w:val="18"/>
          <w:szCs w:val="18"/>
          <w:lang w:val="en-US" w:eastAsia="en-US"/>
          <w14:ligatures w14:val="standardContextual"/>
        </w:rPr>
        <w:t xml:space="preserve">This table reports regression results on the association between bootstrap variable return to scale efficiency score and state and national votes following Spatial </w:t>
      </w:r>
      <w:r w:rsidR="00667BE2" w:rsidRPr="00472A6C">
        <w:rPr>
          <w:rFonts w:asciiTheme="majorBidi" w:hAnsiTheme="majorBidi" w:cstheme="majorBidi"/>
          <w:sz w:val="18"/>
          <w:szCs w:val="18"/>
          <w:lang w:val="en-US" w:eastAsia="en-US"/>
          <w14:ligatures w14:val="standardContextual"/>
        </w:rPr>
        <w:t>T</w:t>
      </w:r>
      <w:r w:rsidRPr="00472A6C">
        <w:rPr>
          <w:rFonts w:asciiTheme="majorBidi" w:hAnsiTheme="majorBidi" w:cstheme="majorBidi"/>
          <w:sz w:val="18"/>
          <w:szCs w:val="18"/>
          <w:lang w:val="en-US" w:eastAsia="en-US"/>
          <w14:ligatures w14:val="standardContextual"/>
        </w:rPr>
        <w:t xml:space="preserve">obit model (STM). </w:t>
      </w:r>
      <w:r w:rsidRPr="00472A6C">
        <w:rPr>
          <w:rFonts w:asciiTheme="majorBidi" w:hAnsiTheme="majorBidi" w:cstheme="majorBidi"/>
          <w:sz w:val="18"/>
          <w:szCs w:val="18"/>
        </w:rPr>
        <w:t>The variables’ coefficients and t-statistics (in brackets) are reported in the table; ***, **, * denote significance at the 1%, 5%, and 10% levels, respectively.</w:t>
      </w:r>
    </w:p>
    <w:p w14:paraId="1F80A275" w14:textId="77777777" w:rsidR="00B3500A" w:rsidRPr="008550C6" w:rsidRDefault="00B3500A" w:rsidP="00B3500A"/>
    <w:p w14:paraId="61C8461A" w14:textId="77777777" w:rsidR="00A3016F" w:rsidRPr="008550C6" w:rsidRDefault="00A3016F" w:rsidP="00B3500A">
      <w:pPr>
        <w:jc w:val="both"/>
        <w:rPr>
          <w:b/>
          <w:bCs/>
          <w:sz w:val="22"/>
          <w:szCs w:val="22"/>
        </w:rPr>
      </w:pPr>
    </w:p>
    <w:p w14:paraId="10B29EF8" w14:textId="77777777" w:rsidR="008049E2" w:rsidRPr="008550C6" w:rsidRDefault="008049E2" w:rsidP="00B3500A">
      <w:pPr>
        <w:jc w:val="both"/>
        <w:rPr>
          <w:b/>
          <w:bCs/>
          <w:sz w:val="22"/>
          <w:szCs w:val="22"/>
        </w:rPr>
      </w:pPr>
    </w:p>
    <w:p w14:paraId="413F7AB6" w14:textId="77777777" w:rsidR="008049E2" w:rsidRPr="008550C6" w:rsidRDefault="008049E2" w:rsidP="00B3500A">
      <w:pPr>
        <w:jc w:val="both"/>
        <w:rPr>
          <w:b/>
          <w:bCs/>
          <w:sz w:val="22"/>
          <w:szCs w:val="22"/>
        </w:rPr>
      </w:pPr>
    </w:p>
    <w:p w14:paraId="088FF4FA" w14:textId="77777777" w:rsidR="008049E2" w:rsidRPr="008550C6" w:rsidRDefault="008049E2" w:rsidP="00B3500A">
      <w:pPr>
        <w:jc w:val="both"/>
        <w:rPr>
          <w:b/>
          <w:bCs/>
          <w:sz w:val="22"/>
          <w:szCs w:val="22"/>
        </w:rPr>
      </w:pPr>
    </w:p>
    <w:p w14:paraId="7AA10C50" w14:textId="77777777" w:rsidR="008049E2" w:rsidRPr="008550C6" w:rsidRDefault="008049E2" w:rsidP="00B3500A">
      <w:pPr>
        <w:jc w:val="both"/>
        <w:rPr>
          <w:b/>
          <w:bCs/>
          <w:sz w:val="22"/>
          <w:szCs w:val="22"/>
        </w:rPr>
      </w:pPr>
    </w:p>
    <w:p w14:paraId="4A272189" w14:textId="77777777" w:rsidR="008049E2" w:rsidRPr="008550C6" w:rsidRDefault="008049E2" w:rsidP="00B3500A">
      <w:pPr>
        <w:jc w:val="both"/>
        <w:rPr>
          <w:b/>
          <w:bCs/>
          <w:sz w:val="22"/>
          <w:szCs w:val="22"/>
        </w:rPr>
      </w:pPr>
    </w:p>
    <w:p w14:paraId="28E81401" w14:textId="77777777" w:rsidR="008049E2" w:rsidRPr="008550C6" w:rsidRDefault="008049E2" w:rsidP="00B3500A">
      <w:pPr>
        <w:jc w:val="both"/>
        <w:rPr>
          <w:b/>
          <w:bCs/>
          <w:sz w:val="22"/>
          <w:szCs w:val="22"/>
        </w:rPr>
      </w:pPr>
    </w:p>
    <w:p w14:paraId="3CA6FDA0" w14:textId="77777777" w:rsidR="008049E2" w:rsidRPr="008550C6" w:rsidRDefault="008049E2" w:rsidP="00B3500A">
      <w:pPr>
        <w:jc w:val="both"/>
        <w:rPr>
          <w:b/>
          <w:bCs/>
          <w:sz w:val="22"/>
          <w:szCs w:val="22"/>
        </w:rPr>
      </w:pPr>
    </w:p>
    <w:p w14:paraId="18DB8C24" w14:textId="77777777" w:rsidR="008049E2" w:rsidRPr="008550C6" w:rsidRDefault="008049E2" w:rsidP="00B3500A">
      <w:pPr>
        <w:jc w:val="both"/>
        <w:rPr>
          <w:b/>
          <w:bCs/>
          <w:sz w:val="22"/>
          <w:szCs w:val="22"/>
        </w:rPr>
      </w:pPr>
    </w:p>
    <w:p w14:paraId="2E77C378" w14:textId="77777777" w:rsidR="008049E2" w:rsidRPr="008550C6" w:rsidRDefault="008049E2" w:rsidP="00B3500A">
      <w:pPr>
        <w:jc w:val="both"/>
        <w:rPr>
          <w:b/>
          <w:bCs/>
          <w:sz w:val="22"/>
          <w:szCs w:val="22"/>
        </w:rPr>
      </w:pPr>
    </w:p>
    <w:p w14:paraId="6802E8A3" w14:textId="77777777" w:rsidR="008049E2" w:rsidRPr="008550C6" w:rsidRDefault="008049E2" w:rsidP="00B3500A">
      <w:pPr>
        <w:jc w:val="both"/>
        <w:rPr>
          <w:b/>
          <w:bCs/>
          <w:sz w:val="22"/>
          <w:szCs w:val="22"/>
        </w:rPr>
      </w:pPr>
    </w:p>
    <w:p w14:paraId="28232116" w14:textId="77777777" w:rsidR="008049E2" w:rsidRPr="008550C6" w:rsidRDefault="008049E2" w:rsidP="00B3500A">
      <w:pPr>
        <w:jc w:val="both"/>
        <w:rPr>
          <w:b/>
          <w:bCs/>
          <w:sz w:val="22"/>
          <w:szCs w:val="22"/>
        </w:rPr>
      </w:pPr>
    </w:p>
    <w:p w14:paraId="62B46E03" w14:textId="77777777" w:rsidR="008049E2" w:rsidRPr="008550C6" w:rsidRDefault="008049E2" w:rsidP="00B3500A">
      <w:pPr>
        <w:jc w:val="both"/>
        <w:rPr>
          <w:b/>
          <w:bCs/>
          <w:sz w:val="22"/>
          <w:szCs w:val="22"/>
        </w:rPr>
      </w:pPr>
    </w:p>
    <w:p w14:paraId="5F4440E3" w14:textId="77777777" w:rsidR="00B2281A" w:rsidRPr="008550C6" w:rsidRDefault="00B2281A" w:rsidP="00B3500A">
      <w:pPr>
        <w:jc w:val="both"/>
        <w:rPr>
          <w:b/>
          <w:bCs/>
          <w:sz w:val="22"/>
          <w:szCs w:val="22"/>
        </w:rPr>
      </w:pPr>
    </w:p>
    <w:p w14:paraId="60622293" w14:textId="77777777" w:rsidR="00B2281A" w:rsidRPr="008550C6" w:rsidRDefault="00B2281A" w:rsidP="00B3500A">
      <w:pPr>
        <w:jc w:val="both"/>
        <w:rPr>
          <w:b/>
          <w:bCs/>
          <w:sz w:val="22"/>
          <w:szCs w:val="22"/>
        </w:rPr>
      </w:pPr>
    </w:p>
    <w:p w14:paraId="250BEBA4" w14:textId="77777777" w:rsidR="00B2281A" w:rsidRPr="008550C6" w:rsidRDefault="00B2281A" w:rsidP="00B3500A">
      <w:pPr>
        <w:jc w:val="both"/>
        <w:rPr>
          <w:b/>
          <w:bCs/>
          <w:sz w:val="22"/>
          <w:szCs w:val="22"/>
        </w:rPr>
      </w:pPr>
    </w:p>
    <w:p w14:paraId="3C764549" w14:textId="77777777" w:rsidR="00B2281A" w:rsidRPr="008550C6" w:rsidRDefault="00B2281A" w:rsidP="00B3500A">
      <w:pPr>
        <w:jc w:val="both"/>
        <w:rPr>
          <w:b/>
          <w:bCs/>
          <w:sz w:val="22"/>
          <w:szCs w:val="22"/>
        </w:rPr>
      </w:pPr>
    </w:p>
    <w:p w14:paraId="32DF2B96" w14:textId="77777777" w:rsidR="008049E2" w:rsidRPr="008550C6" w:rsidRDefault="008049E2" w:rsidP="00B3500A">
      <w:pPr>
        <w:jc w:val="both"/>
        <w:rPr>
          <w:b/>
          <w:bCs/>
          <w:sz w:val="22"/>
          <w:szCs w:val="22"/>
        </w:rPr>
      </w:pPr>
    </w:p>
    <w:p w14:paraId="7C568CF5" w14:textId="77777777" w:rsidR="008049E2" w:rsidRPr="008550C6" w:rsidRDefault="008049E2" w:rsidP="00B3500A">
      <w:pPr>
        <w:jc w:val="both"/>
        <w:rPr>
          <w:b/>
          <w:bCs/>
          <w:sz w:val="22"/>
          <w:szCs w:val="22"/>
        </w:rPr>
      </w:pPr>
    </w:p>
    <w:p w14:paraId="5359AF8F" w14:textId="77777777" w:rsidR="008049E2" w:rsidRPr="008550C6" w:rsidRDefault="008049E2" w:rsidP="00B3500A">
      <w:pPr>
        <w:jc w:val="both"/>
        <w:rPr>
          <w:b/>
          <w:bCs/>
          <w:sz w:val="22"/>
          <w:szCs w:val="22"/>
        </w:rPr>
      </w:pPr>
    </w:p>
    <w:p w14:paraId="473358A1" w14:textId="77777777" w:rsidR="008049E2" w:rsidRPr="008550C6" w:rsidRDefault="008049E2" w:rsidP="00B3500A">
      <w:pPr>
        <w:jc w:val="both"/>
        <w:rPr>
          <w:b/>
          <w:bCs/>
          <w:sz w:val="22"/>
          <w:szCs w:val="22"/>
        </w:rPr>
      </w:pPr>
    </w:p>
    <w:p w14:paraId="6DE91B4B" w14:textId="77777777" w:rsidR="008049E2" w:rsidRPr="008550C6" w:rsidRDefault="008049E2" w:rsidP="00B3500A">
      <w:pPr>
        <w:jc w:val="both"/>
        <w:rPr>
          <w:b/>
          <w:bCs/>
          <w:sz w:val="22"/>
          <w:szCs w:val="22"/>
        </w:rPr>
      </w:pPr>
    </w:p>
    <w:p w14:paraId="15CA0B48" w14:textId="77777777" w:rsidR="008049E2" w:rsidRPr="008550C6" w:rsidRDefault="008049E2" w:rsidP="00B3500A">
      <w:pPr>
        <w:jc w:val="both"/>
        <w:rPr>
          <w:b/>
          <w:bCs/>
          <w:sz w:val="22"/>
          <w:szCs w:val="22"/>
        </w:rPr>
      </w:pPr>
    </w:p>
    <w:p w14:paraId="6E4A12FD" w14:textId="77777777" w:rsidR="008049E2" w:rsidRPr="008550C6" w:rsidRDefault="008049E2" w:rsidP="00B3500A">
      <w:pPr>
        <w:jc w:val="both"/>
        <w:rPr>
          <w:b/>
          <w:bCs/>
          <w:sz w:val="22"/>
          <w:szCs w:val="22"/>
        </w:rPr>
      </w:pPr>
    </w:p>
    <w:p w14:paraId="3FDB4F81" w14:textId="77777777" w:rsidR="008049E2" w:rsidRPr="008550C6" w:rsidRDefault="008049E2" w:rsidP="00B3500A">
      <w:pPr>
        <w:jc w:val="both"/>
        <w:rPr>
          <w:b/>
          <w:bCs/>
          <w:sz w:val="22"/>
          <w:szCs w:val="22"/>
        </w:rPr>
      </w:pPr>
    </w:p>
    <w:p w14:paraId="36DACE79" w14:textId="77777777" w:rsidR="008049E2" w:rsidRPr="008550C6" w:rsidRDefault="008049E2" w:rsidP="00B3500A">
      <w:pPr>
        <w:jc w:val="both"/>
        <w:rPr>
          <w:b/>
          <w:bCs/>
          <w:sz w:val="22"/>
          <w:szCs w:val="22"/>
        </w:rPr>
      </w:pPr>
    </w:p>
    <w:p w14:paraId="5BF237E5" w14:textId="77777777" w:rsidR="008049E2" w:rsidRPr="008550C6" w:rsidRDefault="008049E2" w:rsidP="00B3500A">
      <w:pPr>
        <w:jc w:val="both"/>
        <w:rPr>
          <w:b/>
          <w:bCs/>
          <w:sz w:val="22"/>
          <w:szCs w:val="22"/>
        </w:rPr>
      </w:pPr>
    </w:p>
    <w:p w14:paraId="652C53AF" w14:textId="77777777" w:rsidR="0017197F" w:rsidRPr="008550C6" w:rsidRDefault="0017197F" w:rsidP="00B3500A">
      <w:pPr>
        <w:jc w:val="both"/>
        <w:rPr>
          <w:b/>
          <w:bCs/>
          <w:sz w:val="22"/>
          <w:szCs w:val="22"/>
        </w:rPr>
      </w:pPr>
    </w:p>
    <w:p w14:paraId="07C29070" w14:textId="77777777" w:rsidR="008049E2" w:rsidRPr="008550C6" w:rsidRDefault="008049E2" w:rsidP="00B3500A">
      <w:pPr>
        <w:jc w:val="both"/>
        <w:rPr>
          <w:b/>
          <w:bCs/>
          <w:sz w:val="22"/>
          <w:szCs w:val="22"/>
        </w:rPr>
      </w:pPr>
    </w:p>
    <w:p w14:paraId="03D39B73" w14:textId="77777777" w:rsidR="008049E2" w:rsidRPr="008550C6" w:rsidRDefault="008049E2" w:rsidP="00B3500A">
      <w:pPr>
        <w:jc w:val="both"/>
        <w:rPr>
          <w:b/>
          <w:bCs/>
          <w:sz w:val="22"/>
          <w:szCs w:val="22"/>
        </w:rPr>
      </w:pPr>
    </w:p>
    <w:p w14:paraId="431E76A7" w14:textId="77777777" w:rsidR="008049E2" w:rsidRPr="008550C6" w:rsidRDefault="008049E2" w:rsidP="00B3500A">
      <w:pPr>
        <w:jc w:val="both"/>
        <w:rPr>
          <w:b/>
          <w:bCs/>
          <w:sz w:val="22"/>
          <w:szCs w:val="22"/>
        </w:rPr>
      </w:pPr>
    </w:p>
    <w:p w14:paraId="3EA74E8F" w14:textId="2D59FC99" w:rsidR="00B3500A" w:rsidRPr="008550C6" w:rsidRDefault="008550C6" w:rsidP="00B3500A">
      <w:pPr>
        <w:jc w:val="both"/>
        <w:rPr>
          <w:b/>
          <w:bCs/>
          <w:sz w:val="22"/>
          <w:szCs w:val="22"/>
        </w:rPr>
      </w:pPr>
      <w:r w:rsidRPr="008550C6">
        <w:rPr>
          <w:b/>
          <w:bCs/>
          <w:sz w:val="22"/>
          <w:szCs w:val="22"/>
        </w:rPr>
        <w:t>TABLE</w:t>
      </w:r>
      <w:r w:rsidR="00B3500A" w:rsidRPr="008550C6">
        <w:rPr>
          <w:b/>
          <w:bCs/>
          <w:sz w:val="22"/>
          <w:szCs w:val="22"/>
        </w:rPr>
        <w:t xml:space="preserve"> 9</w:t>
      </w:r>
    </w:p>
    <w:p w14:paraId="337DA1E9" w14:textId="35C8EF9C" w:rsidR="00B3500A" w:rsidRPr="008550C6" w:rsidRDefault="00B3500A" w:rsidP="00B3500A">
      <w:pPr>
        <w:jc w:val="both"/>
        <w:rPr>
          <w:sz w:val="22"/>
          <w:szCs w:val="22"/>
        </w:rPr>
      </w:pPr>
      <w:r w:rsidRPr="008550C6">
        <w:rPr>
          <w:sz w:val="22"/>
          <w:szCs w:val="22"/>
        </w:rPr>
        <w:t xml:space="preserve">Additional tests with </w:t>
      </w:r>
      <w:r w:rsidR="000A78A2" w:rsidRPr="008550C6">
        <w:rPr>
          <w:sz w:val="22"/>
          <w:szCs w:val="22"/>
        </w:rPr>
        <w:t>number of votes for the Democratic party</w:t>
      </w:r>
      <w:r w:rsidRPr="008550C6">
        <w:rPr>
          <w:sz w:val="22"/>
          <w:szCs w:val="22"/>
        </w:rPr>
        <w:t xml:space="preserve"> when bootstrap variable return to scale (VRS) is the dependent variable.</w:t>
      </w:r>
    </w:p>
    <w:tbl>
      <w:tblPr>
        <w:tblW w:w="5000" w:type="pct"/>
        <w:tblCellMar>
          <w:left w:w="75" w:type="dxa"/>
          <w:right w:w="75" w:type="dxa"/>
        </w:tblCellMar>
        <w:tblLook w:val="0000" w:firstRow="0" w:lastRow="0" w:firstColumn="0" w:lastColumn="0" w:noHBand="0" w:noVBand="0"/>
      </w:tblPr>
      <w:tblGrid>
        <w:gridCol w:w="4210"/>
        <w:gridCol w:w="2408"/>
        <w:gridCol w:w="2408"/>
      </w:tblGrid>
      <w:tr w:rsidR="008550C6" w:rsidRPr="007E3420" w14:paraId="39E7E007" w14:textId="77777777" w:rsidTr="006E0BDB">
        <w:tc>
          <w:tcPr>
            <w:tcW w:w="2332" w:type="pct"/>
            <w:tcBorders>
              <w:top w:val="single" w:sz="6" w:space="0" w:color="auto"/>
              <w:left w:val="nil"/>
              <w:bottom w:val="nil"/>
              <w:right w:val="nil"/>
            </w:tcBorders>
          </w:tcPr>
          <w:p w14:paraId="26B2D978" w14:textId="77777777" w:rsidR="006E0BDB" w:rsidRPr="007E3420" w:rsidRDefault="006E0BDB" w:rsidP="00D62AD1">
            <w:pPr>
              <w:widowControl w:val="0"/>
              <w:autoSpaceDE w:val="0"/>
              <w:autoSpaceDN w:val="0"/>
              <w:adjustRightInd w:val="0"/>
              <w:rPr>
                <w:b/>
                <w:bCs/>
                <w:sz w:val="22"/>
                <w:szCs w:val="22"/>
              </w:rPr>
            </w:pPr>
          </w:p>
        </w:tc>
        <w:tc>
          <w:tcPr>
            <w:tcW w:w="1334" w:type="pct"/>
            <w:tcBorders>
              <w:top w:val="single" w:sz="6" w:space="0" w:color="auto"/>
              <w:left w:val="single" w:sz="4" w:space="0" w:color="auto"/>
              <w:bottom w:val="nil"/>
              <w:right w:val="nil"/>
            </w:tcBorders>
          </w:tcPr>
          <w:p w14:paraId="364D9BBF" w14:textId="77777777" w:rsidR="006E0BDB" w:rsidRPr="007E3420" w:rsidRDefault="006E0BDB" w:rsidP="00D62AD1">
            <w:pPr>
              <w:widowControl w:val="0"/>
              <w:autoSpaceDE w:val="0"/>
              <w:autoSpaceDN w:val="0"/>
              <w:adjustRightInd w:val="0"/>
              <w:jc w:val="center"/>
              <w:rPr>
                <w:b/>
                <w:bCs/>
                <w:sz w:val="22"/>
                <w:szCs w:val="22"/>
              </w:rPr>
            </w:pPr>
            <w:r w:rsidRPr="007E3420">
              <w:rPr>
                <w:b/>
                <w:bCs/>
                <w:sz w:val="22"/>
                <w:szCs w:val="22"/>
              </w:rPr>
              <w:t>(1)</w:t>
            </w:r>
          </w:p>
        </w:tc>
        <w:tc>
          <w:tcPr>
            <w:tcW w:w="1334" w:type="pct"/>
            <w:tcBorders>
              <w:top w:val="single" w:sz="6" w:space="0" w:color="auto"/>
              <w:left w:val="nil"/>
              <w:bottom w:val="nil"/>
              <w:right w:val="nil"/>
            </w:tcBorders>
          </w:tcPr>
          <w:p w14:paraId="5A5CCF58" w14:textId="77777777" w:rsidR="006E0BDB" w:rsidRPr="007E3420" w:rsidRDefault="006E0BDB" w:rsidP="00D62AD1">
            <w:pPr>
              <w:widowControl w:val="0"/>
              <w:autoSpaceDE w:val="0"/>
              <w:autoSpaceDN w:val="0"/>
              <w:adjustRightInd w:val="0"/>
              <w:jc w:val="center"/>
              <w:rPr>
                <w:b/>
                <w:bCs/>
                <w:sz w:val="22"/>
                <w:szCs w:val="22"/>
              </w:rPr>
            </w:pPr>
            <w:r w:rsidRPr="007E3420">
              <w:rPr>
                <w:b/>
                <w:bCs/>
                <w:sz w:val="22"/>
                <w:szCs w:val="22"/>
              </w:rPr>
              <w:t>(2)</w:t>
            </w:r>
          </w:p>
        </w:tc>
      </w:tr>
      <w:tr w:rsidR="008550C6" w:rsidRPr="007E3420" w14:paraId="2727ABDC" w14:textId="77777777" w:rsidTr="006E0BDB">
        <w:tc>
          <w:tcPr>
            <w:tcW w:w="2332" w:type="pct"/>
            <w:tcBorders>
              <w:top w:val="nil"/>
              <w:left w:val="nil"/>
              <w:bottom w:val="single" w:sz="6" w:space="0" w:color="auto"/>
              <w:right w:val="nil"/>
            </w:tcBorders>
          </w:tcPr>
          <w:p w14:paraId="0F8A3800" w14:textId="77777777" w:rsidR="006E0BDB" w:rsidRPr="007E3420" w:rsidRDefault="006E0BDB" w:rsidP="00D62AD1">
            <w:pPr>
              <w:widowControl w:val="0"/>
              <w:autoSpaceDE w:val="0"/>
              <w:autoSpaceDN w:val="0"/>
              <w:adjustRightInd w:val="0"/>
              <w:rPr>
                <w:b/>
                <w:bCs/>
                <w:sz w:val="22"/>
                <w:szCs w:val="22"/>
              </w:rPr>
            </w:pPr>
            <w:r w:rsidRPr="007E3420">
              <w:rPr>
                <w:b/>
                <w:bCs/>
                <w:sz w:val="22"/>
                <w:szCs w:val="22"/>
              </w:rPr>
              <w:t>VARIABLES</w:t>
            </w:r>
          </w:p>
        </w:tc>
        <w:tc>
          <w:tcPr>
            <w:tcW w:w="1334" w:type="pct"/>
            <w:tcBorders>
              <w:top w:val="nil"/>
              <w:left w:val="single" w:sz="4" w:space="0" w:color="auto"/>
              <w:bottom w:val="single" w:sz="6" w:space="0" w:color="auto"/>
              <w:right w:val="nil"/>
            </w:tcBorders>
          </w:tcPr>
          <w:p w14:paraId="4493081B" w14:textId="12601B9C" w:rsidR="006E0BDB" w:rsidRPr="007E3420" w:rsidRDefault="006E0BDB" w:rsidP="00D62AD1">
            <w:pPr>
              <w:widowControl w:val="0"/>
              <w:autoSpaceDE w:val="0"/>
              <w:autoSpaceDN w:val="0"/>
              <w:adjustRightInd w:val="0"/>
              <w:jc w:val="center"/>
              <w:rPr>
                <w:b/>
                <w:bCs/>
                <w:sz w:val="22"/>
                <w:szCs w:val="22"/>
              </w:rPr>
            </w:pPr>
            <w:r w:rsidRPr="007E3420">
              <w:rPr>
                <w:b/>
                <w:bCs/>
                <w:sz w:val="22"/>
                <w:szCs w:val="22"/>
              </w:rPr>
              <w:t>VRS</w:t>
            </w:r>
          </w:p>
        </w:tc>
        <w:tc>
          <w:tcPr>
            <w:tcW w:w="1334" w:type="pct"/>
            <w:tcBorders>
              <w:top w:val="nil"/>
              <w:left w:val="nil"/>
              <w:bottom w:val="single" w:sz="6" w:space="0" w:color="auto"/>
              <w:right w:val="nil"/>
            </w:tcBorders>
          </w:tcPr>
          <w:p w14:paraId="57AABED0" w14:textId="66080EDA" w:rsidR="006E0BDB" w:rsidRPr="007E3420" w:rsidRDefault="006E0BDB" w:rsidP="00D62AD1">
            <w:pPr>
              <w:widowControl w:val="0"/>
              <w:autoSpaceDE w:val="0"/>
              <w:autoSpaceDN w:val="0"/>
              <w:adjustRightInd w:val="0"/>
              <w:jc w:val="center"/>
              <w:rPr>
                <w:b/>
                <w:bCs/>
                <w:sz w:val="22"/>
                <w:szCs w:val="22"/>
              </w:rPr>
            </w:pPr>
            <w:r w:rsidRPr="007E3420">
              <w:rPr>
                <w:b/>
                <w:bCs/>
                <w:sz w:val="22"/>
                <w:szCs w:val="22"/>
              </w:rPr>
              <w:t>VRS</w:t>
            </w:r>
          </w:p>
        </w:tc>
      </w:tr>
      <w:tr w:rsidR="008550C6" w:rsidRPr="008550C6" w14:paraId="1B498740" w14:textId="77777777" w:rsidTr="006E0BDB">
        <w:tc>
          <w:tcPr>
            <w:tcW w:w="2332" w:type="pct"/>
            <w:tcBorders>
              <w:top w:val="nil"/>
              <w:left w:val="nil"/>
              <w:bottom w:val="nil"/>
              <w:right w:val="nil"/>
            </w:tcBorders>
          </w:tcPr>
          <w:p w14:paraId="37F8E7B2" w14:textId="77777777" w:rsidR="006E0BDB" w:rsidRPr="008550C6" w:rsidRDefault="006E0BDB" w:rsidP="00D62AD1">
            <w:pPr>
              <w:widowControl w:val="0"/>
              <w:autoSpaceDE w:val="0"/>
              <w:autoSpaceDN w:val="0"/>
              <w:adjustRightInd w:val="0"/>
              <w:rPr>
                <w:sz w:val="22"/>
                <w:szCs w:val="22"/>
              </w:rPr>
            </w:pPr>
          </w:p>
        </w:tc>
        <w:tc>
          <w:tcPr>
            <w:tcW w:w="1334" w:type="pct"/>
            <w:tcBorders>
              <w:top w:val="nil"/>
              <w:left w:val="single" w:sz="4" w:space="0" w:color="auto"/>
              <w:bottom w:val="nil"/>
              <w:right w:val="nil"/>
            </w:tcBorders>
          </w:tcPr>
          <w:p w14:paraId="62DD6A29" w14:textId="77777777" w:rsidR="006E0BDB" w:rsidRPr="008550C6" w:rsidRDefault="006E0BDB" w:rsidP="00D62AD1">
            <w:pPr>
              <w:widowControl w:val="0"/>
              <w:autoSpaceDE w:val="0"/>
              <w:autoSpaceDN w:val="0"/>
              <w:adjustRightInd w:val="0"/>
              <w:jc w:val="center"/>
              <w:rPr>
                <w:sz w:val="22"/>
                <w:szCs w:val="22"/>
              </w:rPr>
            </w:pPr>
          </w:p>
        </w:tc>
        <w:tc>
          <w:tcPr>
            <w:tcW w:w="1334" w:type="pct"/>
            <w:tcBorders>
              <w:top w:val="nil"/>
              <w:left w:val="nil"/>
              <w:bottom w:val="nil"/>
              <w:right w:val="nil"/>
            </w:tcBorders>
          </w:tcPr>
          <w:p w14:paraId="633E8035" w14:textId="77777777" w:rsidR="006E0BDB" w:rsidRPr="008550C6" w:rsidRDefault="006E0BDB" w:rsidP="00D62AD1">
            <w:pPr>
              <w:widowControl w:val="0"/>
              <w:autoSpaceDE w:val="0"/>
              <w:autoSpaceDN w:val="0"/>
              <w:adjustRightInd w:val="0"/>
              <w:jc w:val="center"/>
              <w:rPr>
                <w:sz w:val="22"/>
                <w:szCs w:val="22"/>
              </w:rPr>
            </w:pPr>
          </w:p>
        </w:tc>
      </w:tr>
      <w:tr w:rsidR="008550C6" w:rsidRPr="007E4ED2" w14:paraId="1E2B88E3" w14:textId="77777777" w:rsidTr="006E0BDB">
        <w:tc>
          <w:tcPr>
            <w:tcW w:w="2332" w:type="pct"/>
            <w:tcBorders>
              <w:top w:val="nil"/>
              <w:left w:val="nil"/>
              <w:bottom w:val="nil"/>
              <w:right w:val="nil"/>
            </w:tcBorders>
          </w:tcPr>
          <w:p w14:paraId="6ED66E00" w14:textId="77777777" w:rsidR="006E0BDB" w:rsidRPr="007E4ED2" w:rsidRDefault="006E0BDB" w:rsidP="00D62AD1">
            <w:pPr>
              <w:widowControl w:val="0"/>
              <w:autoSpaceDE w:val="0"/>
              <w:autoSpaceDN w:val="0"/>
              <w:adjustRightInd w:val="0"/>
              <w:rPr>
                <w:sz w:val="22"/>
                <w:szCs w:val="22"/>
              </w:rPr>
            </w:pPr>
            <w:r w:rsidRPr="007E4ED2">
              <w:rPr>
                <w:sz w:val="22"/>
                <w:szCs w:val="22"/>
              </w:rPr>
              <w:t>LNPREDem</w:t>
            </w:r>
          </w:p>
        </w:tc>
        <w:tc>
          <w:tcPr>
            <w:tcW w:w="1334" w:type="pct"/>
            <w:tcBorders>
              <w:top w:val="nil"/>
              <w:left w:val="single" w:sz="4" w:space="0" w:color="auto"/>
              <w:bottom w:val="nil"/>
              <w:right w:val="nil"/>
            </w:tcBorders>
          </w:tcPr>
          <w:p w14:paraId="3346E857" w14:textId="4D45CFEC" w:rsidR="006E0BDB" w:rsidRPr="007E4ED2" w:rsidRDefault="006E0BDB" w:rsidP="00D62AD1">
            <w:pPr>
              <w:widowControl w:val="0"/>
              <w:autoSpaceDE w:val="0"/>
              <w:autoSpaceDN w:val="0"/>
              <w:adjustRightInd w:val="0"/>
              <w:jc w:val="center"/>
              <w:rPr>
                <w:sz w:val="22"/>
                <w:szCs w:val="22"/>
              </w:rPr>
            </w:pPr>
            <w:r w:rsidRPr="007E4ED2">
              <w:rPr>
                <w:sz w:val="22"/>
                <w:szCs w:val="22"/>
              </w:rPr>
              <w:t>0.0087***</w:t>
            </w:r>
          </w:p>
        </w:tc>
        <w:tc>
          <w:tcPr>
            <w:tcW w:w="1334" w:type="pct"/>
            <w:tcBorders>
              <w:top w:val="nil"/>
              <w:left w:val="nil"/>
              <w:bottom w:val="nil"/>
              <w:right w:val="nil"/>
            </w:tcBorders>
          </w:tcPr>
          <w:p w14:paraId="424C32A3" w14:textId="77777777" w:rsidR="006E0BDB" w:rsidRPr="007E4ED2" w:rsidRDefault="006E0BDB" w:rsidP="00D62AD1">
            <w:pPr>
              <w:widowControl w:val="0"/>
              <w:autoSpaceDE w:val="0"/>
              <w:autoSpaceDN w:val="0"/>
              <w:adjustRightInd w:val="0"/>
              <w:jc w:val="center"/>
              <w:rPr>
                <w:sz w:val="22"/>
                <w:szCs w:val="22"/>
              </w:rPr>
            </w:pPr>
          </w:p>
        </w:tc>
      </w:tr>
      <w:tr w:rsidR="008550C6" w:rsidRPr="007E4ED2" w14:paraId="65B4EB4E" w14:textId="77777777" w:rsidTr="006E0BDB">
        <w:tc>
          <w:tcPr>
            <w:tcW w:w="2332" w:type="pct"/>
            <w:tcBorders>
              <w:top w:val="nil"/>
              <w:left w:val="nil"/>
              <w:bottom w:val="nil"/>
              <w:right w:val="nil"/>
            </w:tcBorders>
          </w:tcPr>
          <w:p w14:paraId="072F384C" w14:textId="77777777" w:rsidR="006E0BDB" w:rsidRPr="007E4ED2" w:rsidRDefault="006E0BDB" w:rsidP="00D62AD1">
            <w:pPr>
              <w:widowControl w:val="0"/>
              <w:autoSpaceDE w:val="0"/>
              <w:autoSpaceDN w:val="0"/>
              <w:adjustRightInd w:val="0"/>
              <w:rPr>
                <w:sz w:val="22"/>
                <w:szCs w:val="22"/>
              </w:rPr>
            </w:pPr>
          </w:p>
        </w:tc>
        <w:tc>
          <w:tcPr>
            <w:tcW w:w="1334" w:type="pct"/>
            <w:tcBorders>
              <w:top w:val="nil"/>
              <w:left w:val="single" w:sz="4" w:space="0" w:color="auto"/>
              <w:bottom w:val="nil"/>
              <w:right w:val="nil"/>
            </w:tcBorders>
          </w:tcPr>
          <w:p w14:paraId="398F7694" w14:textId="68F44A7F" w:rsidR="006E0BDB" w:rsidRPr="007E4ED2" w:rsidRDefault="006E0BDB" w:rsidP="00D62AD1">
            <w:pPr>
              <w:widowControl w:val="0"/>
              <w:autoSpaceDE w:val="0"/>
              <w:autoSpaceDN w:val="0"/>
              <w:adjustRightInd w:val="0"/>
              <w:jc w:val="center"/>
              <w:rPr>
                <w:sz w:val="22"/>
                <w:szCs w:val="22"/>
              </w:rPr>
            </w:pPr>
            <w:r w:rsidRPr="007E4ED2">
              <w:rPr>
                <w:sz w:val="22"/>
                <w:szCs w:val="22"/>
              </w:rPr>
              <w:t xml:space="preserve">(2.62)   </w:t>
            </w:r>
          </w:p>
        </w:tc>
        <w:tc>
          <w:tcPr>
            <w:tcW w:w="1334" w:type="pct"/>
            <w:tcBorders>
              <w:top w:val="nil"/>
              <w:left w:val="nil"/>
              <w:bottom w:val="nil"/>
              <w:right w:val="nil"/>
            </w:tcBorders>
          </w:tcPr>
          <w:p w14:paraId="4FC4E3BB" w14:textId="77777777" w:rsidR="006E0BDB" w:rsidRPr="007E4ED2" w:rsidRDefault="006E0BDB" w:rsidP="00D62AD1">
            <w:pPr>
              <w:widowControl w:val="0"/>
              <w:autoSpaceDE w:val="0"/>
              <w:autoSpaceDN w:val="0"/>
              <w:adjustRightInd w:val="0"/>
              <w:jc w:val="center"/>
              <w:rPr>
                <w:sz w:val="22"/>
                <w:szCs w:val="22"/>
              </w:rPr>
            </w:pPr>
          </w:p>
        </w:tc>
      </w:tr>
      <w:tr w:rsidR="008550C6" w:rsidRPr="007E4ED2" w14:paraId="73E9F50A" w14:textId="77777777" w:rsidTr="006E0BDB">
        <w:tc>
          <w:tcPr>
            <w:tcW w:w="2332" w:type="pct"/>
            <w:tcBorders>
              <w:top w:val="nil"/>
              <w:left w:val="nil"/>
              <w:bottom w:val="nil"/>
              <w:right w:val="nil"/>
            </w:tcBorders>
          </w:tcPr>
          <w:p w14:paraId="68B3FA8E" w14:textId="77777777" w:rsidR="006E0BDB" w:rsidRPr="007E4ED2" w:rsidRDefault="006E0BDB" w:rsidP="00D62AD1">
            <w:pPr>
              <w:widowControl w:val="0"/>
              <w:autoSpaceDE w:val="0"/>
              <w:autoSpaceDN w:val="0"/>
              <w:adjustRightInd w:val="0"/>
              <w:rPr>
                <w:sz w:val="22"/>
                <w:szCs w:val="22"/>
              </w:rPr>
            </w:pPr>
            <w:r w:rsidRPr="007E4ED2">
              <w:rPr>
                <w:sz w:val="22"/>
                <w:szCs w:val="22"/>
              </w:rPr>
              <w:t>PREDemRep</w:t>
            </w:r>
          </w:p>
        </w:tc>
        <w:tc>
          <w:tcPr>
            <w:tcW w:w="1334" w:type="pct"/>
            <w:tcBorders>
              <w:top w:val="nil"/>
              <w:left w:val="single" w:sz="4" w:space="0" w:color="auto"/>
              <w:bottom w:val="nil"/>
              <w:right w:val="nil"/>
            </w:tcBorders>
          </w:tcPr>
          <w:p w14:paraId="5BA01704" w14:textId="77777777" w:rsidR="006E0BDB" w:rsidRPr="007E4ED2" w:rsidRDefault="006E0BDB" w:rsidP="00D62AD1">
            <w:pPr>
              <w:widowControl w:val="0"/>
              <w:autoSpaceDE w:val="0"/>
              <w:autoSpaceDN w:val="0"/>
              <w:adjustRightInd w:val="0"/>
              <w:jc w:val="center"/>
              <w:rPr>
                <w:sz w:val="22"/>
                <w:szCs w:val="22"/>
              </w:rPr>
            </w:pPr>
          </w:p>
        </w:tc>
        <w:tc>
          <w:tcPr>
            <w:tcW w:w="1334" w:type="pct"/>
            <w:tcBorders>
              <w:top w:val="nil"/>
              <w:left w:val="nil"/>
              <w:bottom w:val="nil"/>
              <w:right w:val="nil"/>
            </w:tcBorders>
          </w:tcPr>
          <w:p w14:paraId="279FD0D7" w14:textId="6C2A0ED3" w:rsidR="006E0BDB" w:rsidRPr="007E4ED2" w:rsidRDefault="006E0BDB" w:rsidP="00D62AD1">
            <w:pPr>
              <w:widowControl w:val="0"/>
              <w:autoSpaceDE w:val="0"/>
              <w:autoSpaceDN w:val="0"/>
              <w:adjustRightInd w:val="0"/>
              <w:jc w:val="center"/>
              <w:rPr>
                <w:sz w:val="22"/>
                <w:szCs w:val="22"/>
              </w:rPr>
            </w:pPr>
            <w:r w:rsidRPr="007E4ED2">
              <w:rPr>
                <w:sz w:val="22"/>
                <w:szCs w:val="22"/>
              </w:rPr>
              <w:t xml:space="preserve">0.0039***   </w:t>
            </w:r>
          </w:p>
        </w:tc>
      </w:tr>
      <w:tr w:rsidR="008550C6" w:rsidRPr="007E4ED2" w14:paraId="0029403E" w14:textId="77777777" w:rsidTr="006E0BDB">
        <w:tc>
          <w:tcPr>
            <w:tcW w:w="2332" w:type="pct"/>
            <w:tcBorders>
              <w:top w:val="nil"/>
              <w:left w:val="nil"/>
              <w:bottom w:val="nil"/>
              <w:right w:val="nil"/>
            </w:tcBorders>
          </w:tcPr>
          <w:p w14:paraId="716A81F5" w14:textId="77777777" w:rsidR="006E0BDB" w:rsidRPr="007E4ED2" w:rsidRDefault="006E0BDB" w:rsidP="00D62AD1">
            <w:pPr>
              <w:widowControl w:val="0"/>
              <w:autoSpaceDE w:val="0"/>
              <w:autoSpaceDN w:val="0"/>
              <w:adjustRightInd w:val="0"/>
              <w:rPr>
                <w:sz w:val="22"/>
                <w:szCs w:val="22"/>
              </w:rPr>
            </w:pPr>
          </w:p>
        </w:tc>
        <w:tc>
          <w:tcPr>
            <w:tcW w:w="1334" w:type="pct"/>
            <w:tcBorders>
              <w:top w:val="nil"/>
              <w:left w:val="single" w:sz="4" w:space="0" w:color="auto"/>
              <w:bottom w:val="nil"/>
              <w:right w:val="nil"/>
            </w:tcBorders>
          </w:tcPr>
          <w:p w14:paraId="1E0881A0" w14:textId="77777777" w:rsidR="006E0BDB" w:rsidRPr="007E4ED2" w:rsidRDefault="006E0BDB" w:rsidP="00D62AD1">
            <w:pPr>
              <w:widowControl w:val="0"/>
              <w:autoSpaceDE w:val="0"/>
              <w:autoSpaceDN w:val="0"/>
              <w:adjustRightInd w:val="0"/>
              <w:jc w:val="center"/>
              <w:rPr>
                <w:sz w:val="22"/>
                <w:szCs w:val="22"/>
              </w:rPr>
            </w:pPr>
          </w:p>
        </w:tc>
        <w:tc>
          <w:tcPr>
            <w:tcW w:w="1334" w:type="pct"/>
            <w:tcBorders>
              <w:top w:val="nil"/>
              <w:left w:val="nil"/>
              <w:bottom w:val="nil"/>
              <w:right w:val="nil"/>
            </w:tcBorders>
          </w:tcPr>
          <w:p w14:paraId="4761A713" w14:textId="134ADDC4" w:rsidR="006E0BDB" w:rsidRPr="007E4ED2" w:rsidRDefault="006E0BDB" w:rsidP="00D62AD1">
            <w:pPr>
              <w:widowControl w:val="0"/>
              <w:autoSpaceDE w:val="0"/>
              <w:autoSpaceDN w:val="0"/>
              <w:adjustRightInd w:val="0"/>
              <w:jc w:val="center"/>
              <w:rPr>
                <w:sz w:val="22"/>
                <w:szCs w:val="22"/>
              </w:rPr>
            </w:pPr>
            <w:r w:rsidRPr="007E4ED2">
              <w:rPr>
                <w:sz w:val="22"/>
                <w:szCs w:val="22"/>
              </w:rPr>
              <w:t xml:space="preserve">(2.35)   </w:t>
            </w:r>
          </w:p>
        </w:tc>
      </w:tr>
      <w:tr w:rsidR="008550C6" w:rsidRPr="008550C6" w14:paraId="0EA275D9" w14:textId="77777777" w:rsidTr="006E0BDB">
        <w:tc>
          <w:tcPr>
            <w:tcW w:w="2332" w:type="pct"/>
            <w:tcBorders>
              <w:left w:val="nil"/>
              <w:bottom w:val="nil"/>
              <w:right w:val="nil"/>
            </w:tcBorders>
          </w:tcPr>
          <w:p w14:paraId="7110BC4D" w14:textId="77777777" w:rsidR="006E0BDB" w:rsidRPr="008550C6" w:rsidRDefault="006E0BDB" w:rsidP="00D62AD1">
            <w:pPr>
              <w:widowControl w:val="0"/>
              <w:autoSpaceDE w:val="0"/>
              <w:autoSpaceDN w:val="0"/>
              <w:adjustRightInd w:val="0"/>
              <w:rPr>
                <w:sz w:val="22"/>
                <w:szCs w:val="22"/>
              </w:rPr>
            </w:pPr>
          </w:p>
        </w:tc>
        <w:tc>
          <w:tcPr>
            <w:tcW w:w="1334" w:type="pct"/>
            <w:tcBorders>
              <w:left w:val="single" w:sz="4" w:space="0" w:color="auto"/>
              <w:bottom w:val="nil"/>
              <w:right w:val="nil"/>
            </w:tcBorders>
          </w:tcPr>
          <w:p w14:paraId="2A14C7F1" w14:textId="77777777" w:rsidR="006E0BDB" w:rsidRPr="008550C6" w:rsidRDefault="006E0BDB" w:rsidP="00D62AD1">
            <w:pPr>
              <w:widowControl w:val="0"/>
              <w:autoSpaceDE w:val="0"/>
              <w:autoSpaceDN w:val="0"/>
              <w:adjustRightInd w:val="0"/>
              <w:jc w:val="center"/>
              <w:rPr>
                <w:sz w:val="22"/>
                <w:szCs w:val="22"/>
              </w:rPr>
            </w:pPr>
          </w:p>
        </w:tc>
        <w:tc>
          <w:tcPr>
            <w:tcW w:w="1334" w:type="pct"/>
            <w:tcBorders>
              <w:left w:val="nil"/>
              <w:bottom w:val="nil"/>
              <w:right w:val="nil"/>
            </w:tcBorders>
          </w:tcPr>
          <w:p w14:paraId="7A4726AA" w14:textId="77777777" w:rsidR="006E0BDB" w:rsidRPr="008550C6" w:rsidRDefault="006E0BDB" w:rsidP="00D62AD1">
            <w:pPr>
              <w:widowControl w:val="0"/>
              <w:autoSpaceDE w:val="0"/>
              <w:autoSpaceDN w:val="0"/>
              <w:adjustRightInd w:val="0"/>
              <w:jc w:val="center"/>
              <w:rPr>
                <w:sz w:val="22"/>
                <w:szCs w:val="22"/>
              </w:rPr>
            </w:pPr>
          </w:p>
        </w:tc>
      </w:tr>
      <w:tr w:rsidR="008550C6" w:rsidRPr="008550C6" w14:paraId="189D8E10" w14:textId="77777777" w:rsidTr="006E0BDB">
        <w:tc>
          <w:tcPr>
            <w:tcW w:w="2332" w:type="pct"/>
            <w:tcBorders>
              <w:top w:val="nil"/>
              <w:left w:val="nil"/>
              <w:bottom w:val="nil"/>
              <w:right w:val="nil"/>
            </w:tcBorders>
          </w:tcPr>
          <w:p w14:paraId="098FBC89" w14:textId="77777777" w:rsidR="006E0BDB" w:rsidRPr="008550C6" w:rsidRDefault="006E0BDB" w:rsidP="00D62AD1">
            <w:pPr>
              <w:widowControl w:val="0"/>
              <w:autoSpaceDE w:val="0"/>
              <w:autoSpaceDN w:val="0"/>
              <w:adjustRightInd w:val="0"/>
              <w:rPr>
                <w:sz w:val="22"/>
                <w:szCs w:val="22"/>
              </w:rPr>
            </w:pPr>
            <w:r w:rsidRPr="008550C6">
              <w:rPr>
                <w:sz w:val="22"/>
                <w:szCs w:val="22"/>
              </w:rPr>
              <w:t>LNTA</w:t>
            </w:r>
          </w:p>
        </w:tc>
        <w:tc>
          <w:tcPr>
            <w:tcW w:w="1334" w:type="pct"/>
            <w:tcBorders>
              <w:top w:val="nil"/>
              <w:left w:val="single" w:sz="4" w:space="0" w:color="auto"/>
              <w:bottom w:val="nil"/>
              <w:right w:val="nil"/>
            </w:tcBorders>
          </w:tcPr>
          <w:p w14:paraId="6A4077CF" w14:textId="2FB709B2"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0.0359***   </w:t>
            </w:r>
          </w:p>
        </w:tc>
        <w:tc>
          <w:tcPr>
            <w:tcW w:w="1334" w:type="pct"/>
            <w:tcBorders>
              <w:top w:val="nil"/>
              <w:left w:val="nil"/>
              <w:bottom w:val="nil"/>
              <w:right w:val="nil"/>
            </w:tcBorders>
          </w:tcPr>
          <w:p w14:paraId="46412833" w14:textId="64D92019"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0.0408***   </w:t>
            </w:r>
          </w:p>
        </w:tc>
      </w:tr>
      <w:tr w:rsidR="008550C6" w:rsidRPr="008550C6" w14:paraId="3DE310B1" w14:textId="77777777" w:rsidTr="006E0BDB">
        <w:tc>
          <w:tcPr>
            <w:tcW w:w="2332" w:type="pct"/>
            <w:tcBorders>
              <w:top w:val="nil"/>
              <w:left w:val="nil"/>
              <w:bottom w:val="nil"/>
              <w:right w:val="nil"/>
            </w:tcBorders>
          </w:tcPr>
          <w:p w14:paraId="6F5FC41E" w14:textId="77777777" w:rsidR="006E0BDB" w:rsidRPr="008550C6" w:rsidRDefault="006E0BDB" w:rsidP="00D62AD1">
            <w:pPr>
              <w:widowControl w:val="0"/>
              <w:autoSpaceDE w:val="0"/>
              <w:autoSpaceDN w:val="0"/>
              <w:adjustRightInd w:val="0"/>
              <w:rPr>
                <w:sz w:val="22"/>
                <w:szCs w:val="22"/>
              </w:rPr>
            </w:pPr>
          </w:p>
        </w:tc>
        <w:tc>
          <w:tcPr>
            <w:tcW w:w="1334" w:type="pct"/>
            <w:tcBorders>
              <w:top w:val="nil"/>
              <w:left w:val="single" w:sz="4" w:space="0" w:color="auto"/>
              <w:bottom w:val="nil"/>
              <w:right w:val="nil"/>
            </w:tcBorders>
          </w:tcPr>
          <w:p w14:paraId="47F3979A" w14:textId="58C8CBBF"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(15.76)   </w:t>
            </w:r>
          </w:p>
        </w:tc>
        <w:tc>
          <w:tcPr>
            <w:tcW w:w="1334" w:type="pct"/>
            <w:tcBorders>
              <w:top w:val="nil"/>
              <w:left w:val="nil"/>
              <w:bottom w:val="nil"/>
              <w:right w:val="nil"/>
            </w:tcBorders>
          </w:tcPr>
          <w:p w14:paraId="670BCD94" w14:textId="1214C5B3"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(26.17)   </w:t>
            </w:r>
          </w:p>
        </w:tc>
      </w:tr>
      <w:tr w:rsidR="008550C6" w:rsidRPr="008550C6" w14:paraId="4A4EA7B7" w14:textId="77777777" w:rsidTr="006E0BDB">
        <w:tc>
          <w:tcPr>
            <w:tcW w:w="2332" w:type="pct"/>
            <w:tcBorders>
              <w:top w:val="nil"/>
              <w:left w:val="nil"/>
              <w:bottom w:val="nil"/>
              <w:right w:val="nil"/>
            </w:tcBorders>
          </w:tcPr>
          <w:p w14:paraId="4B043C81" w14:textId="77777777" w:rsidR="006E0BDB" w:rsidRPr="008550C6" w:rsidRDefault="006E0BDB" w:rsidP="00D62AD1">
            <w:pPr>
              <w:widowControl w:val="0"/>
              <w:autoSpaceDE w:val="0"/>
              <w:autoSpaceDN w:val="0"/>
              <w:adjustRightInd w:val="0"/>
              <w:rPr>
                <w:sz w:val="22"/>
                <w:szCs w:val="22"/>
              </w:rPr>
            </w:pPr>
            <w:r w:rsidRPr="008550C6">
              <w:rPr>
                <w:sz w:val="22"/>
                <w:szCs w:val="22"/>
              </w:rPr>
              <w:t>NPLTL</w:t>
            </w:r>
          </w:p>
        </w:tc>
        <w:tc>
          <w:tcPr>
            <w:tcW w:w="1334" w:type="pct"/>
            <w:tcBorders>
              <w:top w:val="nil"/>
              <w:left w:val="single" w:sz="4" w:space="0" w:color="auto"/>
              <w:bottom w:val="nil"/>
              <w:right w:val="nil"/>
            </w:tcBorders>
          </w:tcPr>
          <w:p w14:paraId="7C91F168" w14:textId="060A7383"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-6.0665***   </w:t>
            </w:r>
          </w:p>
        </w:tc>
        <w:tc>
          <w:tcPr>
            <w:tcW w:w="1334" w:type="pct"/>
            <w:tcBorders>
              <w:top w:val="nil"/>
              <w:left w:val="nil"/>
              <w:bottom w:val="nil"/>
              <w:right w:val="nil"/>
            </w:tcBorders>
          </w:tcPr>
          <w:p w14:paraId="05E72D1A" w14:textId="00B7941A"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-6.3329***   </w:t>
            </w:r>
          </w:p>
        </w:tc>
      </w:tr>
      <w:tr w:rsidR="008550C6" w:rsidRPr="008550C6" w14:paraId="0F2260E1" w14:textId="77777777" w:rsidTr="006E0BDB">
        <w:tc>
          <w:tcPr>
            <w:tcW w:w="2332" w:type="pct"/>
            <w:tcBorders>
              <w:top w:val="nil"/>
              <w:left w:val="nil"/>
              <w:bottom w:val="nil"/>
              <w:right w:val="nil"/>
            </w:tcBorders>
          </w:tcPr>
          <w:p w14:paraId="4684E9AD" w14:textId="77777777" w:rsidR="006E0BDB" w:rsidRPr="008550C6" w:rsidRDefault="006E0BDB" w:rsidP="00D62AD1">
            <w:pPr>
              <w:widowControl w:val="0"/>
              <w:autoSpaceDE w:val="0"/>
              <w:autoSpaceDN w:val="0"/>
              <w:adjustRightInd w:val="0"/>
              <w:rPr>
                <w:sz w:val="22"/>
                <w:szCs w:val="22"/>
              </w:rPr>
            </w:pPr>
          </w:p>
        </w:tc>
        <w:tc>
          <w:tcPr>
            <w:tcW w:w="1334" w:type="pct"/>
            <w:tcBorders>
              <w:top w:val="nil"/>
              <w:left w:val="single" w:sz="4" w:space="0" w:color="auto"/>
              <w:bottom w:val="nil"/>
              <w:right w:val="nil"/>
            </w:tcBorders>
          </w:tcPr>
          <w:p w14:paraId="740575A6" w14:textId="43FA2AB7"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(12.68)   </w:t>
            </w:r>
          </w:p>
        </w:tc>
        <w:tc>
          <w:tcPr>
            <w:tcW w:w="1334" w:type="pct"/>
            <w:tcBorders>
              <w:top w:val="nil"/>
              <w:left w:val="nil"/>
              <w:bottom w:val="nil"/>
              <w:right w:val="nil"/>
            </w:tcBorders>
          </w:tcPr>
          <w:p w14:paraId="107F5F6A" w14:textId="7D8F2AB2"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(13.67)   </w:t>
            </w:r>
          </w:p>
        </w:tc>
      </w:tr>
      <w:tr w:rsidR="008550C6" w:rsidRPr="008550C6" w14:paraId="161BA871" w14:textId="77777777" w:rsidTr="006E0BDB">
        <w:tc>
          <w:tcPr>
            <w:tcW w:w="2332" w:type="pct"/>
            <w:tcBorders>
              <w:top w:val="nil"/>
              <w:left w:val="nil"/>
              <w:bottom w:val="nil"/>
              <w:right w:val="nil"/>
            </w:tcBorders>
          </w:tcPr>
          <w:p w14:paraId="34EB575B" w14:textId="1EEB8A17" w:rsidR="006E0BDB" w:rsidRPr="008550C6" w:rsidRDefault="006E0BDB" w:rsidP="00D62AD1">
            <w:pPr>
              <w:widowControl w:val="0"/>
              <w:autoSpaceDE w:val="0"/>
              <w:autoSpaceDN w:val="0"/>
              <w:adjustRightInd w:val="0"/>
              <w:rPr>
                <w:sz w:val="22"/>
                <w:szCs w:val="22"/>
              </w:rPr>
            </w:pPr>
            <w:r w:rsidRPr="008550C6">
              <w:rPr>
                <w:sz w:val="22"/>
                <w:szCs w:val="22"/>
              </w:rPr>
              <w:t>DOA</w:t>
            </w:r>
          </w:p>
        </w:tc>
        <w:tc>
          <w:tcPr>
            <w:tcW w:w="1334" w:type="pct"/>
            <w:tcBorders>
              <w:top w:val="nil"/>
              <w:left w:val="single" w:sz="4" w:space="0" w:color="auto"/>
              <w:bottom w:val="nil"/>
              <w:right w:val="nil"/>
            </w:tcBorders>
          </w:tcPr>
          <w:p w14:paraId="43830534" w14:textId="392E4740"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-0.0929*** </w:t>
            </w:r>
          </w:p>
        </w:tc>
        <w:tc>
          <w:tcPr>
            <w:tcW w:w="1334" w:type="pct"/>
            <w:tcBorders>
              <w:top w:val="nil"/>
              <w:left w:val="nil"/>
              <w:bottom w:val="nil"/>
              <w:right w:val="nil"/>
            </w:tcBorders>
          </w:tcPr>
          <w:p w14:paraId="146B747F" w14:textId="0E08FE5E"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-0.0777**   </w:t>
            </w:r>
          </w:p>
        </w:tc>
      </w:tr>
      <w:tr w:rsidR="008550C6" w:rsidRPr="008550C6" w14:paraId="2E40FCE8" w14:textId="77777777" w:rsidTr="006E0BDB">
        <w:tc>
          <w:tcPr>
            <w:tcW w:w="2332" w:type="pct"/>
            <w:tcBorders>
              <w:top w:val="nil"/>
              <w:left w:val="nil"/>
              <w:bottom w:val="nil"/>
              <w:right w:val="nil"/>
            </w:tcBorders>
          </w:tcPr>
          <w:p w14:paraId="3E19A9ED" w14:textId="77777777" w:rsidR="006E0BDB" w:rsidRPr="008550C6" w:rsidRDefault="006E0BDB" w:rsidP="00D62AD1">
            <w:pPr>
              <w:widowControl w:val="0"/>
              <w:autoSpaceDE w:val="0"/>
              <w:autoSpaceDN w:val="0"/>
              <w:adjustRightInd w:val="0"/>
              <w:rPr>
                <w:sz w:val="22"/>
                <w:szCs w:val="22"/>
              </w:rPr>
            </w:pPr>
          </w:p>
        </w:tc>
        <w:tc>
          <w:tcPr>
            <w:tcW w:w="1334" w:type="pct"/>
            <w:tcBorders>
              <w:top w:val="nil"/>
              <w:left w:val="single" w:sz="4" w:space="0" w:color="auto"/>
              <w:bottom w:val="nil"/>
              <w:right w:val="nil"/>
            </w:tcBorders>
          </w:tcPr>
          <w:p w14:paraId="7998CFBF" w14:textId="7E4E3F6F"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(3.79)   </w:t>
            </w:r>
          </w:p>
        </w:tc>
        <w:tc>
          <w:tcPr>
            <w:tcW w:w="1334" w:type="pct"/>
            <w:tcBorders>
              <w:top w:val="nil"/>
              <w:left w:val="nil"/>
              <w:bottom w:val="nil"/>
              <w:right w:val="nil"/>
            </w:tcBorders>
          </w:tcPr>
          <w:p w14:paraId="7666CCBE" w14:textId="2D1B66F2"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(3.22)   </w:t>
            </w:r>
          </w:p>
        </w:tc>
      </w:tr>
      <w:tr w:rsidR="008550C6" w:rsidRPr="008550C6" w14:paraId="2A905FEE" w14:textId="77777777" w:rsidTr="006E0BDB">
        <w:tc>
          <w:tcPr>
            <w:tcW w:w="2332" w:type="pct"/>
            <w:tcBorders>
              <w:top w:val="nil"/>
              <w:left w:val="nil"/>
              <w:bottom w:val="nil"/>
              <w:right w:val="nil"/>
            </w:tcBorders>
          </w:tcPr>
          <w:p w14:paraId="0E332A80" w14:textId="2FF4B6E6" w:rsidR="006E0BDB" w:rsidRPr="008550C6" w:rsidRDefault="006E0BDB" w:rsidP="00D62AD1">
            <w:pPr>
              <w:widowControl w:val="0"/>
              <w:autoSpaceDE w:val="0"/>
              <w:autoSpaceDN w:val="0"/>
              <w:adjustRightInd w:val="0"/>
              <w:rPr>
                <w:sz w:val="22"/>
                <w:szCs w:val="22"/>
              </w:rPr>
            </w:pPr>
            <w:r w:rsidRPr="008550C6">
              <w:rPr>
                <w:sz w:val="22"/>
                <w:szCs w:val="22"/>
              </w:rPr>
              <w:t>C</w:t>
            </w:r>
            <w:r w:rsidR="00783103">
              <w:rPr>
                <w:sz w:val="22"/>
                <w:szCs w:val="22"/>
              </w:rPr>
              <w:t>OVID</w:t>
            </w:r>
            <w:r w:rsidRPr="008550C6">
              <w:rPr>
                <w:sz w:val="22"/>
                <w:szCs w:val="22"/>
              </w:rPr>
              <w:t>-19</w:t>
            </w:r>
          </w:p>
        </w:tc>
        <w:tc>
          <w:tcPr>
            <w:tcW w:w="1334" w:type="pct"/>
            <w:tcBorders>
              <w:top w:val="nil"/>
              <w:left w:val="single" w:sz="4" w:space="0" w:color="auto"/>
              <w:bottom w:val="nil"/>
              <w:right w:val="nil"/>
            </w:tcBorders>
          </w:tcPr>
          <w:p w14:paraId="5BF21849" w14:textId="07291DA1"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-0.0414***   </w:t>
            </w:r>
          </w:p>
        </w:tc>
        <w:tc>
          <w:tcPr>
            <w:tcW w:w="1334" w:type="pct"/>
            <w:tcBorders>
              <w:top w:val="nil"/>
              <w:left w:val="nil"/>
              <w:bottom w:val="nil"/>
              <w:right w:val="nil"/>
            </w:tcBorders>
          </w:tcPr>
          <w:p w14:paraId="719A93AA" w14:textId="61FA7762"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-0.0434***   </w:t>
            </w:r>
          </w:p>
        </w:tc>
      </w:tr>
      <w:tr w:rsidR="008550C6" w:rsidRPr="008550C6" w14:paraId="35A8F8FD" w14:textId="77777777" w:rsidTr="006E0BDB">
        <w:tc>
          <w:tcPr>
            <w:tcW w:w="2332" w:type="pct"/>
            <w:tcBorders>
              <w:top w:val="nil"/>
              <w:left w:val="nil"/>
              <w:bottom w:val="nil"/>
              <w:right w:val="nil"/>
            </w:tcBorders>
          </w:tcPr>
          <w:p w14:paraId="7FBCE61A" w14:textId="77777777" w:rsidR="006E0BDB" w:rsidRPr="008550C6" w:rsidRDefault="006E0BDB" w:rsidP="00D62AD1">
            <w:pPr>
              <w:widowControl w:val="0"/>
              <w:autoSpaceDE w:val="0"/>
              <w:autoSpaceDN w:val="0"/>
              <w:adjustRightInd w:val="0"/>
              <w:rPr>
                <w:sz w:val="22"/>
                <w:szCs w:val="22"/>
              </w:rPr>
            </w:pPr>
          </w:p>
        </w:tc>
        <w:tc>
          <w:tcPr>
            <w:tcW w:w="1334" w:type="pct"/>
            <w:tcBorders>
              <w:top w:val="nil"/>
              <w:left w:val="single" w:sz="4" w:space="0" w:color="auto"/>
              <w:bottom w:val="nil"/>
              <w:right w:val="nil"/>
            </w:tcBorders>
          </w:tcPr>
          <w:p w14:paraId="0CD47FF0" w14:textId="3BCA70FF"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(3.25)   </w:t>
            </w:r>
          </w:p>
        </w:tc>
        <w:tc>
          <w:tcPr>
            <w:tcW w:w="1334" w:type="pct"/>
            <w:tcBorders>
              <w:top w:val="nil"/>
              <w:left w:val="nil"/>
              <w:bottom w:val="nil"/>
              <w:right w:val="nil"/>
            </w:tcBorders>
          </w:tcPr>
          <w:p w14:paraId="4F3CE3D7" w14:textId="2C35025D"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(3.40)   </w:t>
            </w:r>
          </w:p>
        </w:tc>
      </w:tr>
      <w:tr w:rsidR="008550C6" w:rsidRPr="008550C6" w14:paraId="7D282AE7" w14:textId="77777777" w:rsidTr="006E0BDB">
        <w:tc>
          <w:tcPr>
            <w:tcW w:w="2332" w:type="pct"/>
            <w:tcBorders>
              <w:top w:val="nil"/>
              <w:left w:val="nil"/>
              <w:bottom w:val="nil"/>
              <w:right w:val="nil"/>
            </w:tcBorders>
          </w:tcPr>
          <w:p w14:paraId="2E64CC04" w14:textId="77777777" w:rsidR="006E0BDB" w:rsidRPr="008550C6" w:rsidRDefault="006E0BDB" w:rsidP="00D62AD1">
            <w:pPr>
              <w:widowControl w:val="0"/>
              <w:autoSpaceDE w:val="0"/>
              <w:autoSpaceDN w:val="0"/>
              <w:adjustRightInd w:val="0"/>
              <w:rPr>
                <w:sz w:val="22"/>
                <w:szCs w:val="22"/>
              </w:rPr>
            </w:pPr>
            <w:r w:rsidRPr="008550C6">
              <w:rPr>
                <w:sz w:val="22"/>
                <w:szCs w:val="22"/>
              </w:rPr>
              <w:t>Constant</w:t>
            </w:r>
          </w:p>
        </w:tc>
        <w:tc>
          <w:tcPr>
            <w:tcW w:w="1334" w:type="pct"/>
            <w:tcBorders>
              <w:top w:val="nil"/>
              <w:left w:val="single" w:sz="4" w:space="0" w:color="auto"/>
              <w:bottom w:val="nil"/>
              <w:right w:val="nil"/>
            </w:tcBorders>
          </w:tcPr>
          <w:p w14:paraId="6BF38194" w14:textId="499D78C0"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-0.0945**   </w:t>
            </w:r>
          </w:p>
        </w:tc>
        <w:tc>
          <w:tcPr>
            <w:tcW w:w="1334" w:type="pct"/>
            <w:tcBorders>
              <w:top w:val="nil"/>
              <w:left w:val="nil"/>
              <w:bottom w:val="nil"/>
              <w:right w:val="nil"/>
            </w:tcBorders>
          </w:tcPr>
          <w:p w14:paraId="77BEF995" w14:textId="5E72251E"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-0.0803**   </w:t>
            </w:r>
          </w:p>
        </w:tc>
      </w:tr>
      <w:tr w:rsidR="008550C6" w:rsidRPr="008550C6" w14:paraId="1C32103A" w14:textId="77777777" w:rsidTr="006E0BDB">
        <w:tc>
          <w:tcPr>
            <w:tcW w:w="2332" w:type="pct"/>
            <w:tcBorders>
              <w:top w:val="nil"/>
              <w:left w:val="nil"/>
              <w:bottom w:val="nil"/>
              <w:right w:val="nil"/>
            </w:tcBorders>
          </w:tcPr>
          <w:p w14:paraId="0902CD3E" w14:textId="77777777" w:rsidR="006E0BDB" w:rsidRPr="008550C6" w:rsidRDefault="006E0BDB" w:rsidP="00D62AD1">
            <w:pPr>
              <w:widowControl w:val="0"/>
              <w:autoSpaceDE w:val="0"/>
              <w:autoSpaceDN w:val="0"/>
              <w:adjustRightInd w:val="0"/>
              <w:rPr>
                <w:sz w:val="22"/>
                <w:szCs w:val="22"/>
              </w:rPr>
            </w:pPr>
          </w:p>
        </w:tc>
        <w:tc>
          <w:tcPr>
            <w:tcW w:w="1334" w:type="pct"/>
            <w:tcBorders>
              <w:top w:val="nil"/>
              <w:left w:val="single" w:sz="4" w:space="0" w:color="auto"/>
              <w:bottom w:val="nil"/>
              <w:right w:val="nil"/>
            </w:tcBorders>
          </w:tcPr>
          <w:p w14:paraId="4B887799" w14:textId="4D7982D8"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(2.37)   </w:t>
            </w:r>
          </w:p>
        </w:tc>
        <w:tc>
          <w:tcPr>
            <w:tcW w:w="1334" w:type="pct"/>
            <w:tcBorders>
              <w:top w:val="nil"/>
              <w:left w:val="nil"/>
              <w:bottom w:val="nil"/>
              <w:right w:val="nil"/>
            </w:tcBorders>
          </w:tcPr>
          <w:p w14:paraId="4D610BA3" w14:textId="620B16AF" w:rsidR="006E0BDB" w:rsidRPr="008550C6" w:rsidRDefault="006E0BDB" w:rsidP="00D62AD1">
            <w:pPr>
              <w:widowControl w:val="0"/>
              <w:autoSpaceDE w:val="0"/>
              <w:autoSpaceDN w:val="0"/>
              <w:adjustRightInd w:val="0"/>
              <w:jc w:val="center"/>
              <w:rPr>
                <w:sz w:val="22"/>
                <w:szCs w:val="22"/>
              </w:rPr>
            </w:pPr>
            <w:r w:rsidRPr="008550C6">
              <w:rPr>
                <w:sz w:val="22"/>
                <w:szCs w:val="22"/>
              </w:rPr>
              <w:t xml:space="preserve">(2.07)   </w:t>
            </w:r>
          </w:p>
        </w:tc>
      </w:tr>
      <w:tr w:rsidR="008550C6" w:rsidRPr="008550C6" w14:paraId="352CC9CF" w14:textId="77777777" w:rsidTr="006E0BDB">
        <w:tc>
          <w:tcPr>
            <w:tcW w:w="2332" w:type="pct"/>
            <w:tcBorders>
              <w:top w:val="nil"/>
              <w:left w:val="nil"/>
              <w:bottom w:val="nil"/>
              <w:right w:val="nil"/>
            </w:tcBorders>
          </w:tcPr>
          <w:p w14:paraId="47A530A6" w14:textId="77777777" w:rsidR="006E0BDB" w:rsidRPr="008550C6" w:rsidRDefault="006E0BDB" w:rsidP="00D62AD1">
            <w:pPr>
              <w:widowControl w:val="0"/>
              <w:autoSpaceDE w:val="0"/>
              <w:autoSpaceDN w:val="0"/>
              <w:adjustRightInd w:val="0"/>
              <w:rPr>
                <w:sz w:val="22"/>
                <w:szCs w:val="22"/>
              </w:rPr>
            </w:pPr>
          </w:p>
        </w:tc>
        <w:tc>
          <w:tcPr>
            <w:tcW w:w="1334" w:type="pct"/>
            <w:tcBorders>
              <w:top w:val="nil"/>
              <w:left w:val="single" w:sz="4" w:space="0" w:color="auto"/>
              <w:bottom w:val="nil"/>
              <w:right w:val="nil"/>
            </w:tcBorders>
          </w:tcPr>
          <w:p w14:paraId="27483742" w14:textId="77777777" w:rsidR="006E0BDB" w:rsidRPr="008550C6" w:rsidRDefault="006E0BDB" w:rsidP="00D62AD1">
            <w:pPr>
              <w:widowControl w:val="0"/>
              <w:autoSpaceDE w:val="0"/>
              <w:autoSpaceDN w:val="0"/>
              <w:adjustRightInd w:val="0"/>
              <w:jc w:val="center"/>
              <w:rPr>
                <w:sz w:val="22"/>
                <w:szCs w:val="22"/>
              </w:rPr>
            </w:pPr>
          </w:p>
        </w:tc>
        <w:tc>
          <w:tcPr>
            <w:tcW w:w="1334" w:type="pct"/>
            <w:tcBorders>
              <w:top w:val="nil"/>
              <w:left w:val="nil"/>
              <w:bottom w:val="nil"/>
              <w:right w:val="nil"/>
            </w:tcBorders>
          </w:tcPr>
          <w:p w14:paraId="187CA87C" w14:textId="77777777" w:rsidR="006E0BDB" w:rsidRPr="008550C6" w:rsidRDefault="006E0BDB" w:rsidP="00D62AD1">
            <w:pPr>
              <w:widowControl w:val="0"/>
              <w:autoSpaceDE w:val="0"/>
              <w:autoSpaceDN w:val="0"/>
              <w:adjustRightInd w:val="0"/>
              <w:jc w:val="center"/>
              <w:rPr>
                <w:sz w:val="22"/>
                <w:szCs w:val="22"/>
              </w:rPr>
            </w:pPr>
          </w:p>
        </w:tc>
      </w:tr>
      <w:tr w:rsidR="008550C6" w:rsidRPr="008550C6" w14:paraId="7EFD324C" w14:textId="77777777" w:rsidTr="006E0BDB">
        <w:tblPrEx>
          <w:tblBorders>
            <w:bottom w:val="single" w:sz="6" w:space="0" w:color="auto"/>
          </w:tblBorders>
        </w:tblPrEx>
        <w:tc>
          <w:tcPr>
            <w:tcW w:w="2332" w:type="pct"/>
            <w:tcBorders>
              <w:top w:val="nil"/>
              <w:left w:val="nil"/>
              <w:bottom w:val="nil"/>
              <w:right w:val="nil"/>
            </w:tcBorders>
          </w:tcPr>
          <w:p w14:paraId="30CC6DCF" w14:textId="77777777" w:rsidR="006E0BDB" w:rsidRPr="008550C6" w:rsidRDefault="006E0BDB" w:rsidP="00A96FAC">
            <w:pPr>
              <w:widowControl w:val="0"/>
              <w:autoSpaceDE w:val="0"/>
              <w:autoSpaceDN w:val="0"/>
              <w:adjustRightInd w:val="0"/>
              <w:rPr>
                <w:sz w:val="22"/>
                <w:szCs w:val="22"/>
              </w:rPr>
            </w:pPr>
            <w:r w:rsidRPr="008550C6">
              <w:rPr>
                <w:sz w:val="22"/>
                <w:szCs w:val="22"/>
              </w:rPr>
              <w:t>R-squared</w:t>
            </w:r>
          </w:p>
        </w:tc>
        <w:tc>
          <w:tcPr>
            <w:tcW w:w="1334" w:type="pct"/>
            <w:tcBorders>
              <w:top w:val="nil"/>
              <w:left w:val="single" w:sz="4" w:space="0" w:color="auto"/>
              <w:bottom w:val="nil"/>
              <w:right w:val="nil"/>
            </w:tcBorders>
          </w:tcPr>
          <w:p w14:paraId="2D9D5FD6" w14:textId="77777777" w:rsidR="006E0BDB" w:rsidRPr="008550C6" w:rsidRDefault="006E0BDB" w:rsidP="00A96FAC">
            <w:pPr>
              <w:widowControl w:val="0"/>
              <w:autoSpaceDE w:val="0"/>
              <w:autoSpaceDN w:val="0"/>
              <w:adjustRightInd w:val="0"/>
              <w:jc w:val="center"/>
              <w:rPr>
                <w:sz w:val="22"/>
                <w:szCs w:val="22"/>
              </w:rPr>
            </w:pPr>
            <w:r w:rsidRPr="008550C6">
              <w:rPr>
                <w:sz w:val="22"/>
                <w:szCs w:val="22"/>
              </w:rPr>
              <w:t>0.4537</w:t>
            </w:r>
          </w:p>
        </w:tc>
        <w:tc>
          <w:tcPr>
            <w:tcW w:w="1334" w:type="pct"/>
            <w:tcBorders>
              <w:top w:val="nil"/>
              <w:left w:val="nil"/>
              <w:bottom w:val="nil"/>
              <w:right w:val="nil"/>
            </w:tcBorders>
          </w:tcPr>
          <w:p w14:paraId="09727315" w14:textId="77777777" w:rsidR="006E0BDB" w:rsidRPr="008550C6" w:rsidRDefault="006E0BDB" w:rsidP="00A96FAC">
            <w:pPr>
              <w:widowControl w:val="0"/>
              <w:autoSpaceDE w:val="0"/>
              <w:autoSpaceDN w:val="0"/>
              <w:adjustRightInd w:val="0"/>
              <w:jc w:val="center"/>
              <w:rPr>
                <w:sz w:val="22"/>
                <w:szCs w:val="22"/>
              </w:rPr>
            </w:pPr>
            <w:r w:rsidRPr="008550C6">
              <w:rPr>
                <w:sz w:val="22"/>
                <w:szCs w:val="22"/>
              </w:rPr>
              <w:t>0.4530</w:t>
            </w:r>
          </w:p>
        </w:tc>
      </w:tr>
      <w:tr w:rsidR="008550C6" w:rsidRPr="008550C6" w14:paraId="099B3B82" w14:textId="77777777" w:rsidTr="006E0BDB">
        <w:tblPrEx>
          <w:tblBorders>
            <w:bottom w:val="single" w:sz="6" w:space="0" w:color="auto"/>
          </w:tblBorders>
        </w:tblPrEx>
        <w:tc>
          <w:tcPr>
            <w:tcW w:w="2332" w:type="pct"/>
            <w:tcBorders>
              <w:top w:val="nil"/>
              <w:left w:val="nil"/>
              <w:bottom w:val="nil"/>
              <w:right w:val="nil"/>
            </w:tcBorders>
          </w:tcPr>
          <w:p w14:paraId="1246D37C" w14:textId="77777777" w:rsidR="006E0BDB" w:rsidRPr="008550C6" w:rsidRDefault="006E0BDB" w:rsidP="00D62AD1">
            <w:pPr>
              <w:widowControl w:val="0"/>
              <w:autoSpaceDE w:val="0"/>
              <w:autoSpaceDN w:val="0"/>
              <w:adjustRightInd w:val="0"/>
              <w:rPr>
                <w:sz w:val="22"/>
                <w:szCs w:val="22"/>
              </w:rPr>
            </w:pPr>
            <w:r w:rsidRPr="008550C6">
              <w:rPr>
                <w:sz w:val="22"/>
                <w:szCs w:val="22"/>
              </w:rPr>
              <w:t>Observations</w:t>
            </w:r>
          </w:p>
        </w:tc>
        <w:tc>
          <w:tcPr>
            <w:tcW w:w="1334" w:type="pct"/>
            <w:tcBorders>
              <w:top w:val="nil"/>
              <w:left w:val="single" w:sz="4" w:space="0" w:color="auto"/>
              <w:bottom w:val="nil"/>
              <w:right w:val="nil"/>
            </w:tcBorders>
          </w:tcPr>
          <w:p w14:paraId="422BED63" w14:textId="77777777" w:rsidR="006E0BDB" w:rsidRPr="008550C6" w:rsidRDefault="006E0BDB" w:rsidP="00D62AD1">
            <w:pPr>
              <w:widowControl w:val="0"/>
              <w:autoSpaceDE w:val="0"/>
              <w:autoSpaceDN w:val="0"/>
              <w:adjustRightInd w:val="0"/>
              <w:jc w:val="center"/>
              <w:rPr>
                <w:sz w:val="22"/>
                <w:szCs w:val="22"/>
              </w:rPr>
            </w:pPr>
            <w:r w:rsidRPr="008550C6">
              <w:rPr>
                <w:sz w:val="22"/>
                <w:szCs w:val="22"/>
              </w:rPr>
              <w:t>2,499</w:t>
            </w:r>
          </w:p>
        </w:tc>
        <w:tc>
          <w:tcPr>
            <w:tcW w:w="1334" w:type="pct"/>
            <w:tcBorders>
              <w:top w:val="nil"/>
              <w:left w:val="nil"/>
              <w:bottom w:val="nil"/>
              <w:right w:val="nil"/>
            </w:tcBorders>
          </w:tcPr>
          <w:p w14:paraId="2A3ECD0A" w14:textId="77777777" w:rsidR="006E0BDB" w:rsidRPr="008550C6" w:rsidRDefault="006E0BDB" w:rsidP="00D62AD1">
            <w:pPr>
              <w:widowControl w:val="0"/>
              <w:autoSpaceDE w:val="0"/>
              <w:autoSpaceDN w:val="0"/>
              <w:adjustRightInd w:val="0"/>
              <w:jc w:val="center"/>
              <w:rPr>
                <w:sz w:val="22"/>
                <w:szCs w:val="22"/>
              </w:rPr>
            </w:pPr>
            <w:r w:rsidRPr="008550C6">
              <w:rPr>
                <w:sz w:val="22"/>
                <w:szCs w:val="22"/>
              </w:rPr>
              <w:t>2,499</w:t>
            </w:r>
          </w:p>
        </w:tc>
      </w:tr>
      <w:tr w:rsidR="008550C6" w:rsidRPr="008550C6" w14:paraId="39D89CEC" w14:textId="77777777" w:rsidTr="006E0BDB">
        <w:tblPrEx>
          <w:tblBorders>
            <w:bottom w:val="single" w:sz="6" w:space="0" w:color="auto"/>
          </w:tblBorders>
        </w:tblPrEx>
        <w:tc>
          <w:tcPr>
            <w:tcW w:w="2332" w:type="pct"/>
            <w:tcBorders>
              <w:top w:val="nil"/>
              <w:left w:val="nil"/>
              <w:bottom w:val="nil"/>
              <w:right w:val="nil"/>
            </w:tcBorders>
          </w:tcPr>
          <w:p w14:paraId="2F9FC204" w14:textId="2D6DD11D" w:rsidR="006E0BDB" w:rsidRPr="008550C6" w:rsidRDefault="006E0BDB" w:rsidP="000A78A2">
            <w:pPr>
              <w:widowControl w:val="0"/>
              <w:autoSpaceDE w:val="0"/>
              <w:autoSpaceDN w:val="0"/>
              <w:adjustRightInd w:val="0"/>
              <w:rPr>
                <w:sz w:val="22"/>
                <w:szCs w:val="22"/>
              </w:rPr>
            </w:pPr>
            <w:r w:rsidRPr="008550C6">
              <w:rPr>
                <w:sz w:val="22"/>
                <w:szCs w:val="22"/>
              </w:rPr>
              <w:t>Number of states</w:t>
            </w:r>
          </w:p>
        </w:tc>
        <w:tc>
          <w:tcPr>
            <w:tcW w:w="1334" w:type="pct"/>
            <w:tcBorders>
              <w:top w:val="nil"/>
              <w:left w:val="single" w:sz="4" w:space="0" w:color="auto"/>
              <w:bottom w:val="nil"/>
              <w:right w:val="nil"/>
            </w:tcBorders>
          </w:tcPr>
          <w:p w14:paraId="1EE2E401" w14:textId="68FC04B3" w:rsidR="006E0BDB" w:rsidRPr="008550C6" w:rsidRDefault="006E0BDB" w:rsidP="000A78A2">
            <w:pPr>
              <w:widowControl w:val="0"/>
              <w:autoSpaceDE w:val="0"/>
              <w:autoSpaceDN w:val="0"/>
              <w:adjustRightInd w:val="0"/>
              <w:jc w:val="center"/>
              <w:rPr>
                <w:sz w:val="22"/>
                <w:szCs w:val="22"/>
              </w:rPr>
            </w:pPr>
            <w:r w:rsidRPr="008550C6">
              <w:rPr>
                <w:sz w:val="22"/>
                <w:szCs w:val="22"/>
              </w:rPr>
              <w:t>51</w:t>
            </w:r>
          </w:p>
        </w:tc>
        <w:tc>
          <w:tcPr>
            <w:tcW w:w="1334" w:type="pct"/>
            <w:tcBorders>
              <w:top w:val="nil"/>
              <w:left w:val="nil"/>
              <w:bottom w:val="nil"/>
              <w:right w:val="nil"/>
            </w:tcBorders>
          </w:tcPr>
          <w:p w14:paraId="0151B7F5" w14:textId="274D2597" w:rsidR="006E0BDB" w:rsidRPr="008550C6" w:rsidRDefault="006E0BDB" w:rsidP="000A78A2">
            <w:pPr>
              <w:widowControl w:val="0"/>
              <w:autoSpaceDE w:val="0"/>
              <w:autoSpaceDN w:val="0"/>
              <w:adjustRightInd w:val="0"/>
              <w:jc w:val="center"/>
              <w:rPr>
                <w:sz w:val="22"/>
                <w:szCs w:val="22"/>
              </w:rPr>
            </w:pPr>
            <w:r w:rsidRPr="008550C6">
              <w:rPr>
                <w:sz w:val="22"/>
                <w:szCs w:val="22"/>
              </w:rPr>
              <w:t>51</w:t>
            </w:r>
          </w:p>
        </w:tc>
      </w:tr>
      <w:tr w:rsidR="008550C6" w:rsidRPr="008550C6" w14:paraId="504CA270" w14:textId="77777777" w:rsidTr="006E0BDB">
        <w:tblPrEx>
          <w:tblBorders>
            <w:bottom w:val="single" w:sz="6" w:space="0" w:color="auto"/>
          </w:tblBorders>
        </w:tblPrEx>
        <w:tc>
          <w:tcPr>
            <w:tcW w:w="2332" w:type="pct"/>
            <w:tcBorders>
              <w:top w:val="nil"/>
              <w:left w:val="nil"/>
              <w:bottom w:val="single" w:sz="6" w:space="0" w:color="auto"/>
              <w:right w:val="nil"/>
            </w:tcBorders>
          </w:tcPr>
          <w:p w14:paraId="3D6530C9" w14:textId="2A34DEC6" w:rsidR="006E0BDB" w:rsidRPr="008550C6" w:rsidRDefault="006E0BDB" w:rsidP="009B374F">
            <w:pPr>
              <w:widowControl w:val="0"/>
              <w:autoSpaceDE w:val="0"/>
              <w:autoSpaceDN w:val="0"/>
              <w:adjustRightInd w:val="0"/>
              <w:rPr>
                <w:sz w:val="22"/>
                <w:szCs w:val="22"/>
              </w:rPr>
            </w:pPr>
            <w:r w:rsidRPr="008550C6">
              <w:rPr>
                <w:sz w:val="22"/>
                <w:szCs w:val="22"/>
              </w:rPr>
              <w:t>Wald Chi 2 [p-value]</w:t>
            </w:r>
          </w:p>
        </w:tc>
        <w:tc>
          <w:tcPr>
            <w:tcW w:w="1334" w:type="pct"/>
            <w:tcBorders>
              <w:top w:val="nil"/>
              <w:left w:val="single" w:sz="4" w:space="0" w:color="auto"/>
              <w:bottom w:val="single" w:sz="6" w:space="0" w:color="auto"/>
              <w:right w:val="nil"/>
            </w:tcBorders>
          </w:tcPr>
          <w:p w14:paraId="6E0D5526" w14:textId="49530C00" w:rsidR="006E0BDB" w:rsidRPr="008550C6" w:rsidRDefault="006E0BDB" w:rsidP="009B374F">
            <w:pPr>
              <w:widowControl w:val="0"/>
              <w:autoSpaceDE w:val="0"/>
              <w:autoSpaceDN w:val="0"/>
              <w:adjustRightInd w:val="0"/>
              <w:jc w:val="center"/>
              <w:rPr>
                <w:sz w:val="22"/>
                <w:szCs w:val="22"/>
              </w:rPr>
            </w:pPr>
            <w:r w:rsidRPr="008550C6">
              <w:rPr>
                <w:sz w:val="22"/>
                <w:szCs w:val="22"/>
              </w:rPr>
              <w:t>0.000***</w:t>
            </w:r>
          </w:p>
        </w:tc>
        <w:tc>
          <w:tcPr>
            <w:tcW w:w="1334" w:type="pct"/>
            <w:tcBorders>
              <w:top w:val="nil"/>
              <w:left w:val="nil"/>
              <w:bottom w:val="single" w:sz="6" w:space="0" w:color="auto"/>
              <w:right w:val="nil"/>
            </w:tcBorders>
          </w:tcPr>
          <w:p w14:paraId="1088939C" w14:textId="12002D13" w:rsidR="006E0BDB" w:rsidRPr="008550C6" w:rsidRDefault="006E0BDB" w:rsidP="009B374F">
            <w:pPr>
              <w:widowControl w:val="0"/>
              <w:autoSpaceDE w:val="0"/>
              <w:autoSpaceDN w:val="0"/>
              <w:adjustRightInd w:val="0"/>
              <w:jc w:val="center"/>
              <w:rPr>
                <w:sz w:val="22"/>
                <w:szCs w:val="22"/>
              </w:rPr>
            </w:pPr>
            <w:r w:rsidRPr="008550C6">
              <w:rPr>
                <w:sz w:val="22"/>
                <w:szCs w:val="22"/>
              </w:rPr>
              <w:t>0.000***</w:t>
            </w:r>
          </w:p>
        </w:tc>
      </w:tr>
    </w:tbl>
    <w:p w14:paraId="23469623" w14:textId="02910312" w:rsidR="00B3500A" w:rsidRPr="00472A6C" w:rsidRDefault="00B3500A" w:rsidP="00472A6C">
      <w:pPr>
        <w:jc w:val="both"/>
        <w:rPr>
          <w:rFonts w:asciiTheme="majorBidi" w:hAnsiTheme="majorBidi" w:cstheme="majorBidi"/>
        </w:rPr>
      </w:pPr>
      <w:r w:rsidRPr="008550C6">
        <w:rPr>
          <w:rFonts w:asciiTheme="majorBidi" w:hAnsiTheme="majorBidi" w:cstheme="majorBidi"/>
          <w:i/>
          <w:iCs/>
          <w:sz w:val="18"/>
          <w:szCs w:val="18"/>
        </w:rPr>
        <w:t xml:space="preserve">Note: </w:t>
      </w:r>
      <w:r w:rsidRPr="00472A6C">
        <w:rPr>
          <w:rFonts w:asciiTheme="majorBidi" w:hAnsiTheme="majorBidi" w:cstheme="majorBidi"/>
          <w:sz w:val="18"/>
          <w:szCs w:val="18"/>
          <w:lang w:val="en-US" w:eastAsia="en-US"/>
          <w14:ligatures w14:val="standardContextual"/>
        </w:rPr>
        <w:t xml:space="preserve">This table reports regression results on the association between bootstrap variable return to scale efficiency score and other measures of US presidential elections following Spatial </w:t>
      </w:r>
      <w:r w:rsidR="00667BE2" w:rsidRPr="00472A6C">
        <w:rPr>
          <w:rFonts w:asciiTheme="majorBidi" w:hAnsiTheme="majorBidi" w:cstheme="majorBidi"/>
          <w:sz w:val="18"/>
          <w:szCs w:val="18"/>
          <w:lang w:val="en-US" w:eastAsia="en-US"/>
          <w14:ligatures w14:val="standardContextual"/>
        </w:rPr>
        <w:t>T</w:t>
      </w:r>
      <w:r w:rsidRPr="00472A6C">
        <w:rPr>
          <w:rFonts w:asciiTheme="majorBidi" w:hAnsiTheme="majorBidi" w:cstheme="majorBidi"/>
          <w:sz w:val="18"/>
          <w:szCs w:val="18"/>
          <w:lang w:val="en-US" w:eastAsia="en-US"/>
          <w14:ligatures w14:val="standardContextual"/>
        </w:rPr>
        <w:t xml:space="preserve">obit model (STM). </w:t>
      </w:r>
      <w:r w:rsidRPr="00472A6C">
        <w:rPr>
          <w:rFonts w:asciiTheme="majorBidi" w:hAnsiTheme="majorBidi" w:cstheme="majorBidi"/>
          <w:sz w:val="18"/>
          <w:szCs w:val="18"/>
        </w:rPr>
        <w:t xml:space="preserve">The variables’ coefficients and t-statistics (in brackets) are reported in the table; ***, **, * denote significance at the 1%, 5%, and 10% levels, respectively. </w:t>
      </w:r>
      <w:r w:rsidRPr="007E4ED2">
        <w:rPr>
          <w:rFonts w:asciiTheme="majorBidi" w:hAnsiTheme="majorBidi" w:cstheme="majorBidi"/>
          <w:i/>
          <w:iCs/>
          <w:sz w:val="18"/>
          <w:szCs w:val="18"/>
        </w:rPr>
        <w:t>LNPREDem</w:t>
      </w:r>
      <w:r w:rsidRPr="00472A6C">
        <w:rPr>
          <w:rFonts w:asciiTheme="majorBidi" w:hAnsiTheme="majorBidi" w:cstheme="majorBidi"/>
          <w:sz w:val="18"/>
          <w:szCs w:val="18"/>
        </w:rPr>
        <w:t xml:space="preserve">: Logarithm of the number of votes for the Democratic party in each state; </w:t>
      </w:r>
      <w:r w:rsidRPr="007E4ED2">
        <w:rPr>
          <w:rFonts w:asciiTheme="majorBidi" w:hAnsiTheme="majorBidi" w:cstheme="majorBidi"/>
          <w:i/>
          <w:iCs/>
          <w:sz w:val="18"/>
          <w:szCs w:val="18"/>
        </w:rPr>
        <w:t>PREDemRep</w:t>
      </w:r>
      <w:r w:rsidRPr="00472A6C">
        <w:rPr>
          <w:rFonts w:asciiTheme="majorBidi" w:hAnsiTheme="majorBidi" w:cstheme="majorBidi"/>
          <w:sz w:val="18"/>
          <w:szCs w:val="18"/>
        </w:rPr>
        <w:t>: Number of votes for the Democratic party over the number of votes for the Republican party</w:t>
      </w:r>
      <w:r w:rsidR="006E0BDB" w:rsidRPr="00472A6C">
        <w:rPr>
          <w:rFonts w:asciiTheme="majorBidi" w:hAnsiTheme="majorBidi" w:cstheme="majorBidi"/>
          <w:sz w:val="18"/>
          <w:szCs w:val="18"/>
        </w:rPr>
        <w:t>.</w:t>
      </w:r>
    </w:p>
    <w:p w14:paraId="56387C3E" w14:textId="77777777" w:rsidR="00B3500A" w:rsidRPr="008550C6" w:rsidRDefault="00B3500A" w:rsidP="00B3500A">
      <w:pPr>
        <w:jc w:val="both"/>
        <w:rPr>
          <w:b/>
          <w:bCs/>
          <w:sz w:val="22"/>
          <w:szCs w:val="22"/>
        </w:rPr>
      </w:pPr>
    </w:p>
    <w:p w14:paraId="00BF7777" w14:textId="77777777" w:rsidR="00C57AF6" w:rsidRPr="008550C6" w:rsidRDefault="00C57AF6" w:rsidP="00B3500A">
      <w:pPr>
        <w:jc w:val="both"/>
        <w:rPr>
          <w:b/>
          <w:bCs/>
          <w:sz w:val="22"/>
          <w:szCs w:val="22"/>
        </w:rPr>
      </w:pPr>
    </w:p>
    <w:p w14:paraId="35CD1D61" w14:textId="77777777" w:rsidR="00C57AF6" w:rsidRPr="008550C6" w:rsidRDefault="00C57AF6" w:rsidP="00B3500A">
      <w:pPr>
        <w:jc w:val="both"/>
        <w:rPr>
          <w:b/>
          <w:bCs/>
          <w:sz w:val="22"/>
          <w:szCs w:val="22"/>
        </w:rPr>
      </w:pPr>
    </w:p>
    <w:p w14:paraId="52608180" w14:textId="77777777" w:rsidR="00C57AF6" w:rsidRPr="008550C6" w:rsidRDefault="00C57AF6" w:rsidP="00B3500A">
      <w:pPr>
        <w:jc w:val="both"/>
        <w:rPr>
          <w:b/>
          <w:bCs/>
          <w:sz w:val="22"/>
          <w:szCs w:val="22"/>
        </w:rPr>
      </w:pPr>
    </w:p>
    <w:p w14:paraId="6353A7C0" w14:textId="77777777" w:rsidR="00C57AF6" w:rsidRPr="008550C6" w:rsidRDefault="00C57AF6" w:rsidP="00B3500A">
      <w:pPr>
        <w:jc w:val="both"/>
        <w:rPr>
          <w:b/>
          <w:bCs/>
          <w:sz w:val="22"/>
          <w:szCs w:val="22"/>
        </w:rPr>
      </w:pPr>
    </w:p>
    <w:p w14:paraId="0025A567" w14:textId="77777777" w:rsidR="00C57AF6" w:rsidRPr="008550C6" w:rsidRDefault="00C57AF6" w:rsidP="00B3500A">
      <w:pPr>
        <w:jc w:val="both"/>
        <w:rPr>
          <w:b/>
          <w:bCs/>
          <w:sz w:val="22"/>
          <w:szCs w:val="22"/>
        </w:rPr>
      </w:pPr>
    </w:p>
    <w:p w14:paraId="217D5047" w14:textId="77777777" w:rsidR="00C57AF6" w:rsidRPr="008550C6" w:rsidRDefault="00C57AF6" w:rsidP="00B3500A">
      <w:pPr>
        <w:jc w:val="both"/>
        <w:rPr>
          <w:b/>
          <w:bCs/>
          <w:sz w:val="22"/>
          <w:szCs w:val="22"/>
        </w:rPr>
      </w:pPr>
    </w:p>
    <w:p w14:paraId="6A796205" w14:textId="77777777" w:rsidR="00C57AF6" w:rsidRPr="008550C6" w:rsidRDefault="00C57AF6" w:rsidP="00B3500A">
      <w:pPr>
        <w:jc w:val="both"/>
        <w:rPr>
          <w:b/>
          <w:bCs/>
          <w:sz w:val="22"/>
          <w:szCs w:val="22"/>
        </w:rPr>
      </w:pPr>
    </w:p>
    <w:p w14:paraId="4A0413BA" w14:textId="77777777" w:rsidR="00C57AF6" w:rsidRPr="008550C6" w:rsidRDefault="00C57AF6" w:rsidP="00B3500A">
      <w:pPr>
        <w:jc w:val="both"/>
        <w:rPr>
          <w:b/>
          <w:bCs/>
          <w:sz w:val="22"/>
          <w:szCs w:val="22"/>
        </w:rPr>
      </w:pPr>
    </w:p>
    <w:p w14:paraId="50EB0A11" w14:textId="77777777" w:rsidR="00C57AF6" w:rsidRPr="008550C6" w:rsidRDefault="00C57AF6" w:rsidP="00B3500A">
      <w:pPr>
        <w:jc w:val="both"/>
        <w:rPr>
          <w:b/>
          <w:bCs/>
          <w:sz w:val="22"/>
          <w:szCs w:val="22"/>
        </w:rPr>
      </w:pPr>
    </w:p>
    <w:p w14:paraId="3CFB7B88" w14:textId="77777777" w:rsidR="00C57AF6" w:rsidRPr="008550C6" w:rsidRDefault="00C57AF6" w:rsidP="00B3500A">
      <w:pPr>
        <w:jc w:val="both"/>
        <w:rPr>
          <w:b/>
          <w:bCs/>
          <w:sz w:val="22"/>
          <w:szCs w:val="22"/>
        </w:rPr>
      </w:pPr>
    </w:p>
    <w:p w14:paraId="35022680" w14:textId="77777777" w:rsidR="00C57AF6" w:rsidRPr="008550C6" w:rsidRDefault="00C57AF6" w:rsidP="00B3500A">
      <w:pPr>
        <w:jc w:val="both"/>
        <w:rPr>
          <w:b/>
          <w:bCs/>
          <w:sz w:val="22"/>
          <w:szCs w:val="22"/>
        </w:rPr>
      </w:pPr>
    </w:p>
    <w:p w14:paraId="435D53CA" w14:textId="77777777" w:rsidR="00C57AF6" w:rsidRPr="008550C6" w:rsidRDefault="00C57AF6" w:rsidP="00B3500A">
      <w:pPr>
        <w:jc w:val="both"/>
        <w:rPr>
          <w:b/>
          <w:bCs/>
          <w:sz w:val="22"/>
          <w:szCs w:val="22"/>
        </w:rPr>
      </w:pPr>
    </w:p>
    <w:p w14:paraId="17F529BC" w14:textId="77777777" w:rsidR="00C57AF6" w:rsidRPr="008550C6" w:rsidRDefault="00C57AF6" w:rsidP="00B3500A">
      <w:pPr>
        <w:jc w:val="both"/>
        <w:rPr>
          <w:b/>
          <w:bCs/>
          <w:sz w:val="22"/>
          <w:szCs w:val="22"/>
        </w:rPr>
      </w:pPr>
    </w:p>
    <w:p w14:paraId="727A9398" w14:textId="77777777" w:rsidR="00C57AF6" w:rsidRPr="008550C6" w:rsidRDefault="00C57AF6" w:rsidP="00B3500A">
      <w:pPr>
        <w:jc w:val="both"/>
        <w:rPr>
          <w:b/>
          <w:bCs/>
          <w:sz w:val="22"/>
          <w:szCs w:val="22"/>
        </w:rPr>
      </w:pPr>
    </w:p>
    <w:p w14:paraId="3CF3F2B1" w14:textId="77777777" w:rsidR="006E0BDB" w:rsidRPr="008550C6" w:rsidRDefault="006E0BDB" w:rsidP="00B3500A">
      <w:pPr>
        <w:jc w:val="both"/>
        <w:rPr>
          <w:b/>
          <w:bCs/>
          <w:sz w:val="22"/>
          <w:szCs w:val="22"/>
        </w:rPr>
      </w:pPr>
    </w:p>
    <w:p w14:paraId="50D0BB69" w14:textId="77777777" w:rsidR="006E0BDB" w:rsidRPr="008550C6" w:rsidRDefault="006E0BDB" w:rsidP="00B3500A">
      <w:pPr>
        <w:jc w:val="both"/>
        <w:rPr>
          <w:b/>
          <w:bCs/>
          <w:sz w:val="22"/>
          <w:szCs w:val="22"/>
        </w:rPr>
      </w:pPr>
    </w:p>
    <w:p w14:paraId="54CC7295" w14:textId="77777777" w:rsidR="00C57AF6" w:rsidRPr="008550C6" w:rsidRDefault="00C57AF6" w:rsidP="00B3500A">
      <w:pPr>
        <w:jc w:val="both"/>
        <w:rPr>
          <w:b/>
          <w:bCs/>
          <w:sz w:val="22"/>
          <w:szCs w:val="22"/>
        </w:rPr>
      </w:pPr>
    </w:p>
    <w:p w14:paraId="4550947F" w14:textId="77777777" w:rsidR="00C57AF6" w:rsidRPr="008550C6" w:rsidRDefault="00C57AF6" w:rsidP="00B3500A">
      <w:pPr>
        <w:jc w:val="both"/>
        <w:rPr>
          <w:b/>
          <w:bCs/>
          <w:sz w:val="22"/>
          <w:szCs w:val="22"/>
        </w:rPr>
      </w:pPr>
    </w:p>
    <w:p w14:paraId="03F4F92E" w14:textId="77777777" w:rsidR="00C57AF6" w:rsidRPr="008550C6" w:rsidRDefault="00C57AF6" w:rsidP="00B3500A">
      <w:pPr>
        <w:jc w:val="both"/>
        <w:rPr>
          <w:b/>
          <w:bCs/>
          <w:sz w:val="22"/>
          <w:szCs w:val="22"/>
        </w:rPr>
      </w:pPr>
    </w:p>
    <w:p w14:paraId="19B207CF" w14:textId="77777777" w:rsidR="00C57AF6" w:rsidRPr="008550C6" w:rsidRDefault="00C57AF6" w:rsidP="00B3500A">
      <w:pPr>
        <w:jc w:val="both"/>
        <w:rPr>
          <w:b/>
          <w:bCs/>
          <w:sz w:val="22"/>
          <w:szCs w:val="22"/>
        </w:rPr>
      </w:pPr>
    </w:p>
    <w:p w14:paraId="384BA71E" w14:textId="77777777" w:rsidR="0017197F" w:rsidRPr="008550C6" w:rsidRDefault="0017197F" w:rsidP="00B3500A">
      <w:pPr>
        <w:jc w:val="both"/>
        <w:rPr>
          <w:b/>
          <w:bCs/>
          <w:sz w:val="22"/>
          <w:szCs w:val="22"/>
        </w:rPr>
      </w:pPr>
    </w:p>
    <w:p w14:paraId="2AE97351" w14:textId="77777777" w:rsidR="0017197F" w:rsidRPr="008550C6" w:rsidRDefault="0017197F" w:rsidP="00B3500A">
      <w:pPr>
        <w:jc w:val="both"/>
        <w:rPr>
          <w:b/>
          <w:bCs/>
          <w:sz w:val="22"/>
          <w:szCs w:val="22"/>
        </w:rPr>
      </w:pPr>
    </w:p>
    <w:p w14:paraId="4D002D5F" w14:textId="77777777" w:rsidR="00C57AF6" w:rsidRPr="008550C6" w:rsidRDefault="00C57AF6" w:rsidP="00B3500A">
      <w:pPr>
        <w:jc w:val="both"/>
        <w:rPr>
          <w:b/>
          <w:bCs/>
          <w:sz w:val="22"/>
          <w:szCs w:val="22"/>
        </w:rPr>
      </w:pPr>
    </w:p>
    <w:p w14:paraId="23D672C1" w14:textId="77777777" w:rsidR="00C57AF6" w:rsidRPr="008550C6" w:rsidRDefault="00C57AF6" w:rsidP="00B3500A">
      <w:pPr>
        <w:jc w:val="both"/>
        <w:rPr>
          <w:b/>
          <w:bCs/>
          <w:sz w:val="22"/>
          <w:szCs w:val="22"/>
        </w:rPr>
      </w:pPr>
    </w:p>
    <w:p w14:paraId="50034BA3" w14:textId="533CC038" w:rsidR="00B3500A" w:rsidRPr="008550C6" w:rsidRDefault="008550C6" w:rsidP="00B3500A">
      <w:pPr>
        <w:jc w:val="both"/>
        <w:rPr>
          <w:b/>
          <w:bCs/>
          <w:sz w:val="22"/>
          <w:szCs w:val="22"/>
        </w:rPr>
      </w:pPr>
      <w:r w:rsidRPr="008550C6">
        <w:rPr>
          <w:b/>
          <w:bCs/>
          <w:sz w:val="22"/>
          <w:szCs w:val="22"/>
        </w:rPr>
        <w:t>TABLE</w:t>
      </w:r>
      <w:r w:rsidR="00B3500A" w:rsidRPr="008550C6">
        <w:rPr>
          <w:b/>
          <w:bCs/>
          <w:sz w:val="22"/>
          <w:szCs w:val="22"/>
        </w:rPr>
        <w:t xml:space="preserve"> 1</w:t>
      </w:r>
      <w:r w:rsidR="000B2614" w:rsidRPr="008550C6">
        <w:rPr>
          <w:b/>
          <w:bCs/>
          <w:sz w:val="22"/>
          <w:szCs w:val="22"/>
        </w:rPr>
        <w:t>0</w:t>
      </w:r>
    </w:p>
    <w:p w14:paraId="29798262" w14:textId="789D0544" w:rsidR="00B3500A" w:rsidRPr="008550C6" w:rsidRDefault="00B3500A" w:rsidP="00B3500A">
      <w:pPr>
        <w:jc w:val="both"/>
        <w:rPr>
          <w:sz w:val="22"/>
          <w:szCs w:val="22"/>
        </w:rPr>
      </w:pPr>
      <w:r w:rsidRPr="008550C6">
        <w:rPr>
          <w:sz w:val="22"/>
          <w:szCs w:val="22"/>
        </w:rPr>
        <w:t>Additional tests with the changes from voters on party when bootstrap variable return to scale (VRS) is the dependent variable.</w:t>
      </w:r>
    </w:p>
    <w:tbl>
      <w:tblPr>
        <w:tblW w:w="5000" w:type="pct"/>
        <w:tblCellMar>
          <w:left w:w="75" w:type="dxa"/>
          <w:right w:w="75" w:type="dxa"/>
        </w:tblCellMar>
        <w:tblLook w:val="0000" w:firstRow="0" w:lastRow="0" w:firstColumn="0" w:lastColumn="0" w:noHBand="0" w:noVBand="0"/>
      </w:tblPr>
      <w:tblGrid>
        <w:gridCol w:w="3508"/>
        <w:gridCol w:w="2879"/>
        <w:gridCol w:w="2639"/>
      </w:tblGrid>
      <w:tr w:rsidR="008550C6" w:rsidRPr="007E3420" w14:paraId="28466553" w14:textId="77777777" w:rsidTr="00D62AD1">
        <w:tc>
          <w:tcPr>
            <w:tcW w:w="1943" w:type="pct"/>
            <w:tcBorders>
              <w:top w:val="single" w:sz="6" w:space="0" w:color="auto"/>
              <w:left w:val="nil"/>
              <w:bottom w:val="nil"/>
              <w:right w:val="nil"/>
            </w:tcBorders>
          </w:tcPr>
          <w:p w14:paraId="3571290C" w14:textId="77777777" w:rsidR="00B3500A" w:rsidRPr="007E3420" w:rsidRDefault="00B3500A" w:rsidP="00D62AD1">
            <w:pPr>
              <w:widowControl w:val="0"/>
              <w:autoSpaceDE w:val="0"/>
              <w:autoSpaceDN w:val="0"/>
              <w:adjustRightInd w:val="0"/>
              <w:rPr>
                <w:b/>
                <w:bCs/>
                <w:sz w:val="22"/>
                <w:szCs w:val="22"/>
              </w:rPr>
            </w:pPr>
          </w:p>
        </w:tc>
        <w:tc>
          <w:tcPr>
            <w:tcW w:w="1595" w:type="pct"/>
            <w:tcBorders>
              <w:top w:val="single" w:sz="6" w:space="0" w:color="auto"/>
              <w:left w:val="single" w:sz="4" w:space="0" w:color="auto"/>
              <w:bottom w:val="nil"/>
              <w:right w:val="nil"/>
            </w:tcBorders>
          </w:tcPr>
          <w:p w14:paraId="5140898D" w14:textId="77777777" w:rsidR="00B3500A" w:rsidRPr="007E3420" w:rsidRDefault="00B3500A" w:rsidP="00D62AD1">
            <w:pPr>
              <w:widowControl w:val="0"/>
              <w:autoSpaceDE w:val="0"/>
              <w:autoSpaceDN w:val="0"/>
              <w:adjustRightInd w:val="0"/>
              <w:jc w:val="center"/>
              <w:rPr>
                <w:b/>
                <w:bCs/>
                <w:sz w:val="22"/>
                <w:szCs w:val="22"/>
              </w:rPr>
            </w:pPr>
            <w:r w:rsidRPr="007E3420">
              <w:rPr>
                <w:b/>
                <w:bCs/>
                <w:sz w:val="22"/>
                <w:szCs w:val="22"/>
              </w:rPr>
              <w:t>(1)</w:t>
            </w:r>
          </w:p>
        </w:tc>
        <w:tc>
          <w:tcPr>
            <w:tcW w:w="1462" w:type="pct"/>
            <w:tcBorders>
              <w:top w:val="single" w:sz="6" w:space="0" w:color="auto"/>
              <w:left w:val="nil"/>
              <w:bottom w:val="nil"/>
              <w:right w:val="nil"/>
            </w:tcBorders>
          </w:tcPr>
          <w:p w14:paraId="33E9B80C" w14:textId="77777777" w:rsidR="00B3500A" w:rsidRPr="007E3420" w:rsidRDefault="00B3500A" w:rsidP="00D62AD1">
            <w:pPr>
              <w:widowControl w:val="0"/>
              <w:autoSpaceDE w:val="0"/>
              <w:autoSpaceDN w:val="0"/>
              <w:adjustRightInd w:val="0"/>
              <w:jc w:val="center"/>
              <w:rPr>
                <w:b/>
                <w:bCs/>
                <w:sz w:val="22"/>
                <w:szCs w:val="22"/>
              </w:rPr>
            </w:pPr>
            <w:r w:rsidRPr="007E3420">
              <w:rPr>
                <w:b/>
                <w:bCs/>
                <w:sz w:val="22"/>
                <w:szCs w:val="22"/>
              </w:rPr>
              <w:t>(2)</w:t>
            </w:r>
          </w:p>
        </w:tc>
      </w:tr>
      <w:tr w:rsidR="008550C6" w:rsidRPr="007E3420" w14:paraId="6DF08CD3" w14:textId="77777777" w:rsidTr="00D62AD1">
        <w:tc>
          <w:tcPr>
            <w:tcW w:w="1943" w:type="pct"/>
            <w:tcBorders>
              <w:top w:val="nil"/>
              <w:left w:val="nil"/>
              <w:bottom w:val="single" w:sz="6" w:space="0" w:color="auto"/>
              <w:right w:val="nil"/>
            </w:tcBorders>
          </w:tcPr>
          <w:p w14:paraId="2FA9E723" w14:textId="77777777" w:rsidR="00B3500A" w:rsidRPr="007E3420" w:rsidRDefault="00B3500A" w:rsidP="00D62AD1">
            <w:pPr>
              <w:widowControl w:val="0"/>
              <w:autoSpaceDE w:val="0"/>
              <w:autoSpaceDN w:val="0"/>
              <w:adjustRightInd w:val="0"/>
              <w:rPr>
                <w:b/>
                <w:bCs/>
                <w:sz w:val="22"/>
                <w:szCs w:val="22"/>
              </w:rPr>
            </w:pPr>
            <w:r w:rsidRPr="007E3420">
              <w:rPr>
                <w:b/>
                <w:bCs/>
                <w:sz w:val="22"/>
                <w:szCs w:val="22"/>
              </w:rPr>
              <w:t>VARIABLES</w:t>
            </w:r>
          </w:p>
        </w:tc>
        <w:tc>
          <w:tcPr>
            <w:tcW w:w="1595" w:type="pct"/>
            <w:tcBorders>
              <w:top w:val="nil"/>
              <w:left w:val="single" w:sz="4" w:space="0" w:color="auto"/>
              <w:bottom w:val="single" w:sz="6" w:space="0" w:color="auto"/>
              <w:right w:val="nil"/>
            </w:tcBorders>
          </w:tcPr>
          <w:p w14:paraId="2414F638" w14:textId="03EC6DD9" w:rsidR="00B3500A" w:rsidRPr="007E3420" w:rsidRDefault="00727C99" w:rsidP="00D62AD1">
            <w:pPr>
              <w:widowControl w:val="0"/>
              <w:autoSpaceDE w:val="0"/>
              <w:autoSpaceDN w:val="0"/>
              <w:adjustRightInd w:val="0"/>
              <w:jc w:val="center"/>
              <w:rPr>
                <w:b/>
                <w:bCs/>
                <w:sz w:val="22"/>
                <w:szCs w:val="22"/>
              </w:rPr>
            </w:pPr>
            <w:r w:rsidRPr="007E3420">
              <w:rPr>
                <w:b/>
                <w:bCs/>
                <w:sz w:val="22"/>
                <w:szCs w:val="22"/>
              </w:rPr>
              <w:t>VRS</w:t>
            </w:r>
          </w:p>
        </w:tc>
        <w:tc>
          <w:tcPr>
            <w:tcW w:w="1462" w:type="pct"/>
            <w:tcBorders>
              <w:top w:val="nil"/>
              <w:left w:val="nil"/>
              <w:bottom w:val="single" w:sz="6" w:space="0" w:color="auto"/>
              <w:right w:val="nil"/>
            </w:tcBorders>
          </w:tcPr>
          <w:p w14:paraId="53368747" w14:textId="6F3D5D83" w:rsidR="00B3500A" w:rsidRPr="007E3420" w:rsidRDefault="00727C99" w:rsidP="00D62AD1">
            <w:pPr>
              <w:widowControl w:val="0"/>
              <w:autoSpaceDE w:val="0"/>
              <w:autoSpaceDN w:val="0"/>
              <w:adjustRightInd w:val="0"/>
              <w:jc w:val="center"/>
              <w:rPr>
                <w:b/>
                <w:bCs/>
                <w:sz w:val="22"/>
                <w:szCs w:val="22"/>
              </w:rPr>
            </w:pPr>
            <w:r w:rsidRPr="007E3420">
              <w:rPr>
                <w:b/>
                <w:bCs/>
                <w:sz w:val="22"/>
                <w:szCs w:val="22"/>
              </w:rPr>
              <w:t>VRS</w:t>
            </w:r>
          </w:p>
        </w:tc>
      </w:tr>
      <w:tr w:rsidR="008550C6" w:rsidRPr="008550C6" w14:paraId="0DA8F98E" w14:textId="77777777" w:rsidTr="00D62AD1">
        <w:tc>
          <w:tcPr>
            <w:tcW w:w="1943" w:type="pct"/>
            <w:tcBorders>
              <w:top w:val="nil"/>
              <w:left w:val="nil"/>
              <w:bottom w:val="nil"/>
              <w:right w:val="nil"/>
            </w:tcBorders>
          </w:tcPr>
          <w:p w14:paraId="40577948" w14:textId="77777777" w:rsidR="00B3500A" w:rsidRPr="008550C6" w:rsidRDefault="00B3500A" w:rsidP="00D62AD1">
            <w:pPr>
              <w:widowControl w:val="0"/>
              <w:autoSpaceDE w:val="0"/>
              <w:autoSpaceDN w:val="0"/>
              <w:adjustRightInd w:val="0"/>
              <w:rPr>
                <w:sz w:val="22"/>
                <w:szCs w:val="22"/>
              </w:rPr>
            </w:pPr>
          </w:p>
        </w:tc>
        <w:tc>
          <w:tcPr>
            <w:tcW w:w="1595" w:type="pct"/>
            <w:tcBorders>
              <w:top w:val="nil"/>
              <w:left w:val="single" w:sz="4" w:space="0" w:color="auto"/>
              <w:bottom w:val="nil"/>
              <w:right w:val="nil"/>
            </w:tcBorders>
          </w:tcPr>
          <w:p w14:paraId="76D49818" w14:textId="77777777" w:rsidR="00B3500A" w:rsidRPr="008550C6" w:rsidRDefault="00B3500A" w:rsidP="00D62AD1">
            <w:pPr>
              <w:widowControl w:val="0"/>
              <w:autoSpaceDE w:val="0"/>
              <w:autoSpaceDN w:val="0"/>
              <w:adjustRightInd w:val="0"/>
              <w:jc w:val="center"/>
              <w:rPr>
                <w:sz w:val="22"/>
                <w:szCs w:val="22"/>
              </w:rPr>
            </w:pPr>
          </w:p>
        </w:tc>
        <w:tc>
          <w:tcPr>
            <w:tcW w:w="1462" w:type="pct"/>
            <w:tcBorders>
              <w:top w:val="nil"/>
              <w:left w:val="nil"/>
              <w:bottom w:val="nil"/>
              <w:right w:val="nil"/>
            </w:tcBorders>
          </w:tcPr>
          <w:p w14:paraId="54DBC1DC" w14:textId="77777777" w:rsidR="00B3500A" w:rsidRPr="008550C6" w:rsidRDefault="00B3500A" w:rsidP="00D62AD1">
            <w:pPr>
              <w:widowControl w:val="0"/>
              <w:autoSpaceDE w:val="0"/>
              <w:autoSpaceDN w:val="0"/>
              <w:adjustRightInd w:val="0"/>
              <w:jc w:val="center"/>
              <w:rPr>
                <w:sz w:val="22"/>
                <w:szCs w:val="22"/>
              </w:rPr>
            </w:pPr>
          </w:p>
        </w:tc>
      </w:tr>
      <w:tr w:rsidR="008550C6" w:rsidRPr="007E4ED2" w14:paraId="7BA8D607" w14:textId="77777777" w:rsidTr="00D62AD1">
        <w:tc>
          <w:tcPr>
            <w:tcW w:w="1943" w:type="pct"/>
            <w:tcBorders>
              <w:top w:val="nil"/>
              <w:left w:val="nil"/>
              <w:bottom w:val="nil"/>
              <w:right w:val="nil"/>
            </w:tcBorders>
          </w:tcPr>
          <w:p w14:paraId="267A6DE4" w14:textId="77777777" w:rsidR="00B3500A" w:rsidRPr="007E4ED2" w:rsidRDefault="00B3500A" w:rsidP="00D62AD1">
            <w:pPr>
              <w:widowControl w:val="0"/>
              <w:autoSpaceDE w:val="0"/>
              <w:autoSpaceDN w:val="0"/>
              <w:adjustRightInd w:val="0"/>
              <w:rPr>
                <w:sz w:val="22"/>
                <w:szCs w:val="22"/>
              </w:rPr>
            </w:pPr>
            <w:r w:rsidRPr="007E4ED2">
              <w:rPr>
                <w:sz w:val="22"/>
                <w:szCs w:val="22"/>
              </w:rPr>
              <w:t>SChange</w:t>
            </w:r>
          </w:p>
        </w:tc>
        <w:tc>
          <w:tcPr>
            <w:tcW w:w="1595" w:type="pct"/>
            <w:tcBorders>
              <w:top w:val="nil"/>
              <w:left w:val="single" w:sz="4" w:space="0" w:color="auto"/>
              <w:bottom w:val="nil"/>
              <w:right w:val="nil"/>
            </w:tcBorders>
          </w:tcPr>
          <w:p w14:paraId="41D68B3C" w14:textId="11EE1406" w:rsidR="00B3500A" w:rsidRPr="007E4ED2" w:rsidRDefault="00B3500A" w:rsidP="00D62AD1">
            <w:pPr>
              <w:widowControl w:val="0"/>
              <w:autoSpaceDE w:val="0"/>
              <w:autoSpaceDN w:val="0"/>
              <w:adjustRightInd w:val="0"/>
              <w:jc w:val="center"/>
              <w:rPr>
                <w:sz w:val="22"/>
                <w:szCs w:val="22"/>
              </w:rPr>
            </w:pPr>
            <w:r w:rsidRPr="007E4ED2">
              <w:rPr>
                <w:sz w:val="22"/>
                <w:szCs w:val="22"/>
              </w:rPr>
              <w:t>0.01</w:t>
            </w:r>
            <w:r w:rsidR="003C5EC7" w:rsidRPr="007E4ED2">
              <w:rPr>
                <w:sz w:val="22"/>
                <w:szCs w:val="22"/>
              </w:rPr>
              <w:t>69</w:t>
            </w:r>
            <w:r w:rsidRPr="007E4ED2">
              <w:rPr>
                <w:sz w:val="22"/>
                <w:szCs w:val="22"/>
              </w:rPr>
              <w:t>*</w:t>
            </w:r>
            <w:r w:rsidR="003C5EC7" w:rsidRPr="007E4ED2">
              <w:rPr>
                <w:sz w:val="22"/>
                <w:szCs w:val="22"/>
              </w:rPr>
              <w:t>*</w:t>
            </w:r>
          </w:p>
        </w:tc>
        <w:tc>
          <w:tcPr>
            <w:tcW w:w="1462" w:type="pct"/>
            <w:tcBorders>
              <w:top w:val="nil"/>
              <w:left w:val="nil"/>
              <w:bottom w:val="nil"/>
              <w:right w:val="nil"/>
            </w:tcBorders>
          </w:tcPr>
          <w:p w14:paraId="5EA85A9B" w14:textId="77777777" w:rsidR="00B3500A" w:rsidRPr="007E4ED2" w:rsidRDefault="00B3500A" w:rsidP="00D62AD1">
            <w:pPr>
              <w:widowControl w:val="0"/>
              <w:autoSpaceDE w:val="0"/>
              <w:autoSpaceDN w:val="0"/>
              <w:adjustRightInd w:val="0"/>
              <w:jc w:val="center"/>
              <w:rPr>
                <w:sz w:val="22"/>
                <w:szCs w:val="22"/>
              </w:rPr>
            </w:pPr>
          </w:p>
        </w:tc>
      </w:tr>
      <w:tr w:rsidR="008550C6" w:rsidRPr="007E4ED2" w14:paraId="3E568BE1" w14:textId="77777777" w:rsidTr="00D62AD1">
        <w:tc>
          <w:tcPr>
            <w:tcW w:w="1943" w:type="pct"/>
            <w:tcBorders>
              <w:top w:val="nil"/>
              <w:left w:val="nil"/>
              <w:bottom w:val="nil"/>
              <w:right w:val="nil"/>
            </w:tcBorders>
          </w:tcPr>
          <w:p w14:paraId="1727D610" w14:textId="77777777" w:rsidR="00B3500A" w:rsidRPr="007E4ED2" w:rsidRDefault="00B3500A" w:rsidP="00D62AD1">
            <w:pPr>
              <w:widowControl w:val="0"/>
              <w:autoSpaceDE w:val="0"/>
              <w:autoSpaceDN w:val="0"/>
              <w:adjustRightInd w:val="0"/>
              <w:rPr>
                <w:sz w:val="22"/>
                <w:szCs w:val="22"/>
              </w:rPr>
            </w:pPr>
          </w:p>
        </w:tc>
        <w:tc>
          <w:tcPr>
            <w:tcW w:w="1595" w:type="pct"/>
            <w:tcBorders>
              <w:top w:val="nil"/>
              <w:left w:val="single" w:sz="4" w:space="0" w:color="auto"/>
              <w:bottom w:val="nil"/>
              <w:right w:val="nil"/>
            </w:tcBorders>
          </w:tcPr>
          <w:p w14:paraId="6E4BDFAD" w14:textId="08FAA08E" w:rsidR="00B3500A" w:rsidRPr="007E4ED2" w:rsidRDefault="00B3500A" w:rsidP="00D62AD1">
            <w:pPr>
              <w:widowControl w:val="0"/>
              <w:autoSpaceDE w:val="0"/>
              <w:autoSpaceDN w:val="0"/>
              <w:adjustRightInd w:val="0"/>
              <w:jc w:val="center"/>
              <w:rPr>
                <w:sz w:val="22"/>
                <w:szCs w:val="22"/>
              </w:rPr>
            </w:pPr>
            <w:r w:rsidRPr="007E4ED2">
              <w:rPr>
                <w:sz w:val="22"/>
                <w:szCs w:val="22"/>
              </w:rPr>
              <w:t>(</w:t>
            </w:r>
            <w:r w:rsidR="003C5EC7" w:rsidRPr="007E4ED2">
              <w:rPr>
                <w:sz w:val="22"/>
                <w:szCs w:val="22"/>
              </w:rPr>
              <w:t>2.09</w:t>
            </w:r>
            <w:r w:rsidRPr="007E4ED2">
              <w:rPr>
                <w:sz w:val="22"/>
                <w:szCs w:val="22"/>
              </w:rPr>
              <w:t xml:space="preserve">)   </w:t>
            </w:r>
          </w:p>
        </w:tc>
        <w:tc>
          <w:tcPr>
            <w:tcW w:w="1462" w:type="pct"/>
            <w:tcBorders>
              <w:top w:val="nil"/>
              <w:left w:val="nil"/>
              <w:bottom w:val="nil"/>
              <w:right w:val="nil"/>
            </w:tcBorders>
          </w:tcPr>
          <w:p w14:paraId="6FD0F511" w14:textId="77777777" w:rsidR="00B3500A" w:rsidRPr="007E4ED2" w:rsidRDefault="00B3500A" w:rsidP="00D62AD1">
            <w:pPr>
              <w:widowControl w:val="0"/>
              <w:autoSpaceDE w:val="0"/>
              <w:autoSpaceDN w:val="0"/>
              <w:adjustRightInd w:val="0"/>
              <w:jc w:val="center"/>
              <w:rPr>
                <w:sz w:val="22"/>
                <w:szCs w:val="22"/>
              </w:rPr>
            </w:pPr>
          </w:p>
        </w:tc>
      </w:tr>
      <w:tr w:rsidR="008550C6" w:rsidRPr="007E4ED2" w14:paraId="4B3B3EC9" w14:textId="77777777" w:rsidTr="00D62AD1">
        <w:tc>
          <w:tcPr>
            <w:tcW w:w="1943" w:type="pct"/>
            <w:tcBorders>
              <w:top w:val="nil"/>
              <w:left w:val="nil"/>
              <w:bottom w:val="nil"/>
              <w:right w:val="nil"/>
            </w:tcBorders>
          </w:tcPr>
          <w:p w14:paraId="19411693" w14:textId="77777777" w:rsidR="00B3500A" w:rsidRPr="007E4ED2" w:rsidRDefault="00B3500A" w:rsidP="00D62AD1">
            <w:pPr>
              <w:widowControl w:val="0"/>
              <w:autoSpaceDE w:val="0"/>
              <w:autoSpaceDN w:val="0"/>
              <w:adjustRightInd w:val="0"/>
              <w:rPr>
                <w:sz w:val="22"/>
                <w:szCs w:val="22"/>
              </w:rPr>
            </w:pPr>
            <w:r w:rsidRPr="007E4ED2">
              <w:rPr>
                <w:sz w:val="22"/>
                <w:szCs w:val="22"/>
              </w:rPr>
              <w:t>NChange</w:t>
            </w:r>
          </w:p>
        </w:tc>
        <w:tc>
          <w:tcPr>
            <w:tcW w:w="1595" w:type="pct"/>
            <w:tcBorders>
              <w:top w:val="nil"/>
              <w:left w:val="single" w:sz="4" w:space="0" w:color="auto"/>
              <w:bottom w:val="nil"/>
              <w:right w:val="nil"/>
            </w:tcBorders>
          </w:tcPr>
          <w:p w14:paraId="710BC517" w14:textId="77777777" w:rsidR="00B3500A" w:rsidRPr="007E4ED2" w:rsidRDefault="00B3500A" w:rsidP="00D62AD1">
            <w:pPr>
              <w:widowControl w:val="0"/>
              <w:autoSpaceDE w:val="0"/>
              <w:autoSpaceDN w:val="0"/>
              <w:adjustRightInd w:val="0"/>
              <w:jc w:val="center"/>
              <w:rPr>
                <w:sz w:val="22"/>
                <w:szCs w:val="22"/>
              </w:rPr>
            </w:pPr>
          </w:p>
        </w:tc>
        <w:tc>
          <w:tcPr>
            <w:tcW w:w="1462" w:type="pct"/>
            <w:tcBorders>
              <w:top w:val="nil"/>
              <w:left w:val="nil"/>
              <w:bottom w:val="nil"/>
              <w:right w:val="nil"/>
            </w:tcBorders>
          </w:tcPr>
          <w:p w14:paraId="6B94EC54" w14:textId="6CADA3B6" w:rsidR="00B3500A" w:rsidRPr="007E4ED2" w:rsidRDefault="00B3500A" w:rsidP="00D62AD1">
            <w:pPr>
              <w:widowControl w:val="0"/>
              <w:autoSpaceDE w:val="0"/>
              <w:autoSpaceDN w:val="0"/>
              <w:adjustRightInd w:val="0"/>
              <w:jc w:val="center"/>
              <w:rPr>
                <w:sz w:val="22"/>
                <w:szCs w:val="22"/>
              </w:rPr>
            </w:pPr>
            <w:r w:rsidRPr="007E4ED2">
              <w:rPr>
                <w:sz w:val="22"/>
                <w:szCs w:val="22"/>
              </w:rPr>
              <w:t>0.016</w:t>
            </w:r>
            <w:r w:rsidR="006154E0" w:rsidRPr="007E4ED2">
              <w:rPr>
                <w:sz w:val="22"/>
                <w:szCs w:val="22"/>
              </w:rPr>
              <w:t>0</w:t>
            </w:r>
            <w:r w:rsidRPr="007E4ED2">
              <w:rPr>
                <w:sz w:val="22"/>
                <w:szCs w:val="22"/>
              </w:rPr>
              <w:t xml:space="preserve">***   </w:t>
            </w:r>
          </w:p>
        </w:tc>
      </w:tr>
      <w:tr w:rsidR="008550C6" w:rsidRPr="007E4ED2" w14:paraId="7D37670A" w14:textId="77777777" w:rsidTr="00D62AD1">
        <w:tc>
          <w:tcPr>
            <w:tcW w:w="1943" w:type="pct"/>
            <w:tcBorders>
              <w:top w:val="nil"/>
              <w:left w:val="nil"/>
              <w:bottom w:val="nil"/>
              <w:right w:val="nil"/>
            </w:tcBorders>
          </w:tcPr>
          <w:p w14:paraId="3AE490FE" w14:textId="77777777" w:rsidR="00B3500A" w:rsidRPr="007E4ED2" w:rsidRDefault="00B3500A" w:rsidP="00D62AD1">
            <w:pPr>
              <w:widowControl w:val="0"/>
              <w:autoSpaceDE w:val="0"/>
              <w:autoSpaceDN w:val="0"/>
              <w:adjustRightInd w:val="0"/>
              <w:rPr>
                <w:sz w:val="22"/>
                <w:szCs w:val="22"/>
              </w:rPr>
            </w:pPr>
          </w:p>
        </w:tc>
        <w:tc>
          <w:tcPr>
            <w:tcW w:w="1595" w:type="pct"/>
            <w:tcBorders>
              <w:top w:val="nil"/>
              <w:left w:val="single" w:sz="4" w:space="0" w:color="auto"/>
              <w:bottom w:val="nil"/>
              <w:right w:val="nil"/>
            </w:tcBorders>
          </w:tcPr>
          <w:p w14:paraId="6D9B304B" w14:textId="77777777" w:rsidR="00B3500A" w:rsidRPr="007E4ED2" w:rsidRDefault="00B3500A" w:rsidP="00D62AD1">
            <w:pPr>
              <w:widowControl w:val="0"/>
              <w:autoSpaceDE w:val="0"/>
              <w:autoSpaceDN w:val="0"/>
              <w:adjustRightInd w:val="0"/>
              <w:jc w:val="center"/>
              <w:rPr>
                <w:sz w:val="22"/>
                <w:szCs w:val="22"/>
              </w:rPr>
            </w:pPr>
          </w:p>
        </w:tc>
        <w:tc>
          <w:tcPr>
            <w:tcW w:w="1462" w:type="pct"/>
            <w:tcBorders>
              <w:top w:val="nil"/>
              <w:left w:val="nil"/>
              <w:bottom w:val="nil"/>
              <w:right w:val="nil"/>
            </w:tcBorders>
          </w:tcPr>
          <w:p w14:paraId="7598AD25" w14:textId="55CB7B7F" w:rsidR="00B3500A" w:rsidRPr="007E4ED2" w:rsidRDefault="00B3500A" w:rsidP="00D62AD1">
            <w:pPr>
              <w:widowControl w:val="0"/>
              <w:autoSpaceDE w:val="0"/>
              <w:autoSpaceDN w:val="0"/>
              <w:adjustRightInd w:val="0"/>
              <w:jc w:val="center"/>
              <w:rPr>
                <w:sz w:val="22"/>
                <w:szCs w:val="22"/>
              </w:rPr>
            </w:pPr>
            <w:r w:rsidRPr="007E4ED2">
              <w:rPr>
                <w:sz w:val="22"/>
                <w:szCs w:val="22"/>
              </w:rPr>
              <w:t>(</w:t>
            </w:r>
            <w:r w:rsidR="006154E0" w:rsidRPr="007E4ED2">
              <w:rPr>
                <w:sz w:val="22"/>
                <w:szCs w:val="22"/>
              </w:rPr>
              <w:t>2</w:t>
            </w:r>
            <w:r w:rsidRPr="007E4ED2">
              <w:rPr>
                <w:sz w:val="22"/>
                <w:szCs w:val="22"/>
              </w:rPr>
              <w:t>.</w:t>
            </w:r>
            <w:r w:rsidR="006154E0" w:rsidRPr="007E4ED2">
              <w:rPr>
                <w:sz w:val="22"/>
                <w:szCs w:val="22"/>
              </w:rPr>
              <w:t>95</w:t>
            </w:r>
            <w:r w:rsidRPr="007E4ED2">
              <w:rPr>
                <w:sz w:val="22"/>
                <w:szCs w:val="22"/>
              </w:rPr>
              <w:t xml:space="preserve">)   </w:t>
            </w:r>
          </w:p>
        </w:tc>
      </w:tr>
      <w:tr w:rsidR="008550C6" w:rsidRPr="008550C6" w14:paraId="48D9824E" w14:textId="77777777" w:rsidTr="00D62AD1">
        <w:tc>
          <w:tcPr>
            <w:tcW w:w="1943" w:type="pct"/>
            <w:tcBorders>
              <w:left w:val="nil"/>
              <w:bottom w:val="nil"/>
              <w:right w:val="nil"/>
            </w:tcBorders>
          </w:tcPr>
          <w:p w14:paraId="5178DB8D" w14:textId="77777777" w:rsidR="00B3500A" w:rsidRPr="008550C6" w:rsidRDefault="00B3500A" w:rsidP="00D62AD1">
            <w:pPr>
              <w:widowControl w:val="0"/>
              <w:autoSpaceDE w:val="0"/>
              <w:autoSpaceDN w:val="0"/>
              <w:adjustRightInd w:val="0"/>
              <w:rPr>
                <w:sz w:val="22"/>
                <w:szCs w:val="22"/>
              </w:rPr>
            </w:pPr>
          </w:p>
        </w:tc>
        <w:tc>
          <w:tcPr>
            <w:tcW w:w="1595" w:type="pct"/>
            <w:tcBorders>
              <w:left w:val="single" w:sz="4" w:space="0" w:color="auto"/>
              <w:bottom w:val="nil"/>
              <w:right w:val="nil"/>
            </w:tcBorders>
          </w:tcPr>
          <w:p w14:paraId="248B7FE0" w14:textId="77777777" w:rsidR="00B3500A" w:rsidRPr="008550C6" w:rsidRDefault="00B3500A" w:rsidP="00D62AD1">
            <w:pPr>
              <w:widowControl w:val="0"/>
              <w:autoSpaceDE w:val="0"/>
              <w:autoSpaceDN w:val="0"/>
              <w:adjustRightInd w:val="0"/>
              <w:jc w:val="center"/>
              <w:rPr>
                <w:sz w:val="22"/>
                <w:szCs w:val="22"/>
              </w:rPr>
            </w:pPr>
          </w:p>
        </w:tc>
        <w:tc>
          <w:tcPr>
            <w:tcW w:w="1462" w:type="pct"/>
            <w:tcBorders>
              <w:left w:val="nil"/>
              <w:bottom w:val="nil"/>
              <w:right w:val="nil"/>
            </w:tcBorders>
          </w:tcPr>
          <w:p w14:paraId="16B56B13" w14:textId="77777777" w:rsidR="00B3500A" w:rsidRPr="008550C6" w:rsidRDefault="00B3500A" w:rsidP="00D62AD1">
            <w:pPr>
              <w:widowControl w:val="0"/>
              <w:autoSpaceDE w:val="0"/>
              <w:autoSpaceDN w:val="0"/>
              <w:adjustRightInd w:val="0"/>
              <w:jc w:val="center"/>
              <w:rPr>
                <w:sz w:val="22"/>
                <w:szCs w:val="22"/>
              </w:rPr>
            </w:pPr>
          </w:p>
        </w:tc>
      </w:tr>
      <w:tr w:rsidR="008550C6" w:rsidRPr="008550C6" w14:paraId="34EA6ECE" w14:textId="77777777" w:rsidTr="00D62AD1">
        <w:tc>
          <w:tcPr>
            <w:tcW w:w="1943" w:type="pct"/>
            <w:tcBorders>
              <w:top w:val="nil"/>
              <w:left w:val="nil"/>
              <w:bottom w:val="nil"/>
              <w:right w:val="nil"/>
            </w:tcBorders>
          </w:tcPr>
          <w:p w14:paraId="5B68D256" w14:textId="77777777" w:rsidR="00B3500A" w:rsidRPr="008550C6" w:rsidRDefault="00B3500A" w:rsidP="00D62AD1">
            <w:pPr>
              <w:widowControl w:val="0"/>
              <w:autoSpaceDE w:val="0"/>
              <w:autoSpaceDN w:val="0"/>
              <w:adjustRightInd w:val="0"/>
              <w:rPr>
                <w:sz w:val="22"/>
                <w:szCs w:val="22"/>
              </w:rPr>
            </w:pPr>
            <w:r w:rsidRPr="008550C6">
              <w:rPr>
                <w:sz w:val="22"/>
                <w:szCs w:val="22"/>
              </w:rPr>
              <w:t>LNTA</w:t>
            </w:r>
          </w:p>
        </w:tc>
        <w:tc>
          <w:tcPr>
            <w:tcW w:w="1595" w:type="pct"/>
            <w:tcBorders>
              <w:top w:val="nil"/>
              <w:left w:val="single" w:sz="4" w:space="0" w:color="auto"/>
              <w:bottom w:val="nil"/>
              <w:right w:val="nil"/>
            </w:tcBorders>
          </w:tcPr>
          <w:p w14:paraId="5F5A0B93" w14:textId="0B8FA1F3" w:rsidR="00B3500A" w:rsidRPr="008550C6" w:rsidRDefault="00B3500A" w:rsidP="00D62AD1">
            <w:pPr>
              <w:widowControl w:val="0"/>
              <w:autoSpaceDE w:val="0"/>
              <w:autoSpaceDN w:val="0"/>
              <w:adjustRightInd w:val="0"/>
              <w:jc w:val="center"/>
              <w:rPr>
                <w:sz w:val="22"/>
                <w:szCs w:val="22"/>
              </w:rPr>
            </w:pPr>
            <w:r w:rsidRPr="008550C6">
              <w:rPr>
                <w:sz w:val="22"/>
                <w:szCs w:val="22"/>
              </w:rPr>
              <w:t>0.04</w:t>
            </w:r>
            <w:r w:rsidR="003C5EC7" w:rsidRPr="008550C6">
              <w:rPr>
                <w:sz w:val="22"/>
                <w:szCs w:val="22"/>
              </w:rPr>
              <w:t>03</w:t>
            </w:r>
            <w:r w:rsidRPr="008550C6">
              <w:rPr>
                <w:sz w:val="22"/>
                <w:szCs w:val="22"/>
              </w:rPr>
              <w:t xml:space="preserve">***   </w:t>
            </w:r>
          </w:p>
        </w:tc>
        <w:tc>
          <w:tcPr>
            <w:tcW w:w="1462" w:type="pct"/>
            <w:tcBorders>
              <w:top w:val="nil"/>
              <w:left w:val="nil"/>
              <w:bottom w:val="nil"/>
              <w:right w:val="nil"/>
            </w:tcBorders>
          </w:tcPr>
          <w:p w14:paraId="1C7AFA8B" w14:textId="07B1A8D2" w:rsidR="00B3500A" w:rsidRPr="008550C6" w:rsidRDefault="00B3500A" w:rsidP="00D62AD1">
            <w:pPr>
              <w:widowControl w:val="0"/>
              <w:autoSpaceDE w:val="0"/>
              <w:autoSpaceDN w:val="0"/>
              <w:adjustRightInd w:val="0"/>
              <w:jc w:val="center"/>
              <w:rPr>
                <w:sz w:val="22"/>
                <w:szCs w:val="22"/>
              </w:rPr>
            </w:pPr>
            <w:r w:rsidRPr="008550C6">
              <w:rPr>
                <w:sz w:val="22"/>
                <w:szCs w:val="22"/>
              </w:rPr>
              <w:t>0.04</w:t>
            </w:r>
            <w:r w:rsidR="006154E0" w:rsidRPr="008550C6">
              <w:rPr>
                <w:sz w:val="22"/>
                <w:szCs w:val="22"/>
              </w:rPr>
              <w:t>03</w:t>
            </w:r>
            <w:r w:rsidRPr="008550C6">
              <w:rPr>
                <w:sz w:val="22"/>
                <w:szCs w:val="22"/>
              </w:rPr>
              <w:t xml:space="preserve">***   </w:t>
            </w:r>
          </w:p>
        </w:tc>
      </w:tr>
      <w:tr w:rsidR="008550C6" w:rsidRPr="008550C6" w14:paraId="6424D290" w14:textId="77777777" w:rsidTr="00D62AD1">
        <w:tc>
          <w:tcPr>
            <w:tcW w:w="1943" w:type="pct"/>
            <w:tcBorders>
              <w:top w:val="nil"/>
              <w:left w:val="nil"/>
              <w:bottom w:val="nil"/>
              <w:right w:val="nil"/>
            </w:tcBorders>
          </w:tcPr>
          <w:p w14:paraId="20A9932E" w14:textId="77777777" w:rsidR="00B3500A" w:rsidRPr="008550C6" w:rsidRDefault="00B3500A" w:rsidP="00D62AD1">
            <w:pPr>
              <w:widowControl w:val="0"/>
              <w:autoSpaceDE w:val="0"/>
              <w:autoSpaceDN w:val="0"/>
              <w:adjustRightInd w:val="0"/>
              <w:rPr>
                <w:sz w:val="22"/>
                <w:szCs w:val="22"/>
              </w:rPr>
            </w:pPr>
          </w:p>
        </w:tc>
        <w:tc>
          <w:tcPr>
            <w:tcW w:w="1595" w:type="pct"/>
            <w:tcBorders>
              <w:top w:val="nil"/>
              <w:left w:val="single" w:sz="4" w:space="0" w:color="auto"/>
              <w:bottom w:val="nil"/>
              <w:right w:val="nil"/>
            </w:tcBorders>
          </w:tcPr>
          <w:p w14:paraId="248003FC" w14:textId="26240B0B" w:rsidR="00B3500A" w:rsidRPr="008550C6" w:rsidRDefault="00B3500A" w:rsidP="00D62AD1">
            <w:pPr>
              <w:widowControl w:val="0"/>
              <w:autoSpaceDE w:val="0"/>
              <w:autoSpaceDN w:val="0"/>
              <w:adjustRightInd w:val="0"/>
              <w:jc w:val="center"/>
              <w:rPr>
                <w:sz w:val="22"/>
                <w:szCs w:val="22"/>
              </w:rPr>
            </w:pPr>
            <w:r w:rsidRPr="008550C6">
              <w:rPr>
                <w:sz w:val="22"/>
                <w:szCs w:val="22"/>
              </w:rPr>
              <w:t>(2</w:t>
            </w:r>
            <w:r w:rsidR="003C5EC7" w:rsidRPr="008550C6">
              <w:rPr>
                <w:sz w:val="22"/>
                <w:szCs w:val="22"/>
              </w:rPr>
              <w:t>6</w:t>
            </w:r>
            <w:r w:rsidRPr="008550C6">
              <w:rPr>
                <w:sz w:val="22"/>
                <w:szCs w:val="22"/>
              </w:rPr>
              <w:t>.</w:t>
            </w:r>
            <w:r w:rsidR="003C5EC7" w:rsidRPr="008550C6">
              <w:rPr>
                <w:sz w:val="22"/>
                <w:szCs w:val="22"/>
              </w:rPr>
              <w:t>14</w:t>
            </w:r>
            <w:r w:rsidRPr="008550C6">
              <w:rPr>
                <w:sz w:val="22"/>
                <w:szCs w:val="22"/>
              </w:rPr>
              <w:t xml:space="preserve">)   </w:t>
            </w:r>
          </w:p>
        </w:tc>
        <w:tc>
          <w:tcPr>
            <w:tcW w:w="1462" w:type="pct"/>
            <w:tcBorders>
              <w:top w:val="nil"/>
              <w:left w:val="nil"/>
              <w:bottom w:val="nil"/>
              <w:right w:val="nil"/>
            </w:tcBorders>
          </w:tcPr>
          <w:p w14:paraId="5E259DD5" w14:textId="621D0E39" w:rsidR="00B3500A" w:rsidRPr="008550C6" w:rsidRDefault="00B3500A" w:rsidP="00D62AD1">
            <w:pPr>
              <w:widowControl w:val="0"/>
              <w:autoSpaceDE w:val="0"/>
              <w:autoSpaceDN w:val="0"/>
              <w:adjustRightInd w:val="0"/>
              <w:jc w:val="center"/>
              <w:rPr>
                <w:sz w:val="22"/>
                <w:szCs w:val="22"/>
              </w:rPr>
            </w:pPr>
            <w:r w:rsidRPr="008550C6">
              <w:rPr>
                <w:sz w:val="22"/>
                <w:szCs w:val="22"/>
              </w:rPr>
              <w:t>(2</w:t>
            </w:r>
            <w:r w:rsidR="006154E0" w:rsidRPr="008550C6">
              <w:rPr>
                <w:sz w:val="22"/>
                <w:szCs w:val="22"/>
              </w:rPr>
              <w:t>6</w:t>
            </w:r>
            <w:r w:rsidRPr="008550C6">
              <w:rPr>
                <w:sz w:val="22"/>
                <w:szCs w:val="22"/>
              </w:rPr>
              <w:t>.1</w:t>
            </w:r>
            <w:r w:rsidR="006154E0" w:rsidRPr="008550C6">
              <w:rPr>
                <w:sz w:val="22"/>
                <w:szCs w:val="22"/>
              </w:rPr>
              <w:t>3</w:t>
            </w:r>
            <w:r w:rsidRPr="008550C6">
              <w:rPr>
                <w:sz w:val="22"/>
                <w:szCs w:val="22"/>
              </w:rPr>
              <w:t xml:space="preserve">)   </w:t>
            </w:r>
          </w:p>
        </w:tc>
      </w:tr>
      <w:tr w:rsidR="008550C6" w:rsidRPr="008550C6" w14:paraId="54CCDDB0" w14:textId="77777777" w:rsidTr="00D62AD1">
        <w:tc>
          <w:tcPr>
            <w:tcW w:w="1943" w:type="pct"/>
            <w:tcBorders>
              <w:top w:val="nil"/>
              <w:left w:val="nil"/>
              <w:bottom w:val="nil"/>
              <w:right w:val="nil"/>
            </w:tcBorders>
          </w:tcPr>
          <w:p w14:paraId="73AEC483" w14:textId="77777777" w:rsidR="00B3500A" w:rsidRPr="008550C6" w:rsidRDefault="00B3500A" w:rsidP="00D62AD1">
            <w:pPr>
              <w:widowControl w:val="0"/>
              <w:autoSpaceDE w:val="0"/>
              <w:autoSpaceDN w:val="0"/>
              <w:adjustRightInd w:val="0"/>
              <w:rPr>
                <w:sz w:val="22"/>
                <w:szCs w:val="22"/>
              </w:rPr>
            </w:pPr>
            <w:r w:rsidRPr="008550C6">
              <w:rPr>
                <w:sz w:val="22"/>
                <w:szCs w:val="22"/>
              </w:rPr>
              <w:t>NPLTL</w:t>
            </w:r>
          </w:p>
        </w:tc>
        <w:tc>
          <w:tcPr>
            <w:tcW w:w="1595" w:type="pct"/>
            <w:tcBorders>
              <w:top w:val="nil"/>
              <w:left w:val="single" w:sz="4" w:space="0" w:color="auto"/>
              <w:bottom w:val="nil"/>
              <w:right w:val="nil"/>
            </w:tcBorders>
          </w:tcPr>
          <w:p w14:paraId="12B5CC81" w14:textId="6A38ECAD"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3C5EC7" w:rsidRPr="008550C6">
              <w:rPr>
                <w:sz w:val="22"/>
                <w:szCs w:val="22"/>
              </w:rPr>
              <w:t>6</w:t>
            </w:r>
            <w:r w:rsidRPr="008550C6">
              <w:rPr>
                <w:sz w:val="22"/>
                <w:szCs w:val="22"/>
              </w:rPr>
              <w:t>.</w:t>
            </w:r>
            <w:r w:rsidR="003C5EC7" w:rsidRPr="008550C6">
              <w:rPr>
                <w:sz w:val="22"/>
                <w:szCs w:val="22"/>
              </w:rPr>
              <w:t>3694</w:t>
            </w:r>
            <w:r w:rsidRPr="008550C6">
              <w:rPr>
                <w:sz w:val="22"/>
                <w:szCs w:val="22"/>
              </w:rPr>
              <w:t xml:space="preserve">***   </w:t>
            </w:r>
          </w:p>
        </w:tc>
        <w:tc>
          <w:tcPr>
            <w:tcW w:w="1462" w:type="pct"/>
            <w:tcBorders>
              <w:top w:val="nil"/>
              <w:left w:val="nil"/>
              <w:bottom w:val="nil"/>
              <w:right w:val="nil"/>
            </w:tcBorders>
          </w:tcPr>
          <w:p w14:paraId="63732E87" w14:textId="621E3938"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6154E0" w:rsidRPr="008550C6">
              <w:rPr>
                <w:sz w:val="22"/>
                <w:szCs w:val="22"/>
              </w:rPr>
              <w:t>6</w:t>
            </w:r>
            <w:r w:rsidRPr="008550C6">
              <w:rPr>
                <w:sz w:val="22"/>
                <w:szCs w:val="22"/>
              </w:rPr>
              <w:t>.</w:t>
            </w:r>
            <w:r w:rsidR="006154E0" w:rsidRPr="008550C6">
              <w:rPr>
                <w:sz w:val="22"/>
                <w:szCs w:val="22"/>
              </w:rPr>
              <w:t>2494</w:t>
            </w:r>
            <w:r w:rsidRPr="008550C6">
              <w:rPr>
                <w:sz w:val="22"/>
                <w:szCs w:val="22"/>
              </w:rPr>
              <w:t xml:space="preserve">***   </w:t>
            </w:r>
          </w:p>
        </w:tc>
      </w:tr>
      <w:tr w:rsidR="008550C6" w:rsidRPr="008550C6" w14:paraId="3E1A08D3" w14:textId="77777777" w:rsidTr="00D62AD1">
        <w:tc>
          <w:tcPr>
            <w:tcW w:w="1943" w:type="pct"/>
            <w:tcBorders>
              <w:top w:val="nil"/>
              <w:left w:val="nil"/>
              <w:bottom w:val="nil"/>
              <w:right w:val="nil"/>
            </w:tcBorders>
          </w:tcPr>
          <w:p w14:paraId="52619150" w14:textId="77777777" w:rsidR="00B3500A" w:rsidRPr="008550C6" w:rsidRDefault="00B3500A" w:rsidP="00D62AD1">
            <w:pPr>
              <w:widowControl w:val="0"/>
              <w:autoSpaceDE w:val="0"/>
              <w:autoSpaceDN w:val="0"/>
              <w:adjustRightInd w:val="0"/>
              <w:rPr>
                <w:sz w:val="22"/>
                <w:szCs w:val="22"/>
              </w:rPr>
            </w:pPr>
          </w:p>
        </w:tc>
        <w:tc>
          <w:tcPr>
            <w:tcW w:w="1595" w:type="pct"/>
            <w:tcBorders>
              <w:top w:val="nil"/>
              <w:left w:val="single" w:sz="4" w:space="0" w:color="auto"/>
              <w:bottom w:val="nil"/>
              <w:right w:val="nil"/>
            </w:tcBorders>
          </w:tcPr>
          <w:p w14:paraId="041084E1" w14:textId="36E4BE96" w:rsidR="00B3500A" w:rsidRPr="008550C6" w:rsidRDefault="00B3500A" w:rsidP="00D62AD1">
            <w:pPr>
              <w:widowControl w:val="0"/>
              <w:autoSpaceDE w:val="0"/>
              <w:autoSpaceDN w:val="0"/>
              <w:adjustRightInd w:val="0"/>
              <w:jc w:val="center"/>
              <w:rPr>
                <w:sz w:val="22"/>
                <w:szCs w:val="22"/>
              </w:rPr>
            </w:pPr>
            <w:r w:rsidRPr="008550C6">
              <w:rPr>
                <w:sz w:val="22"/>
                <w:szCs w:val="22"/>
              </w:rPr>
              <w:t>(13.</w:t>
            </w:r>
            <w:r w:rsidR="003C5EC7" w:rsidRPr="008550C6">
              <w:rPr>
                <w:sz w:val="22"/>
                <w:szCs w:val="22"/>
              </w:rPr>
              <w:t>74</w:t>
            </w:r>
            <w:r w:rsidRPr="008550C6">
              <w:rPr>
                <w:sz w:val="22"/>
                <w:szCs w:val="22"/>
              </w:rPr>
              <w:t xml:space="preserve">)   </w:t>
            </w:r>
          </w:p>
        </w:tc>
        <w:tc>
          <w:tcPr>
            <w:tcW w:w="1462" w:type="pct"/>
            <w:tcBorders>
              <w:top w:val="nil"/>
              <w:left w:val="nil"/>
              <w:bottom w:val="nil"/>
              <w:right w:val="nil"/>
            </w:tcBorders>
          </w:tcPr>
          <w:p w14:paraId="08C664EA" w14:textId="7DE3A629" w:rsidR="00B3500A" w:rsidRPr="008550C6" w:rsidRDefault="00B3500A" w:rsidP="00D62AD1">
            <w:pPr>
              <w:widowControl w:val="0"/>
              <w:autoSpaceDE w:val="0"/>
              <w:autoSpaceDN w:val="0"/>
              <w:adjustRightInd w:val="0"/>
              <w:jc w:val="center"/>
              <w:rPr>
                <w:sz w:val="22"/>
                <w:szCs w:val="22"/>
              </w:rPr>
            </w:pPr>
            <w:r w:rsidRPr="008550C6">
              <w:rPr>
                <w:sz w:val="22"/>
                <w:szCs w:val="22"/>
              </w:rPr>
              <w:t>(1</w:t>
            </w:r>
            <w:r w:rsidR="006154E0" w:rsidRPr="008550C6">
              <w:rPr>
                <w:sz w:val="22"/>
                <w:szCs w:val="22"/>
              </w:rPr>
              <w:t>3</w:t>
            </w:r>
            <w:r w:rsidRPr="008550C6">
              <w:rPr>
                <w:sz w:val="22"/>
                <w:szCs w:val="22"/>
              </w:rPr>
              <w:t>.</w:t>
            </w:r>
            <w:r w:rsidR="006154E0" w:rsidRPr="008550C6">
              <w:rPr>
                <w:sz w:val="22"/>
                <w:szCs w:val="22"/>
              </w:rPr>
              <w:t>46</w:t>
            </w:r>
            <w:r w:rsidRPr="008550C6">
              <w:rPr>
                <w:sz w:val="22"/>
                <w:szCs w:val="22"/>
              </w:rPr>
              <w:t xml:space="preserve">)   </w:t>
            </w:r>
          </w:p>
        </w:tc>
      </w:tr>
      <w:tr w:rsidR="008550C6" w:rsidRPr="008550C6" w14:paraId="57AC5BD0" w14:textId="77777777" w:rsidTr="00D62AD1">
        <w:tc>
          <w:tcPr>
            <w:tcW w:w="1943" w:type="pct"/>
            <w:tcBorders>
              <w:top w:val="nil"/>
              <w:left w:val="nil"/>
              <w:bottom w:val="nil"/>
              <w:right w:val="nil"/>
            </w:tcBorders>
          </w:tcPr>
          <w:p w14:paraId="07D159C0" w14:textId="130B6855" w:rsidR="00B3500A" w:rsidRPr="008550C6" w:rsidRDefault="00BB6913" w:rsidP="00D62AD1">
            <w:pPr>
              <w:widowControl w:val="0"/>
              <w:autoSpaceDE w:val="0"/>
              <w:autoSpaceDN w:val="0"/>
              <w:adjustRightInd w:val="0"/>
              <w:rPr>
                <w:sz w:val="22"/>
                <w:szCs w:val="22"/>
              </w:rPr>
            </w:pPr>
            <w:r w:rsidRPr="008550C6">
              <w:rPr>
                <w:sz w:val="22"/>
                <w:szCs w:val="22"/>
              </w:rPr>
              <w:t>DOA</w:t>
            </w:r>
          </w:p>
        </w:tc>
        <w:tc>
          <w:tcPr>
            <w:tcW w:w="1595" w:type="pct"/>
            <w:tcBorders>
              <w:top w:val="nil"/>
              <w:left w:val="single" w:sz="4" w:space="0" w:color="auto"/>
              <w:bottom w:val="nil"/>
              <w:right w:val="nil"/>
            </w:tcBorders>
          </w:tcPr>
          <w:p w14:paraId="056CDF17" w14:textId="51F12B9A"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3C5EC7" w:rsidRPr="008550C6">
              <w:rPr>
                <w:sz w:val="22"/>
                <w:szCs w:val="22"/>
              </w:rPr>
              <w:t>0</w:t>
            </w:r>
            <w:r w:rsidRPr="008550C6">
              <w:rPr>
                <w:sz w:val="22"/>
                <w:szCs w:val="22"/>
              </w:rPr>
              <w:t>.</w:t>
            </w:r>
            <w:r w:rsidR="003C5EC7" w:rsidRPr="008550C6">
              <w:rPr>
                <w:sz w:val="22"/>
                <w:szCs w:val="22"/>
              </w:rPr>
              <w:t>0839</w:t>
            </w:r>
            <w:r w:rsidRPr="008550C6">
              <w:rPr>
                <w:sz w:val="22"/>
                <w:szCs w:val="22"/>
              </w:rPr>
              <w:t>**</w:t>
            </w:r>
            <w:r w:rsidR="003C5EC7" w:rsidRPr="008550C6">
              <w:rPr>
                <w:sz w:val="22"/>
                <w:szCs w:val="22"/>
              </w:rPr>
              <w:t>*</w:t>
            </w:r>
            <w:r w:rsidRPr="008550C6">
              <w:rPr>
                <w:sz w:val="22"/>
                <w:szCs w:val="22"/>
              </w:rPr>
              <w:t xml:space="preserve"> </w:t>
            </w:r>
          </w:p>
        </w:tc>
        <w:tc>
          <w:tcPr>
            <w:tcW w:w="1462" w:type="pct"/>
            <w:tcBorders>
              <w:top w:val="nil"/>
              <w:left w:val="nil"/>
              <w:bottom w:val="nil"/>
              <w:right w:val="nil"/>
            </w:tcBorders>
          </w:tcPr>
          <w:p w14:paraId="3CB71BA5" w14:textId="6251B4C2"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6154E0" w:rsidRPr="008550C6">
              <w:rPr>
                <w:sz w:val="22"/>
                <w:szCs w:val="22"/>
              </w:rPr>
              <w:t>0</w:t>
            </w:r>
            <w:r w:rsidRPr="008550C6">
              <w:rPr>
                <w:sz w:val="22"/>
                <w:szCs w:val="22"/>
              </w:rPr>
              <w:t>.</w:t>
            </w:r>
            <w:r w:rsidR="006154E0" w:rsidRPr="008550C6">
              <w:rPr>
                <w:sz w:val="22"/>
                <w:szCs w:val="22"/>
              </w:rPr>
              <w:t>0</w:t>
            </w:r>
            <w:r w:rsidRPr="008550C6">
              <w:rPr>
                <w:sz w:val="22"/>
                <w:szCs w:val="22"/>
              </w:rPr>
              <w:t>8</w:t>
            </w:r>
            <w:r w:rsidR="006154E0" w:rsidRPr="008550C6">
              <w:rPr>
                <w:sz w:val="22"/>
                <w:szCs w:val="22"/>
              </w:rPr>
              <w:t>16</w:t>
            </w:r>
            <w:r w:rsidRPr="008550C6">
              <w:rPr>
                <w:sz w:val="22"/>
                <w:szCs w:val="22"/>
              </w:rPr>
              <w:t xml:space="preserve">**   </w:t>
            </w:r>
          </w:p>
        </w:tc>
      </w:tr>
      <w:tr w:rsidR="008550C6" w:rsidRPr="008550C6" w14:paraId="24612EBD" w14:textId="77777777" w:rsidTr="00D62AD1">
        <w:tc>
          <w:tcPr>
            <w:tcW w:w="1943" w:type="pct"/>
            <w:tcBorders>
              <w:top w:val="nil"/>
              <w:left w:val="nil"/>
              <w:bottom w:val="nil"/>
              <w:right w:val="nil"/>
            </w:tcBorders>
          </w:tcPr>
          <w:p w14:paraId="0A4B105C" w14:textId="77777777" w:rsidR="00B3500A" w:rsidRPr="008550C6" w:rsidRDefault="00B3500A" w:rsidP="00D62AD1">
            <w:pPr>
              <w:widowControl w:val="0"/>
              <w:autoSpaceDE w:val="0"/>
              <w:autoSpaceDN w:val="0"/>
              <w:adjustRightInd w:val="0"/>
              <w:rPr>
                <w:sz w:val="22"/>
                <w:szCs w:val="22"/>
              </w:rPr>
            </w:pPr>
          </w:p>
        </w:tc>
        <w:tc>
          <w:tcPr>
            <w:tcW w:w="1595" w:type="pct"/>
            <w:tcBorders>
              <w:top w:val="nil"/>
              <w:left w:val="single" w:sz="4" w:space="0" w:color="auto"/>
              <w:bottom w:val="nil"/>
              <w:right w:val="nil"/>
            </w:tcBorders>
          </w:tcPr>
          <w:p w14:paraId="7CBF4C12" w14:textId="5468C241"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3C5EC7" w:rsidRPr="008550C6">
              <w:rPr>
                <w:sz w:val="22"/>
                <w:szCs w:val="22"/>
              </w:rPr>
              <w:t>3.49</w:t>
            </w:r>
            <w:r w:rsidRPr="008550C6">
              <w:rPr>
                <w:sz w:val="22"/>
                <w:szCs w:val="22"/>
              </w:rPr>
              <w:t xml:space="preserve">)   </w:t>
            </w:r>
          </w:p>
        </w:tc>
        <w:tc>
          <w:tcPr>
            <w:tcW w:w="1462" w:type="pct"/>
            <w:tcBorders>
              <w:top w:val="nil"/>
              <w:left w:val="nil"/>
              <w:bottom w:val="nil"/>
              <w:right w:val="nil"/>
            </w:tcBorders>
          </w:tcPr>
          <w:p w14:paraId="51D646A6" w14:textId="78CEEB08"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6154E0" w:rsidRPr="008550C6">
              <w:rPr>
                <w:sz w:val="22"/>
                <w:szCs w:val="22"/>
              </w:rPr>
              <w:t>3</w:t>
            </w:r>
            <w:r w:rsidRPr="008550C6">
              <w:rPr>
                <w:sz w:val="22"/>
                <w:szCs w:val="22"/>
              </w:rPr>
              <w:t>.</w:t>
            </w:r>
            <w:r w:rsidR="006154E0" w:rsidRPr="008550C6">
              <w:rPr>
                <w:sz w:val="22"/>
                <w:szCs w:val="22"/>
              </w:rPr>
              <w:t>40</w:t>
            </w:r>
            <w:r w:rsidRPr="008550C6">
              <w:rPr>
                <w:sz w:val="22"/>
                <w:szCs w:val="22"/>
              </w:rPr>
              <w:t xml:space="preserve">)   </w:t>
            </w:r>
          </w:p>
        </w:tc>
      </w:tr>
      <w:tr w:rsidR="008550C6" w:rsidRPr="008550C6" w14:paraId="41370060" w14:textId="77777777" w:rsidTr="00D62AD1">
        <w:tc>
          <w:tcPr>
            <w:tcW w:w="1943" w:type="pct"/>
            <w:tcBorders>
              <w:top w:val="nil"/>
              <w:left w:val="nil"/>
              <w:bottom w:val="nil"/>
              <w:right w:val="nil"/>
            </w:tcBorders>
          </w:tcPr>
          <w:p w14:paraId="3F4AD9BC" w14:textId="56E270BF" w:rsidR="00B3500A" w:rsidRPr="008550C6" w:rsidRDefault="00B3500A" w:rsidP="00D62AD1">
            <w:pPr>
              <w:widowControl w:val="0"/>
              <w:autoSpaceDE w:val="0"/>
              <w:autoSpaceDN w:val="0"/>
              <w:adjustRightInd w:val="0"/>
              <w:rPr>
                <w:sz w:val="22"/>
                <w:szCs w:val="22"/>
              </w:rPr>
            </w:pPr>
            <w:r w:rsidRPr="008550C6">
              <w:rPr>
                <w:sz w:val="22"/>
                <w:szCs w:val="22"/>
              </w:rPr>
              <w:t>C</w:t>
            </w:r>
            <w:r w:rsidR="00783103">
              <w:rPr>
                <w:sz w:val="22"/>
                <w:szCs w:val="22"/>
              </w:rPr>
              <w:t>OVID</w:t>
            </w:r>
            <w:r w:rsidR="00235D31" w:rsidRPr="008550C6">
              <w:rPr>
                <w:sz w:val="22"/>
                <w:szCs w:val="22"/>
              </w:rPr>
              <w:t>-</w:t>
            </w:r>
            <w:r w:rsidRPr="008550C6">
              <w:rPr>
                <w:sz w:val="22"/>
                <w:szCs w:val="22"/>
              </w:rPr>
              <w:t>19</w:t>
            </w:r>
          </w:p>
        </w:tc>
        <w:tc>
          <w:tcPr>
            <w:tcW w:w="1595" w:type="pct"/>
            <w:tcBorders>
              <w:top w:val="nil"/>
              <w:left w:val="single" w:sz="4" w:space="0" w:color="auto"/>
              <w:bottom w:val="nil"/>
              <w:right w:val="nil"/>
            </w:tcBorders>
          </w:tcPr>
          <w:p w14:paraId="358FC94E" w14:textId="5719F27A" w:rsidR="00B3500A" w:rsidRPr="008550C6" w:rsidRDefault="00B3500A" w:rsidP="00D62AD1">
            <w:pPr>
              <w:widowControl w:val="0"/>
              <w:autoSpaceDE w:val="0"/>
              <w:autoSpaceDN w:val="0"/>
              <w:adjustRightInd w:val="0"/>
              <w:jc w:val="center"/>
              <w:rPr>
                <w:sz w:val="22"/>
                <w:szCs w:val="22"/>
              </w:rPr>
            </w:pPr>
            <w:r w:rsidRPr="008550C6">
              <w:rPr>
                <w:sz w:val="22"/>
                <w:szCs w:val="22"/>
              </w:rPr>
              <w:t>-0.0</w:t>
            </w:r>
            <w:r w:rsidR="003C5EC7" w:rsidRPr="008550C6">
              <w:rPr>
                <w:sz w:val="22"/>
                <w:szCs w:val="22"/>
              </w:rPr>
              <w:t>437</w:t>
            </w:r>
            <w:r w:rsidRPr="008550C6">
              <w:rPr>
                <w:sz w:val="22"/>
                <w:szCs w:val="22"/>
              </w:rPr>
              <w:t xml:space="preserve">***   </w:t>
            </w:r>
          </w:p>
        </w:tc>
        <w:tc>
          <w:tcPr>
            <w:tcW w:w="1462" w:type="pct"/>
            <w:tcBorders>
              <w:top w:val="nil"/>
              <w:left w:val="nil"/>
              <w:bottom w:val="nil"/>
              <w:right w:val="nil"/>
            </w:tcBorders>
          </w:tcPr>
          <w:p w14:paraId="682A7E2A" w14:textId="79BFA769" w:rsidR="00B3500A" w:rsidRPr="008550C6" w:rsidRDefault="00B3500A" w:rsidP="00D62AD1">
            <w:pPr>
              <w:widowControl w:val="0"/>
              <w:autoSpaceDE w:val="0"/>
              <w:autoSpaceDN w:val="0"/>
              <w:adjustRightInd w:val="0"/>
              <w:jc w:val="center"/>
              <w:rPr>
                <w:sz w:val="22"/>
                <w:szCs w:val="22"/>
              </w:rPr>
            </w:pPr>
            <w:r w:rsidRPr="008550C6">
              <w:rPr>
                <w:sz w:val="22"/>
                <w:szCs w:val="22"/>
              </w:rPr>
              <w:t>-0.0</w:t>
            </w:r>
            <w:r w:rsidR="006154E0" w:rsidRPr="008550C6">
              <w:rPr>
                <w:sz w:val="22"/>
                <w:szCs w:val="22"/>
              </w:rPr>
              <w:t>572</w:t>
            </w:r>
            <w:r w:rsidRPr="008550C6">
              <w:rPr>
                <w:sz w:val="22"/>
                <w:szCs w:val="22"/>
              </w:rPr>
              <w:t xml:space="preserve">***   </w:t>
            </w:r>
          </w:p>
        </w:tc>
      </w:tr>
      <w:tr w:rsidR="008550C6" w:rsidRPr="008550C6" w14:paraId="18D319C7" w14:textId="77777777" w:rsidTr="00D62AD1">
        <w:tc>
          <w:tcPr>
            <w:tcW w:w="1943" w:type="pct"/>
            <w:tcBorders>
              <w:top w:val="nil"/>
              <w:left w:val="nil"/>
              <w:bottom w:val="nil"/>
              <w:right w:val="nil"/>
            </w:tcBorders>
          </w:tcPr>
          <w:p w14:paraId="76164B06" w14:textId="77777777" w:rsidR="00B3500A" w:rsidRPr="008550C6" w:rsidRDefault="00B3500A" w:rsidP="00D62AD1">
            <w:pPr>
              <w:widowControl w:val="0"/>
              <w:autoSpaceDE w:val="0"/>
              <w:autoSpaceDN w:val="0"/>
              <w:adjustRightInd w:val="0"/>
              <w:rPr>
                <w:sz w:val="22"/>
                <w:szCs w:val="22"/>
              </w:rPr>
            </w:pPr>
          </w:p>
        </w:tc>
        <w:tc>
          <w:tcPr>
            <w:tcW w:w="1595" w:type="pct"/>
            <w:tcBorders>
              <w:top w:val="nil"/>
              <w:left w:val="single" w:sz="4" w:space="0" w:color="auto"/>
              <w:bottom w:val="nil"/>
              <w:right w:val="nil"/>
            </w:tcBorders>
          </w:tcPr>
          <w:p w14:paraId="50491173" w14:textId="05F4E690" w:rsidR="00B3500A" w:rsidRPr="008550C6" w:rsidRDefault="00B3500A" w:rsidP="00D62AD1">
            <w:pPr>
              <w:widowControl w:val="0"/>
              <w:autoSpaceDE w:val="0"/>
              <w:autoSpaceDN w:val="0"/>
              <w:adjustRightInd w:val="0"/>
              <w:jc w:val="center"/>
              <w:rPr>
                <w:sz w:val="22"/>
                <w:szCs w:val="22"/>
              </w:rPr>
            </w:pPr>
            <w:r w:rsidRPr="008550C6">
              <w:rPr>
                <w:sz w:val="22"/>
                <w:szCs w:val="22"/>
              </w:rPr>
              <w:t>(3.</w:t>
            </w:r>
            <w:r w:rsidR="003C5EC7" w:rsidRPr="008550C6">
              <w:rPr>
                <w:sz w:val="22"/>
                <w:szCs w:val="22"/>
              </w:rPr>
              <w:t>43</w:t>
            </w:r>
            <w:r w:rsidRPr="008550C6">
              <w:rPr>
                <w:sz w:val="22"/>
                <w:szCs w:val="22"/>
              </w:rPr>
              <w:t xml:space="preserve">)   </w:t>
            </w:r>
          </w:p>
        </w:tc>
        <w:tc>
          <w:tcPr>
            <w:tcW w:w="1462" w:type="pct"/>
            <w:tcBorders>
              <w:top w:val="nil"/>
              <w:left w:val="nil"/>
              <w:bottom w:val="nil"/>
              <w:right w:val="nil"/>
            </w:tcBorders>
          </w:tcPr>
          <w:p w14:paraId="1E2F54C0" w14:textId="2B1984C9" w:rsidR="00B3500A" w:rsidRPr="008550C6" w:rsidRDefault="00B3500A" w:rsidP="00D62AD1">
            <w:pPr>
              <w:widowControl w:val="0"/>
              <w:autoSpaceDE w:val="0"/>
              <w:autoSpaceDN w:val="0"/>
              <w:adjustRightInd w:val="0"/>
              <w:jc w:val="center"/>
              <w:rPr>
                <w:sz w:val="22"/>
                <w:szCs w:val="22"/>
              </w:rPr>
            </w:pPr>
            <w:r w:rsidRPr="008550C6">
              <w:rPr>
                <w:sz w:val="22"/>
                <w:szCs w:val="22"/>
              </w:rPr>
              <w:t>(4.</w:t>
            </w:r>
            <w:r w:rsidR="006154E0" w:rsidRPr="008550C6">
              <w:rPr>
                <w:sz w:val="22"/>
                <w:szCs w:val="22"/>
              </w:rPr>
              <w:t>19</w:t>
            </w:r>
            <w:r w:rsidRPr="008550C6">
              <w:rPr>
                <w:sz w:val="22"/>
                <w:szCs w:val="22"/>
              </w:rPr>
              <w:t xml:space="preserve">)   </w:t>
            </w:r>
          </w:p>
        </w:tc>
      </w:tr>
      <w:tr w:rsidR="008550C6" w:rsidRPr="008550C6" w14:paraId="5A1DA860" w14:textId="77777777" w:rsidTr="00D62AD1">
        <w:tc>
          <w:tcPr>
            <w:tcW w:w="1943" w:type="pct"/>
            <w:tcBorders>
              <w:top w:val="nil"/>
              <w:left w:val="nil"/>
              <w:bottom w:val="nil"/>
              <w:right w:val="nil"/>
            </w:tcBorders>
          </w:tcPr>
          <w:p w14:paraId="75909A77" w14:textId="77777777" w:rsidR="00B3500A" w:rsidRPr="008550C6" w:rsidRDefault="00B3500A" w:rsidP="00D62AD1">
            <w:pPr>
              <w:widowControl w:val="0"/>
              <w:autoSpaceDE w:val="0"/>
              <w:autoSpaceDN w:val="0"/>
              <w:adjustRightInd w:val="0"/>
              <w:rPr>
                <w:sz w:val="22"/>
                <w:szCs w:val="22"/>
              </w:rPr>
            </w:pPr>
            <w:r w:rsidRPr="008550C6">
              <w:rPr>
                <w:sz w:val="22"/>
                <w:szCs w:val="22"/>
              </w:rPr>
              <w:t>Constant</w:t>
            </w:r>
          </w:p>
        </w:tc>
        <w:tc>
          <w:tcPr>
            <w:tcW w:w="1595" w:type="pct"/>
            <w:tcBorders>
              <w:top w:val="nil"/>
              <w:left w:val="single" w:sz="4" w:space="0" w:color="auto"/>
              <w:bottom w:val="nil"/>
              <w:right w:val="nil"/>
            </w:tcBorders>
          </w:tcPr>
          <w:p w14:paraId="4782C9C1" w14:textId="3BAAAFA3" w:rsidR="00B3500A" w:rsidRPr="008550C6" w:rsidRDefault="00B3500A" w:rsidP="00D62AD1">
            <w:pPr>
              <w:widowControl w:val="0"/>
              <w:autoSpaceDE w:val="0"/>
              <w:autoSpaceDN w:val="0"/>
              <w:adjustRightInd w:val="0"/>
              <w:jc w:val="center"/>
              <w:rPr>
                <w:sz w:val="22"/>
                <w:szCs w:val="22"/>
              </w:rPr>
            </w:pPr>
            <w:r w:rsidRPr="008550C6">
              <w:rPr>
                <w:sz w:val="22"/>
                <w:szCs w:val="22"/>
              </w:rPr>
              <w:t>-0.</w:t>
            </w:r>
            <w:r w:rsidR="003C5EC7" w:rsidRPr="008550C6">
              <w:rPr>
                <w:sz w:val="22"/>
                <w:szCs w:val="22"/>
              </w:rPr>
              <w:t>0631</w:t>
            </w:r>
            <w:r w:rsidRPr="008550C6">
              <w:rPr>
                <w:sz w:val="22"/>
                <w:szCs w:val="22"/>
              </w:rPr>
              <w:t xml:space="preserve">*   </w:t>
            </w:r>
          </w:p>
        </w:tc>
        <w:tc>
          <w:tcPr>
            <w:tcW w:w="1462" w:type="pct"/>
            <w:tcBorders>
              <w:top w:val="nil"/>
              <w:left w:val="nil"/>
              <w:bottom w:val="nil"/>
              <w:right w:val="nil"/>
            </w:tcBorders>
          </w:tcPr>
          <w:p w14:paraId="7F82DB22" w14:textId="3F7A93A4" w:rsidR="00B3500A" w:rsidRPr="008550C6" w:rsidRDefault="00B3500A" w:rsidP="00D62AD1">
            <w:pPr>
              <w:widowControl w:val="0"/>
              <w:autoSpaceDE w:val="0"/>
              <w:autoSpaceDN w:val="0"/>
              <w:adjustRightInd w:val="0"/>
              <w:jc w:val="center"/>
              <w:rPr>
                <w:sz w:val="22"/>
                <w:szCs w:val="22"/>
              </w:rPr>
            </w:pPr>
            <w:r w:rsidRPr="008550C6">
              <w:rPr>
                <w:sz w:val="22"/>
                <w:szCs w:val="22"/>
              </w:rPr>
              <w:t>-0.</w:t>
            </w:r>
            <w:r w:rsidR="006154E0" w:rsidRPr="008550C6">
              <w:rPr>
                <w:sz w:val="22"/>
                <w:szCs w:val="22"/>
              </w:rPr>
              <w:t>0654</w:t>
            </w:r>
            <w:r w:rsidRPr="008550C6">
              <w:rPr>
                <w:sz w:val="22"/>
                <w:szCs w:val="22"/>
              </w:rPr>
              <w:t xml:space="preserve">*  </w:t>
            </w:r>
          </w:p>
        </w:tc>
      </w:tr>
      <w:tr w:rsidR="008550C6" w:rsidRPr="008550C6" w14:paraId="79361D17" w14:textId="77777777" w:rsidTr="00D62AD1">
        <w:tc>
          <w:tcPr>
            <w:tcW w:w="1943" w:type="pct"/>
            <w:tcBorders>
              <w:top w:val="nil"/>
              <w:left w:val="nil"/>
              <w:bottom w:val="nil"/>
              <w:right w:val="nil"/>
            </w:tcBorders>
          </w:tcPr>
          <w:p w14:paraId="3ED162FC" w14:textId="77777777" w:rsidR="00B3500A" w:rsidRPr="008550C6" w:rsidRDefault="00B3500A" w:rsidP="00D62AD1">
            <w:pPr>
              <w:widowControl w:val="0"/>
              <w:autoSpaceDE w:val="0"/>
              <w:autoSpaceDN w:val="0"/>
              <w:adjustRightInd w:val="0"/>
              <w:rPr>
                <w:sz w:val="22"/>
                <w:szCs w:val="22"/>
              </w:rPr>
            </w:pPr>
          </w:p>
        </w:tc>
        <w:tc>
          <w:tcPr>
            <w:tcW w:w="1595" w:type="pct"/>
            <w:tcBorders>
              <w:top w:val="nil"/>
              <w:left w:val="single" w:sz="4" w:space="0" w:color="auto"/>
              <w:bottom w:val="nil"/>
              <w:right w:val="nil"/>
            </w:tcBorders>
          </w:tcPr>
          <w:p w14:paraId="01CF3DE9" w14:textId="3FF38FBA"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3C5EC7" w:rsidRPr="008550C6">
              <w:rPr>
                <w:sz w:val="22"/>
                <w:szCs w:val="22"/>
              </w:rPr>
              <w:t>1.66</w:t>
            </w:r>
            <w:r w:rsidRPr="008550C6">
              <w:rPr>
                <w:sz w:val="22"/>
                <w:szCs w:val="22"/>
              </w:rPr>
              <w:t xml:space="preserve">)   </w:t>
            </w:r>
          </w:p>
        </w:tc>
        <w:tc>
          <w:tcPr>
            <w:tcW w:w="1462" w:type="pct"/>
            <w:tcBorders>
              <w:top w:val="nil"/>
              <w:left w:val="nil"/>
              <w:bottom w:val="nil"/>
              <w:right w:val="nil"/>
            </w:tcBorders>
          </w:tcPr>
          <w:p w14:paraId="0686B764" w14:textId="65C88891" w:rsidR="00B3500A" w:rsidRPr="008550C6" w:rsidRDefault="00B3500A" w:rsidP="00D62AD1">
            <w:pPr>
              <w:widowControl w:val="0"/>
              <w:autoSpaceDE w:val="0"/>
              <w:autoSpaceDN w:val="0"/>
              <w:adjustRightInd w:val="0"/>
              <w:jc w:val="center"/>
              <w:rPr>
                <w:sz w:val="22"/>
                <w:szCs w:val="22"/>
              </w:rPr>
            </w:pPr>
            <w:r w:rsidRPr="008550C6">
              <w:rPr>
                <w:sz w:val="22"/>
                <w:szCs w:val="22"/>
              </w:rPr>
              <w:t>(</w:t>
            </w:r>
            <w:r w:rsidR="00A90B97" w:rsidRPr="008550C6">
              <w:rPr>
                <w:sz w:val="22"/>
                <w:szCs w:val="22"/>
              </w:rPr>
              <w:t>1</w:t>
            </w:r>
            <w:r w:rsidRPr="008550C6">
              <w:rPr>
                <w:sz w:val="22"/>
                <w:szCs w:val="22"/>
              </w:rPr>
              <w:t>.</w:t>
            </w:r>
            <w:r w:rsidR="00A90B97" w:rsidRPr="008550C6">
              <w:rPr>
                <w:sz w:val="22"/>
                <w:szCs w:val="22"/>
              </w:rPr>
              <w:t>72</w:t>
            </w:r>
            <w:r w:rsidRPr="008550C6">
              <w:rPr>
                <w:sz w:val="22"/>
                <w:szCs w:val="22"/>
              </w:rPr>
              <w:t xml:space="preserve">)   </w:t>
            </w:r>
          </w:p>
        </w:tc>
      </w:tr>
      <w:tr w:rsidR="008550C6" w:rsidRPr="008550C6" w14:paraId="0BD93EA7" w14:textId="77777777" w:rsidTr="00D62AD1">
        <w:tc>
          <w:tcPr>
            <w:tcW w:w="1943" w:type="pct"/>
            <w:tcBorders>
              <w:top w:val="nil"/>
              <w:left w:val="nil"/>
              <w:bottom w:val="nil"/>
              <w:right w:val="nil"/>
            </w:tcBorders>
          </w:tcPr>
          <w:p w14:paraId="2C07012B" w14:textId="77777777" w:rsidR="00B3500A" w:rsidRPr="008550C6" w:rsidRDefault="00B3500A" w:rsidP="00D62AD1">
            <w:pPr>
              <w:widowControl w:val="0"/>
              <w:autoSpaceDE w:val="0"/>
              <w:autoSpaceDN w:val="0"/>
              <w:adjustRightInd w:val="0"/>
              <w:rPr>
                <w:sz w:val="22"/>
                <w:szCs w:val="22"/>
              </w:rPr>
            </w:pPr>
          </w:p>
        </w:tc>
        <w:tc>
          <w:tcPr>
            <w:tcW w:w="1595" w:type="pct"/>
            <w:tcBorders>
              <w:top w:val="nil"/>
              <w:left w:val="single" w:sz="4" w:space="0" w:color="auto"/>
              <w:bottom w:val="nil"/>
              <w:right w:val="nil"/>
            </w:tcBorders>
          </w:tcPr>
          <w:p w14:paraId="23C4A910" w14:textId="77777777" w:rsidR="00B3500A" w:rsidRPr="008550C6" w:rsidRDefault="00B3500A" w:rsidP="00D62AD1">
            <w:pPr>
              <w:widowControl w:val="0"/>
              <w:autoSpaceDE w:val="0"/>
              <w:autoSpaceDN w:val="0"/>
              <w:adjustRightInd w:val="0"/>
              <w:jc w:val="center"/>
              <w:rPr>
                <w:sz w:val="22"/>
                <w:szCs w:val="22"/>
              </w:rPr>
            </w:pPr>
          </w:p>
        </w:tc>
        <w:tc>
          <w:tcPr>
            <w:tcW w:w="1462" w:type="pct"/>
            <w:tcBorders>
              <w:top w:val="nil"/>
              <w:left w:val="nil"/>
              <w:bottom w:val="nil"/>
              <w:right w:val="nil"/>
            </w:tcBorders>
          </w:tcPr>
          <w:p w14:paraId="4A968781" w14:textId="77777777" w:rsidR="00B3500A" w:rsidRPr="008550C6" w:rsidRDefault="00B3500A" w:rsidP="00D62AD1">
            <w:pPr>
              <w:widowControl w:val="0"/>
              <w:autoSpaceDE w:val="0"/>
              <w:autoSpaceDN w:val="0"/>
              <w:adjustRightInd w:val="0"/>
              <w:jc w:val="center"/>
              <w:rPr>
                <w:sz w:val="22"/>
                <w:szCs w:val="22"/>
              </w:rPr>
            </w:pPr>
          </w:p>
        </w:tc>
      </w:tr>
      <w:tr w:rsidR="008550C6" w:rsidRPr="008550C6" w14:paraId="3930F552" w14:textId="77777777" w:rsidTr="00A96FAC">
        <w:tblPrEx>
          <w:tblBorders>
            <w:bottom w:val="single" w:sz="6" w:space="0" w:color="auto"/>
          </w:tblBorders>
        </w:tblPrEx>
        <w:tc>
          <w:tcPr>
            <w:tcW w:w="1943" w:type="pct"/>
            <w:tcBorders>
              <w:top w:val="nil"/>
              <w:left w:val="nil"/>
              <w:bottom w:val="nil"/>
              <w:right w:val="nil"/>
            </w:tcBorders>
          </w:tcPr>
          <w:p w14:paraId="154A06A9" w14:textId="77777777" w:rsidR="006E7B30" w:rsidRPr="008550C6" w:rsidRDefault="006E7B30" w:rsidP="00A96FAC">
            <w:pPr>
              <w:widowControl w:val="0"/>
              <w:autoSpaceDE w:val="0"/>
              <w:autoSpaceDN w:val="0"/>
              <w:adjustRightInd w:val="0"/>
              <w:rPr>
                <w:sz w:val="22"/>
                <w:szCs w:val="22"/>
              </w:rPr>
            </w:pPr>
            <w:r w:rsidRPr="008550C6">
              <w:rPr>
                <w:sz w:val="22"/>
                <w:szCs w:val="22"/>
              </w:rPr>
              <w:t>R-squared</w:t>
            </w:r>
          </w:p>
        </w:tc>
        <w:tc>
          <w:tcPr>
            <w:tcW w:w="1595" w:type="pct"/>
            <w:tcBorders>
              <w:top w:val="nil"/>
              <w:left w:val="single" w:sz="4" w:space="0" w:color="auto"/>
              <w:bottom w:val="nil"/>
              <w:right w:val="nil"/>
            </w:tcBorders>
          </w:tcPr>
          <w:p w14:paraId="53EE2C67" w14:textId="77777777" w:rsidR="006E7B30" w:rsidRPr="008550C6" w:rsidRDefault="006E7B30" w:rsidP="00A96FAC">
            <w:pPr>
              <w:widowControl w:val="0"/>
              <w:autoSpaceDE w:val="0"/>
              <w:autoSpaceDN w:val="0"/>
              <w:adjustRightInd w:val="0"/>
              <w:jc w:val="center"/>
              <w:rPr>
                <w:sz w:val="22"/>
                <w:szCs w:val="22"/>
              </w:rPr>
            </w:pPr>
            <w:r w:rsidRPr="008550C6">
              <w:rPr>
                <w:sz w:val="22"/>
                <w:szCs w:val="22"/>
              </w:rPr>
              <w:t>0.4501</w:t>
            </w:r>
          </w:p>
        </w:tc>
        <w:tc>
          <w:tcPr>
            <w:tcW w:w="1462" w:type="pct"/>
            <w:tcBorders>
              <w:top w:val="nil"/>
              <w:left w:val="nil"/>
              <w:bottom w:val="nil"/>
              <w:right w:val="nil"/>
            </w:tcBorders>
          </w:tcPr>
          <w:p w14:paraId="732A4F4B" w14:textId="77777777" w:rsidR="006E7B30" w:rsidRPr="008550C6" w:rsidRDefault="006E7B30" w:rsidP="00A96FAC">
            <w:pPr>
              <w:widowControl w:val="0"/>
              <w:autoSpaceDE w:val="0"/>
              <w:autoSpaceDN w:val="0"/>
              <w:adjustRightInd w:val="0"/>
              <w:jc w:val="center"/>
              <w:rPr>
                <w:sz w:val="22"/>
                <w:szCs w:val="22"/>
              </w:rPr>
            </w:pPr>
            <w:r w:rsidRPr="008550C6">
              <w:rPr>
                <w:sz w:val="22"/>
                <w:szCs w:val="22"/>
              </w:rPr>
              <w:t>0.4517</w:t>
            </w:r>
          </w:p>
        </w:tc>
      </w:tr>
      <w:tr w:rsidR="008550C6" w:rsidRPr="008550C6" w14:paraId="58DB5D01" w14:textId="77777777" w:rsidTr="003C5EC7">
        <w:tblPrEx>
          <w:tblBorders>
            <w:bottom w:val="single" w:sz="6" w:space="0" w:color="auto"/>
          </w:tblBorders>
        </w:tblPrEx>
        <w:tc>
          <w:tcPr>
            <w:tcW w:w="1943" w:type="pct"/>
            <w:tcBorders>
              <w:top w:val="nil"/>
              <w:left w:val="nil"/>
              <w:bottom w:val="nil"/>
              <w:right w:val="nil"/>
            </w:tcBorders>
          </w:tcPr>
          <w:p w14:paraId="28453787" w14:textId="77777777" w:rsidR="00B3500A" w:rsidRPr="008550C6" w:rsidRDefault="00B3500A" w:rsidP="00D62AD1">
            <w:pPr>
              <w:widowControl w:val="0"/>
              <w:autoSpaceDE w:val="0"/>
              <w:autoSpaceDN w:val="0"/>
              <w:adjustRightInd w:val="0"/>
              <w:rPr>
                <w:sz w:val="22"/>
                <w:szCs w:val="22"/>
              </w:rPr>
            </w:pPr>
            <w:r w:rsidRPr="008550C6">
              <w:rPr>
                <w:sz w:val="22"/>
                <w:szCs w:val="22"/>
              </w:rPr>
              <w:t>Observations</w:t>
            </w:r>
          </w:p>
        </w:tc>
        <w:tc>
          <w:tcPr>
            <w:tcW w:w="1595" w:type="pct"/>
            <w:tcBorders>
              <w:top w:val="nil"/>
              <w:left w:val="single" w:sz="4" w:space="0" w:color="auto"/>
              <w:bottom w:val="nil"/>
              <w:right w:val="nil"/>
            </w:tcBorders>
          </w:tcPr>
          <w:p w14:paraId="02700BFD" w14:textId="77777777" w:rsidR="00B3500A" w:rsidRPr="008550C6" w:rsidRDefault="00B3500A" w:rsidP="00D62AD1">
            <w:pPr>
              <w:widowControl w:val="0"/>
              <w:autoSpaceDE w:val="0"/>
              <w:autoSpaceDN w:val="0"/>
              <w:adjustRightInd w:val="0"/>
              <w:jc w:val="center"/>
              <w:rPr>
                <w:sz w:val="22"/>
                <w:szCs w:val="22"/>
              </w:rPr>
            </w:pPr>
            <w:r w:rsidRPr="008550C6">
              <w:rPr>
                <w:sz w:val="22"/>
                <w:szCs w:val="22"/>
              </w:rPr>
              <w:t>2,499</w:t>
            </w:r>
          </w:p>
        </w:tc>
        <w:tc>
          <w:tcPr>
            <w:tcW w:w="1462" w:type="pct"/>
            <w:tcBorders>
              <w:top w:val="nil"/>
              <w:left w:val="nil"/>
              <w:bottom w:val="nil"/>
              <w:right w:val="nil"/>
            </w:tcBorders>
          </w:tcPr>
          <w:p w14:paraId="1F88A980" w14:textId="77777777" w:rsidR="00B3500A" w:rsidRPr="008550C6" w:rsidRDefault="00B3500A" w:rsidP="00D62AD1">
            <w:pPr>
              <w:widowControl w:val="0"/>
              <w:autoSpaceDE w:val="0"/>
              <w:autoSpaceDN w:val="0"/>
              <w:adjustRightInd w:val="0"/>
              <w:jc w:val="center"/>
              <w:rPr>
                <w:sz w:val="22"/>
                <w:szCs w:val="22"/>
              </w:rPr>
            </w:pPr>
            <w:r w:rsidRPr="008550C6">
              <w:rPr>
                <w:sz w:val="22"/>
                <w:szCs w:val="22"/>
              </w:rPr>
              <w:t>2,499</w:t>
            </w:r>
          </w:p>
        </w:tc>
      </w:tr>
      <w:tr w:rsidR="008550C6" w:rsidRPr="008550C6" w14:paraId="58A24BD7" w14:textId="77777777" w:rsidTr="003C5EC7">
        <w:tblPrEx>
          <w:tblBorders>
            <w:bottom w:val="single" w:sz="6" w:space="0" w:color="auto"/>
          </w:tblBorders>
        </w:tblPrEx>
        <w:tc>
          <w:tcPr>
            <w:tcW w:w="1943" w:type="pct"/>
            <w:tcBorders>
              <w:top w:val="nil"/>
              <w:left w:val="nil"/>
              <w:bottom w:val="nil"/>
              <w:right w:val="nil"/>
            </w:tcBorders>
          </w:tcPr>
          <w:p w14:paraId="40BD9092" w14:textId="3A3C8DED" w:rsidR="006E7B30" w:rsidRPr="008550C6" w:rsidRDefault="006E7B30" w:rsidP="006E7B30">
            <w:pPr>
              <w:widowControl w:val="0"/>
              <w:autoSpaceDE w:val="0"/>
              <w:autoSpaceDN w:val="0"/>
              <w:adjustRightInd w:val="0"/>
              <w:rPr>
                <w:sz w:val="22"/>
                <w:szCs w:val="22"/>
              </w:rPr>
            </w:pPr>
            <w:r w:rsidRPr="008550C6">
              <w:rPr>
                <w:sz w:val="22"/>
                <w:szCs w:val="22"/>
              </w:rPr>
              <w:t>Number of states</w:t>
            </w:r>
          </w:p>
        </w:tc>
        <w:tc>
          <w:tcPr>
            <w:tcW w:w="1595" w:type="pct"/>
            <w:tcBorders>
              <w:top w:val="nil"/>
              <w:left w:val="single" w:sz="4" w:space="0" w:color="auto"/>
              <w:bottom w:val="nil"/>
              <w:right w:val="nil"/>
            </w:tcBorders>
          </w:tcPr>
          <w:p w14:paraId="43600063" w14:textId="401DA28D" w:rsidR="006E7B30" w:rsidRPr="008550C6" w:rsidRDefault="006E7B30" w:rsidP="006E7B30">
            <w:pPr>
              <w:widowControl w:val="0"/>
              <w:autoSpaceDE w:val="0"/>
              <w:autoSpaceDN w:val="0"/>
              <w:adjustRightInd w:val="0"/>
              <w:jc w:val="center"/>
              <w:rPr>
                <w:sz w:val="22"/>
                <w:szCs w:val="22"/>
              </w:rPr>
            </w:pPr>
            <w:r w:rsidRPr="008550C6">
              <w:rPr>
                <w:sz w:val="22"/>
                <w:szCs w:val="22"/>
              </w:rPr>
              <w:t>51</w:t>
            </w:r>
          </w:p>
        </w:tc>
        <w:tc>
          <w:tcPr>
            <w:tcW w:w="1462" w:type="pct"/>
            <w:tcBorders>
              <w:top w:val="nil"/>
              <w:left w:val="nil"/>
              <w:bottom w:val="nil"/>
              <w:right w:val="nil"/>
            </w:tcBorders>
          </w:tcPr>
          <w:p w14:paraId="54FBBD84" w14:textId="4BF1D2D0" w:rsidR="006E7B30" w:rsidRPr="008550C6" w:rsidRDefault="006E7B30" w:rsidP="006E7B30">
            <w:pPr>
              <w:widowControl w:val="0"/>
              <w:autoSpaceDE w:val="0"/>
              <w:autoSpaceDN w:val="0"/>
              <w:adjustRightInd w:val="0"/>
              <w:jc w:val="center"/>
              <w:rPr>
                <w:sz w:val="22"/>
                <w:szCs w:val="22"/>
              </w:rPr>
            </w:pPr>
            <w:r w:rsidRPr="008550C6">
              <w:rPr>
                <w:sz w:val="22"/>
                <w:szCs w:val="22"/>
              </w:rPr>
              <w:t>51</w:t>
            </w:r>
          </w:p>
        </w:tc>
      </w:tr>
      <w:tr w:rsidR="008550C6" w:rsidRPr="008550C6" w14:paraId="0BA55DB2" w14:textId="77777777" w:rsidTr="00D62AD1">
        <w:tblPrEx>
          <w:tblBorders>
            <w:bottom w:val="single" w:sz="6" w:space="0" w:color="auto"/>
          </w:tblBorders>
        </w:tblPrEx>
        <w:tc>
          <w:tcPr>
            <w:tcW w:w="1943" w:type="pct"/>
            <w:tcBorders>
              <w:top w:val="nil"/>
              <w:left w:val="nil"/>
              <w:bottom w:val="single" w:sz="6" w:space="0" w:color="auto"/>
              <w:right w:val="nil"/>
            </w:tcBorders>
          </w:tcPr>
          <w:p w14:paraId="423EFE70" w14:textId="547385A1" w:rsidR="006154E0" w:rsidRPr="008550C6" w:rsidRDefault="006154E0" w:rsidP="006154E0">
            <w:pPr>
              <w:widowControl w:val="0"/>
              <w:autoSpaceDE w:val="0"/>
              <w:autoSpaceDN w:val="0"/>
              <w:adjustRightInd w:val="0"/>
              <w:rPr>
                <w:sz w:val="22"/>
                <w:szCs w:val="22"/>
              </w:rPr>
            </w:pPr>
            <w:r w:rsidRPr="008550C6">
              <w:rPr>
                <w:sz w:val="22"/>
                <w:szCs w:val="22"/>
              </w:rPr>
              <w:t>Wald Chi 2 [p-value]</w:t>
            </w:r>
          </w:p>
        </w:tc>
        <w:tc>
          <w:tcPr>
            <w:tcW w:w="1595" w:type="pct"/>
            <w:tcBorders>
              <w:top w:val="nil"/>
              <w:left w:val="single" w:sz="4" w:space="0" w:color="auto"/>
              <w:bottom w:val="single" w:sz="6" w:space="0" w:color="auto"/>
              <w:right w:val="nil"/>
            </w:tcBorders>
          </w:tcPr>
          <w:p w14:paraId="05B3DC51" w14:textId="6EDA6660" w:rsidR="006154E0" w:rsidRPr="008550C6" w:rsidRDefault="006154E0" w:rsidP="006154E0">
            <w:pPr>
              <w:widowControl w:val="0"/>
              <w:autoSpaceDE w:val="0"/>
              <w:autoSpaceDN w:val="0"/>
              <w:adjustRightInd w:val="0"/>
              <w:jc w:val="center"/>
              <w:rPr>
                <w:sz w:val="22"/>
                <w:szCs w:val="22"/>
              </w:rPr>
            </w:pPr>
            <w:r w:rsidRPr="008550C6">
              <w:rPr>
                <w:sz w:val="22"/>
                <w:szCs w:val="22"/>
              </w:rPr>
              <w:t>0.000***</w:t>
            </w:r>
          </w:p>
        </w:tc>
        <w:tc>
          <w:tcPr>
            <w:tcW w:w="1462" w:type="pct"/>
            <w:tcBorders>
              <w:top w:val="nil"/>
              <w:left w:val="nil"/>
              <w:bottom w:val="single" w:sz="6" w:space="0" w:color="auto"/>
              <w:right w:val="nil"/>
            </w:tcBorders>
          </w:tcPr>
          <w:p w14:paraId="6017C9CB" w14:textId="7A39A2FD" w:rsidR="006154E0" w:rsidRPr="008550C6" w:rsidRDefault="006154E0" w:rsidP="006154E0">
            <w:pPr>
              <w:widowControl w:val="0"/>
              <w:autoSpaceDE w:val="0"/>
              <w:autoSpaceDN w:val="0"/>
              <w:adjustRightInd w:val="0"/>
              <w:jc w:val="center"/>
              <w:rPr>
                <w:sz w:val="22"/>
                <w:szCs w:val="22"/>
              </w:rPr>
            </w:pPr>
            <w:r w:rsidRPr="008550C6">
              <w:rPr>
                <w:sz w:val="22"/>
                <w:szCs w:val="22"/>
              </w:rPr>
              <w:t>0.000***</w:t>
            </w:r>
          </w:p>
        </w:tc>
      </w:tr>
    </w:tbl>
    <w:p w14:paraId="728BE778" w14:textId="102F6DA9" w:rsidR="00B3500A" w:rsidRPr="008550C6" w:rsidRDefault="00B3500A" w:rsidP="00B3500A">
      <w:pPr>
        <w:spacing w:after="200" w:line="276" w:lineRule="auto"/>
        <w:jc w:val="both"/>
        <w:rPr>
          <w:i/>
          <w:iCs/>
          <w:sz w:val="18"/>
          <w:szCs w:val="18"/>
        </w:rPr>
      </w:pPr>
      <w:r w:rsidRPr="008550C6">
        <w:rPr>
          <w:rFonts w:asciiTheme="majorBidi" w:hAnsiTheme="majorBidi" w:cstheme="majorBidi"/>
          <w:i/>
          <w:iCs/>
          <w:sz w:val="18"/>
          <w:szCs w:val="18"/>
        </w:rPr>
        <w:t xml:space="preserve">Note: </w:t>
      </w:r>
      <w:r w:rsidRPr="00472A6C">
        <w:rPr>
          <w:rFonts w:asciiTheme="majorBidi" w:hAnsiTheme="majorBidi" w:cstheme="majorBidi"/>
          <w:sz w:val="18"/>
          <w:szCs w:val="18"/>
          <w:lang w:val="en-US" w:eastAsia="en-US"/>
          <w14:ligatures w14:val="standardContextual"/>
        </w:rPr>
        <w:t xml:space="preserve">This table reports regression results on the association between bootstrap variable return to scale efficiency score and the changes from voters on party following Spatial </w:t>
      </w:r>
      <w:r w:rsidR="00667BE2" w:rsidRPr="00472A6C">
        <w:rPr>
          <w:rFonts w:asciiTheme="majorBidi" w:hAnsiTheme="majorBidi" w:cstheme="majorBidi"/>
          <w:sz w:val="18"/>
          <w:szCs w:val="18"/>
          <w:lang w:val="en-US" w:eastAsia="en-US"/>
          <w14:ligatures w14:val="standardContextual"/>
        </w:rPr>
        <w:t>T</w:t>
      </w:r>
      <w:r w:rsidRPr="00472A6C">
        <w:rPr>
          <w:rFonts w:asciiTheme="majorBidi" w:hAnsiTheme="majorBidi" w:cstheme="majorBidi"/>
          <w:sz w:val="18"/>
          <w:szCs w:val="18"/>
          <w:lang w:val="en-US" w:eastAsia="en-US"/>
          <w14:ligatures w14:val="standardContextual"/>
        </w:rPr>
        <w:t>obit model (STM). The variables’ coefficients and t-statistics (in brackets) are reported in the table; ***, **, * denote significance at the 1%, 5%, and 10% levels, respectively.</w:t>
      </w:r>
      <w:r w:rsidRPr="00472A6C">
        <w:rPr>
          <w:rFonts w:asciiTheme="majorBidi" w:hAnsiTheme="majorBidi" w:cstheme="majorBidi"/>
          <w:sz w:val="18"/>
          <w:szCs w:val="18"/>
        </w:rPr>
        <w:t xml:space="preserve"> </w:t>
      </w:r>
      <w:r w:rsidRPr="007E4ED2">
        <w:rPr>
          <w:rFonts w:asciiTheme="majorBidi" w:hAnsiTheme="majorBidi" w:cstheme="majorBidi"/>
          <w:i/>
          <w:iCs/>
          <w:sz w:val="18"/>
          <w:szCs w:val="18"/>
        </w:rPr>
        <w:t>SChange</w:t>
      </w:r>
      <w:r w:rsidRPr="00472A6C">
        <w:rPr>
          <w:rFonts w:asciiTheme="majorBidi" w:hAnsiTheme="majorBidi" w:cstheme="majorBidi"/>
          <w:sz w:val="18"/>
          <w:szCs w:val="18"/>
        </w:rPr>
        <w:t xml:space="preserve">: Dummy variable equals 1 if there is a change of party selection from the voters at the state level between this and last year and 0 otherwise; </w:t>
      </w:r>
      <w:r w:rsidRPr="007E4ED2">
        <w:rPr>
          <w:rFonts w:asciiTheme="majorBidi" w:hAnsiTheme="majorBidi" w:cstheme="majorBidi"/>
          <w:i/>
          <w:iCs/>
          <w:sz w:val="18"/>
          <w:szCs w:val="18"/>
        </w:rPr>
        <w:t>NChange</w:t>
      </w:r>
      <w:r w:rsidRPr="00472A6C">
        <w:rPr>
          <w:rFonts w:asciiTheme="majorBidi" w:hAnsiTheme="majorBidi" w:cstheme="majorBidi"/>
          <w:sz w:val="18"/>
          <w:szCs w:val="18"/>
        </w:rPr>
        <w:t>: Dummy</w:t>
      </w:r>
      <w:r w:rsidRPr="00472A6C">
        <w:rPr>
          <w:sz w:val="18"/>
          <w:szCs w:val="18"/>
        </w:rPr>
        <w:t xml:space="preserve"> variable equals 1 if there is a change of party selection from the voters at national level between this and last year and 0 otherwise.</w:t>
      </w:r>
    </w:p>
    <w:p w14:paraId="0A12D777" w14:textId="77777777" w:rsidR="00CC3DA0" w:rsidRPr="008550C6" w:rsidRDefault="00CC3DA0" w:rsidP="00B3500A">
      <w:pPr>
        <w:spacing w:after="200" w:line="276" w:lineRule="auto"/>
        <w:jc w:val="both"/>
        <w:rPr>
          <w:i/>
          <w:iCs/>
          <w:sz w:val="18"/>
          <w:szCs w:val="18"/>
        </w:rPr>
      </w:pPr>
    </w:p>
    <w:p w14:paraId="20FFFABD" w14:textId="77777777" w:rsidR="000F6D6E" w:rsidRPr="008550C6" w:rsidRDefault="000F6D6E" w:rsidP="00B3500A">
      <w:pPr>
        <w:spacing w:after="200" w:line="276" w:lineRule="auto"/>
        <w:jc w:val="both"/>
        <w:rPr>
          <w:i/>
          <w:iCs/>
          <w:sz w:val="18"/>
          <w:szCs w:val="18"/>
        </w:rPr>
      </w:pPr>
    </w:p>
    <w:p w14:paraId="7E195DF7" w14:textId="77777777" w:rsidR="000F6D6E" w:rsidRPr="008550C6" w:rsidRDefault="000F6D6E" w:rsidP="00B3500A">
      <w:pPr>
        <w:spacing w:after="200" w:line="276" w:lineRule="auto"/>
        <w:jc w:val="both"/>
        <w:rPr>
          <w:i/>
          <w:iCs/>
          <w:sz w:val="18"/>
          <w:szCs w:val="18"/>
        </w:rPr>
      </w:pPr>
    </w:p>
    <w:p w14:paraId="05F68EDF" w14:textId="77777777" w:rsidR="000F6D6E" w:rsidRPr="008550C6" w:rsidRDefault="000F6D6E" w:rsidP="00B3500A">
      <w:pPr>
        <w:spacing w:after="200" w:line="276" w:lineRule="auto"/>
        <w:jc w:val="both"/>
        <w:rPr>
          <w:i/>
          <w:iCs/>
          <w:sz w:val="18"/>
          <w:szCs w:val="18"/>
        </w:rPr>
      </w:pPr>
    </w:p>
    <w:p w14:paraId="790DE49B" w14:textId="77777777" w:rsidR="000F6D6E" w:rsidRPr="008550C6" w:rsidRDefault="000F6D6E" w:rsidP="00B3500A">
      <w:pPr>
        <w:spacing w:after="200" w:line="276" w:lineRule="auto"/>
        <w:jc w:val="both"/>
        <w:rPr>
          <w:i/>
          <w:iCs/>
          <w:sz w:val="18"/>
          <w:szCs w:val="18"/>
        </w:rPr>
      </w:pPr>
    </w:p>
    <w:p w14:paraId="42551B93" w14:textId="77777777" w:rsidR="000F6D6E" w:rsidRPr="008550C6" w:rsidRDefault="000F6D6E" w:rsidP="00B3500A">
      <w:pPr>
        <w:spacing w:after="200" w:line="276" w:lineRule="auto"/>
        <w:jc w:val="both"/>
        <w:rPr>
          <w:i/>
          <w:iCs/>
          <w:sz w:val="18"/>
          <w:szCs w:val="18"/>
        </w:rPr>
      </w:pPr>
    </w:p>
    <w:p w14:paraId="321735A3" w14:textId="77777777" w:rsidR="000F6D6E" w:rsidRPr="008550C6" w:rsidRDefault="000F6D6E" w:rsidP="00B3500A">
      <w:pPr>
        <w:spacing w:after="200" w:line="276" w:lineRule="auto"/>
        <w:jc w:val="both"/>
        <w:rPr>
          <w:i/>
          <w:iCs/>
          <w:sz w:val="18"/>
          <w:szCs w:val="18"/>
        </w:rPr>
      </w:pPr>
    </w:p>
    <w:p w14:paraId="00833E03" w14:textId="77777777" w:rsidR="000F6D6E" w:rsidRPr="008550C6" w:rsidRDefault="000F6D6E" w:rsidP="00B3500A">
      <w:pPr>
        <w:spacing w:after="200" w:line="276" w:lineRule="auto"/>
        <w:jc w:val="both"/>
        <w:rPr>
          <w:i/>
          <w:iCs/>
          <w:sz w:val="18"/>
          <w:szCs w:val="18"/>
        </w:rPr>
      </w:pPr>
    </w:p>
    <w:p w14:paraId="724A923B" w14:textId="77777777" w:rsidR="000F6D6E" w:rsidRPr="008550C6" w:rsidRDefault="000F6D6E" w:rsidP="00B3500A">
      <w:pPr>
        <w:spacing w:after="200" w:line="276" w:lineRule="auto"/>
        <w:jc w:val="both"/>
        <w:rPr>
          <w:i/>
          <w:iCs/>
          <w:sz w:val="18"/>
          <w:szCs w:val="18"/>
        </w:rPr>
      </w:pPr>
    </w:p>
    <w:p w14:paraId="67DC4164" w14:textId="77777777" w:rsidR="000F6D6E" w:rsidRPr="008550C6" w:rsidRDefault="000F6D6E" w:rsidP="00B3500A">
      <w:pPr>
        <w:spacing w:after="200" w:line="276" w:lineRule="auto"/>
        <w:jc w:val="both"/>
        <w:rPr>
          <w:i/>
          <w:iCs/>
          <w:sz w:val="18"/>
          <w:szCs w:val="18"/>
        </w:rPr>
      </w:pPr>
    </w:p>
    <w:p w14:paraId="7D0E62DC" w14:textId="77777777" w:rsidR="0017197F" w:rsidRPr="008550C6" w:rsidRDefault="0017197F" w:rsidP="00B3500A">
      <w:pPr>
        <w:spacing w:after="200" w:line="276" w:lineRule="auto"/>
        <w:jc w:val="both"/>
        <w:rPr>
          <w:i/>
          <w:iCs/>
          <w:sz w:val="18"/>
          <w:szCs w:val="18"/>
        </w:rPr>
      </w:pPr>
    </w:p>
    <w:p w14:paraId="40CB3D29" w14:textId="77777777" w:rsidR="000F6D6E" w:rsidRPr="008550C6" w:rsidRDefault="000F6D6E" w:rsidP="00B3500A">
      <w:pPr>
        <w:spacing w:after="200" w:line="276" w:lineRule="auto"/>
        <w:jc w:val="both"/>
        <w:rPr>
          <w:i/>
          <w:iCs/>
          <w:sz w:val="18"/>
          <w:szCs w:val="18"/>
        </w:rPr>
      </w:pPr>
    </w:p>
    <w:p w14:paraId="772E69FD" w14:textId="77777777" w:rsidR="00B766A9" w:rsidRPr="008550C6" w:rsidRDefault="00B766A9" w:rsidP="00B3500A">
      <w:pPr>
        <w:spacing w:after="200" w:line="276" w:lineRule="auto"/>
        <w:jc w:val="both"/>
        <w:rPr>
          <w:i/>
          <w:iCs/>
          <w:sz w:val="18"/>
          <w:szCs w:val="18"/>
        </w:rPr>
      </w:pPr>
    </w:p>
    <w:p w14:paraId="62BE2265" w14:textId="77777777" w:rsidR="006E7B30" w:rsidRPr="008550C6" w:rsidRDefault="006E7B30" w:rsidP="00B3500A">
      <w:pPr>
        <w:spacing w:after="200" w:line="276" w:lineRule="auto"/>
        <w:jc w:val="both"/>
        <w:rPr>
          <w:i/>
          <w:iCs/>
          <w:sz w:val="18"/>
          <w:szCs w:val="18"/>
        </w:rPr>
      </w:pPr>
    </w:p>
    <w:p w14:paraId="6023CBE3" w14:textId="0E861656" w:rsidR="0026438C" w:rsidRPr="008550C6" w:rsidRDefault="008550C6" w:rsidP="0026438C">
      <w:pPr>
        <w:jc w:val="both"/>
        <w:rPr>
          <w:b/>
          <w:bCs/>
          <w:sz w:val="22"/>
          <w:szCs w:val="22"/>
        </w:rPr>
      </w:pPr>
      <w:r w:rsidRPr="008550C6">
        <w:rPr>
          <w:b/>
          <w:bCs/>
          <w:sz w:val="22"/>
          <w:szCs w:val="22"/>
        </w:rPr>
        <w:t>TABLE</w:t>
      </w:r>
      <w:r w:rsidR="0026438C" w:rsidRPr="008550C6">
        <w:rPr>
          <w:b/>
          <w:bCs/>
          <w:sz w:val="22"/>
          <w:szCs w:val="22"/>
        </w:rPr>
        <w:t xml:space="preserve"> 1</w:t>
      </w:r>
      <w:r w:rsidR="000B2614" w:rsidRPr="008550C6">
        <w:rPr>
          <w:b/>
          <w:bCs/>
          <w:sz w:val="22"/>
          <w:szCs w:val="22"/>
        </w:rPr>
        <w:t>1</w:t>
      </w:r>
    </w:p>
    <w:p w14:paraId="5851B4D5" w14:textId="3FFB60DB" w:rsidR="0026438C" w:rsidRPr="008550C6" w:rsidRDefault="000B2614" w:rsidP="0026438C">
      <w:pPr>
        <w:jc w:val="both"/>
        <w:rPr>
          <w:sz w:val="22"/>
          <w:szCs w:val="22"/>
        </w:rPr>
      </w:pPr>
      <w:r w:rsidRPr="008550C6">
        <w:rPr>
          <w:sz w:val="22"/>
          <w:szCs w:val="22"/>
        </w:rPr>
        <w:t>Additional tests with t</w:t>
      </w:r>
      <w:r w:rsidR="0026438C" w:rsidRPr="008550C6">
        <w:rPr>
          <w:sz w:val="22"/>
          <w:szCs w:val="22"/>
        </w:rPr>
        <w:t>he effect of coincident indexes on the association between bootstrap variable return to scale efficiency score and political outcomes</w:t>
      </w:r>
      <w:r w:rsidR="00372549" w:rsidRPr="008550C6">
        <w:rPr>
          <w:sz w:val="22"/>
          <w:szCs w:val="22"/>
        </w:rPr>
        <w:t>.</w:t>
      </w:r>
    </w:p>
    <w:p w14:paraId="3F90C33D" w14:textId="77777777" w:rsidR="00C65193" w:rsidRPr="008550C6" w:rsidRDefault="00C65193" w:rsidP="0026438C">
      <w:pPr>
        <w:jc w:val="both"/>
        <w:rPr>
          <w:sz w:val="22"/>
          <w:szCs w:val="22"/>
        </w:rPr>
      </w:pPr>
    </w:p>
    <w:tbl>
      <w:tblPr>
        <w:tblW w:w="5000" w:type="pct"/>
        <w:jc w:val="center"/>
        <w:tblCellMar>
          <w:left w:w="75" w:type="dxa"/>
          <w:right w:w="75" w:type="dxa"/>
        </w:tblCellMar>
        <w:tblLook w:val="0000" w:firstRow="0" w:lastRow="0" w:firstColumn="0" w:lastColumn="0" w:noHBand="0" w:noVBand="0"/>
      </w:tblPr>
      <w:tblGrid>
        <w:gridCol w:w="4343"/>
        <w:gridCol w:w="2419"/>
        <w:gridCol w:w="2264"/>
      </w:tblGrid>
      <w:tr w:rsidR="008550C6" w:rsidRPr="007E3420" w14:paraId="47DB98F9" w14:textId="77777777" w:rsidTr="00C65193">
        <w:trPr>
          <w:jc w:val="center"/>
        </w:trPr>
        <w:tc>
          <w:tcPr>
            <w:tcW w:w="2406" w:type="pct"/>
            <w:tcBorders>
              <w:top w:val="single" w:sz="6" w:space="0" w:color="auto"/>
              <w:left w:val="nil"/>
              <w:bottom w:val="nil"/>
              <w:right w:val="single" w:sz="4" w:space="0" w:color="auto"/>
            </w:tcBorders>
          </w:tcPr>
          <w:p w14:paraId="16E1EED7" w14:textId="77777777" w:rsidR="00C65193" w:rsidRPr="007E3420" w:rsidRDefault="00C65193" w:rsidP="00C65193">
            <w:pPr>
              <w:widowControl w:val="0"/>
              <w:autoSpaceDE w:val="0"/>
              <w:autoSpaceDN w:val="0"/>
              <w:adjustRightInd w:val="0"/>
              <w:rPr>
                <w:b/>
                <w:bCs/>
                <w:sz w:val="22"/>
                <w:szCs w:val="22"/>
              </w:rPr>
            </w:pPr>
          </w:p>
        </w:tc>
        <w:tc>
          <w:tcPr>
            <w:tcW w:w="1340" w:type="pct"/>
            <w:tcBorders>
              <w:top w:val="single" w:sz="6" w:space="0" w:color="auto"/>
              <w:left w:val="single" w:sz="4" w:space="0" w:color="auto"/>
              <w:bottom w:val="nil"/>
              <w:right w:val="nil"/>
            </w:tcBorders>
          </w:tcPr>
          <w:p w14:paraId="7494755C" w14:textId="734D393E" w:rsidR="00C65193" w:rsidRPr="007E3420" w:rsidRDefault="00C65193" w:rsidP="00C65193">
            <w:pPr>
              <w:widowControl w:val="0"/>
              <w:autoSpaceDE w:val="0"/>
              <w:autoSpaceDN w:val="0"/>
              <w:adjustRightInd w:val="0"/>
              <w:jc w:val="center"/>
              <w:rPr>
                <w:b/>
                <w:bCs/>
                <w:sz w:val="22"/>
                <w:szCs w:val="22"/>
              </w:rPr>
            </w:pPr>
            <w:r w:rsidRPr="007E3420">
              <w:rPr>
                <w:b/>
                <w:bCs/>
                <w:sz w:val="22"/>
                <w:szCs w:val="22"/>
              </w:rPr>
              <w:t>(1)</w:t>
            </w:r>
          </w:p>
        </w:tc>
        <w:tc>
          <w:tcPr>
            <w:tcW w:w="1254" w:type="pct"/>
            <w:tcBorders>
              <w:top w:val="single" w:sz="6" w:space="0" w:color="auto"/>
              <w:left w:val="nil"/>
              <w:bottom w:val="nil"/>
              <w:right w:val="nil"/>
            </w:tcBorders>
          </w:tcPr>
          <w:p w14:paraId="54DBB3FC" w14:textId="5B30D494" w:rsidR="00C65193" w:rsidRPr="007E3420" w:rsidRDefault="00C65193" w:rsidP="00C65193">
            <w:pPr>
              <w:widowControl w:val="0"/>
              <w:autoSpaceDE w:val="0"/>
              <w:autoSpaceDN w:val="0"/>
              <w:adjustRightInd w:val="0"/>
              <w:jc w:val="center"/>
              <w:rPr>
                <w:b/>
                <w:bCs/>
                <w:sz w:val="22"/>
                <w:szCs w:val="22"/>
              </w:rPr>
            </w:pPr>
            <w:r w:rsidRPr="007E3420">
              <w:rPr>
                <w:b/>
                <w:bCs/>
                <w:sz w:val="22"/>
                <w:szCs w:val="22"/>
              </w:rPr>
              <w:t>(2)</w:t>
            </w:r>
          </w:p>
        </w:tc>
      </w:tr>
      <w:tr w:rsidR="008550C6" w:rsidRPr="007E3420" w14:paraId="39B77217" w14:textId="77777777" w:rsidTr="00C65193">
        <w:trPr>
          <w:jc w:val="center"/>
        </w:trPr>
        <w:tc>
          <w:tcPr>
            <w:tcW w:w="2406" w:type="pct"/>
            <w:tcBorders>
              <w:top w:val="nil"/>
              <w:left w:val="nil"/>
              <w:bottom w:val="single" w:sz="6" w:space="0" w:color="auto"/>
              <w:right w:val="single" w:sz="4" w:space="0" w:color="auto"/>
            </w:tcBorders>
          </w:tcPr>
          <w:p w14:paraId="4E8869F0" w14:textId="77777777" w:rsidR="00C65193" w:rsidRPr="007E3420" w:rsidRDefault="00C65193" w:rsidP="00C65193">
            <w:pPr>
              <w:widowControl w:val="0"/>
              <w:autoSpaceDE w:val="0"/>
              <w:autoSpaceDN w:val="0"/>
              <w:adjustRightInd w:val="0"/>
              <w:rPr>
                <w:b/>
                <w:bCs/>
                <w:sz w:val="22"/>
                <w:szCs w:val="22"/>
              </w:rPr>
            </w:pPr>
            <w:r w:rsidRPr="007E3420">
              <w:rPr>
                <w:b/>
                <w:bCs/>
                <w:sz w:val="22"/>
                <w:szCs w:val="22"/>
              </w:rPr>
              <w:t>VARIABLES</w:t>
            </w:r>
          </w:p>
        </w:tc>
        <w:tc>
          <w:tcPr>
            <w:tcW w:w="1340" w:type="pct"/>
            <w:tcBorders>
              <w:top w:val="nil"/>
              <w:left w:val="single" w:sz="4" w:space="0" w:color="auto"/>
              <w:bottom w:val="single" w:sz="6" w:space="0" w:color="auto"/>
              <w:right w:val="nil"/>
            </w:tcBorders>
          </w:tcPr>
          <w:p w14:paraId="62550217" w14:textId="35704004" w:rsidR="00C65193" w:rsidRPr="007E3420" w:rsidRDefault="009B5A32" w:rsidP="00C65193">
            <w:pPr>
              <w:widowControl w:val="0"/>
              <w:autoSpaceDE w:val="0"/>
              <w:autoSpaceDN w:val="0"/>
              <w:adjustRightInd w:val="0"/>
              <w:jc w:val="center"/>
              <w:rPr>
                <w:b/>
                <w:bCs/>
                <w:sz w:val="22"/>
                <w:szCs w:val="22"/>
              </w:rPr>
            </w:pPr>
            <w:r w:rsidRPr="007E3420">
              <w:rPr>
                <w:b/>
                <w:bCs/>
                <w:sz w:val="22"/>
                <w:szCs w:val="22"/>
              </w:rPr>
              <w:t>VRS</w:t>
            </w:r>
          </w:p>
        </w:tc>
        <w:tc>
          <w:tcPr>
            <w:tcW w:w="1254" w:type="pct"/>
            <w:tcBorders>
              <w:top w:val="nil"/>
              <w:left w:val="nil"/>
              <w:bottom w:val="single" w:sz="6" w:space="0" w:color="auto"/>
              <w:right w:val="nil"/>
            </w:tcBorders>
          </w:tcPr>
          <w:p w14:paraId="612E133B" w14:textId="244648F0" w:rsidR="00C65193" w:rsidRPr="007E3420" w:rsidRDefault="009B5A32" w:rsidP="00C65193">
            <w:pPr>
              <w:widowControl w:val="0"/>
              <w:autoSpaceDE w:val="0"/>
              <w:autoSpaceDN w:val="0"/>
              <w:adjustRightInd w:val="0"/>
              <w:jc w:val="center"/>
              <w:rPr>
                <w:b/>
                <w:bCs/>
                <w:sz w:val="22"/>
                <w:szCs w:val="22"/>
              </w:rPr>
            </w:pPr>
            <w:r w:rsidRPr="007E3420">
              <w:rPr>
                <w:b/>
                <w:bCs/>
                <w:sz w:val="22"/>
                <w:szCs w:val="22"/>
              </w:rPr>
              <w:t>VRS</w:t>
            </w:r>
          </w:p>
        </w:tc>
      </w:tr>
      <w:tr w:rsidR="008550C6" w:rsidRPr="008550C6" w14:paraId="0400F7D9" w14:textId="77777777" w:rsidTr="00C65193">
        <w:trPr>
          <w:jc w:val="center"/>
        </w:trPr>
        <w:tc>
          <w:tcPr>
            <w:tcW w:w="2406" w:type="pct"/>
            <w:tcBorders>
              <w:top w:val="nil"/>
              <w:left w:val="nil"/>
              <w:bottom w:val="nil"/>
              <w:right w:val="single" w:sz="4" w:space="0" w:color="auto"/>
            </w:tcBorders>
          </w:tcPr>
          <w:p w14:paraId="4DA0B6F1" w14:textId="77777777" w:rsidR="00C65193" w:rsidRPr="008550C6" w:rsidRDefault="00C65193" w:rsidP="00C65193">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29972C8B" w14:textId="77777777" w:rsidR="00C65193" w:rsidRPr="008550C6" w:rsidRDefault="00C65193" w:rsidP="00C65193">
            <w:pPr>
              <w:widowControl w:val="0"/>
              <w:autoSpaceDE w:val="0"/>
              <w:autoSpaceDN w:val="0"/>
              <w:adjustRightInd w:val="0"/>
              <w:jc w:val="center"/>
              <w:rPr>
                <w:sz w:val="22"/>
                <w:szCs w:val="22"/>
              </w:rPr>
            </w:pPr>
          </w:p>
        </w:tc>
        <w:tc>
          <w:tcPr>
            <w:tcW w:w="1254" w:type="pct"/>
            <w:tcBorders>
              <w:top w:val="nil"/>
              <w:left w:val="nil"/>
              <w:bottom w:val="nil"/>
              <w:right w:val="nil"/>
            </w:tcBorders>
          </w:tcPr>
          <w:p w14:paraId="287B26B7" w14:textId="77777777" w:rsidR="00C65193" w:rsidRPr="008550C6" w:rsidRDefault="00C65193" w:rsidP="00C65193">
            <w:pPr>
              <w:widowControl w:val="0"/>
              <w:autoSpaceDE w:val="0"/>
              <w:autoSpaceDN w:val="0"/>
              <w:adjustRightInd w:val="0"/>
              <w:jc w:val="center"/>
              <w:rPr>
                <w:sz w:val="22"/>
                <w:szCs w:val="22"/>
              </w:rPr>
            </w:pPr>
          </w:p>
        </w:tc>
      </w:tr>
      <w:tr w:rsidR="008550C6" w:rsidRPr="007E4ED2" w14:paraId="1B71D174" w14:textId="77777777" w:rsidTr="00C65193">
        <w:trPr>
          <w:jc w:val="center"/>
        </w:trPr>
        <w:tc>
          <w:tcPr>
            <w:tcW w:w="2406" w:type="pct"/>
            <w:tcBorders>
              <w:top w:val="nil"/>
              <w:left w:val="nil"/>
              <w:bottom w:val="nil"/>
              <w:right w:val="single" w:sz="4" w:space="0" w:color="auto"/>
            </w:tcBorders>
          </w:tcPr>
          <w:p w14:paraId="3430F568" w14:textId="77777777" w:rsidR="00C65193" w:rsidRPr="007E4ED2" w:rsidRDefault="00C65193" w:rsidP="00C65193">
            <w:pPr>
              <w:widowControl w:val="0"/>
              <w:autoSpaceDE w:val="0"/>
              <w:autoSpaceDN w:val="0"/>
              <w:adjustRightInd w:val="0"/>
              <w:rPr>
                <w:sz w:val="22"/>
                <w:szCs w:val="22"/>
              </w:rPr>
            </w:pPr>
            <w:r w:rsidRPr="007E4ED2">
              <w:rPr>
                <w:sz w:val="22"/>
                <w:szCs w:val="22"/>
              </w:rPr>
              <w:t>SVOTE x Coincident</w:t>
            </w:r>
          </w:p>
        </w:tc>
        <w:tc>
          <w:tcPr>
            <w:tcW w:w="1340" w:type="pct"/>
            <w:tcBorders>
              <w:top w:val="nil"/>
              <w:left w:val="single" w:sz="4" w:space="0" w:color="auto"/>
              <w:bottom w:val="nil"/>
              <w:right w:val="nil"/>
            </w:tcBorders>
          </w:tcPr>
          <w:p w14:paraId="55436BC0" w14:textId="112C3BA1" w:rsidR="00C65193" w:rsidRPr="007E4ED2" w:rsidRDefault="00C65193" w:rsidP="00C65193">
            <w:pPr>
              <w:widowControl w:val="0"/>
              <w:autoSpaceDE w:val="0"/>
              <w:autoSpaceDN w:val="0"/>
              <w:adjustRightInd w:val="0"/>
              <w:jc w:val="center"/>
              <w:rPr>
                <w:sz w:val="22"/>
                <w:szCs w:val="22"/>
              </w:rPr>
            </w:pPr>
            <w:r w:rsidRPr="007E4ED2">
              <w:rPr>
                <w:sz w:val="22"/>
                <w:szCs w:val="22"/>
              </w:rPr>
              <w:t>0.000</w:t>
            </w:r>
            <w:r w:rsidR="00727C99" w:rsidRPr="007E4ED2">
              <w:rPr>
                <w:sz w:val="22"/>
                <w:szCs w:val="22"/>
              </w:rPr>
              <w:t>5</w:t>
            </w:r>
            <w:r w:rsidRPr="007E4ED2">
              <w:rPr>
                <w:sz w:val="22"/>
                <w:szCs w:val="22"/>
              </w:rPr>
              <w:t>***</w:t>
            </w:r>
          </w:p>
        </w:tc>
        <w:tc>
          <w:tcPr>
            <w:tcW w:w="1254" w:type="pct"/>
            <w:tcBorders>
              <w:top w:val="nil"/>
              <w:left w:val="nil"/>
              <w:bottom w:val="nil"/>
              <w:right w:val="nil"/>
            </w:tcBorders>
          </w:tcPr>
          <w:p w14:paraId="7EF1D592" w14:textId="77777777" w:rsidR="00C65193" w:rsidRPr="007E4ED2" w:rsidRDefault="00C65193" w:rsidP="00C65193">
            <w:pPr>
              <w:widowControl w:val="0"/>
              <w:autoSpaceDE w:val="0"/>
              <w:autoSpaceDN w:val="0"/>
              <w:adjustRightInd w:val="0"/>
              <w:jc w:val="center"/>
              <w:rPr>
                <w:sz w:val="22"/>
                <w:szCs w:val="22"/>
              </w:rPr>
            </w:pPr>
          </w:p>
        </w:tc>
      </w:tr>
      <w:tr w:rsidR="008550C6" w:rsidRPr="007E4ED2" w14:paraId="43890401" w14:textId="77777777" w:rsidTr="00C65193">
        <w:trPr>
          <w:jc w:val="center"/>
        </w:trPr>
        <w:tc>
          <w:tcPr>
            <w:tcW w:w="2406" w:type="pct"/>
            <w:tcBorders>
              <w:top w:val="nil"/>
              <w:left w:val="nil"/>
              <w:bottom w:val="nil"/>
              <w:right w:val="single" w:sz="4" w:space="0" w:color="auto"/>
            </w:tcBorders>
          </w:tcPr>
          <w:p w14:paraId="787D1F9C" w14:textId="77777777" w:rsidR="00C65193" w:rsidRPr="007E4ED2" w:rsidRDefault="00C65193" w:rsidP="00C65193">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7332A705" w14:textId="65D8A821" w:rsidR="00C65193" w:rsidRPr="007E4ED2" w:rsidRDefault="00C65193" w:rsidP="00C65193">
            <w:pPr>
              <w:widowControl w:val="0"/>
              <w:autoSpaceDE w:val="0"/>
              <w:autoSpaceDN w:val="0"/>
              <w:adjustRightInd w:val="0"/>
              <w:jc w:val="center"/>
              <w:rPr>
                <w:sz w:val="22"/>
                <w:szCs w:val="22"/>
              </w:rPr>
            </w:pPr>
            <w:r w:rsidRPr="007E4ED2">
              <w:rPr>
                <w:sz w:val="22"/>
                <w:szCs w:val="22"/>
              </w:rPr>
              <w:t>(</w:t>
            </w:r>
            <w:r w:rsidR="00727C99" w:rsidRPr="007E4ED2">
              <w:rPr>
                <w:sz w:val="22"/>
                <w:szCs w:val="22"/>
              </w:rPr>
              <w:t>2</w:t>
            </w:r>
            <w:r w:rsidRPr="007E4ED2">
              <w:rPr>
                <w:sz w:val="22"/>
                <w:szCs w:val="22"/>
              </w:rPr>
              <w:t>.</w:t>
            </w:r>
            <w:r w:rsidR="00727C99" w:rsidRPr="007E4ED2">
              <w:rPr>
                <w:sz w:val="22"/>
                <w:szCs w:val="22"/>
              </w:rPr>
              <w:t>93</w:t>
            </w:r>
            <w:r w:rsidRPr="007E4ED2">
              <w:rPr>
                <w:sz w:val="22"/>
                <w:szCs w:val="22"/>
              </w:rPr>
              <w:t>)</w:t>
            </w:r>
          </w:p>
        </w:tc>
        <w:tc>
          <w:tcPr>
            <w:tcW w:w="1254" w:type="pct"/>
            <w:tcBorders>
              <w:top w:val="nil"/>
              <w:left w:val="nil"/>
              <w:bottom w:val="nil"/>
              <w:right w:val="nil"/>
            </w:tcBorders>
          </w:tcPr>
          <w:p w14:paraId="47571EAE" w14:textId="77777777" w:rsidR="00C65193" w:rsidRPr="007E4ED2" w:rsidRDefault="00C65193" w:rsidP="00C65193">
            <w:pPr>
              <w:widowControl w:val="0"/>
              <w:autoSpaceDE w:val="0"/>
              <w:autoSpaceDN w:val="0"/>
              <w:adjustRightInd w:val="0"/>
              <w:jc w:val="center"/>
              <w:rPr>
                <w:sz w:val="22"/>
                <w:szCs w:val="22"/>
              </w:rPr>
            </w:pPr>
          </w:p>
        </w:tc>
      </w:tr>
      <w:tr w:rsidR="008550C6" w:rsidRPr="007E4ED2" w14:paraId="016F8D0E" w14:textId="77777777" w:rsidTr="00C65193">
        <w:trPr>
          <w:jc w:val="center"/>
        </w:trPr>
        <w:tc>
          <w:tcPr>
            <w:tcW w:w="2406" w:type="pct"/>
            <w:tcBorders>
              <w:top w:val="nil"/>
              <w:left w:val="nil"/>
              <w:bottom w:val="nil"/>
              <w:right w:val="single" w:sz="4" w:space="0" w:color="auto"/>
            </w:tcBorders>
          </w:tcPr>
          <w:p w14:paraId="7A6B8129" w14:textId="77777777" w:rsidR="00C65193" w:rsidRPr="007E4ED2" w:rsidRDefault="00C65193" w:rsidP="00C65193">
            <w:pPr>
              <w:widowControl w:val="0"/>
              <w:autoSpaceDE w:val="0"/>
              <w:autoSpaceDN w:val="0"/>
              <w:adjustRightInd w:val="0"/>
              <w:rPr>
                <w:sz w:val="22"/>
                <w:szCs w:val="22"/>
              </w:rPr>
            </w:pPr>
            <w:r w:rsidRPr="007E4ED2">
              <w:rPr>
                <w:sz w:val="22"/>
                <w:szCs w:val="22"/>
              </w:rPr>
              <w:t>NVOTE x Coincident</w:t>
            </w:r>
          </w:p>
        </w:tc>
        <w:tc>
          <w:tcPr>
            <w:tcW w:w="1340" w:type="pct"/>
            <w:tcBorders>
              <w:top w:val="nil"/>
              <w:left w:val="single" w:sz="4" w:space="0" w:color="auto"/>
              <w:bottom w:val="nil"/>
              <w:right w:val="nil"/>
            </w:tcBorders>
          </w:tcPr>
          <w:p w14:paraId="09470A31" w14:textId="77777777" w:rsidR="00C65193" w:rsidRPr="007E4ED2" w:rsidRDefault="00C65193" w:rsidP="00C65193">
            <w:pPr>
              <w:widowControl w:val="0"/>
              <w:autoSpaceDE w:val="0"/>
              <w:autoSpaceDN w:val="0"/>
              <w:adjustRightInd w:val="0"/>
              <w:jc w:val="center"/>
              <w:rPr>
                <w:sz w:val="22"/>
                <w:szCs w:val="22"/>
              </w:rPr>
            </w:pPr>
          </w:p>
        </w:tc>
        <w:tc>
          <w:tcPr>
            <w:tcW w:w="1254" w:type="pct"/>
            <w:tcBorders>
              <w:top w:val="nil"/>
              <w:left w:val="nil"/>
              <w:bottom w:val="nil"/>
              <w:right w:val="nil"/>
            </w:tcBorders>
          </w:tcPr>
          <w:p w14:paraId="742A1FB2" w14:textId="25D8A34D" w:rsidR="00C65193" w:rsidRPr="007E4ED2" w:rsidRDefault="00C65193" w:rsidP="00C65193">
            <w:pPr>
              <w:widowControl w:val="0"/>
              <w:autoSpaceDE w:val="0"/>
              <w:autoSpaceDN w:val="0"/>
              <w:adjustRightInd w:val="0"/>
              <w:jc w:val="center"/>
              <w:rPr>
                <w:sz w:val="22"/>
                <w:szCs w:val="22"/>
              </w:rPr>
            </w:pPr>
            <w:r w:rsidRPr="007E4ED2">
              <w:rPr>
                <w:sz w:val="22"/>
                <w:szCs w:val="22"/>
              </w:rPr>
              <w:t>-0.0002</w:t>
            </w:r>
          </w:p>
        </w:tc>
      </w:tr>
      <w:tr w:rsidR="008550C6" w:rsidRPr="007E4ED2" w14:paraId="23A6B59A" w14:textId="77777777" w:rsidTr="00C65193">
        <w:trPr>
          <w:jc w:val="center"/>
        </w:trPr>
        <w:tc>
          <w:tcPr>
            <w:tcW w:w="2406" w:type="pct"/>
            <w:tcBorders>
              <w:top w:val="nil"/>
              <w:left w:val="nil"/>
              <w:bottom w:val="nil"/>
              <w:right w:val="single" w:sz="4" w:space="0" w:color="auto"/>
            </w:tcBorders>
          </w:tcPr>
          <w:p w14:paraId="2F830FAE" w14:textId="77777777" w:rsidR="00C65193" w:rsidRPr="007E4ED2" w:rsidRDefault="00C65193" w:rsidP="00C65193">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51FD4587" w14:textId="77777777" w:rsidR="00C65193" w:rsidRPr="007E4ED2" w:rsidRDefault="00C65193" w:rsidP="00C65193">
            <w:pPr>
              <w:widowControl w:val="0"/>
              <w:autoSpaceDE w:val="0"/>
              <w:autoSpaceDN w:val="0"/>
              <w:adjustRightInd w:val="0"/>
              <w:jc w:val="center"/>
              <w:rPr>
                <w:sz w:val="22"/>
                <w:szCs w:val="22"/>
              </w:rPr>
            </w:pPr>
          </w:p>
        </w:tc>
        <w:tc>
          <w:tcPr>
            <w:tcW w:w="1254" w:type="pct"/>
            <w:tcBorders>
              <w:top w:val="nil"/>
              <w:left w:val="nil"/>
              <w:bottom w:val="nil"/>
              <w:right w:val="nil"/>
            </w:tcBorders>
          </w:tcPr>
          <w:p w14:paraId="4A4032F7" w14:textId="41CFF6E5" w:rsidR="00C65193" w:rsidRPr="007E4ED2" w:rsidRDefault="00C65193" w:rsidP="00C65193">
            <w:pPr>
              <w:widowControl w:val="0"/>
              <w:autoSpaceDE w:val="0"/>
              <w:autoSpaceDN w:val="0"/>
              <w:adjustRightInd w:val="0"/>
              <w:jc w:val="center"/>
              <w:rPr>
                <w:sz w:val="22"/>
                <w:szCs w:val="22"/>
              </w:rPr>
            </w:pPr>
            <w:r w:rsidRPr="007E4ED2">
              <w:rPr>
                <w:sz w:val="22"/>
                <w:szCs w:val="22"/>
              </w:rPr>
              <w:t>(</w:t>
            </w:r>
            <w:r w:rsidR="004A1951" w:rsidRPr="007E4ED2">
              <w:rPr>
                <w:sz w:val="22"/>
                <w:szCs w:val="22"/>
              </w:rPr>
              <w:t>1</w:t>
            </w:r>
            <w:r w:rsidRPr="007E4ED2">
              <w:rPr>
                <w:sz w:val="22"/>
                <w:szCs w:val="22"/>
              </w:rPr>
              <w:t>.</w:t>
            </w:r>
            <w:r w:rsidR="004A1951" w:rsidRPr="007E4ED2">
              <w:rPr>
                <w:sz w:val="22"/>
                <w:szCs w:val="22"/>
              </w:rPr>
              <w:t>3</w:t>
            </w:r>
            <w:r w:rsidRPr="007E4ED2">
              <w:rPr>
                <w:sz w:val="22"/>
                <w:szCs w:val="22"/>
              </w:rPr>
              <w:t>)</w:t>
            </w:r>
          </w:p>
        </w:tc>
      </w:tr>
      <w:tr w:rsidR="008550C6" w:rsidRPr="008550C6" w14:paraId="7FF92886" w14:textId="77777777" w:rsidTr="00C65193">
        <w:trPr>
          <w:jc w:val="center"/>
        </w:trPr>
        <w:tc>
          <w:tcPr>
            <w:tcW w:w="2406" w:type="pct"/>
            <w:tcBorders>
              <w:top w:val="nil"/>
              <w:left w:val="nil"/>
              <w:bottom w:val="nil"/>
              <w:right w:val="single" w:sz="4" w:space="0" w:color="auto"/>
            </w:tcBorders>
          </w:tcPr>
          <w:p w14:paraId="4D91A68B" w14:textId="77777777" w:rsidR="00C65193" w:rsidRPr="008550C6" w:rsidRDefault="00C65193" w:rsidP="00C65193">
            <w:pPr>
              <w:widowControl w:val="0"/>
              <w:autoSpaceDE w:val="0"/>
              <w:autoSpaceDN w:val="0"/>
              <w:adjustRightInd w:val="0"/>
              <w:rPr>
                <w:sz w:val="22"/>
                <w:szCs w:val="22"/>
              </w:rPr>
            </w:pPr>
            <w:r w:rsidRPr="008550C6">
              <w:rPr>
                <w:sz w:val="22"/>
                <w:szCs w:val="22"/>
              </w:rPr>
              <w:t>SVOTE</w:t>
            </w:r>
          </w:p>
        </w:tc>
        <w:tc>
          <w:tcPr>
            <w:tcW w:w="1340" w:type="pct"/>
            <w:tcBorders>
              <w:top w:val="nil"/>
              <w:left w:val="single" w:sz="4" w:space="0" w:color="auto"/>
              <w:bottom w:val="nil"/>
              <w:right w:val="nil"/>
            </w:tcBorders>
          </w:tcPr>
          <w:p w14:paraId="67AEF4EA" w14:textId="34D2517A" w:rsidR="00C65193" w:rsidRPr="008550C6" w:rsidRDefault="00727C99" w:rsidP="00C65193">
            <w:pPr>
              <w:widowControl w:val="0"/>
              <w:autoSpaceDE w:val="0"/>
              <w:autoSpaceDN w:val="0"/>
              <w:adjustRightInd w:val="0"/>
              <w:jc w:val="center"/>
              <w:rPr>
                <w:sz w:val="22"/>
                <w:szCs w:val="22"/>
              </w:rPr>
            </w:pPr>
            <w:r w:rsidRPr="008550C6">
              <w:rPr>
                <w:sz w:val="22"/>
                <w:szCs w:val="22"/>
              </w:rPr>
              <w:t>-</w:t>
            </w:r>
            <w:r w:rsidR="00C65193" w:rsidRPr="008550C6">
              <w:rPr>
                <w:sz w:val="22"/>
                <w:szCs w:val="22"/>
              </w:rPr>
              <w:t>0.0</w:t>
            </w:r>
            <w:r w:rsidRPr="008550C6">
              <w:rPr>
                <w:sz w:val="22"/>
                <w:szCs w:val="22"/>
              </w:rPr>
              <w:t>209</w:t>
            </w:r>
          </w:p>
        </w:tc>
        <w:tc>
          <w:tcPr>
            <w:tcW w:w="1254" w:type="pct"/>
            <w:tcBorders>
              <w:top w:val="nil"/>
              <w:left w:val="nil"/>
              <w:bottom w:val="nil"/>
              <w:right w:val="nil"/>
            </w:tcBorders>
          </w:tcPr>
          <w:p w14:paraId="630E95D2" w14:textId="77777777" w:rsidR="00C65193" w:rsidRPr="008550C6" w:rsidRDefault="00C65193" w:rsidP="00C65193">
            <w:pPr>
              <w:widowControl w:val="0"/>
              <w:autoSpaceDE w:val="0"/>
              <w:autoSpaceDN w:val="0"/>
              <w:adjustRightInd w:val="0"/>
              <w:jc w:val="center"/>
              <w:rPr>
                <w:sz w:val="22"/>
                <w:szCs w:val="22"/>
              </w:rPr>
            </w:pPr>
          </w:p>
        </w:tc>
      </w:tr>
      <w:tr w:rsidR="008550C6" w:rsidRPr="008550C6" w14:paraId="57917CBF" w14:textId="77777777" w:rsidTr="00C65193">
        <w:trPr>
          <w:jc w:val="center"/>
        </w:trPr>
        <w:tc>
          <w:tcPr>
            <w:tcW w:w="2406" w:type="pct"/>
            <w:tcBorders>
              <w:top w:val="nil"/>
              <w:left w:val="nil"/>
              <w:bottom w:val="nil"/>
              <w:right w:val="single" w:sz="4" w:space="0" w:color="auto"/>
            </w:tcBorders>
          </w:tcPr>
          <w:p w14:paraId="14949312" w14:textId="77777777" w:rsidR="00C65193" w:rsidRPr="008550C6" w:rsidRDefault="00C65193" w:rsidP="00C65193">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22DACCB8" w14:textId="09913DC1" w:rsidR="00C65193" w:rsidRPr="008550C6" w:rsidRDefault="00C65193" w:rsidP="00C65193">
            <w:pPr>
              <w:widowControl w:val="0"/>
              <w:autoSpaceDE w:val="0"/>
              <w:autoSpaceDN w:val="0"/>
              <w:adjustRightInd w:val="0"/>
              <w:jc w:val="center"/>
              <w:rPr>
                <w:sz w:val="22"/>
                <w:szCs w:val="22"/>
              </w:rPr>
            </w:pPr>
            <w:r w:rsidRPr="008550C6">
              <w:rPr>
                <w:sz w:val="22"/>
                <w:szCs w:val="22"/>
              </w:rPr>
              <w:t>(1.</w:t>
            </w:r>
            <w:r w:rsidR="00727C99" w:rsidRPr="008550C6">
              <w:rPr>
                <w:sz w:val="22"/>
                <w:szCs w:val="22"/>
              </w:rPr>
              <w:t>57</w:t>
            </w:r>
            <w:r w:rsidRPr="008550C6">
              <w:rPr>
                <w:sz w:val="22"/>
                <w:szCs w:val="22"/>
              </w:rPr>
              <w:t>)</w:t>
            </w:r>
          </w:p>
        </w:tc>
        <w:tc>
          <w:tcPr>
            <w:tcW w:w="1254" w:type="pct"/>
            <w:tcBorders>
              <w:top w:val="nil"/>
              <w:left w:val="nil"/>
              <w:bottom w:val="nil"/>
              <w:right w:val="nil"/>
            </w:tcBorders>
          </w:tcPr>
          <w:p w14:paraId="464C8DD2" w14:textId="77777777" w:rsidR="00C65193" w:rsidRPr="008550C6" w:rsidRDefault="00C65193" w:rsidP="00C65193">
            <w:pPr>
              <w:widowControl w:val="0"/>
              <w:autoSpaceDE w:val="0"/>
              <w:autoSpaceDN w:val="0"/>
              <w:adjustRightInd w:val="0"/>
              <w:jc w:val="center"/>
              <w:rPr>
                <w:sz w:val="22"/>
                <w:szCs w:val="22"/>
              </w:rPr>
            </w:pPr>
          </w:p>
        </w:tc>
      </w:tr>
      <w:tr w:rsidR="008550C6" w:rsidRPr="008550C6" w14:paraId="0D790175" w14:textId="77777777" w:rsidTr="00C65193">
        <w:trPr>
          <w:jc w:val="center"/>
        </w:trPr>
        <w:tc>
          <w:tcPr>
            <w:tcW w:w="2406" w:type="pct"/>
            <w:tcBorders>
              <w:top w:val="nil"/>
              <w:left w:val="nil"/>
              <w:bottom w:val="nil"/>
              <w:right w:val="single" w:sz="4" w:space="0" w:color="auto"/>
            </w:tcBorders>
          </w:tcPr>
          <w:p w14:paraId="036B9DBB" w14:textId="77777777" w:rsidR="00C65193" w:rsidRPr="008550C6" w:rsidRDefault="00C65193" w:rsidP="00C65193">
            <w:pPr>
              <w:widowControl w:val="0"/>
              <w:autoSpaceDE w:val="0"/>
              <w:autoSpaceDN w:val="0"/>
              <w:adjustRightInd w:val="0"/>
              <w:rPr>
                <w:sz w:val="22"/>
                <w:szCs w:val="22"/>
              </w:rPr>
            </w:pPr>
            <w:r w:rsidRPr="008550C6">
              <w:rPr>
                <w:sz w:val="22"/>
                <w:szCs w:val="22"/>
              </w:rPr>
              <w:t>NVOTE</w:t>
            </w:r>
          </w:p>
        </w:tc>
        <w:tc>
          <w:tcPr>
            <w:tcW w:w="1340" w:type="pct"/>
            <w:tcBorders>
              <w:top w:val="nil"/>
              <w:left w:val="single" w:sz="4" w:space="0" w:color="auto"/>
              <w:bottom w:val="nil"/>
              <w:right w:val="nil"/>
            </w:tcBorders>
          </w:tcPr>
          <w:p w14:paraId="528EC974" w14:textId="77777777" w:rsidR="00C65193" w:rsidRPr="008550C6" w:rsidRDefault="00C65193" w:rsidP="00C65193">
            <w:pPr>
              <w:widowControl w:val="0"/>
              <w:autoSpaceDE w:val="0"/>
              <w:autoSpaceDN w:val="0"/>
              <w:adjustRightInd w:val="0"/>
              <w:jc w:val="center"/>
              <w:rPr>
                <w:sz w:val="22"/>
                <w:szCs w:val="22"/>
              </w:rPr>
            </w:pPr>
          </w:p>
        </w:tc>
        <w:tc>
          <w:tcPr>
            <w:tcW w:w="1254" w:type="pct"/>
            <w:tcBorders>
              <w:top w:val="nil"/>
              <w:left w:val="nil"/>
              <w:bottom w:val="nil"/>
              <w:right w:val="nil"/>
            </w:tcBorders>
          </w:tcPr>
          <w:p w14:paraId="77BC2075" w14:textId="7D23092E" w:rsidR="00C65193" w:rsidRPr="008550C6" w:rsidRDefault="00C65193" w:rsidP="00C65193">
            <w:pPr>
              <w:widowControl w:val="0"/>
              <w:autoSpaceDE w:val="0"/>
              <w:autoSpaceDN w:val="0"/>
              <w:adjustRightInd w:val="0"/>
              <w:jc w:val="center"/>
              <w:rPr>
                <w:sz w:val="22"/>
                <w:szCs w:val="22"/>
              </w:rPr>
            </w:pPr>
            <w:r w:rsidRPr="008550C6">
              <w:rPr>
                <w:sz w:val="22"/>
                <w:szCs w:val="22"/>
              </w:rPr>
              <w:t>0.0</w:t>
            </w:r>
            <w:r w:rsidR="004A1951" w:rsidRPr="008550C6">
              <w:rPr>
                <w:sz w:val="22"/>
                <w:szCs w:val="22"/>
              </w:rPr>
              <w:t>327***</w:t>
            </w:r>
          </w:p>
        </w:tc>
      </w:tr>
      <w:tr w:rsidR="008550C6" w:rsidRPr="008550C6" w14:paraId="1353514C" w14:textId="77777777" w:rsidTr="00C65193">
        <w:trPr>
          <w:jc w:val="center"/>
        </w:trPr>
        <w:tc>
          <w:tcPr>
            <w:tcW w:w="2406" w:type="pct"/>
            <w:tcBorders>
              <w:top w:val="nil"/>
              <w:left w:val="nil"/>
              <w:bottom w:val="nil"/>
              <w:right w:val="single" w:sz="4" w:space="0" w:color="auto"/>
            </w:tcBorders>
          </w:tcPr>
          <w:p w14:paraId="7639AEA2" w14:textId="77777777" w:rsidR="00C65193" w:rsidRPr="008550C6" w:rsidRDefault="00C65193" w:rsidP="00C65193">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1DED617C" w14:textId="77777777" w:rsidR="00C65193" w:rsidRPr="008550C6" w:rsidRDefault="00C65193" w:rsidP="00C65193">
            <w:pPr>
              <w:widowControl w:val="0"/>
              <w:autoSpaceDE w:val="0"/>
              <w:autoSpaceDN w:val="0"/>
              <w:adjustRightInd w:val="0"/>
              <w:jc w:val="center"/>
              <w:rPr>
                <w:sz w:val="22"/>
                <w:szCs w:val="22"/>
              </w:rPr>
            </w:pPr>
          </w:p>
        </w:tc>
        <w:tc>
          <w:tcPr>
            <w:tcW w:w="1254" w:type="pct"/>
            <w:tcBorders>
              <w:top w:val="nil"/>
              <w:left w:val="nil"/>
              <w:bottom w:val="nil"/>
              <w:right w:val="nil"/>
            </w:tcBorders>
          </w:tcPr>
          <w:p w14:paraId="44B325C5" w14:textId="5FFCCA85" w:rsidR="00C65193" w:rsidRPr="008550C6" w:rsidRDefault="00C65193" w:rsidP="00C65193">
            <w:pPr>
              <w:widowControl w:val="0"/>
              <w:autoSpaceDE w:val="0"/>
              <w:autoSpaceDN w:val="0"/>
              <w:adjustRightInd w:val="0"/>
              <w:jc w:val="center"/>
              <w:rPr>
                <w:sz w:val="22"/>
                <w:szCs w:val="22"/>
              </w:rPr>
            </w:pPr>
            <w:r w:rsidRPr="008550C6">
              <w:rPr>
                <w:sz w:val="22"/>
                <w:szCs w:val="22"/>
              </w:rPr>
              <w:t>(</w:t>
            </w:r>
            <w:r w:rsidR="004A1951" w:rsidRPr="008550C6">
              <w:rPr>
                <w:sz w:val="22"/>
                <w:szCs w:val="22"/>
              </w:rPr>
              <w:t>2</w:t>
            </w:r>
            <w:r w:rsidRPr="008550C6">
              <w:rPr>
                <w:sz w:val="22"/>
                <w:szCs w:val="22"/>
              </w:rPr>
              <w:t>.</w:t>
            </w:r>
            <w:r w:rsidR="004A1951" w:rsidRPr="008550C6">
              <w:rPr>
                <w:sz w:val="22"/>
                <w:szCs w:val="22"/>
              </w:rPr>
              <w:t>59</w:t>
            </w:r>
            <w:r w:rsidRPr="008550C6">
              <w:rPr>
                <w:sz w:val="22"/>
                <w:szCs w:val="22"/>
              </w:rPr>
              <w:t>)</w:t>
            </w:r>
          </w:p>
        </w:tc>
      </w:tr>
      <w:tr w:rsidR="008550C6" w:rsidRPr="008550C6" w14:paraId="733F1468" w14:textId="77777777" w:rsidTr="00C65193">
        <w:trPr>
          <w:jc w:val="center"/>
        </w:trPr>
        <w:tc>
          <w:tcPr>
            <w:tcW w:w="2406" w:type="pct"/>
            <w:tcBorders>
              <w:top w:val="nil"/>
              <w:left w:val="nil"/>
              <w:bottom w:val="nil"/>
              <w:right w:val="single" w:sz="4" w:space="0" w:color="auto"/>
            </w:tcBorders>
          </w:tcPr>
          <w:p w14:paraId="77A6748E" w14:textId="5D7A9F19" w:rsidR="00302D37" w:rsidRPr="008550C6" w:rsidRDefault="00302D37" w:rsidP="00302D37">
            <w:pPr>
              <w:widowControl w:val="0"/>
              <w:autoSpaceDE w:val="0"/>
              <w:autoSpaceDN w:val="0"/>
              <w:adjustRightInd w:val="0"/>
              <w:rPr>
                <w:sz w:val="22"/>
                <w:szCs w:val="22"/>
              </w:rPr>
            </w:pPr>
            <w:r w:rsidRPr="008550C6">
              <w:rPr>
                <w:sz w:val="22"/>
                <w:szCs w:val="22"/>
              </w:rPr>
              <w:t>Coincident</w:t>
            </w:r>
          </w:p>
        </w:tc>
        <w:tc>
          <w:tcPr>
            <w:tcW w:w="1340" w:type="pct"/>
            <w:tcBorders>
              <w:top w:val="nil"/>
              <w:left w:val="single" w:sz="4" w:space="0" w:color="auto"/>
              <w:bottom w:val="nil"/>
              <w:right w:val="nil"/>
            </w:tcBorders>
          </w:tcPr>
          <w:p w14:paraId="47D26E7C" w14:textId="6E548F1B" w:rsidR="00302D37" w:rsidRPr="008550C6" w:rsidRDefault="00302D37" w:rsidP="00302D37">
            <w:pPr>
              <w:widowControl w:val="0"/>
              <w:autoSpaceDE w:val="0"/>
              <w:autoSpaceDN w:val="0"/>
              <w:adjustRightInd w:val="0"/>
              <w:jc w:val="center"/>
              <w:rPr>
                <w:sz w:val="22"/>
                <w:szCs w:val="22"/>
              </w:rPr>
            </w:pPr>
            <w:r w:rsidRPr="008550C6">
              <w:rPr>
                <w:sz w:val="22"/>
                <w:szCs w:val="22"/>
              </w:rPr>
              <w:t>-0.0</w:t>
            </w:r>
            <w:r w:rsidR="00727C99" w:rsidRPr="008550C6">
              <w:rPr>
                <w:sz w:val="22"/>
                <w:szCs w:val="22"/>
              </w:rPr>
              <w:t>002**</w:t>
            </w:r>
          </w:p>
        </w:tc>
        <w:tc>
          <w:tcPr>
            <w:tcW w:w="1254" w:type="pct"/>
            <w:tcBorders>
              <w:top w:val="nil"/>
              <w:left w:val="nil"/>
              <w:bottom w:val="nil"/>
              <w:right w:val="nil"/>
            </w:tcBorders>
          </w:tcPr>
          <w:p w14:paraId="6EE57179" w14:textId="649F2CC7" w:rsidR="00302D37" w:rsidRPr="008550C6" w:rsidRDefault="00302D37" w:rsidP="00302D37">
            <w:pPr>
              <w:widowControl w:val="0"/>
              <w:autoSpaceDE w:val="0"/>
              <w:autoSpaceDN w:val="0"/>
              <w:adjustRightInd w:val="0"/>
              <w:jc w:val="center"/>
              <w:rPr>
                <w:sz w:val="22"/>
                <w:szCs w:val="22"/>
              </w:rPr>
            </w:pPr>
            <w:r w:rsidRPr="008550C6">
              <w:rPr>
                <w:sz w:val="22"/>
                <w:szCs w:val="22"/>
              </w:rPr>
              <w:t>0.0000</w:t>
            </w:r>
            <w:r w:rsidR="004A1951" w:rsidRPr="008550C6">
              <w:rPr>
                <w:sz w:val="22"/>
                <w:szCs w:val="22"/>
              </w:rPr>
              <w:t>5</w:t>
            </w:r>
          </w:p>
        </w:tc>
      </w:tr>
      <w:tr w:rsidR="008550C6" w:rsidRPr="008550C6" w14:paraId="2B1601BD" w14:textId="77777777" w:rsidTr="00C65193">
        <w:trPr>
          <w:jc w:val="center"/>
        </w:trPr>
        <w:tc>
          <w:tcPr>
            <w:tcW w:w="2406" w:type="pct"/>
            <w:tcBorders>
              <w:top w:val="nil"/>
              <w:left w:val="nil"/>
              <w:bottom w:val="nil"/>
              <w:right w:val="single" w:sz="4" w:space="0" w:color="auto"/>
            </w:tcBorders>
          </w:tcPr>
          <w:p w14:paraId="55FED7E2" w14:textId="77777777" w:rsidR="00302D37" w:rsidRPr="008550C6" w:rsidRDefault="00302D37" w:rsidP="00302D37">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2CACEDEB" w14:textId="757EA42B" w:rsidR="00302D37" w:rsidRPr="008550C6" w:rsidRDefault="00302D37" w:rsidP="00302D37">
            <w:pPr>
              <w:widowControl w:val="0"/>
              <w:autoSpaceDE w:val="0"/>
              <w:autoSpaceDN w:val="0"/>
              <w:adjustRightInd w:val="0"/>
              <w:jc w:val="center"/>
              <w:rPr>
                <w:sz w:val="22"/>
                <w:szCs w:val="22"/>
              </w:rPr>
            </w:pPr>
            <w:r w:rsidRPr="008550C6">
              <w:rPr>
                <w:sz w:val="22"/>
                <w:szCs w:val="22"/>
              </w:rPr>
              <w:t>(</w:t>
            </w:r>
            <w:r w:rsidR="00727C99" w:rsidRPr="008550C6">
              <w:rPr>
                <w:sz w:val="22"/>
                <w:szCs w:val="22"/>
              </w:rPr>
              <w:t>2</w:t>
            </w:r>
            <w:r w:rsidRPr="008550C6">
              <w:rPr>
                <w:sz w:val="22"/>
                <w:szCs w:val="22"/>
              </w:rPr>
              <w:t>.</w:t>
            </w:r>
            <w:r w:rsidR="00727C99" w:rsidRPr="008550C6">
              <w:rPr>
                <w:sz w:val="22"/>
                <w:szCs w:val="22"/>
              </w:rPr>
              <w:t>12</w:t>
            </w:r>
            <w:r w:rsidRPr="008550C6">
              <w:rPr>
                <w:sz w:val="22"/>
                <w:szCs w:val="22"/>
              </w:rPr>
              <w:t>)</w:t>
            </w:r>
          </w:p>
        </w:tc>
        <w:tc>
          <w:tcPr>
            <w:tcW w:w="1254" w:type="pct"/>
            <w:tcBorders>
              <w:top w:val="nil"/>
              <w:left w:val="nil"/>
              <w:bottom w:val="nil"/>
              <w:right w:val="nil"/>
            </w:tcBorders>
          </w:tcPr>
          <w:p w14:paraId="01300AAB" w14:textId="20381A53" w:rsidR="00302D37" w:rsidRPr="008550C6" w:rsidRDefault="00302D37" w:rsidP="00302D37">
            <w:pPr>
              <w:widowControl w:val="0"/>
              <w:autoSpaceDE w:val="0"/>
              <w:autoSpaceDN w:val="0"/>
              <w:adjustRightInd w:val="0"/>
              <w:jc w:val="center"/>
              <w:rPr>
                <w:sz w:val="22"/>
                <w:szCs w:val="22"/>
              </w:rPr>
            </w:pPr>
            <w:r w:rsidRPr="008550C6">
              <w:rPr>
                <w:sz w:val="22"/>
                <w:szCs w:val="22"/>
              </w:rPr>
              <w:t>(0.</w:t>
            </w:r>
            <w:r w:rsidR="004A1951" w:rsidRPr="008550C6">
              <w:rPr>
                <w:sz w:val="22"/>
                <w:szCs w:val="22"/>
              </w:rPr>
              <w:t>51</w:t>
            </w:r>
            <w:r w:rsidRPr="008550C6">
              <w:rPr>
                <w:sz w:val="22"/>
                <w:szCs w:val="22"/>
              </w:rPr>
              <w:t>)</w:t>
            </w:r>
          </w:p>
        </w:tc>
      </w:tr>
      <w:tr w:rsidR="008550C6" w:rsidRPr="008550C6" w14:paraId="26FECB00" w14:textId="77777777" w:rsidTr="00C65193">
        <w:trPr>
          <w:jc w:val="center"/>
        </w:trPr>
        <w:tc>
          <w:tcPr>
            <w:tcW w:w="2406" w:type="pct"/>
            <w:tcBorders>
              <w:top w:val="nil"/>
              <w:left w:val="nil"/>
              <w:bottom w:val="nil"/>
              <w:right w:val="single" w:sz="4" w:space="0" w:color="auto"/>
            </w:tcBorders>
          </w:tcPr>
          <w:p w14:paraId="7E627F49" w14:textId="77777777" w:rsidR="00C65193" w:rsidRPr="008550C6" w:rsidRDefault="00C65193" w:rsidP="00C65193">
            <w:pPr>
              <w:widowControl w:val="0"/>
              <w:autoSpaceDE w:val="0"/>
              <w:autoSpaceDN w:val="0"/>
              <w:adjustRightInd w:val="0"/>
              <w:rPr>
                <w:sz w:val="22"/>
                <w:szCs w:val="22"/>
              </w:rPr>
            </w:pPr>
            <w:r w:rsidRPr="008550C6">
              <w:rPr>
                <w:sz w:val="22"/>
                <w:szCs w:val="22"/>
              </w:rPr>
              <w:t>LNTA</w:t>
            </w:r>
          </w:p>
        </w:tc>
        <w:tc>
          <w:tcPr>
            <w:tcW w:w="1340" w:type="pct"/>
            <w:tcBorders>
              <w:top w:val="nil"/>
              <w:left w:val="single" w:sz="4" w:space="0" w:color="auto"/>
              <w:bottom w:val="nil"/>
              <w:right w:val="nil"/>
            </w:tcBorders>
          </w:tcPr>
          <w:p w14:paraId="23BA19F1" w14:textId="454470A1" w:rsidR="00C65193" w:rsidRPr="008550C6" w:rsidRDefault="00C65193" w:rsidP="00C65193">
            <w:pPr>
              <w:widowControl w:val="0"/>
              <w:autoSpaceDE w:val="0"/>
              <w:autoSpaceDN w:val="0"/>
              <w:adjustRightInd w:val="0"/>
              <w:jc w:val="center"/>
              <w:rPr>
                <w:sz w:val="22"/>
                <w:szCs w:val="22"/>
              </w:rPr>
            </w:pPr>
            <w:r w:rsidRPr="008550C6">
              <w:rPr>
                <w:sz w:val="22"/>
                <w:szCs w:val="22"/>
              </w:rPr>
              <w:t>0.0</w:t>
            </w:r>
            <w:r w:rsidR="00727C99" w:rsidRPr="008550C6">
              <w:rPr>
                <w:sz w:val="22"/>
                <w:szCs w:val="22"/>
              </w:rPr>
              <w:t>407</w:t>
            </w:r>
            <w:r w:rsidRPr="008550C6">
              <w:rPr>
                <w:sz w:val="22"/>
                <w:szCs w:val="22"/>
              </w:rPr>
              <w:t>***</w:t>
            </w:r>
          </w:p>
        </w:tc>
        <w:tc>
          <w:tcPr>
            <w:tcW w:w="1254" w:type="pct"/>
            <w:tcBorders>
              <w:top w:val="nil"/>
              <w:left w:val="nil"/>
              <w:bottom w:val="nil"/>
              <w:right w:val="nil"/>
            </w:tcBorders>
          </w:tcPr>
          <w:p w14:paraId="11ADD64B" w14:textId="5B815959" w:rsidR="00C65193" w:rsidRPr="008550C6" w:rsidRDefault="00C65193" w:rsidP="00C65193">
            <w:pPr>
              <w:widowControl w:val="0"/>
              <w:autoSpaceDE w:val="0"/>
              <w:autoSpaceDN w:val="0"/>
              <w:adjustRightInd w:val="0"/>
              <w:jc w:val="center"/>
              <w:rPr>
                <w:sz w:val="22"/>
                <w:szCs w:val="22"/>
              </w:rPr>
            </w:pPr>
            <w:r w:rsidRPr="008550C6">
              <w:rPr>
                <w:sz w:val="22"/>
                <w:szCs w:val="22"/>
              </w:rPr>
              <w:t>0.0</w:t>
            </w:r>
            <w:r w:rsidR="004A1951" w:rsidRPr="008550C6">
              <w:rPr>
                <w:sz w:val="22"/>
                <w:szCs w:val="22"/>
              </w:rPr>
              <w:t>4</w:t>
            </w:r>
            <w:r w:rsidRPr="008550C6">
              <w:rPr>
                <w:sz w:val="22"/>
                <w:szCs w:val="22"/>
              </w:rPr>
              <w:t>***</w:t>
            </w:r>
          </w:p>
        </w:tc>
      </w:tr>
      <w:tr w:rsidR="008550C6" w:rsidRPr="008550C6" w14:paraId="7ECE1B59" w14:textId="77777777" w:rsidTr="00C65193">
        <w:trPr>
          <w:jc w:val="center"/>
        </w:trPr>
        <w:tc>
          <w:tcPr>
            <w:tcW w:w="2406" w:type="pct"/>
            <w:tcBorders>
              <w:top w:val="nil"/>
              <w:left w:val="nil"/>
              <w:bottom w:val="nil"/>
              <w:right w:val="single" w:sz="4" w:space="0" w:color="auto"/>
            </w:tcBorders>
          </w:tcPr>
          <w:p w14:paraId="17BE782C" w14:textId="77777777" w:rsidR="00C65193" w:rsidRPr="008550C6" w:rsidRDefault="00C65193" w:rsidP="00C65193">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0114FA2B" w14:textId="4566A072" w:rsidR="00C65193" w:rsidRPr="008550C6" w:rsidRDefault="00C65193" w:rsidP="00C65193">
            <w:pPr>
              <w:widowControl w:val="0"/>
              <w:autoSpaceDE w:val="0"/>
              <w:autoSpaceDN w:val="0"/>
              <w:adjustRightInd w:val="0"/>
              <w:jc w:val="center"/>
              <w:rPr>
                <w:sz w:val="22"/>
                <w:szCs w:val="22"/>
              </w:rPr>
            </w:pPr>
            <w:r w:rsidRPr="008550C6">
              <w:rPr>
                <w:sz w:val="22"/>
                <w:szCs w:val="22"/>
              </w:rPr>
              <w:t>(2</w:t>
            </w:r>
            <w:r w:rsidR="00727C99" w:rsidRPr="008550C6">
              <w:rPr>
                <w:sz w:val="22"/>
                <w:szCs w:val="22"/>
              </w:rPr>
              <w:t>3</w:t>
            </w:r>
            <w:r w:rsidRPr="008550C6">
              <w:rPr>
                <w:sz w:val="22"/>
                <w:szCs w:val="22"/>
              </w:rPr>
              <w:t>.</w:t>
            </w:r>
            <w:r w:rsidR="00727C99" w:rsidRPr="008550C6">
              <w:rPr>
                <w:sz w:val="22"/>
                <w:szCs w:val="22"/>
              </w:rPr>
              <w:t>06</w:t>
            </w:r>
            <w:r w:rsidRPr="008550C6">
              <w:rPr>
                <w:sz w:val="22"/>
                <w:szCs w:val="22"/>
              </w:rPr>
              <w:t>)</w:t>
            </w:r>
          </w:p>
        </w:tc>
        <w:tc>
          <w:tcPr>
            <w:tcW w:w="1254" w:type="pct"/>
            <w:tcBorders>
              <w:top w:val="nil"/>
              <w:left w:val="nil"/>
              <w:bottom w:val="nil"/>
              <w:right w:val="nil"/>
            </w:tcBorders>
          </w:tcPr>
          <w:p w14:paraId="63155F74" w14:textId="08498E0B" w:rsidR="00C65193" w:rsidRPr="008550C6" w:rsidRDefault="00C65193" w:rsidP="00C65193">
            <w:pPr>
              <w:widowControl w:val="0"/>
              <w:autoSpaceDE w:val="0"/>
              <w:autoSpaceDN w:val="0"/>
              <w:adjustRightInd w:val="0"/>
              <w:jc w:val="center"/>
              <w:rPr>
                <w:sz w:val="22"/>
                <w:szCs w:val="22"/>
              </w:rPr>
            </w:pPr>
            <w:r w:rsidRPr="008550C6">
              <w:rPr>
                <w:sz w:val="22"/>
                <w:szCs w:val="22"/>
              </w:rPr>
              <w:t>(</w:t>
            </w:r>
            <w:r w:rsidR="004A1951" w:rsidRPr="008550C6">
              <w:rPr>
                <w:sz w:val="22"/>
                <w:szCs w:val="22"/>
              </w:rPr>
              <w:t>22</w:t>
            </w:r>
            <w:r w:rsidRPr="008550C6">
              <w:rPr>
                <w:sz w:val="22"/>
                <w:szCs w:val="22"/>
              </w:rPr>
              <w:t>.</w:t>
            </w:r>
            <w:r w:rsidR="004A1951" w:rsidRPr="008550C6">
              <w:rPr>
                <w:sz w:val="22"/>
                <w:szCs w:val="22"/>
              </w:rPr>
              <w:t>76</w:t>
            </w:r>
            <w:r w:rsidRPr="008550C6">
              <w:rPr>
                <w:sz w:val="22"/>
                <w:szCs w:val="22"/>
              </w:rPr>
              <w:t>)</w:t>
            </w:r>
          </w:p>
        </w:tc>
      </w:tr>
      <w:tr w:rsidR="008550C6" w:rsidRPr="008550C6" w14:paraId="30AF6849" w14:textId="77777777" w:rsidTr="00C65193">
        <w:trPr>
          <w:jc w:val="center"/>
        </w:trPr>
        <w:tc>
          <w:tcPr>
            <w:tcW w:w="2406" w:type="pct"/>
            <w:tcBorders>
              <w:top w:val="nil"/>
              <w:left w:val="nil"/>
              <w:bottom w:val="nil"/>
              <w:right w:val="single" w:sz="4" w:space="0" w:color="auto"/>
            </w:tcBorders>
          </w:tcPr>
          <w:p w14:paraId="43FC295B" w14:textId="77777777" w:rsidR="00C65193" w:rsidRPr="008550C6" w:rsidRDefault="00C65193" w:rsidP="00C65193">
            <w:pPr>
              <w:widowControl w:val="0"/>
              <w:autoSpaceDE w:val="0"/>
              <w:autoSpaceDN w:val="0"/>
              <w:adjustRightInd w:val="0"/>
              <w:rPr>
                <w:sz w:val="22"/>
                <w:szCs w:val="22"/>
              </w:rPr>
            </w:pPr>
            <w:r w:rsidRPr="008550C6">
              <w:rPr>
                <w:sz w:val="22"/>
                <w:szCs w:val="22"/>
              </w:rPr>
              <w:t>NPLTL</w:t>
            </w:r>
          </w:p>
        </w:tc>
        <w:tc>
          <w:tcPr>
            <w:tcW w:w="1340" w:type="pct"/>
            <w:tcBorders>
              <w:top w:val="nil"/>
              <w:left w:val="single" w:sz="4" w:space="0" w:color="auto"/>
              <w:bottom w:val="nil"/>
              <w:right w:val="nil"/>
            </w:tcBorders>
          </w:tcPr>
          <w:p w14:paraId="3BCB63FF" w14:textId="58A86AE5" w:rsidR="00C65193" w:rsidRPr="008550C6" w:rsidRDefault="00C65193" w:rsidP="00C65193">
            <w:pPr>
              <w:widowControl w:val="0"/>
              <w:autoSpaceDE w:val="0"/>
              <w:autoSpaceDN w:val="0"/>
              <w:adjustRightInd w:val="0"/>
              <w:jc w:val="center"/>
              <w:rPr>
                <w:sz w:val="22"/>
                <w:szCs w:val="22"/>
              </w:rPr>
            </w:pPr>
            <w:r w:rsidRPr="008550C6">
              <w:rPr>
                <w:sz w:val="22"/>
                <w:szCs w:val="22"/>
              </w:rPr>
              <w:t>-6.</w:t>
            </w:r>
            <w:r w:rsidR="00727C99" w:rsidRPr="008550C6">
              <w:rPr>
                <w:sz w:val="22"/>
                <w:szCs w:val="22"/>
              </w:rPr>
              <w:t>3170</w:t>
            </w:r>
            <w:r w:rsidRPr="008550C6">
              <w:rPr>
                <w:sz w:val="22"/>
                <w:szCs w:val="22"/>
              </w:rPr>
              <w:t>***</w:t>
            </w:r>
          </w:p>
        </w:tc>
        <w:tc>
          <w:tcPr>
            <w:tcW w:w="1254" w:type="pct"/>
            <w:tcBorders>
              <w:top w:val="nil"/>
              <w:left w:val="nil"/>
              <w:bottom w:val="nil"/>
              <w:right w:val="nil"/>
            </w:tcBorders>
          </w:tcPr>
          <w:p w14:paraId="6A7D9F71" w14:textId="0DA56D2E" w:rsidR="00C65193" w:rsidRPr="008550C6" w:rsidRDefault="00C65193" w:rsidP="00C65193">
            <w:pPr>
              <w:widowControl w:val="0"/>
              <w:autoSpaceDE w:val="0"/>
              <w:autoSpaceDN w:val="0"/>
              <w:adjustRightInd w:val="0"/>
              <w:jc w:val="center"/>
              <w:rPr>
                <w:sz w:val="22"/>
                <w:szCs w:val="22"/>
              </w:rPr>
            </w:pPr>
            <w:r w:rsidRPr="008550C6">
              <w:rPr>
                <w:sz w:val="22"/>
                <w:szCs w:val="22"/>
              </w:rPr>
              <w:t>-</w:t>
            </w:r>
            <w:r w:rsidR="004A1951" w:rsidRPr="008550C6">
              <w:rPr>
                <w:sz w:val="22"/>
                <w:szCs w:val="22"/>
              </w:rPr>
              <w:t>6</w:t>
            </w:r>
            <w:r w:rsidRPr="008550C6">
              <w:rPr>
                <w:sz w:val="22"/>
                <w:szCs w:val="22"/>
              </w:rPr>
              <w:t>.</w:t>
            </w:r>
            <w:r w:rsidR="004A1951" w:rsidRPr="008550C6">
              <w:rPr>
                <w:sz w:val="22"/>
                <w:szCs w:val="22"/>
              </w:rPr>
              <w:t>2323</w:t>
            </w:r>
            <w:r w:rsidRPr="008550C6">
              <w:rPr>
                <w:sz w:val="22"/>
                <w:szCs w:val="22"/>
              </w:rPr>
              <w:t>*</w:t>
            </w:r>
            <w:r w:rsidR="004A1951" w:rsidRPr="008550C6">
              <w:rPr>
                <w:sz w:val="22"/>
                <w:szCs w:val="22"/>
              </w:rPr>
              <w:t>**</w:t>
            </w:r>
          </w:p>
        </w:tc>
      </w:tr>
      <w:tr w:rsidR="008550C6" w:rsidRPr="008550C6" w14:paraId="23040BDD" w14:textId="77777777" w:rsidTr="00C65193">
        <w:trPr>
          <w:jc w:val="center"/>
        </w:trPr>
        <w:tc>
          <w:tcPr>
            <w:tcW w:w="2406" w:type="pct"/>
            <w:tcBorders>
              <w:top w:val="nil"/>
              <w:left w:val="nil"/>
              <w:bottom w:val="nil"/>
              <w:right w:val="single" w:sz="4" w:space="0" w:color="auto"/>
            </w:tcBorders>
          </w:tcPr>
          <w:p w14:paraId="5440792F" w14:textId="77777777" w:rsidR="00C65193" w:rsidRPr="008550C6" w:rsidRDefault="00C65193" w:rsidP="00C65193">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4875D08C" w14:textId="34758A51" w:rsidR="00C65193" w:rsidRPr="008550C6" w:rsidRDefault="00C65193" w:rsidP="00C65193">
            <w:pPr>
              <w:widowControl w:val="0"/>
              <w:autoSpaceDE w:val="0"/>
              <w:autoSpaceDN w:val="0"/>
              <w:adjustRightInd w:val="0"/>
              <w:jc w:val="center"/>
              <w:rPr>
                <w:sz w:val="22"/>
                <w:szCs w:val="22"/>
              </w:rPr>
            </w:pPr>
            <w:r w:rsidRPr="008550C6">
              <w:rPr>
                <w:sz w:val="22"/>
                <w:szCs w:val="22"/>
              </w:rPr>
              <w:t>(13.</w:t>
            </w:r>
            <w:r w:rsidR="00727C99" w:rsidRPr="008550C6">
              <w:rPr>
                <w:sz w:val="22"/>
                <w:szCs w:val="22"/>
              </w:rPr>
              <w:t>58</w:t>
            </w:r>
            <w:r w:rsidRPr="008550C6">
              <w:rPr>
                <w:sz w:val="22"/>
                <w:szCs w:val="22"/>
              </w:rPr>
              <w:t>)</w:t>
            </w:r>
          </w:p>
        </w:tc>
        <w:tc>
          <w:tcPr>
            <w:tcW w:w="1254" w:type="pct"/>
            <w:tcBorders>
              <w:top w:val="nil"/>
              <w:left w:val="nil"/>
              <w:bottom w:val="nil"/>
              <w:right w:val="nil"/>
            </w:tcBorders>
          </w:tcPr>
          <w:p w14:paraId="604A723E" w14:textId="3BF09CFD" w:rsidR="00C65193" w:rsidRPr="008550C6" w:rsidRDefault="00C65193" w:rsidP="00C65193">
            <w:pPr>
              <w:widowControl w:val="0"/>
              <w:autoSpaceDE w:val="0"/>
              <w:autoSpaceDN w:val="0"/>
              <w:adjustRightInd w:val="0"/>
              <w:jc w:val="center"/>
              <w:rPr>
                <w:sz w:val="22"/>
                <w:szCs w:val="22"/>
              </w:rPr>
            </w:pPr>
            <w:r w:rsidRPr="008550C6">
              <w:rPr>
                <w:sz w:val="22"/>
                <w:szCs w:val="22"/>
              </w:rPr>
              <w:t>(1</w:t>
            </w:r>
            <w:r w:rsidR="004A1951" w:rsidRPr="008550C6">
              <w:rPr>
                <w:sz w:val="22"/>
                <w:szCs w:val="22"/>
              </w:rPr>
              <w:t>3</w:t>
            </w:r>
            <w:r w:rsidRPr="008550C6">
              <w:rPr>
                <w:sz w:val="22"/>
                <w:szCs w:val="22"/>
              </w:rPr>
              <w:t>.</w:t>
            </w:r>
            <w:r w:rsidR="004A1951" w:rsidRPr="008550C6">
              <w:rPr>
                <w:sz w:val="22"/>
                <w:szCs w:val="22"/>
              </w:rPr>
              <w:t>23</w:t>
            </w:r>
            <w:r w:rsidRPr="008550C6">
              <w:rPr>
                <w:sz w:val="22"/>
                <w:szCs w:val="22"/>
              </w:rPr>
              <w:t>)</w:t>
            </w:r>
          </w:p>
        </w:tc>
      </w:tr>
      <w:tr w:rsidR="008550C6" w:rsidRPr="008550C6" w14:paraId="0ADF5D5B" w14:textId="77777777" w:rsidTr="00C65193">
        <w:trPr>
          <w:jc w:val="center"/>
        </w:trPr>
        <w:tc>
          <w:tcPr>
            <w:tcW w:w="2406" w:type="pct"/>
            <w:tcBorders>
              <w:top w:val="nil"/>
              <w:left w:val="nil"/>
              <w:bottom w:val="nil"/>
              <w:right w:val="single" w:sz="4" w:space="0" w:color="auto"/>
            </w:tcBorders>
          </w:tcPr>
          <w:p w14:paraId="6D47D4A8" w14:textId="5B771DE3" w:rsidR="00C65193" w:rsidRPr="008550C6" w:rsidRDefault="00C65193" w:rsidP="00C65193">
            <w:pPr>
              <w:widowControl w:val="0"/>
              <w:autoSpaceDE w:val="0"/>
              <w:autoSpaceDN w:val="0"/>
              <w:adjustRightInd w:val="0"/>
              <w:rPr>
                <w:sz w:val="22"/>
                <w:szCs w:val="22"/>
              </w:rPr>
            </w:pPr>
            <w:r w:rsidRPr="008550C6">
              <w:rPr>
                <w:sz w:val="22"/>
                <w:szCs w:val="22"/>
              </w:rPr>
              <w:t>DOA</w:t>
            </w:r>
          </w:p>
        </w:tc>
        <w:tc>
          <w:tcPr>
            <w:tcW w:w="1340" w:type="pct"/>
            <w:tcBorders>
              <w:top w:val="nil"/>
              <w:left w:val="single" w:sz="4" w:space="0" w:color="auto"/>
              <w:bottom w:val="nil"/>
              <w:right w:val="nil"/>
            </w:tcBorders>
          </w:tcPr>
          <w:p w14:paraId="77B613C9" w14:textId="77968AFD" w:rsidR="00C65193" w:rsidRPr="008550C6" w:rsidRDefault="00C65193" w:rsidP="00C65193">
            <w:pPr>
              <w:widowControl w:val="0"/>
              <w:autoSpaceDE w:val="0"/>
              <w:autoSpaceDN w:val="0"/>
              <w:adjustRightInd w:val="0"/>
              <w:jc w:val="center"/>
              <w:rPr>
                <w:sz w:val="22"/>
                <w:szCs w:val="22"/>
              </w:rPr>
            </w:pPr>
            <w:r w:rsidRPr="008550C6">
              <w:rPr>
                <w:sz w:val="22"/>
                <w:szCs w:val="22"/>
              </w:rPr>
              <w:t>-0.07</w:t>
            </w:r>
            <w:r w:rsidR="00727C99" w:rsidRPr="008550C6">
              <w:rPr>
                <w:sz w:val="22"/>
                <w:szCs w:val="22"/>
              </w:rPr>
              <w:t>42</w:t>
            </w:r>
            <w:r w:rsidRPr="008550C6">
              <w:rPr>
                <w:sz w:val="22"/>
                <w:szCs w:val="22"/>
              </w:rPr>
              <w:t>***</w:t>
            </w:r>
          </w:p>
        </w:tc>
        <w:tc>
          <w:tcPr>
            <w:tcW w:w="1254" w:type="pct"/>
            <w:tcBorders>
              <w:top w:val="nil"/>
              <w:left w:val="nil"/>
              <w:bottom w:val="nil"/>
              <w:right w:val="nil"/>
            </w:tcBorders>
          </w:tcPr>
          <w:p w14:paraId="5E42E79B" w14:textId="0BF8D571" w:rsidR="00C65193" w:rsidRPr="008550C6" w:rsidRDefault="004A1951" w:rsidP="00C65193">
            <w:pPr>
              <w:widowControl w:val="0"/>
              <w:autoSpaceDE w:val="0"/>
              <w:autoSpaceDN w:val="0"/>
              <w:adjustRightInd w:val="0"/>
              <w:jc w:val="center"/>
              <w:rPr>
                <w:sz w:val="22"/>
                <w:szCs w:val="22"/>
              </w:rPr>
            </w:pPr>
            <w:r w:rsidRPr="008550C6">
              <w:rPr>
                <w:sz w:val="22"/>
                <w:szCs w:val="22"/>
              </w:rPr>
              <w:t>-</w:t>
            </w:r>
            <w:r w:rsidR="00C65193" w:rsidRPr="008550C6">
              <w:rPr>
                <w:sz w:val="22"/>
                <w:szCs w:val="22"/>
              </w:rPr>
              <w:t>0.</w:t>
            </w:r>
            <w:r w:rsidRPr="008550C6">
              <w:rPr>
                <w:sz w:val="22"/>
                <w:szCs w:val="22"/>
              </w:rPr>
              <w:t>0776***</w:t>
            </w:r>
          </w:p>
        </w:tc>
      </w:tr>
      <w:tr w:rsidR="008550C6" w:rsidRPr="008550C6" w14:paraId="7D932BCD" w14:textId="77777777" w:rsidTr="00C65193">
        <w:trPr>
          <w:jc w:val="center"/>
        </w:trPr>
        <w:tc>
          <w:tcPr>
            <w:tcW w:w="2406" w:type="pct"/>
            <w:tcBorders>
              <w:top w:val="nil"/>
              <w:left w:val="nil"/>
              <w:bottom w:val="nil"/>
              <w:right w:val="single" w:sz="4" w:space="0" w:color="auto"/>
            </w:tcBorders>
          </w:tcPr>
          <w:p w14:paraId="360D1678" w14:textId="77777777" w:rsidR="00C65193" w:rsidRPr="008550C6" w:rsidRDefault="00C65193" w:rsidP="00C65193">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2F23CC17" w14:textId="568375DF" w:rsidR="00C65193" w:rsidRPr="008550C6" w:rsidRDefault="00C65193" w:rsidP="00C65193">
            <w:pPr>
              <w:widowControl w:val="0"/>
              <w:autoSpaceDE w:val="0"/>
              <w:autoSpaceDN w:val="0"/>
              <w:adjustRightInd w:val="0"/>
              <w:jc w:val="center"/>
              <w:rPr>
                <w:sz w:val="22"/>
                <w:szCs w:val="22"/>
              </w:rPr>
            </w:pPr>
            <w:r w:rsidRPr="008550C6">
              <w:rPr>
                <w:sz w:val="22"/>
                <w:szCs w:val="22"/>
              </w:rPr>
              <w:t>(</w:t>
            </w:r>
            <w:r w:rsidR="00727C99" w:rsidRPr="008550C6">
              <w:rPr>
                <w:sz w:val="22"/>
                <w:szCs w:val="22"/>
              </w:rPr>
              <w:t>3</w:t>
            </w:r>
            <w:r w:rsidRPr="008550C6">
              <w:rPr>
                <w:sz w:val="22"/>
                <w:szCs w:val="22"/>
              </w:rPr>
              <w:t>.</w:t>
            </w:r>
            <w:r w:rsidR="00727C99" w:rsidRPr="008550C6">
              <w:rPr>
                <w:sz w:val="22"/>
                <w:szCs w:val="22"/>
              </w:rPr>
              <w:t>06</w:t>
            </w:r>
            <w:r w:rsidRPr="008550C6">
              <w:rPr>
                <w:sz w:val="22"/>
                <w:szCs w:val="22"/>
              </w:rPr>
              <w:t>)</w:t>
            </w:r>
          </w:p>
        </w:tc>
        <w:tc>
          <w:tcPr>
            <w:tcW w:w="1254" w:type="pct"/>
            <w:tcBorders>
              <w:top w:val="nil"/>
              <w:left w:val="nil"/>
              <w:bottom w:val="nil"/>
              <w:right w:val="nil"/>
            </w:tcBorders>
          </w:tcPr>
          <w:p w14:paraId="139C9671" w14:textId="1502CB18" w:rsidR="00C65193" w:rsidRPr="008550C6" w:rsidRDefault="00C65193" w:rsidP="00C65193">
            <w:pPr>
              <w:widowControl w:val="0"/>
              <w:autoSpaceDE w:val="0"/>
              <w:autoSpaceDN w:val="0"/>
              <w:adjustRightInd w:val="0"/>
              <w:jc w:val="center"/>
              <w:rPr>
                <w:sz w:val="22"/>
                <w:szCs w:val="22"/>
              </w:rPr>
            </w:pPr>
            <w:r w:rsidRPr="008550C6">
              <w:rPr>
                <w:sz w:val="22"/>
                <w:szCs w:val="22"/>
              </w:rPr>
              <w:t>(</w:t>
            </w:r>
            <w:r w:rsidR="004A1951" w:rsidRPr="008550C6">
              <w:rPr>
                <w:sz w:val="22"/>
                <w:szCs w:val="22"/>
              </w:rPr>
              <w:t>3</w:t>
            </w:r>
            <w:r w:rsidRPr="008550C6">
              <w:rPr>
                <w:sz w:val="22"/>
                <w:szCs w:val="22"/>
              </w:rPr>
              <w:t>.</w:t>
            </w:r>
            <w:r w:rsidR="004A1951" w:rsidRPr="008550C6">
              <w:rPr>
                <w:sz w:val="22"/>
                <w:szCs w:val="22"/>
              </w:rPr>
              <w:t>22</w:t>
            </w:r>
            <w:r w:rsidRPr="008550C6">
              <w:rPr>
                <w:sz w:val="22"/>
                <w:szCs w:val="22"/>
              </w:rPr>
              <w:t>)</w:t>
            </w:r>
          </w:p>
        </w:tc>
      </w:tr>
      <w:tr w:rsidR="008550C6" w:rsidRPr="008550C6" w14:paraId="0F025953" w14:textId="77777777" w:rsidTr="00C65193">
        <w:trPr>
          <w:jc w:val="center"/>
        </w:trPr>
        <w:tc>
          <w:tcPr>
            <w:tcW w:w="2406" w:type="pct"/>
            <w:tcBorders>
              <w:top w:val="nil"/>
              <w:left w:val="nil"/>
              <w:bottom w:val="nil"/>
              <w:right w:val="single" w:sz="4" w:space="0" w:color="auto"/>
            </w:tcBorders>
          </w:tcPr>
          <w:p w14:paraId="12044432" w14:textId="18CAC731" w:rsidR="00C65193" w:rsidRPr="008550C6" w:rsidRDefault="00C65193" w:rsidP="00C65193">
            <w:pPr>
              <w:widowControl w:val="0"/>
              <w:autoSpaceDE w:val="0"/>
              <w:autoSpaceDN w:val="0"/>
              <w:adjustRightInd w:val="0"/>
              <w:rPr>
                <w:sz w:val="22"/>
                <w:szCs w:val="22"/>
              </w:rPr>
            </w:pPr>
            <w:r w:rsidRPr="008550C6">
              <w:rPr>
                <w:sz w:val="22"/>
                <w:szCs w:val="22"/>
              </w:rPr>
              <w:t>C</w:t>
            </w:r>
            <w:r w:rsidR="00783103">
              <w:rPr>
                <w:sz w:val="22"/>
                <w:szCs w:val="22"/>
              </w:rPr>
              <w:t>OVID</w:t>
            </w:r>
            <w:r w:rsidRPr="008550C6">
              <w:rPr>
                <w:sz w:val="22"/>
                <w:szCs w:val="22"/>
              </w:rPr>
              <w:t>-19</w:t>
            </w:r>
          </w:p>
        </w:tc>
        <w:tc>
          <w:tcPr>
            <w:tcW w:w="1340" w:type="pct"/>
            <w:tcBorders>
              <w:top w:val="nil"/>
              <w:left w:val="single" w:sz="4" w:space="0" w:color="auto"/>
              <w:bottom w:val="nil"/>
              <w:right w:val="nil"/>
            </w:tcBorders>
          </w:tcPr>
          <w:p w14:paraId="48B8FB38" w14:textId="21E7E8A0" w:rsidR="00C65193" w:rsidRPr="008550C6" w:rsidRDefault="00C65193" w:rsidP="00C65193">
            <w:pPr>
              <w:widowControl w:val="0"/>
              <w:autoSpaceDE w:val="0"/>
              <w:autoSpaceDN w:val="0"/>
              <w:adjustRightInd w:val="0"/>
              <w:jc w:val="center"/>
              <w:rPr>
                <w:sz w:val="22"/>
                <w:szCs w:val="22"/>
              </w:rPr>
            </w:pPr>
            <w:r w:rsidRPr="008550C6">
              <w:rPr>
                <w:sz w:val="22"/>
                <w:szCs w:val="22"/>
              </w:rPr>
              <w:t>-0.04</w:t>
            </w:r>
            <w:r w:rsidR="00727C99" w:rsidRPr="008550C6">
              <w:rPr>
                <w:sz w:val="22"/>
                <w:szCs w:val="22"/>
              </w:rPr>
              <w:t>4</w:t>
            </w:r>
            <w:r w:rsidRPr="008550C6">
              <w:rPr>
                <w:sz w:val="22"/>
                <w:szCs w:val="22"/>
              </w:rPr>
              <w:t>7***</w:t>
            </w:r>
          </w:p>
        </w:tc>
        <w:tc>
          <w:tcPr>
            <w:tcW w:w="1254" w:type="pct"/>
            <w:tcBorders>
              <w:top w:val="nil"/>
              <w:left w:val="nil"/>
              <w:bottom w:val="nil"/>
              <w:right w:val="nil"/>
            </w:tcBorders>
          </w:tcPr>
          <w:p w14:paraId="4977C07C" w14:textId="349D685F" w:rsidR="00C65193" w:rsidRPr="008550C6" w:rsidRDefault="00C65193" w:rsidP="00C65193">
            <w:pPr>
              <w:widowControl w:val="0"/>
              <w:autoSpaceDE w:val="0"/>
              <w:autoSpaceDN w:val="0"/>
              <w:adjustRightInd w:val="0"/>
              <w:jc w:val="center"/>
              <w:rPr>
                <w:sz w:val="22"/>
                <w:szCs w:val="22"/>
              </w:rPr>
            </w:pPr>
            <w:r w:rsidRPr="008550C6">
              <w:rPr>
                <w:sz w:val="22"/>
                <w:szCs w:val="22"/>
              </w:rPr>
              <w:t>0.0</w:t>
            </w:r>
            <w:r w:rsidR="004A1951" w:rsidRPr="008550C6">
              <w:rPr>
                <w:sz w:val="22"/>
                <w:szCs w:val="22"/>
              </w:rPr>
              <w:t>462***</w:t>
            </w:r>
          </w:p>
        </w:tc>
      </w:tr>
      <w:tr w:rsidR="008550C6" w:rsidRPr="008550C6" w14:paraId="27161204" w14:textId="77777777" w:rsidTr="00C65193">
        <w:trPr>
          <w:jc w:val="center"/>
        </w:trPr>
        <w:tc>
          <w:tcPr>
            <w:tcW w:w="2406" w:type="pct"/>
            <w:tcBorders>
              <w:top w:val="nil"/>
              <w:left w:val="nil"/>
              <w:bottom w:val="nil"/>
              <w:right w:val="single" w:sz="4" w:space="0" w:color="auto"/>
            </w:tcBorders>
          </w:tcPr>
          <w:p w14:paraId="68297EC5" w14:textId="77777777" w:rsidR="00C65193" w:rsidRPr="008550C6" w:rsidRDefault="00C65193" w:rsidP="00C65193">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1AF13F8F" w14:textId="039FD5F3" w:rsidR="00C65193" w:rsidRPr="008550C6" w:rsidRDefault="00C65193" w:rsidP="00C65193">
            <w:pPr>
              <w:widowControl w:val="0"/>
              <w:autoSpaceDE w:val="0"/>
              <w:autoSpaceDN w:val="0"/>
              <w:adjustRightInd w:val="0"/>
              <w:jc w:val="center"/>
              <w:rPr>
                <w:sz w:val="22"/>
                <w:szCs w:val="22"/>
              </w:rPr>
            </w:pPr>
            <w:r w:rsidRPr="008550C6">
              <w:rPr>
                <w:sz w:val="22"/>
                <w:szCs w:val="22"/>
              </w:rPr>
              <w:t>(3.</w:t>
            </w:r>
            <w:r w:rsidR="00727C99" w:rsidRPr="008550C6">
              <w:rPr>
                <w:sz w:val="22"/>
                <w:szCs w:val="22"/>
              </w:rPr>
              <w:t>43</w:t>
            </w:r>
            <w:r w:rsidRPr="008550C6">
              <w:rPr>
                <w:sz w:val="22"/>
                <w:szCs w:val="22"/>
              </w:rPr>
              <w:t>)</w:t>
            </w:r>
          </w:p>
        </w:tc>
        <w:tc>
          <w:tcPr>
            <w:tcW w:w="1254" w:type="pct"/>
            <w:tcBorders>
              <w:top w:val="nil"/>
              <w:left w:val="nil"/>
              <w:bottom w:val="nil"/>
              <w:right w:val="nil"/>
            </w:tcBorders>
          </w:tcPr>
          <w:p w14:paraId="79237B94" w14:textId="3D770348" w:rsidR="00C65193" w:rsidRPr="008550C6" w:rsidRDefault="00C65193" w:rsidP="00C65193">
            <w:pPr>
              <w:widowControl w:val="0"/>
              <w:autoSpaceDE w:val="0"/>
              <w:autoSpaceDN w:val="0"/>
              <w:adjustRightInd w:val="0"/>
              <w:jc w:val="center"/>
              <w:rPr>
                <w:sz w:val="22"/>
                <w:szCs w:val="22"/>
              </w:rPr>
            </w:pPr>
            <w:r w:rsidRPr="008550C6">
              <w:rPr>
                <w:sz w:val="22"/>
                <w:szCs w:val="22"/>
              </w:rPr>
              <w:t>(</w:t>
            </w:r>
            <w:r w:rsidR="004A1951" w:rsidRPr="008550C6">
              <w:rPr>
                <w:sz w:val="22"/>
                <w:szCs w:val="22"/>
              </w:rPr>
              <w:t>3</w:t>
            </w:r>
            <w:r w:rsidRPr="008550C6">
              <w:rPr>
                <w:sz w:val="22"/>
                <w:szCs w:val="22"/>
              </w:rPr>
              <w:t>.</w:t>
            </w:r>
            <w:r w:rsidR="004A1951" w:rsidRPr="008550C6">
              <w:rPr>
                <w:sz w:val="22"/>
                <w:szCs w:val="22"/>
              </w:rPr>
              <w:t>34</w:t>
            </w:r>
            <w:r w:rsidRPr="008550C6">
              <w:rPr>
                <w:sz w:val="22"/>
                <w:szCs w:val="22"/>
              </w:rPr>
              <w:t>)</w:t>
            </w:r>
          </w:p>
        </w:tc>
      </w:tr>
      <w:tr w:rsidR="008550C6" w:rsidRPr="008550C6" w14:paraId="3DCDCB40" w14:textId="77777777" w:rsidTr="00C65193">
        <w:trPr>
          <w:jc w:val="center"/>
        </w:trPr>
        <w:tc>
          <w:tcPr>
            <w:tcW w:w="2406" w:type="pct"/>
            <w:tcBorders>
              <w:top w:val="nil"/>
              <w:left w:val="nil"/>
              <w:bottom w:val="nil"/>
              <w:right w:val="single" w:sz="4" w:space="0" w:color="auto"/>
            </w:tcBorders>
          </w:tcPr>
          <w:p w14:paraId="76C2AF0D" w14:textId="77777777" w:rsidR="00C65193" w:rsidRPr="008550C6" w:rsidRDefault="00C65193" w:rsidP="00C65193">
            <w:pPr>
              <w:widowControl w:val="0"/>
              <w:autoSpaceDE w:val="0"/>
              <w:autoSpaceDN w:val="0"/>
              <w:adjustRightInd w:val="0"/>
              <w:rPr>
                <w:sz w:val="22"/>
                <w:szCs w:val="22"/>
              </w:rPr>
            </w:pPr>
            <w:r w:rsidRPr="008550C6">
              <w:rPr>
                <w:sz w:val="22"/>
                <w:szCs w:val="22"/>
              </w:rPr>
              <w:t>Constant</w:t>
            </w:r>
          </w:p>
        </w:tc>
        <w:tc>
          <w:tcPr>
            <w:tcW w:w="1340" w:type="pct"/>
            <w:tcBorders>
              <w:top w:val="nil"/>
              <w:left w:val="single" w:sz="4" w:space="0" w:color="auto"/>
              <w:bottom w:val="nil"/>
              <w:right w:val="nil"/>
            </w:tcBorders>
          </w:tcPr>
          <w:p w14:paraId="25C28E3E" w14:textId="625B3F29" w:rsidR="00C65193" w:rsidRPr="008550C6" w:rsidRDefault="00C65193" w:rsidP="00C65193">
            <w:pPr>
              <w:widowControl w:val="0"/>
              <w:autoSpaceDE w:val="0"/>
              <w:autoSpaceDN w:val="0"/>
              <w:adjustRightInd w:val="0"/>
              <w:jc w:val="center"/>
              <w:rPr>
                <w:sz w:val="22"/>
                <w:szCs w:val="22"/>
              </w:rPr>
            </w:pPr>
            <w:r w:rsidRPr="008550C6">
              <w:rPr>
                <w:sz w:val="22"/>
                <w:szCs w:val="22"/>
              </w:rPr>
              <w:t>0.0</w:t>
            </w:r>
            <w:r w:rsidR="00727C99" w:rsidRPr="008550C6">
              <w:rPr>
                <w:sz w:val="22"/>
                <w:szCs w:val="22"/>
              </w:rPr>
              <w:t>666*</w:t>
            </w:r>
          </w:p>
        </w:tc>
        <w:tc>
          <w:tcPr>
            <w:tcW w:w="1254" w:type="pct"/>
            <w:tcBorders>
              <w:top w:val="nil"/>
              <w:left w:val="nil"/>
              <w:bottom w:val="nil"/>
              <w:right w:val="nil"/>
            </w:tcBorders>
          </w:tcPr>
          <w:p w14:paraId="5E2313B3" w14:textId="4087EF56" w:rsidR="00C65193" w:rsidRPr="008550C6" w:rsidRDefault="00C65193" w:rsidP="00C65193">
            <w:pPr>
              <w:widowControl w:val="0"/>
              <w:autoSpaceDE w:val="0"/>
              <w:autoSpaceDN w:val="0"/>
              <w:adjustRightInd w:val="0"/>
              <w:jc w:val="center"/>
              <w:rPr>
                <w:sz w:val="22"/>
                <w:szCs w:val="22"/>
              </w:rPr>
            </w:pPr>
            <w:r w:rsidRPr="008550C6">
              <w:rPr>
                <w:sz w:val="22"/>
                <w:szCs w:val="22"/>
              </w:rPr>
              <w:t>0.0</w:t>
            </w:r>
            <w:r w:rsidR="004A1951" w:rsidRPr="008550C6">
              <w:rPr>
                <w:sz w:val="22"/>
                <w:szCs w:val="22"/>
              </w:rPr>
              <w:t>729*</w:t>
            </w:r>
          </w:p>
        </w:tc>
      </w:tr>
      <w:tr w:rsidR="008550C6" w:rsidRPr="008550C6" w14:paraId="066B3152" w14:textId="77777777" w:rsidTr="00C65193">
        <w:trPr>
          <w:jc w:val="center"/>
        </w:trPr>
        <w:tc>
          <w:tcPr>
            <w:tcW w:w="2406" w:type="pct"/>
            <w:tcBorders>
              <w:top w:val="nil"/>
              <w:left w:val="nil"/>
              <w:bottom w:val="nil"/>
              <w:right w:val="single" w:sz="4" w:space="0" w:color="auto"/>
            </w:tcBorders>
          </w:tcPr>
          <w:p w14:paraId="1AFB28C0" w14:textId="77777777" w:rsidR="00C65193" w:rsidRPr="008550C6" w:rsidRDefault="00C65193" w:rsidP="00C65193">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305700B4" w14:textId="16E1753C" w:rsidR="00C65193" w:rsidRPr="008550C6" w:rsidRDefault="00C65193" w:rsidP="00C65193">
            <w:pPr>
              <w:widowControl w:val="0"/>
              <w:autoSpaceDE w:val="0"/>
              <w:autoSpaceDN w:val="0"/>
              <w:adjustRightInd w:val="0"/>
              <w:jc w:val="center"/>
              <w:rPr>
                <w:sz w:val="22"/>
                <w:szCs w:val="22"/>
              </w:rPr>
            </w:pPr>
            <w:r w:rsidRPr="008550C6">
              <w:rPr>
                <w:sz w:val="22"/>
                <w:szCs w:val="22"/>
              </w:rPr>
              <w:t>(</w:t>
            </w:r>
            <w:r w:rsidR="00727C99" w:rsidRPr="008550C6">
              <w:rPr>
                <w:sz w:val="22"/>
                <w:szCs w:val="22"/>
              </w:rPr>
              <w:t>1</w:t>
            </w:r>
            <w:r w:rsidRPr="008550C6">
              <w:rPr>
                <w:sz w:val="22"/>
                <w:szCs w:val="22"/>
              </w:rPr>
              <w:t>.7)</w:t>
            </w:r>
          </w:p>
        </w:tc>
        <w:tc>
          <w:tcPr>
            <w:tcW w:w="1254" w:type="pct"/>
            <w:tcBorders>
              <w:top w:val="nil"/>
              <w:left w:val="nil"/>
              <w:bottom w:val="nil"/>
              <w:right w:val="nil"/>
            </w:tcBorders>
          </w:tcPr>
          <w:p w14:paraId="57883F21" w14:textId="18D50E07" w:rsidR="00C65193" w:rsidRPr="008550C6" w:rsidRDefault="00C65193" w:rsidP="00C65193">
            <w:pPr>
              <w:widowControl w:val="0"/>
              <w:autoSpaceDE w:val="0"/>
              <w:autoSpaceDN w:val="0"/>
              <w:adjustRightInd w:val="0"/>
              <w:jc w:val="center"/>
              <w:rPr>
                <w:sz w:val="22"/>
                <w:szCs w:val="22"/>
              </w:rPr>
            </w:pPr>
            <w:r w:rsidRPr="008550C6">
              <w:rPr>
                <w:sz w:val="22"/>
                <w:szCs w:val="22"/>
              </w:rPr>
              <w:t>(</w:t>
            </w:r>
            <w:r w:rsidR="004A1951" w:rsidRPr="008550C6">
              <w:rPr>
                <w:sz w:val="22"/>
                <w:szCs w:val="22"/>
              </w:rPr>
              <w:t>1</w:t>
            </w:r>
            <w:r w:rsidRPr="008550C6">
              <w:rPr>
                <w:sz w:val="22"/>
                <w:szCs w:val="22"/>
              </w:rPr>
              <w:t>.</w:t>
            </w:r>
            <w:r w:rsidR="004A1951" w:rsidRPr="008550C6">
              <w:rPr>
                <w:sz w:val="22"/>
                <w:szCs w:val="22"/>
              </w:rPr>
              <w:t>87</w:t>
            </w:r>
            <w:r w:rsidRPr="008550C6">
              <w:rPr>
                <w:sz w:val="22"/>
                <w:szCs w:val="22"/>
              </w:rPr>
              <w:t>)</w:t>
            </w:r>
          </w:p>
        </w:tc>
      </w:tr>
      <w:tr w:rsidR="008550C6" w:rsidRPr="008550C6" w14:paraId="78E2210E" w14:textId="77777777" w:rsidTr="00C65193">
        <w:trPr>
          <w:jc w:val="center"/>
        </w:trPr>
        <w:tc>
          <w:tcPr>
            <w:tcW w:w="2406" w:type="pct"/>
            <w:tcBorders>
              <w:top w:val="nil"/>
              <w:left w:val="nil"/>
              <w:bottom w:val="nil"/>
              <w:right w:val="single" w:sz="4" w:space="0" w:color="auto"/>
            </w:tcBorders>
          </w:tcPr>
          <w:p w14:paraId="594FC6AB" w14:textId="77777777" w:rsidR="00C65193" w:rsidRPr="008550C6" w:rsidRDefault="00C65193" w:rsidP="00C65193">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64856A95" w14:textId="77777777" w:rsidR="00C65193" w:rsidRPr="008550C6" w:rsidRDefault="00C65193" w:rsidP="00C65193">
            <w:pPr>
              <w:widowControl w:val="0"/>
              <w:autoSpaceDE w:val="0"/>
              <w:autoSpaceDN w:val="0"/>
              <w:adjustRightInd w:val="0"/>
              <w:jc w:val="center"/>
              <w:rPr>
                <w:sz w:val="22"/>
                <w:szCs w:val="22"/>
              </w:rPr>
            </w:pPr>
          </w:p>
        </w:tc>
        <w:tc>
          <w:tcPr>
            <w:tcW w:w="1254" w:type="pct"/>
            <w:tcBorders>
              <w:top w:val="nil"/>
              <w:left w:val="nil"/>
              <w:bottom w:val="nil"/>
              <w:right w:val="nil"/>
            </w:tcBorders>
          </w:tcPr>
          <w:p w14:paraId="69164319" w14:textId="77777777" w:rsidR="00C65193" w:rsidRPr="008550C6" w:rsidRDefault="00C65193" w:rsidP="00C65193">
            <w:pPr>
              <w:widowControl w:val="0"/>
              <w:autoSpaceDE w:val="0"/>
              <w:autoSpaceDN w:val="0"/>
              <w:adjustRightInd w:val="0"/>
              <w:jc w:val="center"/>
              <w:rPr>
                <w:sz w:val="22"/>
                <w:szCs w:val="22"/>
              </w:rPr>
            </w:pPr>
          </w:p>
        </w:tc>
      </w:tr>
      <w:tr w:rsidR="008550C6" w:rsidRPr="008550C6" w14:paraId="198D9941" w14:textId="77777777" w:rsidTr="00A96FAC">
        <w:tblPrEx>
          <w:tblBorders>
            <w:bottom w:val="single" w:sz="6" w:space="0" w:color="auto"/>
          </w:tblBorders>
        </w:tblPrEx>
        <w:trPr>
          <w:jc w:val="center"/>
        </w:trPr>
        <w:tc>
          <w:tcPr>
            <w:tcW w:w="2406" w:type="pct"/>
            <w:tcBorders>
              <w:top w:val="nil"/>
              <w:left w:val="nil"/>
              <w:bottom w:val="nil"/>
              <w:right w:val="single" w:sz="4" w:space="0" w:color="auto"/>
            </w:tcBorders>
          </w:tcPr>
          <w:p w14:paraId="2D53B28F" w14:textId="77777777" w:rsidR="006E7B30" w:rsidRPr="008550C6" w:rsidRDefault="006E7B30" w:rsidP="00A96FAC">
            <w:pPr>
              <w:widowControl w:val="0"/>
              <w:autoSpaceDE w:val="0"/>
              <w:autoSpaceDN w:val="0"/>
              <w:adjustRightInd w:val="0"/>
              <w:rPr>
                <w:sz w:val="22"/>
                <w:szCs w:val="22"/>
              </w:rPr>
            </w:pPr>
            <w:r w:rsidRPr="008550C6">
              <w:rPr>
                <w:sz w:val="22"/>
                <w:szCs w:val="22"/>
              </w:rPr>
              <w:t>R-squared</w:t>
            </w:r>
          </w:p>
        </w:tc>
        <w:tc>
          <w:tcPr>
            <w:tcW w:w="1340" w:type="pct"/>
            <w:tcBorders>
              <w:top w:val="nil"/>
              <w:left w:val="single" w:sz="4" w:space="0" w:color="auto"/>
              <w:bottom w:val="nil"/>
              <w:right w:val="nil"/>
            </w:tcBorders>
          </w:tcPr>
          <w:p w14:paraId="7EF5EFFD" w14:textId="77777777" w:rsidR="006E7B30" w:rsidRPr="008550C6" w:rsidRDefault="006E7B30" w:rsidP="00A96FAC">
            <w:pPr>
              <w:widowControl w:val="0"/>
              <w:autoSpaceDE w:val="0"/>
              <w:autoSpaceDN w:val="0"/>
              <w:adjustRightInd w:val="0"/>
              <w:jc w:val="center"/>
              <w:rPr>
                <w:sz w:val="22"/>
                <w:szCs w:val="22"/>
              </w:rPr>
            </w:pPr>
            <w:r w:rsidRPr="008550C6">
              <w:rPr>
                <w:sz w:val="22"/>
                <w:szCs w:val="22"/>
              </w:rPr>
              <w:t>0.4601</w:t>
            </w:r>
          </w:p>
        </w:tc>
        <w:tc>
          <w:tcPr>
            <w:tcW w:w="1254" w:type="pct"/>
            <w:tcBorders>
              <w:top w:val="nil"/>
              <w:left w:val="nil"/>
              <w:bottom w:val="nil"/>
              <w:right w:val="nil"/>
            </w:tcBorders>
          </w:tcPr>
          <w:p w14:paraId="3C04A729" w14:textId="77777777" w:rsidR="006E7B30" w:rsidRPr="008550C6" w:rsidRDefault="006E7B30" w:rsidP="00A96FAC">
            <w:pPr>
              <w:widowControl w:val="0"/>
              <w:autoSpaceDE w:val="0"/>
              <w:autoSpaceDN w:val="0"/>
              <w:adjustRightInd w:val="0"/>
              <w:jc w:val="center"/>
              <w:rPr>
                <w:sz w:val="22"/>
                <w:szCs w:val="22"/>
              </w:rPr>
            </w:pPr>
            <w:r w:rsidRPr="008550C6">
              <w:rPr>
                <w:sz w:val="22"/>
                <w:szCs w:val="22"/>
              </w:rPr>
              <w:t>0.4548</w:t>
            </w:r>
          </w:p>
        </w:tc>
      </w:tr>
      <w:tr w:rsidR="008550C6" w:rsidRPr="008550C6" w14:paraId="4A068B97" w14:textId="77777777" w:rsidTr="00C65193">
        <w:trPr>
          <w:jc w:val="center"/>
        </w:trPr>
        <w:tc>
          <w:tcPr>
            <w:tcW w:w="2406" w:type="pct"/>
            <w:tcBorders>
              <w:top w:val="nil"/>
              <w:left w:val="nil"/>
              <w:bottom w:val="nil"/>
              <w:right w:val="single" w:sz="4" w:space="0" w:color="auto"/>
            </w:tcBorders>
          </w:tcPr>
          <w:p w14:paraId="161B1C6F" w14:textId="77777777" w:rsidR="00C65193" w:rsidRPr="008550C6" w:rsidRDefault="00C65193" w:rsidP="00C65193">
            <w:pPr>
              <w:widowControl w:val="0"/>
              <w:autoSpaceDE w:val="0"/>
              <w:autoSpaceDN w:val="0"/>
              <w:adjustRightInd w:val="0"/>
              <w:rPr>
                <w:sz w:val="22"/>
                <w:szCs w:val="22"/>
              </w:rPr>
            </w:pPr>
            <w:r w:rsidRPr="008550C6">
              <w:rPr>
                <w:sz w:val="22"/>
                <w:szCs w:val="22"/>
              </w:rPr>
              <w:t>Observations</w:t>
            </w:r>
          </w:p>
        </w:tc>
        <w:tc>
          <w:tcPr>
            <w:tcW w:w="1340" w:type="pct"/>
            <w:tcBorders>
              <w:top w:val="nil"/>
              <w:left w:val="single" w:sz="4" w:space="0" w:color="auto"/>
              <w:bottom w:val="nil"/>
              <w:right w:val="nil"/>
            </w:tcBorders>
          </w:tcPr>
          <w:p w14:paraId="291E9C07" w14:textId="77777777" w:rsidR="00C65193" w:rsidRPr="008550C6" w:rsidRDefault="00C65193" w:rsidP="00C65193">
            <w:pPr>
              <w:widowControl w:val="0"/>
              <w:autoSpaceDE w:val="0"/>
              <w:autoSpaceDN w:val="0"/>
              <w:adjustRightInd w:val="0"/>
              <w:jc w:val="center"/>
              <w:rPr>
                <w:sz w:val="22"/>
                <w:szCs w:val="22"/>
              </w:rPr>
            </w:pPr>
            <w:r w:rsidRPr="008550C6">
              <w:rPr>
                <w:sz w:val="22"/>
                <w:szCs w:val="22"/>
              </w:rPr>
              <w:t>2,499</w:t>
            </w:r>
          </w:p>
        </w:tc>
        <w:tc>
          <w:tcPr>
            <w:tcW w:w="1254" w:type="pct"/>
            <w:tcBorders>
              <w:top w:val="nil"/>
              <w:left w:val="nil"/>
              <w:bottom w:val="nil"/>
              <w:right w:val="nil"/>
            </w:tcBorders>
          </w:tcPr>
          <w:p w14:paraId="59A43545" w14:textId="64E86ABB" w:rsidR="00C65193" w:rsidRPr="008550C6" w:rsidRDefault="00C65193" w:rsidP="00C65193">
            <w:pPr>
              <w:widowControl w:val="0"/>
              <w:autoSpaceDE w:val="0"/>
              <w:autoSpaceDN w:val="0"/>
              <w:adjustRightInd w:val="0"/>
              <w:jc w:val="center"/>
              <w:rPr>
                <w:sz w:val="22"/>
                <w:szCs w:val="22"/>
              </w:rPr>
            </w:pPr>
            <w:r w:rsidRPr="008550C6">
              <w:rPr>
                <w:sz w:val="22"/>
                <w:szCs w:val="22"/>
              </w:rPr>
              <w:t>2,499</w:t>
            </w:r>
          </w:p>
        </w:tc>
      </w:tr>
      <w:tr w:rsidR="008550C6" w:rsidRPr="008550C6" w14:paraId="227D4290" w14:textId="77777777" w:rsidTr="00C65193">
        <w:trPr>
          <w:jc w:val="center"/>
        </w:trPr>
        <w:tc>
          <w:tcPr>
            <w:tcW w:w="2406" w:type="pct"/>
            <w:tcBorders>
              <w:top w:val="nil"/>
              <w:left w:val="nil"/>
              <w:bottom w:val="nil"/>
              <w:right w:val="single" w:sz="4" w:space="0" w:color="auto"/>
            </w:tcBorders>
          </w:tcPr>
          <w:p w14:paraId="7F8D7000" w14:textId="36FA4975" w:rsidR="006E7B30" w:rsidRPr="008550C6" w:rsidRDefault="006E7B30" w:rsidP="006E7B30">
            <w:pPr>
              <w:widowControl w:val="0"/>
              <w:autoSpaceDE w:val="0"/>
              <w:autoSpaceDN w:val="0"/>
              <w:adjustRightInd w:val="0"/>
              <w:rPr>
                <w:sz w:val="22"/>
                <w:szCs w:val="22"/>
              </w:rPr>
            </w:pPr>
            <w:r w:rsidRPr="008550C6">
              <w:rPr>
                <w:sz w:val="22"/>
                <w:szCs w:val="22"/>
              </w:rPr>
              <w:t>Number of states</w:t>
            </w:r>
          </w:p>
        </w:tc>
        <w:tc>
          <w:tcPr>
            <w:tcW w:w="1340" w:type="pct"/>
            <w:tcBorders>
              <w:top w:val="nil"/>
              <w:left w:val="single" w:sz="4" w:space="0" w:color="auto"/>
              <w:bottom w:val="nil"/>
              <w:right w:val="nil"/>
            </w:tcBorders>
          </w:tcPr>
          <w:p w14:paraId="700EA8A2" w14:textId="3AE0E5CF" w:rsidR="006E7B30" w:rsidRPr="008550C6" w:rsidRDefault="006E7B30" w:rsidP="006E7B30">
            <w:pPr>
              <w:widowControl w:val="0"/>
              <w:autoSpaceDE w:val="0"/>
              <w:autoSpaceDN w:val="0"/>
              <w:adjustRightInd w:val="0"/>
              <w:jc w:val="center"/>
              <w:rPr>
                <w:sz w:val="22"/>
                <w:szCs w:val="22"/>
              </w:rPr>
            </w:pPr>
            <w:r w:rsidRPr="008550C6">
              <w:rPr>
                <w:sz w:val="22"/>
                <w:szCs w:val="22"/>
              </w:rPr>
              <w:t>51</w:t>
            </w:r>
          </w:p>
        </w:tc>
        <w:tc>
          <w:tcPr>
            <w:tcW w:w="1254" w:type="pct"/>
            <w:tcBorders>
              <w:top w:val="nil"/>
              <w:left w:val="nil"/>
              <w:bottom w:val="nil"/>
              <w:right w:val="nil"/>
            </w:tcBorders>
          </w:tcPr>
          <w:p w14:paraId="7D6839C5" w14:textId="60DCFF54" w:rsidR="006E7B30" w:rsidRPr="008550C6" w:rsidRDefault="006E7B30" w:rsidP="006E7B30">
            <w:pPr>
              <w:widowControl w:val="0"/>
              <w:autoSpaceDE w:val="0"/>
              <w:autoSpaceDN w:val="0"/>
              <w:adjustRightInd w:val="0"/>
              <w:jc w:val="center"/>
              <w:rPr>
                <w:sz w:val="22"/>
                <w:szCs w:val="22"/>
              </w:rPr>
            </w:pPr>
            <w:r w:rsidRPr="008550C6">
              <w:rPr>
                <w:sz w:val="22"/>
                <w:szCs w:val="22"/>
              </w:rPr>
              <w:t>51</w:t>
            </w:r>
          </w:p>
        </w:tc>
      </w:tr>
      <w:tr w:rsidR="008550C6" w:rsidRPr="008550C6" w14:paraId="7B9DCD82" w14:textId="77777777" w:rsidTr="00C65193">
        <w:tblPrEx>
          <w:tblBorders>
            <w:bottom w:val="single" w:sz="6" w:space="0" w:color="auto"/>
          </w:tblBorders>
        </w:tblPrEx>
        <w:trPr>
          <w:jc w:val="center"/>
        </w:trPr>
        <w:tc>
          <w:tcPr>
            <w:tcW w:w="2406" w:type="pct"/>
            <w:tcBorders>
              <w:top w:val="nil"/>
              <w:left w:val="nil"/>
              <w:bottom w:val="single" w:sz="6" w:space="0" w:color="auto"/>
              <w:right w:val="single" w:sz="4" w:space="0" w:color="auto"/>
            </w:tcBorders>
          </w:tcPr>
          <w:p w14:paraId="758F8C08" w14:textId="16FA6805" w:rsidR="00C65193" w:rsidRPr="008550C6" w:rsidRDefault="00C65193" w:rsidP="00C65193">
            <w:pPr>
              <w:widowControl w:val="0"/>
              <w:autoSpaceDE w:val="0"/>
              <w:autoSpaceDN w:val="0"/>
              <w:adjustRightInd w:val="0"/>
              <w:rPr>
                <w:sz w:val="22"/>
                <w:szCs w:val="22"/>
              </w:rPr>
            </w:pPr>
            <w:r w:rsidRPr="008550C6">
              <w:rPr>
                <w:sz w:val="22"/>
                <w:szCs w:val="22"/>
              </w:rPr>
              <w:t>Wald Chi 2 [p-value]</w:t>
            </w:r>
          </w:p>
        </w:tc>
        <w:tc>
          <w:tcPr>
            <w:tcW w:w="1340" w:type="pct"/>
            <w:tcBorders>
              <w:top w:val="nil"/>
              <w:left w:val="single" w:sz="4" w:space="0" w:color="auto"/>
              <w:bottom w:val="single" w:sz="6" w:space="0" w:color="auto"/>
              <w:right w:val="nil"/>
            </w:tcBorders>
          </w:tcPr>
          <w:p w14:paraId="1EFBFD5A" w14:textId="1F753C7E" w:rsidR="00C65193" w:rsidRPr="008550C6" w:rsidRDefault="00C65193" w:rsidP="00C65193">
            <w:pPr>
              <w:widowControl w:val="0"/>
              <w:autoSpaceDE w:val="0"/>
              <w:autoSpaceDN w:val="0"/>
              <w:adjustRightInd w:val="0"/>
              <w:jc w:val="center"/>
              <w:rPr>
                <w:sz w:val="22"/>
                <w:szCs w:val="22"/>
              </w:rPr>
            </w:pPr>
            <w:r w:rsidRPr="008550C6">
              <w:rPr>
                <w:sz w:val="22"/>
                <w:szCs w:val="22"/>
              </w:rPr>
              <w:t>0.000***</w:t>
            </w:r>
          </w:p>
        </w:tc>
        <w:tc>
          <w:tcPr>
            <w:tcW w:w="1254" w:type="pct"/>
            <w:tcBorders>
              <w:top w:val="nil"/>
              <w:left w:val="nil"/>
              <w:bottom w:val="single" w:sz="6" w:space="0" w:color="auto"/>
              <w:right w:val="nil"/>
            </w:tcBorders>
          </w:tcPr>
          <w:p w14:paraId="443335A5" w14:textId="6F9E7BD9" w:rsidR="00C65193" w:rsidRPr="008550C6" w:rsidRDefault="00C65193" w:rsidP="00C65193">
            <w:pPr>
              <w:widowControl w:val="0"/>
              <w:autoSpaceDE w:val="0"/>
              <w:autoSpaceDN w:val="0"/>
              <w:adjustRightInd w:val="0"/>
              <w:jc w:val="center"/>
              <w:rPr>
                <w:sz w:val="22"/>
                <w:szCs w:val="22"/>
              </w:rPr>
            </w:pPr>
            <w:r w:rsidRPr="008550C6">
              <w:rPr>
                <w:sz w:val="22"/>
                <w:szCs w:val="22"/>
              </w:rPr>
              <w:t>0.000***</w:t>
            </w:r>
          </w:p>
        </w:tc>
      </w:tr>
    </w:tbl>
    <w:p w14:paraId="6B93BC64" w14:textId="31042B22" w:rsidR="0026438C" w:rsidRPr="00472A6C" w:rsidRDefault="0026438C" w:rsidP="00557760">
      <w:pPr>
        <w:jc w:val="both"/>
        <w:rPr>
          <w:rFonts w:asciiTheme="majorBidi" w:hAnsiTheme="majorBidi" w:cstheme="majorBidi"/>
        </w:rPr>
      </w:pPr>
      <w:r w:rsidRPr="008550C6">
        <w:rPr>
          <w:rFonts w:asciiTheme="majorBidi" w:hAnsiTheme="majorBidi" w:cstheme="majorBidi"/>
          <w:i/>
          <w:iCs/>
          <w:sz w:val="18"/>
          <w:szCs w:val="18"/>
        </w:rPr>
        <w:t xml:space="preserve">Note: </w:t>
      </w:r>
      <w:r w:rsidRPr="00472A6C">
        <w:rPr>
          <w:rFonts w:asciiTheme="majorBidi" w:hAnsiTheme="majorBidi" w:cstheme="majorBidi"/>
          <w:sz w:val="18"/>
          <w:szCs w:val="18"/>
          <w:lang w:val="en-US" w:eastAsia="en-US"/>
          <w14:ligatures w14:val="standardContextual"/>
        </w:rPr>
        <w:t xml:space="preserve">This table reports regression results on the effect of coincident indexes on the association between bootstrap variable return to scale efficiency score and state and national votes following </w:t>
      </w:r>
      <w:r w:rsidR="00727C99" w:rsidRPr="00472A6C">
        <w:rPr>
          <w:rFonts w:asciiTheme="majorBidi" w:hAnsiTheme="majorBidi" w:cstheme="majorBidi"/>
          <w:sz w:val="18"/>
          <w:szCs w:val="18"/>
          <w:lang w:val="en-US" w:eastAsia="en-US"/>
          <w14:ligatures w14:val="standardContextual"/>
        </w:rPr>
        <w:t xml:space="preserve">using </w:t>
      </w:r>
      <w:r w:rsidR="00472A6C">
        <w:rPr>
          <w:rFonts w:asciiTheme="majorBidi" w:hAnsiTheme="majorBidi" w:cstheme="majorBidi"/>
          <w:sz w:val="18"/>
          <w:szCs w:val="18"/>
          <w:lang w:val="en-US" w:eastAsia="en-US"/>
          <w14:ligatures w14:val="standardContextual"/>
        </w:rPr>
        <w:t>S</w:t>
      </w:r>
      <w:r w:rsidR="00727C99" w:rsidRPr="00472A6C">
        <w:rPr>
          <w:rFonts w:asciiTheme="majorBidi" w:hAnsiTheme="majorBidi" w:cstheme="majorBidi"/>
          <w:sz w:val="18"/>
          <w:szCs w:val="18"/>
          <w:lang w:val="en-US" w:eastAsia="en-US"/>
          <w14:ligatures w14:val="standardContextual"/>
        </w:rPr>
        <w:t>patial Tobit model (STM)</w:t>
      </w:r>
      <w:r w:rsidRPr="00472A6C">
        <w:rPr>
          <w:rFonts w:asciiTheme="majorBidi" w:hAnsiTheme="majorBidi" w:cstheme="majorBidi"/>
          <w:sz w:val="18"/>
          <w:szCs w:val="18"/>
          <w:lang w:val="en-US" w:eastAsia="en-US"/>
          <w14:ligatures w14:val="standardContextual"/>
        </w:rPr>
        <w:t>. The</w:t>
      </w:r>
      <w:r w:rsidRPr="00472A6C">
        <w:rPr>
          <w:rFonts w:asciiTheme="majorBidi" w:hAnsiTheme="majorBidi" w:cstheme="majorBidi"/>
          <w:sz w:val="18"/>
          <w:szCs w:val="18"/>
        </w:rPr>
        <w:t xml:space="preserve"> variables’ coefficients and t-statistics (in brackets) are reported in the table; ***, **, * denote significance at the 1%, 5%, and 10% levels, respectively.</w:t>
      </w:r>
    </w:p>
    <w:p w14:paraId="1DAF3B45" w14:textId="77777777" w:rsidR="0026438C" w:rsidRPr="008550C6" w:rsidRDefault="0026438C" w:rsidP="0026438C">
      <w:pPr>
        <w:rPr>
          <w:b/>
          <w:bCs/>
          <w:sz w:val="22"/>
          <w:szCs w:val="22"/>
        </w:rPr>
      </w:pPr>
    </w:p>
    <w:p w14:paraId="5A0BC4DE" w14:textId="77777777" w:rsidR="0026438C" w:rsidRDefault="0026438C" w:rsidP="00B3500A">
      <w:pPr>
        <w:rPr>
          <w:b/>
          <w:bCs/>
          <w:sz w:val="22"/>
          <w:szCs w:val="22"/>
        </w:rPr>
      </w:pPr>
    </w:p>
    <w:p w14:paraId="6F884EC9" w14:textId="77777777" w:rsidR="0008065E" w:rsidRDefault="0008065E" w:rsidP="00B3500A">
      <w:pPr>
        <w:rPr>
          <w:b/>
          <w:bCs/>
          <w:sz w:val="22"/>
          <w:szCs w:val="22"/>
        </w:rPr>
      </w:pPr>
    </w:p>
    <w:p w14:paraId="430F3ED2" w14:textId="77777777" w:rsidR="0008065E" w:rsidRDefault="0008065E" w:rsidP="00B3500A">
      <w:pPr>
        <w:rPr>
          <w:b/>
          <w:bCs/>
          <w:sz w:val="22"/>
          <w:szCs w:val="22"/>
        </w:rPr>
      </w:pPr>
    </w:p>
    <w:p w14:paraId="376BA34B" w14:textId="77777777" w:rsidR="0008065E" w:rsidRDefault="0008065E" w:rsidP="00B3500A">
      <w:pPr>
        <w:rPr>
          <w:b/>
          <w:bCs/>
          <w:sz w:val="22"/>
          <w:szCs w:val="22"/>
        </w:rPr>
      </w:pPr>
    </w:p>
    <w:p w14:paraId="1A34C049" w14:textId="77777777" w:rsidR="0008065E" w:rsidRDefault="0008065E" w:rsidP="00B3500A">
      <w:pPr>
        <w:rPr>
          <w:b/>
          <w:bCs/>
          <w:sz w:val="22"/>
          <w:szCs w:val="22"/>
        </w:rPr>
      </w:pPr>
    </w:p>
    <w:p w14:paraId="3A6DDC13" w14:textId="77777777" w:rsidR="0008065E" w:rsidRDefault="0008065E" w:rsidP="00B3500A">
      <w:pPr>
        <w:rPr>
          <w:b/>
          <w:bCs/>
          <w:sz w:val="22"/>
          <w:szCs w:val="22"/>
        </w:rPr>
      </w:pPr>
    </w:p>
    <w:p w14:paraId="65B71C85" w14:textId="77777777" w:rsidR="0008065E" w:rsidRDefault="0008065E" w:rsidP="00B3500A">
      <w:pPr>
        <w:rPr>
          <w:b/>
          <w:bCs/>
          <w:sz w:val="22"/>
          <w:szCs w:val="22"/>
        </w:rPr>
      </w:pPr>
    </w:p>
    <w:p w14:paraId="461E0AB5" w14:textId="77777777" w:rsidR="00043F8E" w:rsidRDefault="00043F8E" w:rsidP="00B3500A">
      <w:pPr>
        <w:rPr>
          <w:b/>
          <w:bCs/>
          <w:sz w:val="22"/>
          <w:szCs w:val="22"/>
        </w:rPr>
      </w:pPr>
    </w:p>
    <w:p w14:paraId="171B78F7" w14:textId="77777777" w:rsidR="00043F8E" w:rsidRDefault="00043F8E" w:rsidP="00B3500A">
      <w:pPr>
        <w:rPr>
          <w:b/>
          <w:bCs/>
          <w:sz w:val="22"/>
          <w:szCs w:val="22"/>
        </w:rPr>
      </w:pPr>
    </w:p>
    <w:p w14:paraId="526EAACE" w14:textId="77777777" w:rsidR="00043F8E" w:rsidRDefault="00043F8E" w:rsidP="00B3500A">
      <w:pPr>
        <w:rPr>
          <w:b/>
          <w:bCs/>
          <w:sz w:val="22"/>
          <w:szCs w:val="22"/>
        </w:rPr>
      </w:pPr>
    </w:p>
    <w:p w14:paraId="456FA4F1" w14:textId="77777777" w:rsidR="0008065E" w:rsidRDefault="0008065E" w:rsidP="00B3500A">
      <w:pPr>
        <w:rPr>
          <w:b/>
          <w:bCs/>
          <w:sz w:val="22"/>
          <w:szCs w:val="22"/>
        </w:rPr>
      </w:pPr>
    </w:p>
    <w:p w14:paraId="0F173850" w14:textId="77777777" w:rsidR="0008065E" w:rsidRDefault="0008065E" w:rsidP="00B3500A">
      <w:pPr>
        <w:rPr>
          <w:b/>
          <w:bCs/>
          <w:sz w:val="22"/>
          <w:szCs w:val="22"/>
        </w:rPr>
      </w:pPr>
    </w:p>
    <w:p w14:paraId="0693B746" w14:textId="77777777" w:rsidR="000B2614" w:rsidRDefault="000B2614" w:rsidP="00B3500A">
      <w:pPr>
        <w:rPr>
          <w:b/>
          <w:bCs/>
          <w:sz w:val="22"/>
          <w:szCs w:val="22"/>
        </w:rPr>
      </w:pPr>
    </w:p>
    <w:p w14:paraId="249DF748" w14:textId="77777777" w:rsidR="000B2614" w:rsidRDefault="000B2614" w:rsidP="00B3500A">
      <w:pPr>
        <w:rPr>
          <w:b/>
          <w:bCs/>
          <w:sz w:val="22"/>
          <w:szCs w:val="22"/>
        </w:rPr>
      </w:pPr>
    </w:p>
    <w:p w14:paraId="61A734FF" w14:textId="77777777" w:rsidR="0008065E" w:rsidRDefault="0008065E" w:rsidP="00B3500A">
      <w:pPr>
        <w:rPr>
          <w:b/>
          <w:bCs/>
          <w:sz w:val="22"/>
          <w:szCs w:val="22"/>
        </w:rPr>
      </w:pPr>
    </w:p>
    <w:p w14:paraId="7A67419C" w14:textId="77777777" w:rsidR="0008065E" w:rsidRDefault="0008065E" w:rsidP="00B3500A">
      <w:pPr>
        <w:rPr>
          <w:b/>
          <w:bCs/>
          <w:sz w:val="22"/>
          <w:szCs w:val="22"/>
        </w:rPr>
      </w:pPr>
    </w:p>
    <w:p w14:paraId="30D8E5BF" w14:textId="77777777" w:rsidR="009B374F" w:rsidRDefault="009B374F" w:rsidP="00B3500A">
      <w:pPr>
        <w:rPr>
          <w:b/>
          <w:bCs/>
          <w:sz w:val="22"/>
          <w:szCs w:val="22"/>
        </w:rPr>
      </w:pPr>
    </w:p>
    <w:p w14:paraId="32AE8C62" w14:textId="77777777" w:rsidR="0008065E" w:rsidRDefault="0008065E" w:rsidP="00B3500A">
      <w:pPr>
        <w:rPr>
          <w:b/>
          <w:bCs/>
          <w:sz w:val="22"/>
          <w:szCs w:val="22"/>
        </w:rPr>
      </w:pPr>
    </w:p>
    <w:p w14:paraId="2352FA76" w14:textId="77777777" w:rsidR="0008065E" w:rsidRDefault="0008065E" w:rsidP="00B3500A">
      <w:pPr>
        <w:rPr>
          <w:b/>
          <w:bCs/>
          <w:sz w:val="22"/>
          <w:szCs w:val="22"/>
        </w:rPr>
      </w:pPr>
    </w:p>
    <w:p w14:paraId="012AAED0" w14:textId="77777777" w:rsidR="0008065E" w:rsidRDefault="0008065E" w:rsidP="00B3500A">
      <w:pPr>
        <w:rPr>
          <w:b/>
          <w:bCs/>
          <w:sz w:val="22"/>
          <w:szCs w:val="22"/>
        </w:rPr>
      </w:pPr>
    </w:p>
    <w:p w14:paraId="38DAD74B" w14:textId="77777777" w:rsidR="0008065E" w:rsidRDefault="0008065E" w:rsidP="00B3500A">
      <w:pPr>
        <w:rPr>
          <w:b/>
          <w:bCs/>
          <w:sz w:val="22"/>
          <w:szCs w:val="22"/>
        </w:rPr>
      </w:pPr>
    </w:p>
    <w:p w14:paraId="5A4907FB" w14:textId="0D5FFDFD" w:rsidR="000B2614" w:rsidRPr="008550C6" w:rsidRDefault="008550C6" w:rsidP="000B2614">
      <w:pPr>
        <w:jc w:val="both"/>
        <w:rPr>
          <w:b/>
          <w:bCs/>
          <w:sz w:val="22"/>
          <w:szCs w:val="22"/>
        </w:rPr>
      </w:pPr>
      <w:r w:rsidRPr="008550C6">
        <w:rPr>
          <w:b/>
          <w:bCs/>
          <w:sz w:val="22"/>
          <w:szCs w:val="22"/>
        </w:rPr>
        <w:t>TABLE</w:t>
      </w:r>
      <w:r w:rsidR="000B2614" w:rsidRPr="008550C6">
        <w:rPr>
          <w:b/>
          <w:bCs/>
          <w:sz w:val="22"/>
          <w:szCs w:val="22"/>
        </w:rPr>
        <w:t xml:space="preserve"> 12</w:t>
      </w:r>
    </w:p>
    <w:p w14:paraId="3EC40698" w14:textId="29BF810F" w:rsidR="000B2614" w:rsidRPr="008550C6" w:rsidRDefault="000B2614" w:rsidP="000B2614">
      <w:pPr>
        <w:jc w:val="both"/>
        <w:rPr>
          <w:sz w:val="22"/>
          <w:szCs w:val="22"/>
        </w:rPr>
      </w:pPr>
      <w:r w:rsidRPr="008550C6">
        <w:rPr>
          <w:sz w:val="22"/>
          <w:szCs w:val="22"/>
        </w:rPr>
        <w:t>Additional tests with number of the Democratic seats</w:t>
      </w:r>
      <w:r w:rsidR="006E46AE" w:rsidRPr="008550C6">
        <w:rPr>
          <w:sz w:val="22"/>
          <w:szCs w:val="22"/>
        </w:rPr>
        <w:t xml:space="preserve"> </w:t>
      </w:r>
      <w:r w:rsidRPr="008550C6">
        <w:rPr>
          <w:sz w:val="22"/>
          <w:szCs w:val="22"/>
        </w:rPr>
        <w:t xml:space="preserve">in the House of Representative </w:t>
      </w:r>
      <w:r w:rsidR="00A54708" w:rsidRPr="008550C6">
        <w:rPr>
          <w:sz w:val="22"/>
          <w:szCs w:val="22"/>
        </w:rPr>
        <w:t xml:space="preserve">and Senate </w:t>
      </w:r>
      <w:r w:rsidRPr="008550C6">
        <w:rPr>
          <w:sz w:val="22"/>
          <w:szCs w:val="22"/>
        </w:rPr>
        <w:t>when bootstrap variable return to scale (VRS) is the dependent variable.</w:t>
      </w:r>
    </w:p>
    <w:tbl>
      <w:tblPr>
        <w:tblW w:w="5000" w:type="pct"/>
        <w:jc w:val="center"/>
        <w:tblCellMar>
          <w:left w:w="75" w:type="dxa"/>
          <w:right w:w="75" w:type="dxa"/>
        </w:tblCellMar>
        <w:tblLook w:val="0000" w:firstRow="0" w:lastRow="0" w:firstColumn="0" w:lastColumn="0" w:noHBand="0" w:noVBand="0"/>
      </w:tblPr>
      <w:tblGrid>
        <w:gridCol w:w="4343"/>
        <w:gridCol w:w="2419"/>
        <w:gridCol w:w="2264"/>
      </w:tblGrid>
      <w:tr w:rsidR="008550C6" w:rsidRPr="007E3420" w14:paraId="1277FA25" w14:textId="77777777" w:rsidTr="00A96FAC">
        <w:trPr>
          <w:jc w:val="center"/>
        </w:trPr>
        <w:tc>
          <w:tcPr>
            <w:tcW w:w="2406" w:type="pct"/>
            <w:tcBorders>
              <w:top w:val="single" w:sz="6" w:space="0" w:color="auto"/>
              <w:left w:val="nil"/>
              <w:bottom w:val="nil"/>
              <w:right w:val="single" w:sz="4" w:space="0" w:color="auto"/>
            </w:tcBorders>
          </w:tcPr>
          <w:p w14:paraId="3A79CCEA" w14:textId="77777777" w:rsidR="000B2614" w:rsidRPr="007E3420" w:rsidRDefault="000B2614" w:rsidP="00A96FAC">
            <w:pPr>
              <w:widowControl w:val="0"/>
              <w:autoSpaceDE w:val="0"/>
              <w:autoSpaceDN w:val="0"/>
              <w:adjustRightInd w:val="0"/>
              <w:rPr>
                <w:b/>
                <w:bCs/>
                <w:sz w:val="22"/>
                <w:szCs w:val="22"/>
              </w:rPr>
            </w:pPr>
          </w:p>
        </w:tc>
        <w:tc>
          <w:tcPr>
            <w:tcW w:w="1340" w:type="pct"/>
            <w:tcBorders>
              <w:top w:val="single" w:sz="6" w:space="0" w:color="auto"/>
              <w:left w:val="single" w:sz="4" w:space="0" w:color="auto"/>
              <w:bottom w:val="nil"/>
              <w:right w:val="nil"/>
            </w:tcBorders>
          </w:tcPr>
          <w:p w14:paraId="6DB71216" w14:textId="77777777" w:rsidR="000B2614" w:rsidRPr="007E3420" w:rsidRDefault="000B2614" w:rsidP="00A96FAC">
            <w:pPr>
              <w:widowControl w:val="0"/>
              <w:autoSpaceDE w:val="0"/>
              <w:autoSpaceDN w:val="0"/>
              <w:adjustRightInd w:val="0"/>
              <w:jc w:val="center"/>
              <w:rPr>
                <w:b/>
                <w:bCs/>
                <w:sz w:val="22"/>
                <w:szCs w:val="22"/>
              </w:rPr>
            </w:pPr>
            <w:r w:rsidRPr="007E3420">
              <w:rPr>
                <w:b/>
                <w:bCs/>
                <w:sz w:val="22"/>
                <w:szCs w:val="22"/>
              </w:rPr>
              <w:t>(1)</w:t>
            </w:r>
          </w:p>
        </w:tc>
        <w:tc>
          <w:tcPr>
            <w:tcW w:w="1254" w:type="pct"/>
            <w:tcBorders>
              <w:top w:val="single" w:sz="6" w:space="0" w:color="auto"/>
              <w:left w:val="nil"/>
              <w:bottom w:val="nil"/>
              <w:right w:val="nil"/>
            </w:tcBorders>
          </w:tcPr>
          <w:p w14:paraId="233DBC92" w14:textId="77777777" w:rsidR="000B2614" w:rsidRPr="007E3420" w:rsidRDefault="000B2614" w:rsidP="00A96FAC">
            <w:pPr>
              <w:widowControl w:val="0"/>
              <w:autoSpaceDE w:val="0"/>
              <w:autoSpaceDN w:val="0"/>
              <w:adjustRightInd w:val="0"/>
              <w:jc w:val="center"/>
              <w:rPr>
                <w:b/>
                <w:bCs/>
                <w:sz w:val="22"/>
                <w:szCs w:val="22"/>
              </w:rPr>
            </w:pPr>
            <w:r w:rsidRPr="007E3420">
              <w:rPr>
                <w:b/>
                <w:bCs/>
                <w:sz w:val="22"/>
                <w:szCs w:val="22"/>
              </w:rPr>
              <w:t>(2)</w:t>
            </w:r>
          </w:p>
        </w:tc>
      </w:tr>
      <w:tr w:rsidR="008550C6" w:rsidRPr="007E3420" w14:paraId="7CE76EA8" w14:textId="77777777" w:rsidTr="00A96FAC">
        <w:trPr>
          <w:jc w:val="center"/>
        </w:trPr>
        <w:tc>
          <w:tcPr>
            <w:tcW w:w="2406" w:type="pct"/>
            <w:tcBorders>
              <w:top w:val="nil"/>
              <w:left w:val="nil"/>
              <w:bottom w:val="single" w:sz="6" w:space="0" w:color="auto"/>
              <w:right w:val="single" w:sz="4" w:space="0" w:color="auto"/>
            </w:tcBorders>
          </w:tcPr>
          <w:p w14:paraId="1FC40D66" w14:textId="77777777" w:rsidR="000B2614" w:rsidRPr="007E3420" w:rsidRDefault="000B2614" w:rsidP="00A96FAC">
            <w:pPr>
              <w:widowControl w:val="0"/>
              <w:autoSpaceDE w:val="0"/>
              <w:autoSpaceDN w:val="0"/>
              <w:adjustRightInd w:val="0"/>
              <w:rPr>
                <w:b/>
                <w:bCs/>
                <w:sz w:val="22"/>
                <w:szCs w:val="22"/>
              </w:rPr>
            </w:pPr>
            <w:r w:rsidRPr="007E3420">
              <w:rPr>
                <w:b/>
                <w:bCs/>
                <w:sz w:val="22"/>
                <w:szCs w:val="22"/>
              </w:rPr>
              <w:t>VARIABLES</w:t>
            </w:r>
          </w:p>
        </w:tc>
        <w:tc>
          <w:tcPr>
            <w:tcW w:w="1340" w:type="pct"/>
            <w:tcBorders>
              <w:top w:val="nil"/>
              <w:left w:val="single" w:sz="4" w:space="0" w:color="auto"/>
              <w:bottom w:val="single" w:sz="6" w:space="0" w:color="auto"/>
              <w:right w:val="nil"/>
            </w:tcBorders>
          </w:tcPr>
          <w:p w14:paraId="3F42BF1F" w14:textId="77777777" w:rsidR="000B2614" w:rsidRPr="007E3420" w:rsidRDefault="000B2614" w:rsidP="00A96FAC">
            <w:pPr>
              <w:widowControl w:val="0"/>
              <w:autoSpaceDE w:val="0"/>
              <w:autoSpaceDN w:val="0"/>
              <w:adjustRightInd w:val="0"/>
              <w:jc w:val="center"/>
              <w:rPr>
                <w:b/>
                <w:bCs/>
                <w:sz w:val="22"/>
                <w:szCs w:val="22"/>
              </w:rPr>
            </w:pPr>
            <w:r w:rsidRPr="007E3420">
              <w:rPr>
                <w:b/>
                <w:bCs/>
                <w:sz w:val="22"/>
                <w:szCs w:val="22"/>
              </w:rPr>
              <w:t>VRS</w:t>
            </w:r>
          </w:p>
        </w:tc>
        <w:tc>
          <w:tcPr>
            <w:tcW w:w="1254" w:type="pct"/>
            <w:tcBorders>
              <w:top w:val="nil"/>
              <w:left w:val="nil"/>
              <w:bottom w:val="single" w:sz="6" w:space="0" w:color="auto"/>
              <w:right w:val="nil"/>
            </w:tcBorders>
          </w:tcPr>
          <w:p w14:paraId="7EAAE385" w14:textId="77777777" w:rsidR="000B2614" w:rsidRPr="007E3420" w:rsidRDefault="000B2614" w:rsidP="00A96FAC">
            <w:pPr>
              <w:widowControl w:val="0"/>
              <w:autoSpaceDE w:val="0"/>
              <w:autoSpaceDN w:val="0"/>
              <w:adjustRightInd w:val="0"/>
              <w:jc w:val="center"/>
              <w:rPr>
                <w:b/>
                <w:bCs/>
                <w:sz w:val="22"/>
                <w:szCs w:val="22"/>
              </w:rPr>
            </w:pPr>
            <w:r w:rsidRPr="007E3420">
              <w:rPr>
                <w:b/>
                <w:bCs/>
                <w:sz w:val="22"/>
                <w:szCs w:val="22"/>
              </w:rPr>
              <w:t>VRS</w:t>
            </w:r>
          </w:p>
        </w:tc>
      </w:tr>
      <w:tr w:rsidR="008550C6" w:rsidRPr="008550C6" w14:paraId="38701064" w14:textId="77777777" w:rsidTr="00A96FAC">
        <w:trPr>
          <w:jc w:val="center"/>
        </w:trPr>
        <w:tc>
          <w:tcPr>
            <w:tcW w:w="2406" w:type="pct"/>
            <w:tcBorders>
              <w:top w:val="nil"/>
              <w:left w:val="nil"/>
              <w:bottom w:val="nil"/>
              <w:right w:val="single" w:sz="4" w:space="0" w:color="auto"/>
            </w:tcBorders>
          </w:tcPr>
          <w:p w14:paraId="558D2149" w14:textId="77777777" w:rsidR="000B2614" w:rsidRPr="008550C6" w:rsidRDefault="000B2614" w:rsidP="00A96FAC">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2242C9E9" w14:textId="77777777" w:rsidR="000B2614" w:rsidRPr="008550C6" w:rsidRDefault="000B2614" w:rsidP="00A96FAC">
            <w:pPr>
              <w:widowControl w:val="0"/>
              <w:autoSpaceDE w:val="0"/>
              <w:autoSpaceDN w:val="0"/>
              <w:adjustRightInd w:val="0"/>
              <w:jc w:val="center"/>
              <w:rPr>
                <w:sz w:val="22"/>
                <w:szCs w:val="22"/>
              </w:rPr>
            </w:pPr>
          </w:p>
        </w:tc>
        <w:tc>
          <w:tcPr>
            <w:tcW w:w="1254" w:type="pct"/>
            <w:tcBorders>
              <w:top w:val="nil"/>
              <w:left w:val="nil"/>
              <w:bottom w:val="nil"/>
              <w:right w:val="nil"/>
            </w:tcBorders>
          </w:tcPr>
          <w:p w14:paraId="7748A1B2" w14:textId="77777777" w:rsidR="000B2614" w:rsidRPr="008550C6" w:rsidRDefault="000B2614" w:rsidP="00A96FAC">
            <w:pPr>
              <w:widowControl w:val="0"/>
              <w:autoSpaceDE w:val="0"/>
              <w:autoSpaceDN w:val="0"/>
              <w:adjustRightInd w:val="0"/>
              <w:jc w:val="center"/>
              <w:rPr>
                <w:sz w:val="22"/>
                <w:szCs w:val="22"/>
              </w:rPr>
            </w:pPr>
          </w:p>
        </w:tc>
      </w:tr>
      <w:tr w:rsidR="008550C6" w:rsidRPr="007E4ED2" w14:paraId="052D15B0" w14:textId="77777777" w:rsidTr="00A96FAC">
        <w:trPr>
          <w:jc w:val="center"/>
        </w:trPr>
        <w:tc>
          <w:tcPr>
            <w:tcW w:w="2406" w:type="pct"/>
            <w:tcBorders>
              <w:top w:val="nil"/>
              <w:left w:val="nil"/>
              <w:bottom w:val="nil"/>
              <w:right w:val="single" w:sz="4" w:space="0" w:color="auto"/>
            </w:tcBorders>
          </w:tcPr>
          <w:p w14:paraId="3E31A75E" w14:textId="49AB3B1D" w:rsidR="006E46AE" w:rsidRPr="007E4ED2" w:rsidRDefault="006E46AE" w:rsidP="006E46AE">
            <w:pPr>
              <w:widowControl w:val="0"/>
              <w:autoSpaceDE w:val="0"/>
              <w:autoSpaceDN w:val="0"/>
              <w:adjustRightInd w:val="0"/>
              <w:rPr>
                <w:sz w:val="22"/>
                <w:szCs w:val="22"/>
              </w:rPr>
            </w:pPr>
            <w:r w:rsidRPr="007E4ED2">
              <w:rPr>
                <w:sz w:val="22"/>
                <w:szCs w:val="22"/>
              </w:rPr>
              <w:t>NVOTE x House-Dem-Seats</w:t>
            </w:r>
          </w:p>
        </w:tc>
        <w:tc>
          <w:tcPr>
            <w:tcW w:w="1340" w:type="pct"/>
            <w:tcBorders>
              <w:top w:val="nil"/>
              <w:left w:val="single" w:sz="4" w:space="0" w:color="auto"/>
              <w:bottom w:val="nil"/>
              <w:right w:val="nil"/>
            </w:tcBorders>
          </w:tcPr>
          <w:p w14:paraId="11EE8F3A" w14:textId="37C7A19A" w:rsidR="006E46AE" w:rsidRPr="007E4ED2" w:rsidRDefault="006E46AE" w:rsidP="006E46AE">
            <w:pPr>
              <w:widowControl w:val="0"/>
              <w:autoSpaceDE w:val="0"/>
              <w:autoSpaceDN w:val="0"/>
              <w:adjustRightInd w:val="0"/>
              <w:jc w:val="center"/>
              <w:rPr>
                <w:sz w:val="22"/>
                <w:szCs w:val="22"/>
              </w:rPr>
            </w:pPr>
            <w:r w:rsidRPr="007E4ED2">
              <w:rPr>
                <w:sz w:val="22"/>
                <w:szCs w:val="22"/>
              </w:rPr>
              <w:t>0.</w:t>
            </w:r>
            <w:r w:rsidR="00686D8E" w:rsidRPr="007E4ED2">
              <w:rPr>
                <w:sz w:val="22"/>
                <w:szCs w:val="22"/>
              </w:rPr>
              <w:t>1443</w:t>
            </w:r>
            <w:r w:rsidRPr="007E4ED2">
              <w:rPr>
                <w:sz w:val="22"/>
                <w:szCs w:val="22"/>
              </w:rPr>
              <w:t>***</w:t>
            </w:r>
          </w:p>
        </w:tc>
        <w:tc>
          <w:tcPr>
            <w:tcW w:w="1254" w:type="pct"/>
            <w:tcBorders>
              <w:top w:val="nil"/>
              <w:left w:val="nil"/>
              <w:bottom w:val="nil"/>
              <w:right w:val="nil"/>
            </w:tcBorders>
          </w:tcPr>
          <w:p w14:paraId="07F961E4" w14:textId="77777777" w:rsidR="006E46AE" w:rsidRPr="007E4ED2" w:rsidRDefault="006E46AE" w:rsidP="006E46AE">
            <w:pPr>
              <w:widowControl w:val="0"/>
              <w:autoSpaceDE w:val="0"/>
              <w:autoSpaceDN w:val="0"/>
              <w:adjustRightInd w:val="0"/>
              <w:jc w:val="center"/>
              <w:rPr>
                <w:sz w:val="22"/>
                <w:szCs w:val="22"/>
              </w:rPr>
            </w:pPr>
          </w:p>
        </w:tc>
      </w:tr>
      <w:tr w:rsidR="008550C6" w:rsidRPr="007E4ED2" w14:paraId="6FC4E2B3" w14:textId="77777777" w:rsidTr="00A96FAC">
        <w:trPr>
          <w:jc w:val="center"/>
        </w:trPr>
        <w:tc>
          <w:tcPr>
            <w:tcW w:w="2406" w:type="pct"/>
            <w:tcBorders>
              <w:top w:val="nil"/>
              <w:left w:val="nil"/>
              <w:bottom w:val="nil"/>
              <w:right w:val="single" w:sz="4" w:space="0" w:color="auto"/>
            </w:tcBorders>
          </w:tcPr>
          <w:p w14:paraId="2DA5BAB5" w14:textId="77777777" w:rsidR="006E46AE" w:rsidRPr="007E4ED2" w:rsidRDefault="006E46AE" w:rsidP="006E46AE">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49F88D51" w14:textId="5FD7FD5C" w:rsidR="006E46AE" w:rsidRPr="007E4ED2" w:rsidRDefault="006E46AE" w:rsidP="006E46AE">
            <w:pPr>
              <w:widowControl w:val="0"/>
              <w:autoSpaceDE w:val="0"/>
              <w:autoSpaceDN w:val="0"/>
              <w:adjustRightInd w:val="0"/>
              <w:jc w:val="center"/>
              <w:rPr>
                <w:sz w:val="22"/>
                <w:szCs w:val="22"/>
              </w:rPr>
            </w:pPr>
            <w:r w:rsidRPr="007E4ED2">
              <w:rPr>
                <w:sz w:val="22"/>
                <w:szCs w:val="22"/>
              </w:rPr>
              <w:t>(5.</w:t>
            </w:r>
            <w:r w:rsidR="00686D8E" w:rsidRPr="007E4ED2">
              <w:rPr>
                <w:sz w:val="22"/>
                <w:szCs w:val="22"/>
              </w:rPr>
              <w:t>39</w:t>
            </w:r>
            <w:r w:rsidRPr="007E4ED2">
              <w:rPr>
                <w:sz w:val="22"/>
                <w:szCs w:val="22"/>
              </w:rPr>
              <w:t>)</w:t>
            </w:r>
          </w:p>
        </w:tc>
        <w:tc>
          <w:tcPr>
            <w:tcW w:w="1254" w:type="pct"/>
            <w:tcBorders>
              <w:top w:val="nil"/>
              <w:left w:val="nil"/>
              <w:bottom w:val="nil"/>
              <w:right w:val="nil"/>
            </w:tcBorders>
          </w:tcPr>
          <w:p w14:paraId="5F5234EA" w14:textId="77777777" w:rsidR="006E46AE" w:rsidRPr="007E4ED2" w:rsidRDefault="006E46AE" w:rsidP="006E46AE">
            <w:pPr>
              <w:widowControl w:val="0"/>
              <w:autoSpaceDE w:val="0"/>
              <w:autoSpaceDN w:val="0"/>
              <w:adjustRightInd w:val="0"/>
              <w:jc w:val="center"/>
              <w:rPr>
                <w:sz w:val="22"/>
                <w:szCs w:val="22"/>
              </w:rPr>
            </w:pPr>
          </w:p>
        </w:tc>
      </w:tr>
      <w:tr w:rsidR="008550C6" w:rsidRPr="007E4ED2" w14:paraId="79A2B766" w14:textId="77777777" w:rsidTr="00A96FAC">
        <w:trPr>
          <w:jc w:val="center"/>
        </w:trPr>
        <w:tc>
          <w:tcPr>
            <w:tcW w:w="2406" w:type="pct"/>
            <w:tcBorders>
              <w:top w:val="nil"/>
              <w:left w:val="nil"/>
              <w:bottom w:val="nil"/>
              <w:right w:val="single" w:sz="4" w:space="0" w:color="auto"/>
            </w:tcBorders>
          </w:tcPr>
          <w:p w14:paraId="6F39EA3B" w14:textId="7B16A3A7" w:rsidR="000B2614" w:rsidRPr="007E4ED2" w:rsidRDefault="000B2614" w:rsidP="00A96FAC">
            <w:pPr>
              <w:widowControl w:val="0"/>
              <w:autoSpaceDE w:val="0"/>
              <w:autoSpaceDN w:val="0"/>
              <w:adjustRightInd w:val="0"/>
              <w:rPr>
                <w:sz w:val="22"/>
                <w:szCs w:val="22"/>
              </w:rPr>
            </w:pPr>
            <w:r w:rsidRPr="007E4ED2">
              <w:rPr>
                <w:sz w:val="22"/>
                <w:szCs w:val="22"/>
              </w:rPr>
              <w:t xml:space="preserve">NVOTE x </w:t>
            </w:r>
            <w:r w:rsidR="00A54708" w:rsidRPr="007E4ED2">
              <w:rPr>
                <w:sz w:val="22"/>
                <w:szCs w:val="22"/>
              </w:rPr>
              <w:t>Senate</w:t>
            </w:r>
            <w:r w:rsidRPr="007E4ED2">
              <w:rPr>
                <w:sz w:val="22"/>
                <w:szCs w:val="22"/>
              </w:rPr>
              <w:t>-</w:t>
            </w:r>
            <w:r w:rsidR="006E46AE" w:rsidRPr="007E4ED2">
              <w:rPr>
                <w:sz w:val="22"/>
                <w:szCs w:val="22"/>
              </w:rPr>
              <w:t>Dem-Senators</w:t>
            </w:r>
          </w:p>
        </w:tc>
        <w:tc>
          <w:tcPr>
            <w:tcW w:w="1340" w:type="pct"/>
            <w:tcBorders>
              <w:top w:val="nil"/>
              <w:left w:val="single" w:sz="4" w:space="0" w:color="auto"/>
              <w:bottom w:val="nil"/>
              <w:right w:val="nil"/>
            </w:tcBorders>
          </w:tcPr>
          <w:p w14:paraId="1BDBC75B" w14:textId="77777777" w:rsidR="000B2614" w:rsidRPr="007E4ED2" w:rsidRDefault="000B2614" w:rsidP="00A96FAC">
            <w:pPr>
              <w:widowControl w:val="0"/>
              <w:autoSpaceDE w:val="0"/>
              <w:autoSpaceDN w:val="0"/>
              <w:adjustRightInd w:val="0"/>
              <w:jc w:val="center"/>
              <w:rPr>
                <w:sz w:val="22"/>
                <w:szCs w:val="22"/>
              </w:rPr>
            </w:pPr>
          </w:p>
        </w:tc>
        <w:tc>
          <w:tcPr>
            <w:tcW w:w="1254" w:type="pct"/>
            <w:tcBorders>
              <w:top w:val="nil"/>
              <w:left w:val="nil"/>
              <w:bottom w:val="nil"/>
              <w:right w:val="nil"/>
            </w:tcBorders>
          </w:tcPr>
          <w:p w14:paraId="597BB384" w14:textId="5C3C0597" w:rsidR="000B2614" w:rsidRPr="007E4ED2" w:rsidRDefault="000B2614" w:rsidP="00A96FAC">
            <w:pPr>
              <w:widowControl w:val="0"/>
              <w:autoSpaceDE w:val="0"/>
              <w:autoSpaceDN w:val="0"/>
              <w:adjustRightInd w:val="0"/>
              <w:jc w:val="center"/>
              <w:rPr>
                <w:sz w:val="22"/>
                <w:szCs w:val="22"/>
              </w:rPr>
            </w:pPr>
            <w:r w:rsidRPr="007E4ED2">
              <w:rPr>
                <w:sz w:val="22"/>
                <w:szCs w:val="22"/>
              </w:rPr>
              <w:t>0.</w:t>
            </w:r>
            <w:r w:rsidR="00244336" w:rsidRPr="007E4ED2">
              <w:rPr>
                <w:sz w:val="22"/>
                <w:szCs w:val="22"/>
              </w:rPr>
              <w:t>1231*</w:t>
            </w:r>
          </w:p>
        </w:tc>
      </w:tr>
      <w:tr w:rsidR="008550C6" w:rsidRPr="007E4ED2" w14:paraId="61B72024" w14:textId="77777777" w:rsidTr="00A96FAC">
        <w:trPr>
          <w:jc w:val="center"/>
        </w:trPr>
        <w:tc>
          <w:tcPr>
            <w:tcW w:w="2406" w:type="pct"/>
            <w:tcBorders>
              <w:top w:val="nil"/>
              <w:left w:val="nil"/>
              <w:bottom w:val="nil"/>
              <w:right w:val="single" w:sz="4" w:space="0" w:color="auto"/>
            </w:tcBorders>
          </w:tcPr>
          <w:p w14:paraId="7262CC32" w14:textId="77777777" w:rsidR="000B2614" w:rsidRPr="007E4ED2" w:rsidRDefault="000B2614" w:rsidP="00A96FAC">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53409C04" w14:textId="77777777" w:rsidR="000B2614" w:rsidRPr="007E4ED2" w:rsidRDefault="000B2614" w:rsidP="00A96FAC">
            <w:pPr>
              <w:widowControl w:val="0"/>
              <w:autoSpaceDE w:val="0"/>
              <w:autoSpaceDN w:val="0"/>
              <w:adjustRightInd w:val="0"/>
              <w:jc w:val="center"/>
              <w:rPr>
                <w:sz w:val="22"/>
                <w:szCs w:val="22"/>
              </w:rPr>
            </w:pPr>
          </w:p>
        </w:tc>
        <w:tc>
          <w:tcPr>
            <w:tcW w:w="1254" w:type="pct"/>
            <w:tcBorders>
              <w:top w:val="nil"/>
              <w:left w:val="nil"/>
              <w:bottom w:val="nil"/>
              <w:right w:val="nil"/>
            </w:tcBorders>
          </w:tcPr>
          <w:p w14:paraId="70AE170C" w14:textId="2172C614" w:rsidR="000B2614" w:rsidRPr="007E4ED2" w:rsidRDefault="000B2614" w:rsidP="00A96FAC">
            <w:pPr>
              <w:widowControl w:val="0"/>
              <w:autoSpaceDE w:val="0"/>
              <w:autoSpaceDN w:val="0"/>
              <w:adjustRightInd w:val="0"/>
              <w:jc w:val="center"/>
              <w:rPr>
                <w:sz w:val="22"/>
                <w:szCs w:val="22"/>
              </w:rPr>
            </w:pPr>
            <w:r w:rsidRPr="007E4ED2">
              <w:rPr>
                <w:sz w:val="22"/>
                <w:szCs w:val="22"/>
              </w:rPr>
              <w:t>(</w:t>
            </w:r>
            <w:r w:rsidR="006E46AE" w:rsidRPr="007E4ED2">
              <w:rPr>
                <w:sz w:val="22"/>
                <w:szCs w:val="22"/>
              </w:rPr>
              <w:t>1</w:t>
            </w:r>
            <w:r w:rsidRPr="007E4ED2">
              <w:rPr>
                <w:sz w:val="22"/>
                <w:szCs w:val="22"/>
              </w:rPr>
              <w:t>.</w:t>
            </w:r>
            <w:r w:rsidR="00244336" w:rsidRPr="007E4ED2">
              <w:rPr>
                <w:sz w:val="22"/>
                <w:szCs w:val="22"/>
              </w:rPr>
              <w:t>82</w:t>
            </w:r>
            <w:r w:rsidRPr="007E4ED2">
              <w:rPr>
                <w:sz w:val="22"/>
                <w:szCs w:val="22"/>
              </w:rPr>
              <w:t>)</w:t>
            </w:r>
          </w:p>
        </w:tc>
      </w:tr>
      <w:tr w:rsidR="008550C6" w:rsidRPr="008550C6" w14:paraId="1D583DC1" w14:textId="77777777" w:rsidTr="00A96FAC">
        <w:trPr>
          <w:jc w:val="center"/>
        </w:trPr>
        <w:tc>
          <w:tcPr>
            <w:tcW w:w="2406" w:type="pct"/>
            <w:tcBorders>
              <w:top w:val="nil"/>
              <w:left w:val="nil"/>
              <w:bottom w:val="nil"/>
              <w:right w:val="single" w:sz="4" w:space="0" w:color="auto"/>
            </w:tcBorders>
          </w:tcPr>
          <w:p w14:paraId="04412D34" w14:textId="77777777" w:rsidR="006E46AE" w:rsidRPr="008550C6" w:rsidRDefault="006E46AE" w:rsidP="006E46AE">
            <w:pPr>
              <w:widowControl w:val="0"/>
              <w:autoSpaceDE w:val="0"/>
              <w:autoSpaceDN w:val="0"/>
              <w:adjustRightInd w:val="0"/>
              <w:rPr>
                <w:sz w:val="22"/>
                <w:szCs w:val="22"/>
              </w:rPr>
            </w:pPr>
            <w:r w:rsidRPr="008550C6">
              <w:rPr>
                <w:sz w:val="22"/>
                <w:szCs w:val="22"/>
              </w:rPr>
              <w:t>NVOTE</w:t>
            </w:r>
          </w:p>
        </w:tc>
        <w:tc>
          <w:tcPr>
            <w:tcW w:w="1340" w:type="pct"/>
            <w:tcBorders>
              <w:top w:val="nil"/>
              <w:left w:val="single" w:sz="4" w:space="0" w:color="auto"/>
              <w:bottom w:val="nil"/>
              <w:right w:val="nil"/>
            </w:tcBorders>
          </w:tcPr>
          <w:p w14:paraId="536FCC5A" w14:textId="321BE1B7" w:rsidR="006E46AE" w:rsidRPr="008550C6" w:rsidRDefault="006E46AE" w:rsidP="006E46AE">
            <w:pPr>
              <w:widowControl w:val="0"/>
              <w:autoSpaceDE w:val="0"/>
              <w:autoSpaceDN w:val="0"/>
              <w:adjustRightInd w:val="0"/>
              <w:jc w:val="center"/>
              <w:rPr>
                <w:sz w:val="22"/>
                <w:szCs w:val="22"/>
              </w:rPr>
            </w:pPr>
            <w:r w:rsidRPr="008550C6">
              <w:rPr>
                <w:sz w:val="22"/>
                <w:szCs w:val="22"/>
              </w:rPr>
              <w:t>-0.</w:t>
            </w:r>
            <w:r w:rsidR="00686D8E" w:rsidRPr="008550C6">
              <w:rPr>
                <w:sz w:val="22"/>
                <w:szCs w:val="22"/>
              </w:rPr>
              <w:t>7697</w:t>
            </w:r>
            <w:r w:rsidRPr="008550C6">
              <w:rPr>
                <w:sz w:val="22"/>
                <w:szCs w:val="22"/>
              </w:rPr>
              <w:t>***</w:t>
            </w:r>
          </w:p>
        </w:tc>
        <w:tc>
          <w:tcPr>
            <w:tcW w:w="1254" w:type="pct"/>
            <w:tcBorders>
              <w:top w:val="nil"/>
              <w:left w:val="nil"/>
              <w:bottom w:val="nil"/>
              <w:right w:val="nil"/>
            </w:tcBorders>
          </w:tcPr>
          <w:p w14:paraId="02FF75D6" w14:textId="682EFD01" w:rsidR="006E46AE" w:rsidRPr="008550C6" w:rsidRDefault="006E46AE" w:rsidP="006E46AE">
            <w:pPr>
              <w:widowControl w:val="0"/>
              <w:autoSpaceDE w:val="0"/>
              <w:autoSpaceDN w:val="0"/>
              <w:adjustRightInd w:val="0"/>
              <w:jc w:val="center"/>
              <w:rPr>
                <w:sz w:val="22"/>
                <w:szCs w:val="22"/>
              </w:rPr>
            </w:pPr>
            <w:r w:rsidRPr="008550C6">
              <w:rPr>
                <w:sz w:val="22"/>
                <w:szCs w:val="22"/>
              </w:rPr>
              <w:t>-0.</w:t>
            </w:r>
            <w:r w:rsidR="00244336" w:rsidRPr="008550C6">
              <w:rPr>
                <w:sz w:val="22"/>
                <w:szCs w:val="22"/>
              </w:rPr>
              <w:t>4796*</w:t>
            </w:r>
          </w:p>
        </w:tc>
      </w:tr>
      <w:tr w:rsidR="008550C6" w:rsidRPr="008550C6" w14:paraId="0E181628" w14:textId="77777777" w:rsidTr="00A96FAC">
        <w:trPr>
          <w:jc w:val="center"/>
        </w:trPr>
        <w:tc>
          <w:tcPr>
            <w:tcW w:w="2406" w:type="pct"/>
            <w:tcBorders>
              <w:top w:val="nil"/>
              <w:left w:val="nil"/>
              <w:bottom w:val="nil"/>
              <w:right w:val="single" w:sz="4" w:space="0" w:color="auto"/>
            </w:tcBorders>
          </w:tcPr>
          <w:p w14:paraId="5D45D2A1" w14:textId="77777777" w:rsidR="006E46AE" w:rsidRPr="008550C6" w:rsidRDefault="006E46AE" w:rsidP="006E46AE">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5AAE6033" w14:textId="4CF3B3AB" w:rsidR="006E46AE" w:rsidRPr="008550C6" w:rsidRDefault="006E46AE" w:rsidP="006E46AE">
            <w:pPr>
              <w:widowControl w:val="0"/>
              <w:autoSpaceDE w:val="0"/>
              <w:autoSpaceDN w:val="0"/>
              <w:adjustRightInd w:val="0"/>
              <w:jc w:val="center"/>
              <w:rPr>
                <w:sz w:val="22"/>
                <w:szCs w:val="22"/>
              </w:rPr>
            </w:pPr>
            <w:r w:rsidRPr="008550C6">
              <w:rPr>
                <w:sz w:val="22"/>
                <w:szCs w:val="22"/>
              </w:rPr>
              <w:t>(</w:t>
            </w:r>
            <w:r w:rsidR="00686D8E" w:rsidRPr="008550C6">
              <w:rPr>
                <w:sz w:val="22"/>
                <w:szCs w:val="22"/>
              </w:rPr>
              <w:t>5.27</w:t>
            </w:r>
            <w:r w:rsidRPr="008550C6">
              <w:rPr>
                <w:sz w:val="22"/>
                <w:szCs w:val="22"/>
              </w:rPr>
              <w:t>)</w:t>
            </w:r>
          </w:p>
        </w:tc>
        <w:tc>
          <w:tcPr>
            <w:tcW w:w="1254" w:type="pct"/>
            <w:tcBorders>
              <w:top w:val="nil"/>
              <w:left w:val="nil"/>
              <w:bottom w:val="nil"/>
              <w:right w:val="nil"/>
            </w:tcBorders>
          </w:tcPr>
          <w:p w14:paraId="6EAD6C13" w14:textId="29B38CD8" w:rsidR="006E46AE" w:rsidRPr="008550C6" w:rsidRDefault="006E46AE" w:rsidP="006E46AE">
            <w:pPr>
              <w:widowControl w:val="0"/>
              <w:autoSpaceDE w:val="0"/>
              <w:autoSpaceDN w:val="0"/>
              <w:adjustRightInd w:val="0"/>
              <w:jc w:val="center"/>
              <w:rPr>
                <w:sz w:val="22"/>
                <w:szCs w:val="22"/>
              </w:rPr>
            </w:pPr>
            <w:r w:rsidRPr="008550C6">
              <w:rPr>
                <w:sz w:val="22"/>
                <w:szCs w:val="22"/>
              </w:rPr>
              <w:t>(1.</w:t>
            </w:r>
            <w:r w:rsidR="00244336" w:rsidRPr="008550C6">
              <w:rPr>
                <w:sz w:val="22"/>
                <w:szCs w:val="22"/>
              </w:rPr>
              <w:t>77</w:t>
            </w:r>
            <w:r w:rsidRPr="008550C6">
              <w:rPr>
                <w:sz w:val="22"/>
                <w:szCs w:val="22"/>
              </w:rPr>
              <w:t>)</w:t>
            </w:r>
          </w:p>
        </w:tc>
      </w:tr>
      <w:tr w:rsidR="008550C6" w:rsidRPr="008550C6" w14:paraId="6B737E2F" w14:textId="77777777" w:rsidTr="00A96FAC">
        <w:trPr>
          <w:jc w:val="center"/>
        </w:trPr>
        <w:tc>
          <w:tcPr>
            <w:tcW w:w="2406" w:type="pct"/>
            <w:tcBorders>
              <w:top w:val="nil"/>
              <w:left w:val="nil"/>
              <w:bottom w:val="nil"/>
              <w:right w:val="single" w:sz="4" w:space="0" w:color="auto"/>
            </w:tcBorders>
          </w:tcPr>
          <w:p w14:paraId="4D16BCBF" w14:textId="77777777" w:rsidR="006E46AE" w:rsidRPr="008550C6" w:rsidRDefault="006E46AE" w:rsidP="006E46AE">
            <w:pPr>
              <w:widowControl w:val="0"/>
              <w:autoSpaceDE w:val="0"/>
              <w:autoSpaceDN w:val="0"/>
              <w:adjustRightInd w:val="0"/>
              <w:rPr>
                <w:sz w:val="22"/>
                <w:szCs w:val="22"/>
              </w:rPr>
            </w:pPr>
            <w:r w:rsidRPr="008550C6">
              <w:rPr>
                <w:sz w:val="22"/>
                <w:szCs w:val="22"/>
              </w:rPr>
              <w:t>House-Dem-Seats</w:t>
            </w:r>
          </w:p>
        </w:tc>
        <w:tc>
          <w:tcPr>
            <w:tcW w:w="1340" w:type="pct"/>
            <w:tcBorders>
              <w:top w:val="nil"/>
              <w:left w:val="single" w:sz="4" w:space="0" w:color="auto"/>
              <w:bottom w:val="nil"/>
              <w:right w:val="nil"/>
            </w:tcBorders>
          </w:tcPr>
          <w:p w14:paraId="7C53B869" w14:textId="7EEED501" w:rsidR="006E46AE" w:rsidRPr="008550C6" w:rsidRDefault="006E46AE" w:rsidP="006E46AE">
            <w:pPr>
              <w:widowControl w:val="0"/>
              <w:autoSpaceDE w:val="0"/>
              <w:autoSpaceDN w:val="0"/>
              <w:adjustRightInd w:val="0"/>
              <w:jc w:val="center"/>
              <w:rPr>
                <w:sz w:val="22"/>
                <w:szCs w:val="22"/>
              </w:rPr>
            </w:pPr>
            <w:r w:rsidRPr="008550C6">
              <w:rPr>
                <w:sz w:val="22"/>
                <w:szCs w:val="22"/>
              </w:rPr>
              <w:t>-0.0</w:t>
            </w:r>
            <w:r w:rsidR="00686D8E" w:rsidRPr="008550C6">
              <w:rPr>
                <w:sz w:val="22"/>
                <w:szCs w:val="22"/>
              </w:rPr>
              <w:t>809</w:t>
            </w:r>
            <w:r w:rsidRPr="008550C6">
              <w:rPr>
                <w:sz w:val="22"/>
                <w:szCs w:val="22"/>
              </w:rPr>
              <w:t>***</w:t>
            </w:r>
          </w:p>
        </w:tc>
        <w:tc>
          <w:tcPr>
            <w:tcW w:w="1254" w:type="pct"/>
            <w:tcBorders>
              <w:top w:val="nil"/>
              <w:left w:val="nil"/>
              <w:bottom w:val="nil"/>
              <w:right w:val="nil"/>
            </w:tcBorders>
          </w:tcPr>
          <w:p w14:paraId="32D689DC" w14:textId="47CA0918" w:rsidR="006E46AE" w:rsidRPr="008550C6" w:rsidRDefault="006E46AE" w:rsidP="006E46AE">
            <w:pPr>
              <w:widowControl w:val="0"/>
              <w:autoSpaceDE w:val="0"/>
              <w:autoSpaceDN w:val="0"/>
              <w:adjustRightInd w:val="0"/>
              <w:jc w:val="center"/>
              <w:rPr>
                <w:sz w:val="22"/>
                <w:szCs w:val="22"/>
              </w:rPr>
            </w:pPr>
          </w:p>
        </w:tc>
      </w:tr>
      <w:tr w:rsidR="008550C6" w:rsidRPr="008550C6" w14:paraId="3BB3BBA6" w14:textId="77777777" w:rsidTr="00A96FAC">
        <w:trPr>
          <w:jc w:val="center"/>
        </w:trPr>
        <w:tc>
          <w:tcPr>
            <w:tcW w:w="2406" w:type="pct"/>
            <w:tcBorders>
              <w:top w:val="nil"/>
              <w:left w:val="nil"/>
              <w:bottom w:val="nil"/>
              <w:right w:val="single" w:sz="4" w:space="0" w:color="auto"/>
            </w:tcBorders>
          </w:tcPr>
          <w:p w14:paraId="48BCB2EE" w14:textId="77777777" w:rsidR="006E46AE" w:rsidRPr="008550C6" w:rsidRDefault="006E46AE" w:rsidP="006E46AE">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0A2936FF" w14:textId="27A0C07A" w:rsidR="006E46AE" w:rsidRPr="008550C6" w:rsidRDefault="006E46AE" w:rsidP="006E46AE">
            <w:pPr>
              <w:widowControl w:val="0"/>
              <w:autoSpaceDE w:val="0"/>
              <w:autoSpaceDN w:val="0"/>
              <w:adjustRightInd w:val="0"/>
              <w:jc w:val="center"/>
              <w:rPr>
                <w:sz w:val="22"/>
                <w:szCs w:val="22"/>
              </w:rPr>
            </w:pPr>
            <w:r w:rsidRPr="008550C6">
              <w:rPr>
                <w:sz w:val="22"/>
                <w:szCs w:val="22"/>
              </w:rPr>
              <w:t>(3.</w:t>
            </w:r>
            <w:r w:rsidR="00686D8E" w:rsidRPr="008550C6">
              <w:rPr>
                <w:sz w:val="22"/>
                <w:szCs w:val="22"/>
              </w:rPr>
              <w:t>95</w:t>
            </w:r>
            <w:r w:rsidRPr="008550C6">
              <w:rPr>
                <w:sz w:val="22"/>
                <w:szCs w:val="22"/>
              </w:rPr>
              <w:t>)</w:t>
            </w:r>
          </w:p>
        </w:tc>
        <w:tc>
          <w:tcPr>
            <w:tcW w:w="1254" w:type="pct"/>
            <w:tcBorders>
              <w:top w:val="nil"/>
              <w:left w:val="nil"/>
              <w:bottom w:val="nil"/>
              <w:right w:val="nil"/>
            </w:tcBorders>
          </w:tcPr>
          <w:p w14:paraId="6A2F82A4" w14:textId="2CCBB04B" w:rsidR="006E46AE" w:rsidRPr="008550C6" w:rsidRDefault="006E46AE" w:rsidP="006E46AE">
            <w:pPr>
              <w:widowControl w:val="0"/>
              <w:autoSpaceDE w:val="0"/>
              <w:autoSpaceDN w:val="0"/>
              <w:adjustRightInd w:val="0"/>
              <w:jc w:val="center"/>
              <w:rPr>
                <w:sz w:val="22"/>
                <w:szCs w:val="22"/>
              </w:rPr>
            </w:pPr>
          </w:p>
        </w:tc>
      </w:tr>
      <w:tr w:rsidR="008550C6" w:rsidRPr="008550C6" w14:paraId="0CC559D0" w14:textId="77777777" w:rsidTr="00A96FAC">
        <w:trPr>
          <w:jc w:val="center"/>
        </w:trPr>
        <w:tc>
          <w:tcPr>
            <w:tcW w:w="2406" w:type="pct"/>
            <w:tcBorders>
              <w:top w:val="nil"/>
              <w:left w:val="nil"/>
              <w:bottom w:val="nil"/>
              <w:right w:val="single" w:sz="4" w:space="0" w:color="auto"/>
            </w:tcBorders>
          </w:tcPr>
          <w:p w14:paraId="7AE3FA90" w14:textId="65CA9337" w:rsidR="006E46AE" w:rsidRPr="008550C6" w:rsidRDefault="00A54708" w:rsidP="006E46AE">
            <w:pPr>
              <w:widowControl w:val="0"/>
              <w:autoSpaceDE w:val="0"/>
              <w:autoSpaceDN w:val="0"/>
              <w:adjustRightInd w:val="0"/>
              <w:rPr>
                <w:sz w:val="22"/>
                <w:szCs w:val="22"/>
              </w:rPr>
            </w:pPr>
            <w:r w:rsidRPr="008550C6">
              <w:rPr>
                <w:sz w:val="22"/>
                <w:szCs w:val="22"/>
              </w:rPr>
              <w:t>Congress</w:t>
            </w:r>
            <w:r w:rsidR="006E46AE" w:rsidRPr="008550C6">
              <w:rPr>
                <w:sz w:val="22"/>
                <w:szCs w:val="22"/>
              </w:rPr>
              <w:t>-Dem-Senators</w:t>
            </w:r>
          </w:p>
        </w:tc>
        <w:tc>
          <w:tcPr>
            <w:tcW w:w="1340" w:type="pct"/>
            <w:tcBorders>
              <w:top w:val="nil"/>
              <w:left w:val="single" w:sz="4" w:space="0" w:color="auto"/>
              <w:bottom w:val="nil"/>
              <w:right w:val="nil"/>
            </w:tcBorders>
          </w:tcPr>
          <w:p w14:paraId="17104E3E" w14:textId="77777777" w:rsidR="006E46AE" w:rsidRPr="008550C6" w:rsidRDefault="006E46AE" w:rsidP="006E46AE">
            <w:pPr>
              <w:widowControl w:val="0"/>
              <w:autoSpaceDE w:val="0"/>
              <w:autoSpaceDN w:val="0"/>
              <w:adjustRightInd w:val="0"/>
              <w:jc w:val="center"/>
              <w:rPr>
                <w:sz w:val="22"/>
                <w:szCs w:val="22"/>
              </w:rPr>
            </w:pPr>
          </w:p>
        </w:tc>
        <w:tc>
          <w:tcPr>
            <w:tcW w:w="1254" w:type="pct"/>
            <w:tcBorders>
              <w:top w:val="nil"/>
              <w:left w:val="nil"/>
              <w:bottom w:val="nil"/>
              <w:right w:val="nil"/>
            </w:tcBorders>
          </w:tcPr>
          <w:p w14:paraId="67965199" w14:textId="46DFD52D" w:rsidR="006E46AE" w:rsidRPr="008550C6" w:rsidRDefault="006E46AE" w:rsidP="006E46AE">
            <w:pPr>
              <w:widowControl w:val="0"/>
              <w:autoSpaceDE w:val="0"/>
              <w:autoSpaceDN w:val="0"/>
              <w:adjustRightInd w:val="0"/>
              <w:jc w:val="center"/>
              <w:rPr>
                <w:sz w:val="22"/>
                <w:szCs w:val="22"/>
              </w:rPr>
            </w:pPr>
            <w:r w:rsidRPr="008550C6">
              <w:rPr>
                <w:sz w:val="22"/>
                <w:szCs w:val="22"/>
              </w:rPr>
              <w:t>0.</w:t>
            </w:r>
            <w:r w:rsidR="00244336" w:rsidRPr="008550C6">
              <w:rPr>
                <w:sz w:val="22"/>
                <w:szCs w:val="22"/>
              </w:rPr>
              <w:t>0931</w:t>
            </w:r>
            <w:r w:rsidRPr="008550C6">
              <w:rPr>
                <w:sz w:val="22"/>
                <w:szCs w:val="22"/>
              </w:rPr>
              <w:t>*</w:t>
            </w:r>
          </w:p>
        </w:tc>
      </w:tr>
      <w:tr w:rsidR="008550C6" w:rsidRPr="008550C6" w14:paraId="346F5C00" w14:textId="77777777" w:rsidTr="00A96FAC">
        <w:trPr>
          <w:jc w:val="center"/>
        </w:trPr>
        <w:tc>
          <w:tcPr>
            <w:tcW w:w="2406" w:type="pct"/>
            <w:tcBorders>
              <w:top w:val="nil"/>
              <w:left w:val="nil"/>
              <w:bottom w:val="nil"/>
              <w:right w:val="single" w:sz="4" w:space="0" w:color="auto"/>
            </w:tcBorders>
          </w:tcPr>
          <w:p w14:paraId="0A134460" w14:textId="77777777" w:rsidR="006E46AE" w:rsidRPr="008550C6" w:rsidRDefault="006E46AE" w:rsidP="006E46AE">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2032D91D" w14:textId="77777777" w:rsidR="006E46AE" w:rsidRPr="008550C6" w:rsidRDefault="006E46AE" w:rsidP="006E46AE">
            <w:pPr>
              <w:widowControl w:val="0"/>
              <w:autoSpaceDE w:val="0"/>
              <w:autoSpaceDN w:val="0"/>
              <w:adjustRightInd w:val="0"/>
              <w:jc w:val="center"/>
              <w:rPr>
                <w:sz w:val="22"/>
                <w:szCs w:val="22"/>
              </w:rPr>
            </w:pPr>
          </w:p>
        </w:tc>
        <w:tc>
          <w:tcPr>
            <w:tcW w:w="1254" w:type="pct"/>
            <w:tcBorders>
              <w:top w:val="nil"/>
              <w:left w:val="nil"/>
              <w:bottom w:val="nil"/>
              <w:right w:val="nil"/>
            </w:tcBorders>
          </w:tcPr>
          <w:p w14:paraId="59BFF6E4" w14:textId="1CDCC3CD" w:rsidR="006E46AE" w:rsidRPr="008550C6" w:rsidRDefault="006E46AE" w:rsidP="006E46AE">
            <w:pPr>
              <w:widowControl w:val="0"/>
              <w:autoSpaceDE w:val="0"/>
              <w:autoSpaceDN w:val="0"/>
              <w:adjustRightInd w:val="0"/>
              <w:jc w:val="center"/>
              <w:rPr>
                <w:sz w:val="22"/>
                <w:szCs w:val="22"/>
              </w:rPr>
            </w:pPr>
            <w:r w:rsidRPr="008550C6">
              <w:rPr>
                <w:sz w:val="22"/>
                <w:szCs w:val="22"/>
              </w:rPr>
              <w:t>(</w:t>
            </w:r>
            <w:r w:rsidR="00244336" w:rsidRPr="008550C6">
              <w:rPr>
                <w:sz w:val="22"/>
                <w:szCs w:val="22"/>
              </w:rPr>
              <w:t>1</w:t>
            </w:r>
            <w:r w:rsidRPr="008550C6">
              <w:rPr>
                <w:sz w:val="22"/>
                <w:szCs w:val="22"/>
              </w:rPr>
              <w:t>.</w:t>
            </w:r>
            <w:r w:rsidR="00244336" w:rsidRPr="008550C6">
              <w:rPr>
                <w:sz w:val="22"/>
                <w:szCs w:val="22"/>
              </w:rPr>
              <w:t>79</w:t>
            </w:r>
            <w:r w:rsidRPr="008550C6">
              <w:rPr>
                <w:sz w:val="22"/>
                <w:szCs w:val="22"/>
              </w:rPr>
              <w:t>)</w:t>
            </w:r>
          </w:p>
        </w:tc>
      </w:tr>
      <w:tr w:rsidR="008550C6" w:rsidRPr="008550C6" w14:paraId="4EE20F8D" w14:textId="77777777" w:rsidTr="00A96FAC">
        <w:trPr>
          <w:jc w:val="center"/>
        </w:trPr>
        <w:tc>
          <w:tcPr>
            <w:tcW w:w="2406" w:type="pct"/>
            <w:tcBorders>
              <w:top w:val="nil"/>
              <w:left w:val="nil"/>
              <w:bottom w:val="nil"/>
              <w:right w:val="single" w:sz="4" w:space="0" w:color="auto"/>
            </w:tcBorders>
          </w:tcPr>
          <w:p w14:paraId="7932A29F" w14:textId="77777777" w:rsidR="006E46AE" w:rsidRPr="008550C6" w:rsidRDefault="006E46AE" w:rsidP="006E46AE">
            <w:pPr>
              <w:widowControl w:val="0"/>
              <w:autoSpaceDE w:val="0"/>
              <w:autoSpaceDN w:val="0"/>
              <w:adjustRightInd w:val="0"/>
              <w:rPr>
                <w:sz w:val="22"/>
                <w:szCs w:val="22"/>
              </w:rPr>
            </w:pPr>
            <w:r w:rsidRPr="008550C6">
              <w:rPr>
                <w:sz w:val="22"/>
                <w:szCs w:val="22"/>
              </w:rPr>
              <w:t>LNTA</w:t>
            </w:r>
          </w:p>
        </w:tc>
        <w:tc>
          <w:tcPr>
            <w:tcW w:w="1340" w:type="pct"/>
            <w:tcBorders>
              <w:top w:val="nil"/>
              <w:left w:val="single" w:sz="4" w:space="0" w:color="auto"/>
              <w:bottom w:val="nil"/>
              <w:right w:val="nil"/>
            </w:tcBorders>
          </w:tcPr>
          <w:p w14:paraId="2695AD5E" w14:textId="5B9E0781" w:rsidR="006E46AE" w:rsidRPr="008550C6" w:rsidRDefault="006E46AE" w:rsidP="006E46AE">
            <w:pPr>
              <w:widowControl w:val="0"/>
              <w:autoSpaceDE w:val="0"/>
              <w:autoSpaceDN w:val="0"/>
              <w:adjustRightInd w:val="0"/>
              <w:jc w:val="center"/>
              <w:rPr>
                <w:sz w:val="22"/>
                <w:szCs w:val="22"/>
              </w:rPr>
            </w:pPr>
            <w:r w:rsidRPr="008550C6">
              <w:rPr>
                <w:sz w:val="22"/>
                <w:szCs w:val="22"/>
              </w:rPr>
              <w:t>0.0</w:t>
            </w:r>
            <w:r w:rsidR="00686D8E" w:rsidRPr="008550C6">
              <w:rPr>
                <w:sz w:val="22"/>
                <w:szCs w:val="22"/>
              </w:rPr>
              <w:t>392</w:t>
            </w:r>
            <w:r w:rsidRPr="008550C6">
              <w:rPr>
                <w:sz w:val="22"/>
                <w:szCs w:val="22"/>
              </w:rPr>
              <w:t>***</w:t>
            </w:r>
          </w:p>
        </w:tc>
        <w:tc>
          <w:tcPr>
            <w:tcW w:w="1254" w:type="pct"/>
            <w:tcBorders>
              <w:top w:val="nil"/>
              <w:left w:val="nil"/>
              <w:bottom w:val="nil"/>
              <w:right w:val="nil"/>
            </w:tcBorders>
          </w:tcPr>
          <w:p w14:paraId="5728AF83" w14:textId="0FDFE209" w:rsidR="006E46AE" w:rsidRPr="008550C6" w:rsidRDefault="006E46AE" w:rsidP="006E46AE">
            <w:pPr>
              <w:widowControl w:val="0"/>
              <w:autoSpaceDE w:val="0"/>
              <w:autoSpaceDN w:val="0"/>
              <w:adjustRightInd w:val="0"/>
              <w:jc w:val="center"/>
              <w:rPr>
                <w:sz w:val="22"/>
                <w:szCs w:val="22"/>
              </w:rPr>
            </w:pPr>
            <w:r w:rsidRPr="008550C6">
              <w:rPr>
                <w:sz w:val="22"/>
                <w:szCs w:val="22"/>
              </w:rPr>
              <w:t>0.041</w:t>
            </w:r>
            <w:r w:rsidR="00244336" w:rsidRPr="008550C6">
              <w:rPr>
                <w:sz w:val="22"/>
                <w:szCs w:val="22"/>
              </w:rPr>
              <w:t>5</w:t>
            </w:r>
            <w:r w:rsidRPr="008550C6">
              <w:rPr>
                <w:sz w:val="22"/>
                <w:szCs w:val="22"/>
              </w:rPr>
              <w:t>***</w:t>
            </w:r>
          </w:p>
        </w:tc>
      </w:tr>
      <w:tr w:rsidR="008550C6" w:rsidRPr="008550C6" w14:paraId="32DCF70A" w14:textId="77777777" w:rsidTr="00A96FAC">
        <w:trPr>
          <w:jc w:val="center"/>
        </w:trPr>
        <w:tc>
          <w:tcPr>
            <w:tcW w:w="2406" w:type="pct"/>
            <w:tcBorders>
              <w:top w:val="nil"/>
              <w:left w:val="nil"/>
              <w:bottom w:val="nil"/>
              <w:right w:val="single" w:sz="4" w:space="0" w:color="auto"/>
            </w:tcBorders>
          </w:tcPr>
          <w:p w14:paraId="517B81B1" w14:textId="77777777" w:rsidR="006E46AE" w:rsidRPr="008550C6" w:rsidRDefault="006E46AE" w:rsidP="006E46AE">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0A2B4B9B" w14:textId="341AF288" w:rsidR="006E46AE" w:rsidRPr="008550C6" w:rsidRDefault="006E46AE" w:rsidP="006E46AE">
            <w:pPr>
              <w:widowControl w:val="0"/>
              <w:autoSpaceDE w:val="0"/>
              <w:autoSpaceDN w:val="0"/>
              <w:adjustRightInd w:val="0"/>
              <w:jc w:val="center"/>
              <w:rPr>
                <w:sz w:val="22"/>
                <w:szCs w:val="22"/>
              </w:rPr>
            </w:pPr>
            <w:r w:rsidRPr="008550C6">
              <w:rPr>
                <w:sz w:val="22"/>
                <w:szCs w:val="22"/>
              </w:rPr>
              <w:t>(2</w:t>
            </w:r>
            <w:r w:rsidR="00686D8E" w:rsidRPr="008550C6">
              <w:rPr>
                <w:sz w:val="22"/>
                <w:szCs w:val="22"/>
              </w:rPr>
              <w:t>4</w:t>
            </w:r>
            <w:r w:rsidRPr="008550C6">
              <w:rPr>
                <w:sz w:val="22"/>
                <w:szCs w:val="22"/>
              </w:rPr>
              <w:t>.</w:t>
            </w:r>
            <w:r w:rsidR="00686D8E" w:rsidRPr="008550C6">
              <w:rPr>
                <w:sz w:val="22"/>
                <w:szCs w:val="22"/>
              </w:rPr>
              <w:t>30</w:t>
            </w:r>
            <w:r w:rsidRPr="008550C6">
              <w:rPr>
                <w:sz w:val="22"/>
                <w:szCs w:val="22"/>
              </w:rPr>
              <w:t>)</w:t>
            </w:r>
          </w:p>
        </w:tc>
        <w:tc>
          <w:tcPr>
            <w:tcW w:w="1254" w:type="pct"/>
            <w:tcBorders>
              <w:top w:val="nil"/>
              <w:left w:val="nil"/>
              <w:bottom w:val="nil"/>
              <w:right w:val="nil"/>
            </w:tcBorders>
          </w:tcPr>
          <w:p w14:paraId="3A0026CA" w14:textId="663DA192" w:rsidR="006E46AE" w:rsidRPr="008550C6" w:rsidRDefault="006E46AE" w:rsidP="006E46AE">
            <w:pPr>
              <w:widowControl w:val="0"/>
              <w:autoSpaceDE w:val="0"/>
              <w:autoSpaceDN w:val="0"/>
              <w:adjustRightInd w:val="0"/>
              <w:jc w:val="center"/>
              <w:rPr>
                <w:sz w:val="22"/>
                <w:szCs w:val="22"/>
              </w:rPr>
            </w:pPr>
            <w:r w:rsidRPr="008550C6">
              <w:rPr>
                <w:sz w:val="22"/>
                <w:szCs w:val="22"/>
              </w:rPr>
              <w:t>(26.</w:t>
            </w:r>
            <w:r w:rsidR="00244336" w:rsidRPr="008550C6">
              <w:rPr>
                <w:sz w:val="22"/>
                <w:szCs w:val="22"/>
              </w:rPr>
              <w:t>2</w:t>
            </w:r>
            <w:r w:rsidRPr="008550C6">
              <w:rPr>
                <w:sz w:val="22"/>
                <w:szCs w:val="22"/>
              </w:rPr>
              <w:t>1)</w:t>
            </w:r>
          </w:p>
        </w:tc>
      </w:tr>
      <w:tr w:rsidR="008550C6" w:rsidRPr="008550C6" w14:paraId="0A121E93" w14:textId="77777777" w:rsidTr="00A96FAC">
        <w:trPr>
          <w:jc w:val="center"/>
        </w:trPr>
        <w:tc>
          <w:tcPr>
            <w:tcW w:w="2406" w:type="pct"/>
            <w:tcBorders>
              <w:top w:val="nil"/>
              <w:left w:val="nil"/>
              <w:bottom w:val="nil"/>
              <w:right w:val="single" w:sz="4" w:space="0" w:color="auto"/>
            </w:tcBorders>
          </w:tcPr>
          <w:p w14:paraId="61FE046F" w14:textId="77777777" w:rsidR="006E46AE" w:rsidRPr="008550C6" w:rsidRDefault="006E46AE" w:rsidP="006E46AE">
            <w:pPr>
              <w:widowControl w:val="0"/>
              <w:autoSpaceDE w:val="0"/>
              <w:autoSpaceDN w:val="0"/>
              <w:adjustRightInd w:val="0"/>
              <w:rPr>
                <w:sz w:val="22"/>
                <w:szCs w:val="22"/>
              </w:rPr>
            </w:pPr>
            <w:r w:rsidRPr="008550C6">
              <w:rPr>
                <w:sz w:val="22"/>
                <w:szCs w:val="22"/>
              </w:rPr>
              <w:t>NPLTL</w:t>
            </w:r>
          </w:p>
        </w:tc>
        <w:tc>
          <w:tcPr>
            <w:tcW w:w="1340" w:type="pct"/>
            <w:tcBorders>
              <w:top w:val="nil"/>
              <w:left w:val="single" w:sz="4" w:space="0" w:color="auto"/>
              <w:bottom w:val="nil"/>
              <w:right w:val="nil"/>
            </w:tcBorders>
          </w:tcPr>
          <w:p w14:paraId="68FD134D" w14:textId="0ADF7F39" w:rsidR="006E46AE" w:rsidRPr="008550C6" w:rsidRDefault="006E46AE" w:rsidP="006E46AE">
            <w:pPr>
              <w:widowControl w:val="0"/>
              <w:autoSpaceDE w:val="0"/>
              <w:autoSpaceDN w:val="0"/>
              <w:adjustRightInd w:val="0"/>
              <w:jc w:val="center"/>
              <w:rPr>
                <w:sz w:val="22"/>
                <w:szCs w:val="22"/>
              </w:rPr>
            </w:pPr>
            <w:r w:rsidRPr="008550C6">
              <w:rPr>
                <w:sz w:val="22"/>
                <w:szCs w:val="22"/>
              </w:rPr>
              <w:t>-</w:t>
            </w:r>
            <w:r w:rsidR="00686D8E" w:rsidRPr="008550C6">
              <w:rPr>
                <w:sz w:val="22"/>
                <w:szCs w:val="22"/>
              </w:rPr>
              <w:t>5.8021</w:t>
            </w:r>
            <w:r w:rsidRPr="008550C6">
              <w:rPr>
                <w:sz w:val="22"/>
                <w:szCs w:val="22"/>
              </w:rPr>
              <w:t>***</w:t>
            </w:r>
          </w:p>
        </w:tc>
        <w:tc>
          <w:tcPr>
            <w:tcW w:w="1254" w:type="pct"/>
            <w:tcBorders>
              <w:top w:val="nil"/>
              <w:left w:val="nil"/>
              <w:bottom w:val="nil"/>
              <w:right w:val="nil"/>
            </w:tcBorders>
          </w:tcPr>
          <w:p w14:paraId="4FDA7046" w14:textId="3D1CAE7F" w:rsidR="006E46AE" w:rsidRPr="008550C6" w:rsidRDefault="006E46AE" w:rsidP="006E46AE">
            <w:pPr>
              <w:widowControl w:val="0"/>
              <w:autoSpaceDE w:val="0"/>
              <w:autoSpaceDN w:val="0"/>
              <w:adjustRightInd w:val="0"/>
              <w:jc w:val="center"/>
              <w:rPr>
                <w:sz w:val="22"/>
                <w:szCs w:val="22"/>
              </w:rPr>
            </w:pPr>
            <w:r w:rsidRPr="008550C6">
              <w:rPr>
                <w:sz w:val="22"/>
                <w:szCs w:val="22"/>
              </w:rPr>
              <w:t>-6.1</w:t>
            </w:r>
            <w:r w:rsidR="00244336" w:rsidRPr="008550C6">
              <w:rPr>
                <w:sz w:val="22"/>
                <w:szCs w:val="22"/>
              </w:rPr>
              <w:t>701</w:t>
            </w:r>
            <w:r w:rsidRPr="008550C6">
              <w:rPr>
                <w:sz w:val="22"/>
                <w:szCs w:val="22"/>
              </w:rPr>
              <w:t>***</w:t>
            </w:r>
          </w:p>
        </w:tc>
      </w:tr>
      <w:tr w:rsidR="008550C6" w:rsidRPr="008550C6" w14:paraId="2A7EA4CA" w14:textId="77777777" w:rsidTr="00A96FAC">
        <w:trPr>
          <w:jc w:val="center"/>
        </w:trPr>
        <w:tc>
          <w:tcPr>
            <w:tcW w:w="2406" w:type="pct"/>
            <w:tcBorders>
              <w:top w:val="nil"/>
              <w:left w:val="nil"/>
              <w:bottom w:val="nil"/>
              <w:right w:val="single" w:sz="4" w:space="0" w:color="auto"/>
            </w:tcBorders>
          </w:tcPr>
          <w:p w14:paraId="742BAB84" w14:textId="77777777" w:rsidR="006E46AE" w:rsidRPr="008550C6" w:rsidRDefault="006E46AE" w:rsidP="006E46AE">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4A5FD70C" w14:textId="17E73198" w:rsidR="006E46AE" w:rsidRPr="008550C6" w:rsidRDefault="006E46AE" w:rsidP="006E46AE">
            <w:pPr>
              <w:widowControl w:val="0"/>
              <w:autoSpaceDE w:val="0"/>
              <w:autoSpaceDN w:val="0"/>
              <w:adjustRightInd w:val="0"/>
              <w:jc w:val="center"/>
              <w:rPr>
                <w:sz w:val="22"/>
                <w:szCs w:val="22"/>
              </w:rPr>
            </w:pPr>
            <w:r w:rsidRPr="008550C6">
              <w:rPr>
                <w:sz w:val="22"/>
                <w:szCs w:val="22"/>
              </w:rPr>
              <w:t>(1</w:t>
            </w:r>
            <w:r w:rsidR="00686D8E" w:rsidRPr="008550C6">
              <w:rPr>
                <w:sz w:val="22"/>
                <w:szCs w:val="22"/>
              </w:rPr>
              <w:t>2</w:t>
            </w:r>
            <w:r w:rsidRPr="008550C6">
              <w:rPr>
                <w:sz w:val="22"/>
                <w:szCs w:val="22"/>
              </w:rPr>
              <w:t>.</w:t>
            </w:r>
            <w:r w:rsidR="00686D8E" w:rsidRPr="008550C6">
              <w:rPr>
                <w:sz w:val="22"/>
                <w:szCs w:val="22"/>
              </w:rPr>
              <w:t>29</w:t>
            </w:r>
            <w:r w:rsidRPr="008550C6">
              <w:rPr>
                <w:sz w:val="22"/>
                <w:szCs w:val="22"/>
              </w:rPr>
              <w:t>)</w:t>
            </w:r>
          </w:p>
        </w:tc>
        <w:tc>
          <w:tcPr>
            <w:tcW w:w="1254" w:type="pct"/>
            <w:tcBorders>
              <w:top w:val="nil"/>
              <w:left w:val="nil"/>
              <w:bottom w:val="nil"/>
              <w:right w:val="nil"/>
            </w:tcBorders>
          </w:tcPr>
          <w:p w14:paraId="59C9B702" w14:textId="2CF94E8B" w:rsidR="006E46AE" w:rsidRPr="008550C6" w:rsidRDefault="006E46AE" w:rsidP="006E46AE">
            <w:pPr>
              <w:widowControl w:val="0"/>
              <w:autoSpaceDE w:val="0"/>
              <w:autoSpaceDN w:val="0"/>
              <w:adjustRightInd w:val="0"/>
              <w:jc w:val="center"/>
              <w:rPr>
                <w:sz w:val="22"/>
                <w:szCs w:val="22"/>
              </w:rPr>
            </w:pPr>
            <w:r w:rsidRPr="008550C6">
              <w:rPr>
                <w:sz w:val="22"/>
                <w:szCs w:val="22"/>
              </w:rPr>
              <w:t>(13.3</w:t>
            </w:r>
            <w:r w:rsidR="00244336" w:rsidRPr="008550C6">
              <w:rPr>
                <w:sz w:val="22"/>
                <w:szCs w:val="22"/>
              </w:rPr>
              <w:t>5</w:t>
            </w:r>
            <w:r w:rsidRPr="008550C6">
              <w:rPr>
                <w:sz w:val="22"/>
                <w:szCs w:val="22"/>
              </w:rPr>
              <w:t>)</w:t>
            </w:r>
          </w:p>
        </w:tc>
      </w:tr>
      <w:tr w:rsidR="008550C6" w:rsidRPr="008550C6" w14:paraId="745BB9F1" w14:textId="77777777" w:rsidTr="00A96FAC">
        <w:trPr>
          <w:jc w:val="center"/>
        </w:trPr>
        <w:tc>
          <w:tcPr>
            <w:tcW w:w="2406" w:type="pct"/>
            <w:tcBorders>
              <w:top w:val="nil"/>
              <w:left w:val="nil"/>
              <w:bottom w:val="nil"/>
              <w:right w:val="single" w:sz="4" w:space="0" w:color="auto"/>
            </w:tcBorders>
          </w:tcPr>
          <w:p w14:paraId="5784A3C9" w14:textId="77777777" w:rsidR="006E46AE" w:rsidRPr="008550C6" w:rsidRDefault="006E46AE" w:rsidP="006E46AE">
            <w:pPr>
              <w:widowControl w:val="0"/>
              <w:autoSpaceDE w:val="0"/>
              <w:autoSpaceDN w:val="0"/>
              <w:adjustRightInd w:val="0"/>
              <w:rPr>
                <w:sz w:val="22"/>
                <w:szCs w:val="22"/>
              </w:rPr>
            </w:pPr>
            <w:r w:rsidRPr="008550C6">
              <w:rPr>
                <w:sz w:val="22"/>
                <w:szCs w:val="22"/>
              </w:rPr>
              <w:t>DOA</w:t>
            </w:r>
          </w:p>
        </w:tc>
        <w:tc>
          <w:tcPr>
            <w:tcW w:w="1340" w:type="pct"/>
            <w:tcBorders>
              <w:top w:val="nil"/>
              <w:left w:val="single" w:sz="4" w:space="0" w:color="auto"/>
              <w:bottom w:val="nil"/>
              <w:right w:val="nil"/>
            </w:tcBorders>
          </w:tcPr>
          <w:p w14:paraId="168C3E06" w14:textId="0440C761" w:rsidR="006E46AE" w:rsidRPr="008550C6" w:rsidRDefault="006E46AE" w:rsidP="006E46AE">
            <w:pPr>
              <w:widowControl w:val="0"/>
              <w:autoSpaceDE w:val="0"/>
              <w:autoSpaceDN w:val="0"/>
              <w:adjustRightInd w:val="0"/>
              <w:jc w:val="center"/>
              <w:rPr>
                <w:sz w:val="22"/>
                <w:szCs w:val="22"/>
              </w:rPr>
            </w:pPr>
            <w:r w:rsidRPr="008550C6">
              <w:rPr>
                <w:sz w:val="22"/>
                <w:szCs w:val="22"/>
              </w:rPr>
              <w:t>-0.0</w:t>
            </w:r>
            <w:r w:rsidR="00686D8E" w:rsidRPr="008550C6">
              <w:rPr>
                <w:sz w:val="22"/>
                <w:szCs w:val="22"/>
              </w:rPr>
              <w:t>635</w:t>
            </w:r>
            <w:r w:rsidRPr="008550C6">
              <w:rPr>
                <w:sz w:val="22"/>
                <w:szCs w:val="22"/>
              </w:rPr>
              <w:t>**</w:t>
            </w:r>
          </w:p>
        </w:tc>
        <w:tc>
          <w:tcPr>
            <w:tcW w:w="1254" w:type="pct"/>
            <w:tcBorders>
              <w:top w:val="nil"/>
              <w:left w:val="nil"/>
              <w:bottom w:val="nil"/>
              <w:right w:val="nil"/>
            </w:tcBorders>
          </w:tcPr>
          <w:p w14:paraId="1D342427" w14:textId="0A0BC296" w:rsidR="006E46AE" w:rsidRPr="008550C6" w:rsidRDefault="006E46AE" w:rsidP="006E46AE">
            <w:pPr>
              <w:widowControl w:val="0"/>
              <w:autoSpaceDE w:val="0"/>
              <w:autoSpaceDN w:val="0"/>
              <w:adjustRightInd w:val="0"/>
              <w:jc w:val="center"/>
              <w:rPr>
                <w:sz w:val="22"/>
                <w:szCs w:val="22"/>
              </w:rPr>
            </w:pPr>
            <w:r w:rsidRPr="008550C6">
              <w:rPr>
                <w:sz w:val="22"/>
                <w:szCs w:val="22"/>
              </w:rPr>
              <w:t>-0.</w:t>
            </w:r>
            <w:r w:rsidR="00244336" w:rsidRPr="008550C6">
              <w:rPr>
                <w:sz w:val="22"/>
                <w:szCs w:val="22"/>
              </w:rPr>
              <w:t>099</w:t>
            </w:r>
            <w:r w:rsidRPr="008550C6">
              <w:rPr>
                <w:sz w:val="22"/>
                <w:szCs w:val="22"/>
              </w:rPr>
              <w:t>***</w:t>
            </w:r>
          </w:p>
        </w:tc>
      </w:tr>
      <w:tr w:rsidR="008550C6" w:rsidRPr="008550C6" w14:paraId="404D9BAF" w14:textId="77777777" w:rsidTr="00A96FAC">
        <w:trPr>
          <w:jc w:val="center"/>
        </w:trPr>
        <w:tc>
          <w:tcPr>
            <w:tcW w:w="2406" w:type="pct"/>
            <w:tcBorders>
              <w:top w:val="nil"/>
              <w:left w:val="nil"/>
              <w:bottom w:val="nil"/>
              <w:right w:val="single" w:sz="4" w:space="0" w:color="auto"/>
            </w:tcBorders>
          </w:tcPr>
          <w:p w14:paraId="7DF94137" w14:textId="77777777" w:rsidR="006E46AE" w:rsidRPr="008550C6" w:rsidRDefault="006E46AE" w:rsidP="006E46AE">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5E47E61F" w14:textId="2921798C" w:rsidR="006E46AE" w:rsidRPr="008550C6" w:rsidRDefault="006E46AE" w:rsidP="006E46AE">
            <w:pPr>
              <w:widowControl w:val="0"/>
              <w:autoSpaceDE w:val="0"/>
              <w:autoSpaceDN w:val="0"/>
              <w:adjustRightInd w:val="0"/>
              <w:jc w:val="center"/>
              <w:rPr>
                <w:sz w:val="22"/>
                <w:szCs w:val="22"/>
              </w:rPr>
            </w:pPr>
            <w:r w:rsidRPr="008550C6">
              <w:rPr>
                <w:sz w:val="22"/>
                <w:szCs w:val="22"/>
              </w:rPr>
              <w:t>(</w:t>
            </w:r>
            <w:r w:rsidR="00686D8E" w:rsidRPr="008550C6">
              <w:rPr>
                <w:sz w:val="22"/>
                <w:szCs w:val="22"/>
              </w:rPr>
              <w:t>2.58</w:t>
            </w:r>
            <w:r w:rsidRPr="008550C6">
              <w:rPr>
                <w:sz w:val="22"/>
                <w:szCs w:val="22"/>
              </w:rPr>
              <w:t>)</w:t>
            </w:r>
          </w:p>
        </w:tc>
        <w:tc>
          <w:tcPr>
            <w:tcW w:w="1254" w:type="pct"/>
            <w:tcBorders>
              <w:top w:val="nil"/>
              <w:left w:val="nil"/>
              <w:bottom w:val="nil"/>
              <w:right w:val="nil"/>
            </w:tcBorders>
          </w:tcPr>
          <w:p w14:paraId="075418F1" w14:textId="0010FBC7" w:rsidR="006E46AE" w:rsidRPr="008550C6" w:rsidRDefault="006E46AE" w:rsidP="006E46AE">
            <w:pPr>
              <w:widowControl w:val="0"/>
              <w:autoSpaceDE w:val="0"/>
              <w:autoSpaceDN w:val="0"/>
              <w:adjustRightInd w:val="0"/>
              <w:jc w:val="center"/>
              <w:rPr>
                <w:sz w:val="22"/>
                <w:szCs w:val="22"/>
              </w:rPr>
            </w:pPr>
            <w:r w:rsidRPr="008550C6">
              <w:rPr>
                <w:sz w:val="22"/>
                <w:szCs w:val="22"/>
              </w:rPr>
              <w:t>(4.</w:t>
            </w:r>
            <w:r w:rsidR="00244336" w:rsidRPr="008550C6">
              <w:rPr>
                <w:sz w:val="22"/>
                <w:szCs w:val="22"/>
              </w:rPr>
              <w:t>0</w:t>
            </w:r>
            <w:r w:rsidRPr="008550C6">
              <w:rPr>
                <w:sz w:val="22"/>
                <w:szCs w:val="22"/>
              </w:rPr>
              <w:t>4)</w:t>
            </w:r>
          </w:p>
        </w:tc>
      </w:tr>
      <w:tr w:rsidR="008550C6" w:rsidRPr="008550C6" w14:paraId="109A390A" w14:textId="77777777" w:rsidTr="00A96FAC">
        <w:trPr>
          <w:jc w:val="center"/>
        </w:trPr>
        <w:tc>
          <w:tcPr>
            <w:tcW w:w="2406" w:type="pct"/>
            <w:tcBorders>
              <w:top w:val="nil"/>
              <w:left w:val="nil"/>
              <w:bottom w:val="nil"/>
              <w:right w:val="single" w:sz="4" w:space="0" w:color="auto"/>
            </w:tcBorders>
          </w:tcPr>
          <w:p w14:paraId="7C5A6302" w14:textId="170AD287" w:rsidR="006E46AE" w:rsidRPr="008550C6" w:rsidRDefault="006E46AE" w:rsidP="006E46AE">
            <w:pPr>
              <w:widowControl w:val="0"/>
              <w:autoSpaceDE w:val="0"/>
              <w:autoSpaceDN w:val="0"/>
              <w:adjustRightInd w:val="0"/>
              <w:rPr>
                <w:sz w:val="22"/>
                <w:szCs w:val="22"/>
              </w:rPr>
            </w:pPr>
            <w:r w:rsidRPr="008550C6">
              <w:rPr>
                <w:sz w:val="22"/>
                <w:szCs w:val="22"/>
              </w:rPr>
              <w:t>C</w:t>
            </w:r>
            <w:r w:rsidR="00783103">
              <w:rPr>
                <w:sz w:val="22"/>
                <w:szCs w:val="22"/>
              </w:rPr>
              <w:t>OVID</w:t>
            </w:r>
            <w:r w:rsidRPr="008550C6">
              <w:rPr>
                <w:sz w:val="22"/>
                <w:szCs w:val="22"/>
              </w:rPr>
              <w:t>-19</w:t>
            </w:r>
          </w:p>
        </w:tc>
        <w:tc>
          <w:tcPr>
            <w:tcW w:w="1340" w:type="pct"/>
            <w:tcBorders>
              <w:top w:val="nil"/>
              <w:left w:val="single" w:sz="4" w:space="0" w:color="auto"/>
              <w:bottom w:val="nil"/>
              <w:right w:val="nil"/>
            </w:tcBorders>
          </w:tcPr>
          <w:p w14:paraId="32954D25" w14:textId="4083E5F0" w:rsidR="006E46AE" w:rsidRPr="008550C6" w:rsidRDefault="006E46AE" w:rsidP="006E46AE">
            <w:pPr>
              <w:widowControl w:val="0"/>
              <w:autoSpaceDE w:val="0"/>
              <w:autoSpaceDN w:val="0"/>
              <w:adjustRightInd w:val="0"/>
              <w:jc w:val="center"/>
              <w:rPr>
                <w:sz w:val="22"/>
                <w:szCs w:val="22"/>
              </w:rPr>
            </w:pPr>
            <w:r w:rsidRPr="008550C6">
              <w:rPr>
                <w:sz w:val="22"/>
                <w:szCs w:val="22"/>
              </w:rPr>
              <w:t>-0.0</w:t>
            </w:r>
            <w:r w:rsidR="00686D8E" w:rsidRPr="008550C6">
              <w:rPr>
                <w:sz w:val="22"/>
                <w:szCs w:val="22"/>
              </w:rPr>
              <w:t>527</w:t>
            </w:r>
            <w:r w:rsidRPr="008550C6">
              <w:rPr>
                <w:sz w:val="22"/>
                <w:szCs w:val="22"/>
              </w:rPr>
              <w:t>***</w:t>
            </w:r>
          </w:p>
        </w:tc>
        <w:tc>
          <w:tcPr>
            <w:tcW w:w="1254" w:type="pct"/>
            <w:tcBorders>
              <w:top w:val="nil"/>
              <w:left w:val="nil"/>
              <w:bottom w:val="nil"/>
              <w:right w:val="nil"/>
            </w:tcBorders>
          </w:tcPr>
          <w:p w14:paraId="24BD6361" w14:textId="0895A94B" w:rsidR="006E46AE" w:rsidRPr="008550C6" w:rsidRDefault="006E46AE" w:rsidP="006E46AE">
            <w:pPr>
              <w:widowControl w:val="0"/>
              <w:autoSpaceDE w:val="0"/>
              <w:autoSpaceDN w:val="0"/>
              <w:adjustRightInd w:val="0"/>
              <w:jc w:val="center"/>
              <w:rPr>
                <w:sz w:val="22"/>
                <w:szCs w:val="22"/>
              </w:rPr>
            </w:pPr>
            <w:r w:rsidRPr="008550C6">
              <w:rPr>
                <w:sz w:val="22"/>
                <w:szCs w:val="22"/>
              </w:rPr>
              <w:t>-0.04</w:t>
            </w:r>
            <w:r w:rsidR="00244336" w:rsidRPr="008550C6">
              <w:rPr>
                <w:sz w:val="22"/>
                <w:szCs w:val="22"/>
              </w:rPr>
              <w:t>43</w:t>
            </w:r>
            <w:r w:rsidRPr="008550C6">
              <w:rPr>
                <w:sz w:val="22"/>
                <w:szCs w:val="22"/>
              </w:rPr>
              <w:t>***</w:t>
            </w:r>
          </w:p>
        </w:tc>
      </w:tr>
      <w:tr w:rsidR="008550C6" w:rsidRPr="008550C6" w14:paraId="0A02E361" w14:textId="77777777" w:rsidTr="00A96FAC">
        <w:trPr>
          <w:jc w:val="center"/>
        </w:trPr>
        <w:tc>
          <w:tcPr>
            <w:tcW w:w="2406" w:type="pct"/>
            <w:tcBorders>
              <w:top w:val="nil"/>
              <w:left w:val="nil"/>
              <w:bottom w:val="nil"/>
              <w:right w:val="single" w:sz="4" w:space="0" w:color="auto"/>
            </w:tcBorders>
          </w:tcPr>
          <w:p w14:paraId="078ADBF9" w14:textId="77777777" w:rsidR="006E46AE" w:rsidRPr="008550C6" w:rsidRDefault="006E46AE" w:rsidP="006E46AE">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7525A0CB" w14:textId="3DEE9371" w:rsidR="006E46AE" w:rsidRPr="008550C6" w:rsidRDefault="006E46AE" w:rsidP="006E46AE">
            <w:pPr>
              <w:widowControl w:val="0"/>
              <w:autoSpaceDE w:val="0"/>
              <w:autoSpaceDN w:val="0"/>
              <w:adjustRightInd w:val="0"/>
              <w:jc w:val="center"/>
              <w:rPr>
                <w:sz w:val="22"/>
                <w:szCs w:val="22"/>
              </w:rPr>
            </w:pPr>
            <w:r w:rsidRPr="008550C6">
              <w:rPr>
                <w:sz w:val="22"/>
                <w:szCs w:val="22"/>
              </w:rPr>
              <w:t>(</w:t>
            </w:r>
            <w:r w:rsidR="00686D8E" w:rsidRPr="008550C6">
              <w:rPr>
                <w:sz w:val="22"/>
                <w:szCs w:val="22"/>
              </w:rPr>
              <w:t>4.12</w:t>
            </w:r>
            <w:r w:rsidRPr="008550C6">
              <w:rPr>
                <w:sz w:val="22"/>
                <w:szCs w:val="22"/>
              </w:rPr>
              <w:t>)</w:t>
            </w:r>
          </w:p>
        </w:tc>
        <w:tc>
          <w:tcPr>
            <w:tcW w:w="1254" w:type="pct"/>
            <w:tcBorders>
              <w:top w:val="nil"/>
              <w:left w:val="nil"/>
              <w:bottom w:val="nil"/>
              <w:right w:val="nil"/>
            </w:tcBorders>
          </w:tcPr>
          <w:p w14:paraId="3F967492" w14:textId="43DB53A4" w:rsidR="006E46AE" w:rsidRPr="008550C6" w:rsidRDefault="006E46AE" w:rsidP="006E46AE">
            <w:pPr>
              <w:widowControl w:val="0"/>
              <w:autoSpaceDE w:val="0"/>
              <w:autoSpaceDN w:val="0"/>
              <w:adjustRightInd w:val="0"/>
              <w:jc w:val="center"/>
              <w:rPr>
                <w:sz w:val="22"/>
                <w:szCs w:val="22"/>
              </w:rPr>
            </w:pPr>
            <w:r w:rsidRPr="008550C6">
              <w:rPr>
                <w:sz w:val="22"/>
                <w:szCs w:val="22"/>
              </w:rPr>
              <w:t>(3.</w:t>
            </w:r>
            <w:r w:rsidR="00244336" w:rsidRPr="008550C6">
              <w:rPr>
                <w:sz w:val="22"/>
                <w:szCs w:val="22"/>
              </w:rPr>
              <w:t>43</w:t>
            </w:r>
            <w:r w:rsidRPr="008550C6">
              <w:rPr>
                <w:sz w:val="22"/>
                <w:szCs w:val="22"/>
              </w:rPr>
              <w:t>)</w:t>
            </w:r>
          </w:p>
        </w:tc>
      </w:tr>
      <w:tr w:rsidR="008550C6" w:rsidRPr="008550C6" w14:paraId="66AB4587" w14:textId="77777777" w:rsidTr="00A96FAC">
        <w:trPr>
          <w:jc w:val="center"/>
        </w:trPr>
        <w:tc>
          <w:tcPr>
            <w:tcW w:w="2406" w:type="pct"/>
            <w:tcBorders>
              <w:top w:val="nil"/>
              <w:left w:val="nil"/>
              <w:bottom w:val="nil"/>
              <w:right w:val="single" w:sz="4" w:space="0" w:color="auto"/>
            </w:tcBorders>
          </w:tcPr>
          <w:p w14:paraId="2BD9A7A7" w14:textId="77777777" w:rsidR="006E46AE" w:rsidRPr="008550C6" w:rsidRDefault="006E46AE" w:rsidP="006E46AE">
            <w:pPr>
              <w:widowControl w:val="0"/>
              <w:autoSpaceDE w:val="0"/>
              <w:autoSpaceDN w:val="0"/>
              <w:adjustRightInd w:val="0"/>
              <w:rPr>
                <w:sz w:val="22"/>
                <w:szCs w:val="22"/>
              </w:rPr>
            </w:pPr>
            <w:r w:rsidRPr="008550C6">
              <w:rPr>
                <w:sz w:val="22"/>
                <w:szCs w:val="22"/>
              </w:rPr>
              <w:t>Constant</w:t>
            </w:r>
          </w:p>
        </w:tc>
        <w:tc>
          <w:tcPr>
            <w:tcW w:w="1340" w:type="pct"/>
            <w:tcBorders>
              <w:top w:val="nil"/>
              <w:left w:val="single" w:sz="4" w:space="0" w:color="auto"/>
              <w:bottom w:val="nil"/>
              <w:right w:val="nil"/>
            </w:tcBorders>
          </w:tcPr>
          <w:p w14:paraId="580179F9" w14:textId="40B8F933" w:rsidR="006E46AE" w:rsidRPr="008550C6" w:rsidRDefault="006E46AE" w:rsidP="006E46AE">
            <w:pPr>
              <w:widowControl w:val="0"/>
              <w:autoSpaceDE w:val="0"/>
              <w:autoSpaceDN w:val="0"/>
              <w:adjustRightInd w:val="0"/>
              <w:jc w:val="center"/>
              <w:rPr>
                <w:sz w:val="22"/>
                <w:szCs w:val="22"/>
              </w:rPr>
            </w:pPr>
            <w:r w:rsidRPr="008550C6">
              <w:rPr>
                <w:sz w:val="22"/>
                <w:szCs w:val="22"/>
              </w:rPr>
              <w:t>0.</w:t>
            </w:r>
            <w:r w:rsidR="00686D8E" w:rsidRPr="008550C6">
              <w:rPr>
                <w:sz w:val="22"/>
                <w:szCs w:val="22"/>
              </w:rPr>
              <w:t>375**</w:t>
            </w:r>
            <w:r w:rsidRPr="008550C6">
              <w:rPr>
                <w:sz w:val="22"/>
                <w:szCs w:val="22"/>
              </w:rPr>
              <w:t>*</w:t>
            </w:r>
          </w:p>
        </w:tc>
        <w:tc>
          <w:tcPr>
            <w:tcW w:w="1254" w:type="pct"/>
            <w:tcBorders>
              <w:top w:val="nil"/>
              <w:left w:val="nil"/>
              <w:bottom w:val="nil"/>
              <w:right w:val="nil"/>
            </w:tcBorders>
          </w:tcPr>
          <w:p w14:paraId="4BB12A29" w14:textId="555581E7" w:rsidR="006E46AE" w:rsidRPr="008550C6" w:rsidRDefault="006E46AE" w:rsidP="006E46AE">
            <w:pPr>
              <w:widowControl w:val="0"/>
              <w:autoSpaceDE w:val="0"/>
              <w:autoSpaceDN w:val="0"/>
              <w:adjustRightInd w:val="0"/>
              <w:jc w:val="center"/>
              <w:rPr>
                <w:sz w:val="22"/>
                <w:szCs w:val="22"/>
              </w:rPr>
            </w:pPr>
            <w:r w:rsidRPr="008550C6">
              <w:rPr>
                <w:sz w:val="22"/>
                <w:szCs w:val="22"/>
              </w:rPr>
              <w:t>-0.</w:t>
            </w:r>
            <w:r w:rsidR="00244336" w:rsidRPr="008550C6">
              <w:rPr>
                <w:sz w:val="22"/>
                <w:szCs w:val="22"/>
              </w:rPr>
              <w:t>4496</w:t>
            </w:r>
            <w:r w:rsidRPr="008550C6">
              <w:rPr>
                <w:sz w:val="22"/>
                <w:szCs w:val="22"/>
              </w:rPr>
              <w:t>**</w:t>
            </w:r>
          </w:p>
        </w:tc>
      </w:tr>
      <w:tr w:rsidR="008550C6" w:rsidRPr="008550C6" w14:paraId="16E5A3CD" w14:textId="77777777" w:rsidTr="00A96FAC">
        <w:trPr>
          <w:jc w:val="center"/>
        </w:trPr>
        <w:tc>
          <w:tcPr>
            <w:tcW w:w="2406" w:type="pct"/>
            <w:tcBorders>
              <w:top w:val="nil"/>
              <w:left w:val="nil"/>
              <w:bottom w:val="nil"/>
              <w:right w:val="single" w:sz="4" w:space="0" w:color="auto"/>
            </w:tcBorders>
          </w:tcPr>
          <w:p w14:paraId="539735B1" w14:textId="77777777" w:rsidR="006E46AE" w:rsidRPr="008550C6" w:rsidRDefault="006E46AE" w:rsidP="006E46AE">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6AF3A57C" w14:textId="686C5F9D" w:rsidR="006E46AE" w:rsidRPr="008550C6" w:rsidRDefault="006E46AE" w:rsidP="006E46AE">
            <w:pPr>
              <w:widowControl w:val="0"/>
              <w:autoSpaceDE w:val="0"/>
              <w:autoSpaceDN w:val="0"/>
              <w:adjustRightInd w:val="0"/>
              <w:jc w:val="center"/>
              <w:rPr>
                <w:sz w:val="22"/>
                <w:szCs w:val="22"/>
              </w:rPr>
            </w:pPr>
            <w:r w:rsidRPr="008550C6">
              <w:rPr>
                <w:sz w:val="22"/>
                <w:szCs w:val="22"/>
              </w:rPr>
              <w:t>(</w:t>
            </w:r>
            <w:r w:rsidR="00686D8E" w:rsidRPr="008550C6">
              <w:rPr>
                <w:sz w:val="22"/>
                <w:szCs w:val="22"/>
              </w:rPr>
              <w:t>3.12</w:t>
            </w:r>
            <w:r w:rsidRPr="008550C6">
              <w:rPr>
                <w:sz w:val="22"/>
                <w:szCs w:val="22"/>
              </w:rPr>
              <w:t>)</w:t>
            </w:r>
          </w:p>
        </w:tc>
        <w:tc>
          <w:tcPr>
            <w:tcW w:w="1254" w:type="pct"/>
            <w:tcBorders>
              <w:top w:val="nil"/>
              <w:left w:val="nil"/>
              <w:bottom w:val="nil"/>
              <w:right w:val="nil"/>
            </w:tcBorders>
          </w:tcPr>
          <w:p w14:paraId="20206C40" w14:textId="72E1A3CA" w:rsidR="006E46AE" w:rsidRPr="008550C6" w:rsidRDefault="006E46AE" w:rsidP="006E46AE">
            <w:pPr>
              <w:widowControl w:val="0"/>
              <w:autoSpaceDE w:val="0"/>
              <w:autoSpaceDN w:val="0"/>
              <w:adjustRightInd w:val="0"/>
              <w:jc w:val="center"/>
              <w:rPr>
                <w:sz w:val="22"/>
                <w:szCs w:val="22"/>
              </w:rPr>
            </w:pPr>
            <w:r w:rsidRPr="008550C6">
              <w:rPr>
                <w:sz w:val="22"/>
                <w:szCs w:val="22"/>
              </w:rPr>
              <w:t>(2.</w:t>
            </w:r>
            <w:r w:rsidR="00244336" w:rsidRPr="008550C6">
              <w:rPr>
                <w:sz w:val="22"/>
                <w:szCs w:val="22"/>
              </w:rPr>
              <w:t>12</w:t>
            </w:r>
            <w:r w:rsidRPr="008550C6">
              <w:rPr>
                <w:sz w:val="22"/>
                <w:szCs w:val="22"/>
              </w:rPr>
              <w:t>)</w:t>
            </w:r>
          </w:p>
        </w:tc>
      </w:tr>
      <w:tr w:rsidR="008550C6" w:rsidRPr="008550C6" w14:paraId="5AF2A4B9" w14:textId="77777777" w:rsidTr="00A96FAC">
        <w:trPr>
          <w:jc w:val="center"/>
        </w:trPr>
        <w:tc>
          <w:tcPr>
            <w:tcW w:w="2406" w:type="pct"/>
            <w:tcBorders>
              <w:top w:val="nil"/>
              <w:left w:val="nil"/>
              <w:bottom w:val="nil"/>
              <w:right w:val="single" w:sz="4" w:space="0" w:color="auto"/>
            </w:tcBorders>
          </w:tcPr>
          <w:p w14:paraId="02C9AD11" w14:textId="77777777" w:rsidR="006E46AE" w:rsidRPr="008550C6" w:rsidRDefault="006E46AE" w:rsidP="006E46AE">
            <w:pPr>
              <w:widowControl w:val="0"/>
              <w:autoSpaceDE w:val="0"/>
              <w:autoSpaceDN w:val="0"/>
              <w:adjustRightInd w:val="0"/>
              <w:rPr>
                <w:sz w:val="22"/>
                <w:szCs w:val="22"/>
              </w:rPr>
            </w:pPr>
          </w:p>
        </w:tc>
        <w:tc>
          <w:tcPr>
            <w:tcW w:w="1340" w:type="pct"/>
            <w:tcBorders>
              <w:top w:val="nil"/>
              <w:left w:val="single" w:sz="4" w:space="0" w:color="auto"/>
              <w:bottom w:val="nil"/>
              <w:right w:val="nil"/>
            </w:tcBorders>
          </w:tcPr>
          <w:p w14:paraId="0E01247E" w14:textId="77777777" w:rsidR="006E46AE" w:rsidRPr="008550C6" w:rsidRDefault="006E46AE" w:rsidP="006E46AE">
            <w:pPr>
              <w:widowControl w:val="0"/>
              <w:autoSpaceDE w:val="0"/>
              <w:autoSpaceDN w:val="0"/>
              <w:adjustRightInd w:val="0"/>
              <w:jc w:val="center"/>
              <w:rPr>
                <w:sz w:val="22"/>
                <w:szCs w:val="22"/>
              </w:rPr>
            </w:pPr>
          </w:p>
        </w:tc>
        <w:tc>
          <w:tcPr>
            <w:tcW w:w="1254" w:type="pct"/>
            <w:tcBorders>
              <w:top w:val="nil"/>
              <w:left w:val="nil"/>
              <w:bottom w:val="nil"/>
              <w:right w:val="nil"/>
            </w:tcBorders>
          </w:tcPr>
          <w:p w14:paraId="5CE1BBE8" w14:textId="77777777" w:rsidR="006E46AE" w:rsidRPr="008550C6" w:rsidRDefault="006E46AE" w:rsidP="006E46AE">
            <w:pPr>
              <w:widowControl w:val="0"/>
              <w:autoSpaceDE w:val="0"/>
              <w:autoSpaceDN w:val="0"/>
              <w:adjustRightInd w:val="0"/>
              <w:jc w:val="center"/>
              <w:rPr>
                <w:sz w:val="22"/>
                <w:szCs w:val="22"/>
              </w:rPr>
            </w:pPr>
          </w:p>
        </w:tc>
      </w:tr>
      <w:tr w:rsidR="008550C6" w:rsidRPr="008550C6" w14:paraId="3A69FF3E" w14:textId="77777777" w:rsidTr="00A96FAC">
        <w:tblPrEx>
          <w:tblBorders>
            <w:bottom w:val="single" w:sz="6" w:space="0" w:color="auto"/>
          </w:tblBorders>
        </w:tblPrEx>
        <w:trPr>
          <w:jc w:val="center"/>
        </w:trPr>
        <w:tc>
          <w:tcPr>
            <w:tcW w:w="2406" w:type="pct"/>
            <w:tcBorders>
              <w:top w:val="nil"/>
              <w:left w:val="nil"/>
              <w:bottom w:val="nil"/>
              <w:right w:val="single" w:sz="4" w:space="0" w:color="auto"/>
            </w:tcBorders>
          </w:tcPr>
          <w:p w14:paraId="29A62733" w14:textId="77777777" w:rsidR="006E46AE" w:rsidRPr="008550C6" w:rsidRDefault="006E46AE" w:rsidP="006E46AE">
            <w:pPr>
              <w:widowControl w:val="0"/>
              <w:autoSpaceDE w:val="0"/>
              <w:autoSpaceDN w:val="0"/>
              <w:adjustRightInd w:val="0"/>
              <w:rPr>
                <w:sz w:val="22"/>
                <w:szCs w:val="22"/>
              </w:rPr>
            </w:pPr>
            <w:r w:rsidRPr="008550C6">
              <w:rPr>
                <w:sz w:val="22"/>
                <w:szCs w:val="22"/>
              </w:rPr>
              <w:t>R-squared</w:t>
            </w:r>
          </w:p>
        </w:tc>
        <w:tc>
          <w:tcPr>
            <w:tcW w:w="1340" w:type="pct"/>
            <w:tcBorders>
              <w:top w:val="nil"/>
              <w:left w:val="single" w:sz="4" w:space="0" w:color="auto"/>
              <w:bottom w:val="nil"/>
              <w:right w:val="nil"/>
            </w:tcBorders>
          </w:tcPr>
          <w:p w14:paraId="663A88C5" w14:textId="3AAE9140" w:rsidR="006E46AE" w:rsidRPr="008550C6" w:rsidRDefault="006E46AE" w:rsidP="006E46AE">
            <w:pPr>
              <w:widowControl w:val="0"/>
              <w:autoSpaceDE w:val="0"/>
              <w:autoSpaceDN w:val="0"/>
              <w:adjustRightInd w:val="0"/>
              <w:jc w:val="center"/>
              <w:rPr>
                <w:sz w:val="22"/>
                <w:szCs w:val="22"/>
              </w:rPr>
            </w:pPr>
            <w:r w:rsidRPr="008550C6">
              <w:rPr>
                <w:sz w:val="22"/>
                <w:szCs w:val="22"/>
              </w:rPr>
              <w:t>0.4</w:t>
            </w:r>
            <w:r w:rsidR="00686D8E" w:rsidRPr="008550C6">
              <w:rPr>
                <w:sz w:val="22"/>
                <w:szCs w:val="22"/>
              </w:rPr>
              <w:t>617</w:t>
            </w:r>
          </w:p>
        </w:tc>
        <w:tc>
          <w:tcPr>
            <w:tcW w:w="1254" w:type="pct"/>
            <w:tcBorders>
              <w:top w:val="nil"/>
              <w:left w:val="nil"/>
              <w:bottom w:val="nil"/>
              <w:right w:val="nil"/>
            </w:tcBorders>
          </w:tcPr>
          <w:p w14:paraId="6E9DE513" w14:textId="6BE1E3BF" w:rsidR="006E46AE" w:rsidRPr="008550C6" w:rsidRDefault="006E46AE" w:rsidP="006E46AE">
            <w:pPr>
              <w:widowControl w:val="0"/>
              <w:autoSpaceDE w:val="0"/>
              <w:autoSpaceDN w:val="0"/>
              <w:adjustRightInd w:val="0"/>
              <w:jc w:val="center"/>
              <w:rPr>
                <w:sz w:val="22"/>
                <w:szCs w:val="22"/>
              </w:rPr>
            </w:pPr>
            <w:r w:rsidRPr="008550C6">
              <w:rPr>
                <w:sz w:val="22"/>
                <w:szCs w:val="22"/>
              </w:rPr>
              <w:t>0.4</w:t>
            </w:r>
            <w:r w:rsidR="00244336" w:rsidRPr="008550C6">
              <w:rPr>
                <w:sz w:val="22"/>
                <w:szCs w:val="22"/>
              </w:rPr>
              <w:t>751</w:t>
            </w:r>
          </w:p>
        </w:tc>
      </w:tr>
      <w:tr w:rsidR="008550C6" w:rsidRPr="008550C6" w14:paraId="19560FA5" w14:textId="77777777" w:rsidTr="00A96FAC">
        <w:trPr>
          <w:jc w:val="center"/>
        </w:trPr>
        <w:tc>
          <w:tcPr>
            <w:tcW w:w="2406" w:type="pct"/>
            <w:tcBorders>
              <w:top w:val="nil"/>
              <w:left w:val="nil"/>
              <w:bottom w:val="nil"/>
              <w:right w:val="single" w:sz="4" w:space="0" w:color="auto"/>
            </w:tcBorders>
          </w:tcPr>
          <w:p w14:paraId="0F71B263" w14:textId="77777777" w:rsidR="006E46AE" w:rsidRPr="008550C6" w:rsidRDefault="006E46AE" w:rsidP="006E46AE">
            <w:pPr>
              <w:widowControl w:val="0"/>
              <w:autoSpaceDE w:val="0"/>
              <w:autoSpaceDN w:val="0"/>
              <w:adjustRightInd w:val="0"/>
              <w:rPr>
                <w:sz w:val="22"/>
                <w:szCs w:val="22"/>
              </w:rPr>
            </w:pPr>
            <w:r w:rsidRPr="008550C6">
              <w:rPr>
                <w:sz w:val="22"/>
                <w:szCs w:val="22"/>
              </w:rPr>
              <w:t>Observations</w:t>
            </w:r>
          </w:p>
        </w:tc>
        <w:tc>
          <w:tcPr>
            <w:tcW w:w="1340" w:type="pct"/>
            <w:tcBorders>
              <w:top w:val="nil"/>
              <w:left w:val="single" w:sz="4" w:space="0" w:color="auto"/>
              <w:bottom w:val="nil"/>
              <w:right w:val="nil"/>
            </w:tcBorders>
          </w:tcPr>
          <w:p w14:paraId="17D530AC" w14:textId="560CBA25" w:rsidR="006E46AE" w:rsidRPr="008550C6" w:rsidRDefault="006E46AE" w:rsidP="006E46AE">
            <w:pPr>
              <w:widowControl w:val="0"/>
              <w:autoSpaceDE w:val="0"/>
              <w:autoSpaceDN w:val="0"/>
              <w:adjustRightInd w:val="0"/>
              <w:jc w:val="center"/>
              <w:rPr>
                <w:sz w:val="22"/>
                <w:szCs w:val="22"/>
              </w:rPr>
            </w:pPr>
            <w:r w:rsidRPr="008550C6">
              <w:rPr>
                <w:sz w:val="22"/>
                <w:szCs w:val="22"/>
              </w:rPr>
              <w:t>2,499</w:t>
            </w:r>
          </w:p>
        </w:tc>
        <w:tc>
          <w:tcPr>
            <w:tcW w:w="1254" w:type="pct"/>
            <w:tcBorders>
              <w:top w:val="nil"/>
              <w:left w:val="nil"/>
              <w:bottom w:val="nil"/>
              <w:right w:val="nil"/>
            </w:tcBorders>
          </w:tcPr>
          <w:p w14:paraId="68B8EC81" w14:textId="77777777" w:rsidR="006E46AE" w:rsidRPr="008550C6" w:rsidRDefault="006E46AE" w:rsidP="006E46AE">
            <w:pPr>
              <w:widowControl w:val="0"/>
              <w:autoSpaceDE w:val="0"/>
              <w:autoSpaceDN w:val="0"/>
              <w:adjustRightInd w:val="0"/>
              <w:jc w:val="center"/>
              <w:rPr>
                <w:sz w:val="22"/>
                <w:szCs w:val="22"/>
              </w:rPr>
            </w:pPr>
            <w:r w:rsidRPr="008550C6">
              <w:rPr>
                <w:sz w:val="22"/>
                <w:szCs w:val="22"/>
              </w:rPr>
              <w:t>2,499</w:t>
            </w:r>
          </w:p>
        </w:tc>
      </w:tr>
      <w:tr w:rsidR="008550C6" w:rsidRPr="008550C6" w14:paraId="35261891" w14:textId="77777777" w:rsidTr="00A96FAC">
        <w:trPr>
          <w:jc w:val="center"/>
        </w:trPr>
        <w:tc>
          <w:tcPr>
            <w:tcW w:w="2406" w:type="pct"/>
            <w:tcBorders>
              <w:top w:val="nil"/>
              <w:left w:val="nil"/>
              <w:bottom w:val="nil"/>
              <w:right w:val="single" w:sz="4" w:space="0" w:color="auto"/>
            </w:tcBorders>
          </w:tcPr>
          <w:p w14:paraId="15A2ED4F" w14:textId="77777777" w:rsidR="006E46AE" w:rsidRPr="008550C6" w:rsidRDefault="006E46AE" w:rsidP="006E46AE">
            <w:pPr>
              <w:widowControl w:val="0"/>
              <w:autoSpaceDE w:val="0"/>
              <w:autoSpaceDN w:val="0"/>
              <w:adjustRightInd w:val="0"/>
              <w:rPr>
                <w:sz w:val="22"/>
                <w:szCs w:val="22"/>
              </w:rPr>
            </w:pPr>
            <w:r w:rsidRPr="008550C6">
              <w:rPr>
                <w:sz w:val="22"/>
                <w:szCs w:val="22"/>
              </w:rPr>
              <w:t>Number of states</w:t>
            </w:r>
          </w:p>
        </w:tc>
        <w:tc>
          <w:tcPr>
            <w:tcW w:w="1340" w:type="pct"/>
            <w:tcBorders>
              <w:top w:val="nil"/>
              <w:left w:val="single" w:sz="4" w:space="0" w:color="auto"/>
              <w:bottom w:val="nil"/>
              <w:right w:val="nil"/>
            </w:tcBorders>
          </w:tcPr>
          <w:p w14:paraId="2676A44D" w14:textId="67FD2C5A" w:rsidR="006E46AE" w:rsidRPr="008550C6" w:rsidRDefault="006E46AE" w:rsidP="006E46AE">
            <w:pPr>
              <w:widowControl w:val="0"/>
              <w:autoSpaceDE w:val="0"/>
              <w:autoSpaceDN w:val="0"/>
              <w:adjustRightInd w:val="0"/>
              <w:jc w:val="center"/>
              <w:rPr>
                <w:sz w:val="22"/>
                <w:szCs w:val="22"/>
              </w:rPr>
            </w:pPr>
            <w:r w:rsidRPr="008550C6">
              <w:rPr>
                <w:sz w:val="22"/>
                <w:szCs w:val="22"/>
              </w:rPr>
              <w:t>51</w:t>
            </w:r>
          </w:p>
        </w:tc>
        <w:tc>
          <w:tcPr>
            <w:tcW w:w="1254" w:type="pct"/>
            <w:tcBorders>
              <w:top w:val="nil"/>
              <w:left w:val="nil"/>
              <w:bottom w:val="nil"/>
              <w:right w:val="nil"/>
            </w:tcBorders>
          </w:tcPr>
          <w:p w14:paraId="3089E515" w14:textId="77777777" w:rsidR="006E46AE" w:rsidRPr="008550C6" w:rsidRDefault="006E46AE" w:rsidP="006E46AE">
            <w:pPr>
              <w:widowControl w:val="0"/>
              <w:autoSpaceDE w:val="0"/>
              <w:autoSpaceDN w:val="0"/>
              <w:adjustRightInd w:val="0"/>
              <w:jc w:val="center"/>
              <w:rPr>
                <w:sz w:val="22"/>
                <w:szCs w:val="22"/>
              </w:rPr>
            </w:pPr>
            <w:r w:rsidRPr="008550C6">
              <w:rPr>
                <w:sz w:val="22"/>
                <w:szCs w:val="22"/>
              </w:rPr>
              <w:t>51</w:t>
            </w:r>
          </w:p>
        </w:tc>
      </w:tr>
      <w:tr w:rsidR="008550C6" w:rsidRPr="008550C6" w14:paraId="2A95C9F5" w14:textId="77777777" w:rsidTr="00A96FAC">
        <w:tblPrEx>
          <w:tblBorders>
            <w:bottom w:val="single" w:sz="6" w:space="0" w:color="auto"/>
          </w:tblBorders>
        </w:tblPrEx>
        <w:trPr>
          <w:jc w:val="center"/>
        </w:trPr>
        <w:tc>
          <w:tcPr>
            <w:tcW w:w="2406" w:type="pct"/>
            <w:tcBorders>
              <w:top w:val="nil"/>
              <w:left w:val="nil"/>
              <w:bottom w:val="single" w:sz="6" w:space="0" w:color="auto"/>
              <w:right w:val="single" w:sz="4" w:space="0" w:color="auto"/>
            </w:tcBorders>
          </w:tcPr>
          <w:p w14:paraId="11894686" w14:textId="77777777" w:rsidR="006E46AE" w:rsidRPr="008550C6" w:rsidRDefault="006E46AE" w:rsidP="006E46AE">
            <w:pPr>
              <w:widowControl w:val="0"/>
              <w:autoSpaceDE w:val="0"/>
              <w:autoSpaceDN w:val="0"/>
              <w:adjustRightInd w:val="0"/>
              <w:rPr>
                <w:sz w:val="22"/>
                <w:szCs w:val="22"/>
              </w:rPr>
            </w:pPr>
            <w:r w:rsidRPr="008550C6">
              <w:rPr>
                <w:sz w:val="22"/>
                <w:szCs w:val="22"/>
              </w:rPr>
              <w:t>Wald Chi 2 [p-value]</w:t>
            </w:r>
          </w:p>
        </w:tc>
        <w:tc>
          <w:tcPr>
            <w:tcW w:w="1340" w:type="pct"/>
            <w:tcBorders>
              <w:top w:val="nil"/>
              <w:left w:val="single" w:sz="4" w:space="0" w:color="auto"/>
              <w:bottom w:val="single" w:sz="6" w:space="0" w:color="auto"/>
              <w:right w:val="nil"/>
            </w:tcBorders>
          </w:tcPr>
          <w:p w14:paraId="5A633FF8" w14:textId="4160B06E" w:rsidR="006E46AE" w:rsidRPr="008550C6" w:rsidRDefault="006E46AE" w:rsidP="006E46AE">
            <w:pPr>
              <w:widowControl w:val="0"/>
              <w:autoSpaceDE w:val="0"/>
              <w:autoSpaceDN w:val="0"/>
              <w:adjustRightInd w:val="0"/>
              <w:jc w:val="center"/>
              <w:rPr>
                <w:sz w:val="22"/>
                <w:szCs w:val="22"/>
              </w:rPr>
            </w:pPr>
            <w:r w:rsidRPr="008550C6">
              <w:rPr>
                <w:sz w:val="22"/>
                <w:szCs w:val="22"/>
              </w:rPr>
              <w:t>0.000***</w:t>
            </w:r>
          </w:p>
        </w:tc>
        <w:tc>
          <w:tcPr>
            <w:tcW w:w="1254" w:type="pct"/>
            <w:tcBorders>
              <w:top w:val="nil"/>
              <w:left w:val="nil"/>
              <w:bottom w:val="single" w:sz="6" w:space="0" w:color="auto"/>
              <w:right w:val="nil"/>
            </w:tcBorders>
          </w:tcPr>
          <w:p w14:paraId="2C99FD43" w14:textId="77777777" w:rsidR="006E46AE" w:rsidRPr="008550C6" w:rsidRDefault="006E46AE" w:rsidP="006E46AE">
            <w:pPr>
              <w:widowControl w:val="0"/>
              <w:autoSpaceDE w:val="0"/>
              <w:autoSpaceDN w:val="0"/>
              <w:adjustRightInd w:val="0"/>
              <w:jc w:val="center"/>
              <w:rPr>
                <w:sz w:val="22"/>
                <w:szCs w:val="22"/>
              </w:rPr>
            </w:pPr>
            <w:r w:rsidRPr="008550C6">
              <w:rPr>
                <w:sz w:val="22"/>
                <w:szCs w:val="22"/>
              </w:rPr>
              <w:t>0.000***</w:t>
            </w:r>
          </w:p>
        </w:tc>
      </w:tr>
    </w:tbl>
    <w:p w14:paraId="4F7194F1" w14:textId="0E8256EC" w:rsidR="000B2614" w:rsidRPr="00472A6C" w:rsidRDefault="000B2614" w:rsidP="008550C6">
      <w:pPr>
        <w:jc w:val="both"/>
        <w:rPr>
          <w:rFonts w:asciiTheme="majorBidi" w:hAnsiTheme="majorBidi" w:cstheme="majorBidi"/>
        </w:rPr>
      </w:pPr>
      <w:r w:rsidRPr="008550C6">
        <w:rPr>
          <w:rFonts w:asciiTheme="majorBidi" w:hAnsiTheme="majorBidi" w:cstheme="majorBidi"/>
          <w:i/>
          <w:iCs/>
          <w:sz w:val="18"/>
          <w:szCs w:val="18"/>
        </w:rPr>
        <w:t xml:space="preserve">Note: </w:t>
      </w:r>
      <w:r w:rsidRPr="00472A6C">
        <w:rPr>
          <w:rFonts w:asciiTheme="majorBidi" w:hAnsiTheme="majorBidi" w:cstheme="majorBidi"/>
          <w:sz w:val="18"/>
          <w:szCs w:val="18"/>
          <w:lang w:val="en-US" w:eastAsia="en-US"/>
          <w14:ligatures w14:val="standardContextual"/>
        </w:rPr>
        <w:t xml:space="preserve">This table reports regression results on the association between bootstrap variable return to scale efficiency score and </w:t>
      </w:r>
      <w:r w:rsidR="00B02463" w:rsidRPr="00472A6C">
        <w:rPr>
          <w:rFonts w:asciiTheme="majorBidi" w:hAnsiTheme="majorBidi" w:cstheme="majorBidi"/>
          <w:sz w:val="18"/>
          <w:szCs w:val="18"/>
          <w:lang w:val="en-US" w:eastAsia="en-US"/>
          <w14:ligatures w14:val="standardContextual"/>
        </w:rPr>
        <w:t xml:space="preserve">the Democratic seats </w:t>
      </w:r>
      <w:r w:rsidR="00A54708" w:rsidRPr="00472A6C">
        <w:rPr>
          <w:rFonts w:asciiTheme="majorBidi" w:hAnsiTheme="majorBidi" w:cstheme="majorBidi"/>
          <w:sz w:val="18"/>
          <w:szCs w:val="18"/>
          <w:lang w:val="en-US" w:eastAsia="en-US"/>
          <w14:ligatures w14:val="standardContextual"/>
        </w:rPr>
        <w:t>in the House of Representative</w:t>
      </w:r>
      <w:r w:rsidR="00A54708" w:rsidRPr="00472A6C">
        <w:rPr>
          <w:sz w:val="22"/>
          <w:szCs w:val="22"/>
        </w:rPr>
        <w:t xml:space="preserve"> </w:t>
      </w:r>
      <w:r w:rsidR="00B02463" w:rsidRPr="00472A6C">
        <w:rPr>
          <w:rFonts w:asciiTheme="majorBidi" w:hAnsiTheme="majorBidi" w:cstheme="majorBidi"/>
          <w:sz w:val="18"/>
          <w:szCs w:val="18"/>
          <w:lang w:val="en-US" w:eastAsia="en-US"/>
          <w14:ligatures w14:val="standardContextual"/>
        </w:rPr>
        <w:t xml:space="preserve">and </w:t>
      </w:r>
      <w:r w:rsidR="00A54708" w:rsidRPr="00472A6C">
        <w:rPr>
          <w:rFonts w:asciiTheme="majorBidi" w:hAnsiTheme="majorBidi" w:cstheme="majorBidi"/>
          <w:sz w:val="18"/>
          <w:szCs w:val="18"/>
          <w:lang w:val="en-US" w:eastAsia="en-US"/>
          <w14:ligatures w14:val="standardContextual"/>
        </w:rPr>
        <w:t xml:space="preserve">Democratic </w:t>
      </w:r>
      <w:r w:rsidR="00B02463" w:rsidRPr="00472A6C">
        <w:rPr>
          <w:rFonts w:asciiTheme="majorBidi" w:hAnsiTheme="majorBidi" w:cstheme="majorBidi"/>
          <w:sz w:val="18"/>
          <w:szCs w:val="18"/>
          <w:lang w:val="en-US" w:eastAsia="en-US"/>
          <w14:ligatures w14:val="standardContextual"/>
        </w:rPr>
        <w:t xml:space="preserve">senators </w:t>
      </w:r>
      <w:r w:rsidR="00A54708" w:rsidRPr="00472A6C">
        <w:rPr>
          <w:rFonts w:asciiTheme="majorBidi" w:hAnsiTheme="majorBidi" w:cstheme="majorBidi"/>
          <w:sz w:val="18"/>
          <w:szCs w:val="18"/>
          <w:lang w:val="en-US" w:eastAsia="en-US"/>
          <w14:ligatures w14:val="standardContextual"/>
        </w:rPr>
        <w:t xml:space="preserve">in the Senate </w:t>
      </w:r>
      <w:r w:rsidRPr="00472A6C">
        <w:rPr>
          <w:rFonts w:asciiTheme="majorBidi" w:hAnsiTheme="majorBidi" w:cstheme="majorBidi"/>
          <w:sz w:val="18"/>
          <w:szCs w:val="18"/>
          <w:lang w:val="en-US" w:eastAsia="en-US"/>
          <w14:ligatures w14:val="standardContextual"/>
        </w:rPr>
        <w:t xml:space="preserve">following Spatial Tobit model (STM). </w:t>
      </w:r>
      <w:r w:rsidRPr="00472A6C">
        <w:rPr>
          <w:rFonts w:asciiTheme="majorBidi" w:hAnsiTheme="majorBidi" w:cstheme="majorBidi"/>
          <w:sz w:val="18"/>
          <w:szCs w:val="18"/>
        </w:rPr>
        <w:t xml:space="preserve">The variables’ coefficients and t-statistics (in brackets) are reported in the table; ***, **, * denote significance at the 1%, 5%, and 10% levels, respectively. </w:t>
      </w:r>
      <w:r w:rsidR="00B02463" w:rsidRPr="007E4ED2">
        <w:rPr>
          <w:rFonts w:asciiTheme="majorBidi" w:hAnsiTheme="majorBidi" w:cstheme="majorBidi"/>
          <w:i/>
          <w:iCs/>
          <w:sz w:val="18"/>
          <w:szCs w:val="18"/>
        </w:rPr>
        <w:t>House-Dem-Seats</w:t>
      </w:r>
      <w:r w:rsidRPr="00472A6C">
        <w:rPr>
          <w:rFonts w:asciiTheme="majorBidi" w:hAnsiTheme="majorBidi" w:cstheme="majorBidi"/>
          <w:sz w:val="18"/>
          <w:szCs w:val="18"/>
        </w:rPr>
        <w:t xml:space="preserve">: </w:t>
      </w:r>
      <w:r w:rsidR="00686D8E" w:rsidRPr="00472A6C">
        <w:rPr>
          <w:rFonts w:asciiTheme="majorBidi" w:hAnsiTheme="majorBidi" w:cstheme="majorBidi"/>
          <w:sz w:val="18"/>
          <w:szCs w:val="18"/>
        </w:rPr>
        <w:t xml:space="preserve">Logarithm of the number </w:t>
      </w:r>
      <w:r w:rsidR="00B02463" w:rsidRPr="00472A6C">
        <w:rPr>
          <w:rFonts w:asciiTheme="majorBidi" w:hAnsiTheme="majorBidi" w:cstheme="majorBidi"/>
          <w:sz w:val="18"/>
          <w:szCs w:val="18"/>
        </w:rPr>
        <w:t>of Democrat seats in the House of Representative</w:t>
      </w:r>
      <w:r w:rsidRPr="00472A6C">
        <w:rPr>
          <w:rFonts w:asciiTheme="majorBidi" w:hAnsiTheme="majorBidi" w:cstheme="majorBidi"/>
          <w:sz w:val="18"/>
          <w:szCs w:val="18"/>
        </w:rPr>
        <w:t xml:space="preserve">; </w:t>
      </w:r>
      <w:r w:rsidR="00A54708" w:rsidRPr="007E4ED2">
        <w:rPr>
          <w:rFonts w:asciiTheme="majorBidi" w:hAnsiTheme="majorBidi" w:cstheme="majorBidi"/>
          <w:i/>
          <w:iCs/>
          <w:sz w:val="18"/>
          <w:szCs w:val="18"/>
        </w:rPr>
        <w:t>Senate</w:t>
      </w:r>
      <w:r w:rsidR="00B02463" w:rsidRPr="007E4ED2">
        <w:rPr>
          <w:rFonts w:asciiTheme="majorBidi" w:hAnsiTheme="majorBidi" w:cstheme="majorBidi"/>
          <w:i/>
          <w:iCs/>
          <w:sz w:val="18"/>
          <w:szCs w:val="18"/>
        </w:rPr>
        <w:t>-Dem-Senators</w:t>
      </w:r>
      <w:r w:rsidRPr="00472A6C">
        <w:rPr>
          <w:rFonts w:asciiTheme="majorBidi" w:hAnsiTheme="majorBidi" w:cstheme="majorBidi"/>
          <w:sz w:val="18"/>
          <w:szCs w:val="18"/>
        </w:rPr>
        <w:t xml:space="preserve">: </w:t>
      </w:r>
      <w:r w:rsidR="00686D8E" w:rsidRPr="00472A6C">
        <w:rPr>
          <w:rFonts w:asciiTheme="majorBidi" w:hAnsiTheme="majorBidi" w:cstheme="majorBidi"/>
          <w:sz w:val="18"/>
          <w:szCs w:val="18"/>
        </w:rPr>
        <w:t xml:space="preserve">Logarithm of the number </w:t>
      </w:r>
      <w:r w:rsidR="00B02463" w:rsidRPr="00472A6C">
        <w:rPr>
          <w:rFonts w:asciiTheme="majorBidi" w:hAnsiTheme="majorBidi" w:cstheme="majorBidi"/>
          <w:sz w:val="18"/>
          <w:szCs w:val="18"/>
        </w:rPr>
        <w:t xml:space="preserve">of Democrat senators in the </w:t>
      </w:r>
      <w:r w:rsidR="00A54708" w:rsidRPr="00472A6C">
        <w:rPr>
          <w:rFonts w:asciiTheme="majorBidi" w:hAnsiTheme="majorBidi" w:cstheme="majorBidi"/>
          <w:sz w:val="18"/>
          <w:szCs w:val="18"/>
        </w:rPr>
        <w:t>Senate</w:t>
      </w:r>
      <w:r w:rsidRPr="00472A6C">
        <w:rPr>
          <w:rFonts w:asciiTheme="majorBidi" w:hAnsiTheme="majorBidi" w:cstheme="majorBidi"/>
          <w:sz w:val="18"/>
          <w:szCs w:val="18"/>
        </w:rPr>
        <w:t>.</w:t>
      </w:r>
    </w:p>
    <w:p w14:paraId="37985C6C" w14:textId="77777777" w:rsidR="000B2614" w:rsidRDefault="000B2614" w:rsidP="00B3500A">
      <w:pPr>
        <w:rPr>
          <w:b/>
          <w:bCs/>
          <w:sz w:val="22"/>
          <w:szCs w:val="22"/>
        </w:rPr>
      </w:pPr>
    </w:p>
    <w:p w14:paraId="46CF739D" w14:textId="77777777" w:rsidR="000B2614" w:rsidRDefault="000B2614" w:rsidP="00B3500A">
      <w:pPr>
        <w:rPr>
          <w:b/>
          <w:bCs/>
          <w:sz w:val="22"/>
          <w:szCs w:val="22"/>
        </w:rPr>
      </w:pPr>
    </w:p>
    <w:p w14:paraId="6BE9287C" w14:textId="77777777" w:rsidR="000B2614" w:rsidRDefault="000B2614" w:rsidP="00B3500A">
      <w:pPr>
        <w:rPr>
          <w:b/>
          <w:bCs/>
          <w:sz w:val="22"/>
          <w:szCs w:val="22"/>
        </w:rPr>
      </w:pPr>
    </w:p>
    <w:p w14:paraId="5C7C118F" w14:textId="77777777" w:rsidR="006E46AE" w:rsidRDefault="006E46AE" w:rsidP="00B3500A">
      <w:pPr>
        <w:rPr>
          <w:b/>
          <w:bCs/>
          <w:sz w:val="22"/>
          <w:szCs w:val="22"/>
        </w:rPr>
      </w:pPr>
    </w:p>
    <w:p w14:paraId="722D9A68" w14:textId="77777777" w:rsidR="006E46AE" w:rsidRDefault="006E46AE" w:rsidP="00B3500A">
      <w:pPr>
        <w:rPr>
          <w:b/>
          <w:bCs/>
          <w:sz w:val="22"/>
          <w:szCs w:val="22"/>
        </w:rPr>
      </w:pPr>
    </w:p>
    <w:p w14:paraId="660AE4B5" w14:textId="77777777" w:rsidR="006E46AE" w:rsidRDefault="006E46AE" w:rsidP="00B3500A">
      <w:pPr>
        <w:rPr>
          <w:b/>
          <w:bCs/>
          <w:sz w:val="22"/>
          <w:szCs w:val="22"/>
        </w:rPr>
      </w:pPr>
    </w:p>
    <w:p w14:paraId="2F968E54" w14:textId="77777777" w:rsidR="006E46AE" w:rsidRDefault="006E46AE" w:rsidP="00B3500A">
      <w:pPr>
        <w:rPr>
          <w:b/>
          <w:bCs/>
          <w:sz w:val="22"/>
          <w:szCs w:val="22"/>
        </w:rPr>
      </w:pPr>
    </w:p>
    <w:p w14:paraId="384E2113" w14:textId="77777777" w:rsidR="00043F8E" w:rsidRDefault="00043F8E" w:rsidP="00B3500A">
      <w:pPr>
        <w:rPr>
          <w:b/>
          <w:bCs/>
          <w:sz w:val="22"/>
          <w:szCs w:val="22"/>
        </w:rPr>
      </w:pPr>
    </w:p>
    <w:p w14:paraId="45826EC4" w14:textId="77777777" w:rsidR="00043F8E" w:rsidRDefault="00043F8E" w:rsidP="00B3500A">
      <w:pPr>
        <w:rPr>
          <w:b/>
          <w:bCs/>
          <w:sz w:val="22"/>
          <w:szCs w:val="22"/>
        </w:rPr>
      </w:pPr>
    </w:p>
    <w:p w14:paraId="2F70BF8C" w14:textId="77777777" w:rsidR="00043F8E" w:rsidRDefault="00043F8E" w:rsidP="00B3500A">
      <w:pPr>
        <w:rPr>
          <w:b/>
          <w:bCs/>
          <w:sz w:val="22"/>
          <w:szCs w:val="22"/>
        </w:rPr>
      </w:pPr>
    </w:p>
    <w:p w14:paraId="7802B040" w14:textId="77777777" w:rsidR="00043F8E" w:rsidRDefault="00043F8E" w:rsidP="00B3500A">
      <w:pPr>
        <w:rPr>
          <w:b/>
          <w:bCs/>
          <w:sz w:val="22"/>
          <w:szCs w:val="22"/>
        </w:rPr>
      </w:pPr>
    </w:p>
    <w:p w14:paraId="51481037" w14:textId="77777777" w:rsidR="00043F8E" w:rsidRDefault="00043F8E" w:rsidP="00B3500A">
      <w:pPr>
        <w:rPr>
          <w:b/>
          <w:bCs/>
          <w:sz w:val="22"/>
          <w:szCs w:val="22"/>
        </w:rPr>
      </w:pPr>
    </w:p>
    <w:p w14:paraId="4BC4B097" w14:textId="77777777" w:rsidR="00FD6351" w:rsidRDefault="00FD6351" w:rsidP="00B3500A">
      <w:pPr>
        <w:rPr>
          <w:b/>
          <w:bCs/>
          <w:sz w:val="22"/>
          <w:szCs w:val="22"/>
        </w:rPr>
      </w:pPr>
    </w:p>
    <w:p w14:paraId="3C5FF90A" w14:textId="77777777" w:rsidR="00FD6351" w:rsidRDefault="00FD6351" w:rsidP="00B3500A">
      <w:pPr>
        <w:rPr>
          <w:b/>
          <w:bCs/>
          <w:sz w:val="22"/>
          <w:szCs w:val="22"/>
        </w:rPr>
      </w:pPr>
    </w:p>
    <w:p w14:paraId="0BE2EF97" w14:textId="77777777" w:rsidR="00043F8E" w:rsidRDefault="00043F8E" w:rsidP="00B3500A">
      <w:pPr>
        <w:rPr>
          <w:b/>
          <w:bCs/>
          <w:sz w:val="22"/>
          <w:szCs w:val="22"/>
        </w:rPr>
      </w:pPr>
    </w:p>
    <w:p w14:paraId="2CD62755" w14:textId="77777777" w:rsidR="006E46AE" w:rsidRDefault="006E46AE" w:rsidP="00B3500A">
      <w:pPr>
        <w:rPr>
          <w:b/>
          <w:bCs/>
          <w:sz w:val="22"/>
          <w:szCs w:val="22"/>
        </w:rPr>
      </w:pPr>
    </w:p>
    <w:p w14:paraId="4D4D9C5B" w14:textId="77777777" w:rsidR="000B2614" w:rsidRDefault="000B2614" w:rsidP="00B3500A">
      <w:pPr>
        <w:rPr>
          <w:b/>
          <w:bCs/>
          <w:sz w:val="22"/>
          <w:szCs w:val="22"/>
        </w:rPr>
      </w:pPr>
    </w:p>
    <w:p w14:paraId="45F29E79" w14:textId="77777777" w:rsidR="000B2614" w:rsidRDefault="000B2614" w:rsidP="00B3500A">
      <w:pPr>
        <w:rPr>
          <w:b/>
          <w:bCs/>
          <w:sz w:val="22"/>
          <w:szCs w:val="22"/>
        </w:rPr>
      </w:pPr>
    </w:p>
    <w:p w14:paraId="7D31257D" w14:textId="77777777" w:rsidR="000B2614" w:rsidRDefault="000B2614" w:rsidP="00B3500A">
      <w:pPr>
        <w:rPr>
          <w:b/>
          <w:bCs/>
          <w:sz w:val="22"/>
          <w:szCs w:val="22"/>
        </w:rPr>
      </w:pPr>
    </w:p>
    <w:p w14:paraId="5C2E9F5E" w14:textId="77777777" w:rsidR="000B2614" w:rsidRDefault="000B2614" w:rsidP="00B3500A">
      <w:pPr>
        <w:rPr>
          <w:b/>
          <w:bCs/>
          <w:sz w:val="22"/>
          <w:szCs w:val="22"/>
        </w:rPr>
      </w:pPr>
    </w:p>
    <w:p w14:paraId="61F7741F" w14:textId="77777777" w:rsidR="000B2614" w:rsidRDefault="000B2614" w:rsidP="00B3500A">
      <w:pPr>
        <w:rPr>
          <w:b/>
          <w:bCs/>
          <w:sz w:val="22"/>
          <w:szCs w:val="22"/>
        </w:rPr>
      </w:pPr>
    </w:p>
    <w:p w14:paraId="0BEB3B27" w14:textId="77777777" w:rsidR="000B2614" w:rsidRDefault="000B2614" w:rsidP="00B3500A">
      <w:pPr>
        <w:rPr>
          <w:b/>
          <w:bCs/>
          <w:sz w:val="22"/>
          <w:szCs w:val="22"/>
        </w:rPr>
      </w:pPr>
    </w:p>
    <w:p w14:paraId="463208F6" w14:textId="1FEAE189" w:rsidR="00024BE0" w:rsidRPr="008550C6" w:rsidRDefault="008550C6" w:rsidP="00024BE0">
      <w:pPr>
        <w:jc w:val="both"/>
        <w:rPr>
          <w:b/>
          <w:bCs/>
          <w:sz w:val="22"/>
          <w:szCs w:val="22"/>
        </w:rPr>
      </w:pPr>
      <w:r w:rsidRPr="008550C6">
        <w:rPr>
          <w:b/>
          <w:bCs/>
          <w:sz w:val="22"/>
          <w:szCs w:val="22"/>
        </w:rPr>
        <w:t>TABLE</w:t>
      </w:r>
      <w:r w:rsidR="00024BE0" w:rsidRPr="008550C6">
        <w:rPr>
          <w:b/>
          <w:bCs/>
          <w:sz w:val="22"/>
          <w:szCs w:val="22"/>
        </w:rPr>
        <w:t xml:space="preserve"> 13</w:t>
      </w:r>
    </w:p>
    <w:p w14:paraId="088E93D2" w14:textId="6F147C89" w:rsidR="00024BE0" w:rsidRPr="008550C6" w:rsidRDefault="004A0505" w:rsidP="00024BE0">
      <w:pPr>
        <w:jc w:val="both"/>
        <w:rPr>
          <w:sz w:val="22"/>
          <w:szCs w:val="22"/>
        </w:rPr>
      </w:pPr>
      <w:r w:rsidRPr="008550C6">
        <w:rPr>
          <w:sz w:val="22"/>
          <w:szCs w:val="22"/>
        </w:rPr>
        <w:t xml:space="preserve">The models with </w:t>
      </w:r>
      <w:r w:rsidR="00372549" w:rsidRPr="008550C6">
        <w:rPr>
          <w:sz w:val="22"/>
          <w:szCs w:val="22"/>
        </w:rPr>
        <w:t>S</w:t>
      </w:r>
      <w:r w:rsidR="00024BE0" w:rsidRPr="008550C6">
        <w:rPr>
          <w:sz w:val="22"/>
          <w:szCs w:val="22"/>
        </w:rPr>
        <w:t xml:space="preserve">tochastic </w:t>
      </w:r>
      <w:r w:rsidR="00372549" w:rsidRPr="008550C6">
        <w:rPr>
          <w:sz w:val="22"/>
          <w:szCs w:val="22"/>
        </w:rPr>
        <w:t>F</w:t>
      </w:r>
      <w:r w:rsidR="00024BE0" w:rsidRPr="008550C6">
        <w:rPr>
          <w:sz w:val="22"/>
          <w:szCs w:val="22"/>
        </w:rPr>
        <w:t xml:space="preserve">rontier </w:t>
      </w:r>
      <w:r w:rsidR="00372549" w:rsidRPr="008550C6">
        <w:rPr>
          <w:sz w:val="22"/>
          <w:szCs w:val="22"/>
        </w:rPr>
        <w:t>A</w:t>
      </w:r>
      <w:r w:rsidR="00024BE0" w:rsidRPr="008550C6">
        <w:rPr>
          <w:sz w:val="22"/>
          <w:szCs w:val="22"/>
        </w:rPr>
        <w:t>nalysis score (SFA).</w:t>
      </w:r>
    </w:p>
    <w:tbl>
      <w:tblPr>
        <w:tblW w:w="5000" w:type="pct"/>
        <w:tblCellMar>
          <w:left w:w="75" w:type="dxa"/>
          <w:right w:w="75" w:type="dxa"/>
        </w:tblCellMar>
        <w:tblLook w:val="0000" w:firstRow="0" w:lastRow="0" w:firstColumn="0" w:lastColumn="0" w:noHBand="0" w:noVBand="0"/>
      </w:tblPr>
      <w:tblGrid>
        <w:gridCol w:w="3157"/>
        <w:gridCol w:w="3224"/>
        <w:gridCol w:w="2645"/>
      </w:tblGrid>
      <w:tr w:rsidR="008550C6" w:rsidRPr="007E3420" w14:paraId="0872BBE2" w14:textId="77777777" w:rsidTr="00327231">
        <w:tc>
          <w:tcPr>
            <w:tcW w:w="1749" w:type="pct"/>
            <w:tcBorders>
              <w:top w:val="single" w:sz="6" w:space="0" w:color="auto"/>
              <w:left w:val="nil"/>
              <w:bottom w:val="nil"/>
              <w:right w:val="nil"/>
            </w:tcBorders>
          </w:tcPr>
          <w:p w14:paraId="60C99995" w14:textId="77777777" w:rsidR="00024BE0" w:rsidRPr="007E3420" w:rsidRDefault="00024BE0" w:rsidP="00327231">
            <w:pPr>
              <w:widowControl w:val="0"/>
              <w:autoSpaceDE w:val="0"/>
              <w:autoSpaceDN w:val="0"/>
              <w:adjustRightInd w:val="0"/>
              <w:rPr>
                <w:b/>
                <w:bCs/>
                <w:sz w:val="22"/>
                <w:szCs w:val="22"/>
              </w:rPr>
            </w:pPr>
          </w:p>
        </w:tc>
        <w:tc>
          <w:tcPr>
            <w:tcW w:w="1786" w:type="pct"/>
            <w:tcBorders>
              <w:top w:val="single" w:sz="6" w:space="0" w:color="auto"/>
              <w:left w:val="single" w:sz="4" w:space="0" w:color="auto"/>
              <w:bottom w:val="nil"/>
              <w:right w:val="nil"/>
            </w:tcBorders>
          </w:tcPr>
          <w:p w14:paraId="3115CF1C" w14:textId="77777777" w:rsidR="00024BE0" w:rsidRPr="007E3420" w:rsidRDefault="00024BE0" w:rsidP="00327231">
            <w:pPr>
              <w:widowControl w:val="0"/>
              <w:autoSpaceDE w:val="0"/>
              <w:autoSpaceDN w:val="0"/>
              <w:adjustRightInd w:val="0"/>
              <w:jc w:val="center"/>
              <w:rPr>
                <w:b/>
                <w:bCs/>
                <w:sz w:val="22"/>
                <w:szCs w:val="22"/>
              </w:rPr>
            </w:pPr>
            <w:r w:rsidRPr="007E3420">
              <w:rPr>
                <w:b/>
                <w:bCs/>
                <w:sz w:val="22"/>
                <w:szCs w:val="22"/>
              </w:rPr>
              <w:t>(1)</w:t>
            </w:r>
          </w:p>
        </w:tc>
        <w:tc>
          <w:tcPr>
            <w:tcW w:w="1465" w:type="pct"/>
            <w:tcBorders>
              <w:top w:val="single" w:sz="6" w:space="0" w:color="auto"/>
              <w:left w:val="nil"/>
              <w:bottom w:val="nil"/>
              <w:right w:val="nil"/>
            </w:tcBorders>
          </w:tcPr>
          <w:p w14:paraId="2CB720D1" w14:textId="77777777" w:rsidR="00024BE0" w:rsidRPr="007E3420" w:rsidRDefault="00024BE0" w:rsidP="00327231">
            <w:pPr>
              <w:widowControl w:val="0"/>
              <w:autoSpaceDE w:val="0"/>
              <w:autoSpaceDN w:val="0"/>
              <w:adjustRightInd w:val="0"/>
              <w:jc w:val="center"/>
              <w:rPr>
                <w:b/>
                <w:bCs/>
                <w:sz w:val="22"/>
                <w:szCs w:val="22"/>
              </w:rPr>
            </w:pPr>
            <w:r w:rsidRPr="007E3420">
              <w:rPr>
                <w:b/>
                <w:bCs/>
                <w:sz w:val="22"/>
                <w:szCs w:val="22"/>
              </w:rPr>
              <w:t>(2)</w:t>
            </w:r>
          </w:p>
        </w:tc>
      </w:tr>
      <w:tr w:rsidR="008550C6" w:rsidRPr="007E3420" w14:paraId="73562B7C" w14:textId="77777777" w:rsidTr="00327231">
        <w:tc>
          <w:tcPr>
            <w:tcW w:w="1749" w:type="pct"/>
            <w:tcBorders>
              <w:top w:val="nil"/>
              <w:left w:val="nil"/>
              <w:bottom w:val="single" w:sz="6" w:space="0" w:color="auto"/>
              <w:right w:val="nil"/>
            </w:tcBorders>
          </w:tcPr>
          <w:p w14:paraId="349E8B4B" w14:textId="77777777" w:rsidR="00024BE0" w:rsidRPr="007E3420" w:rsidRDefault="00024BE0" w:rsidP="00327231">
            <w:pPr>
              <w:widowControl w:val="0"/>
              <w:autoSpaceDE w:val="0"/>
              <w:autoSpaceDN w:val="0"/>
              <w:adjustRightInd w:val="0"/>
              <w:rPr>
                <w:b/>
                <w:bCs/>
                <w:sz w:val="22"/>
                <w:szCs w:val="22"/>
              </w:rPr>
            </w:pPr>
            <w:r w:rsidRPr="007E3420">
              <w:rPr>
                <w:b/>
                <w:bCs/>
                <w:sz w:val="22"/>
                <w:szCs w:val="22"/>
              </w:rPr>
              <w:t>VARIABLES</w:t>
            </w:r>
          </w:p>
        </w:tc>
        <w:tc>
          <w:tcPr>
            <w:tcW w:w="1786" w:type="pct"/>
            <w:tcBorders>
              <w:top w:val="nil"/>
              <w:left w:val="single" w:sz="4" w:space="0" w:color="auto"/>
              <w:bottom w:val="single" w:sz="6" w:space="0" w:color="auto"/>
              <w:right w:val="nil"/>
            </w:tcBorders>
          </w:tcPr>
          <w:p w14:paraId="41528CF2" w14:textId="33D755D2" w:rsidR="00024BE0" w:rsidRPr="007E3420" w:rsidRDefault="008B40EA" w:rsidP="00327231">
            <w:pPr>
              <w:widowControl w:val="0"/>
              <w:autoSpaceDE w:val="0"/>
              <w:autoSpaceDN w:val="0"/>
              <w:adjustRightInd w:val="0"/>
              <w:jc w:val="center"/>
              <w:rPr>
                <w:b/>
                <w:bCs/>
                <w:sz w:val="22"/>
                <w:szCs w:val="22"/>
              </w:rPr>
            </w:pPr>
            <w:r w:rsidRPr="007E3420">
              <w:rPr>
                <w:b/>
                <w:bCs/>
                <w:sz w:val="22"/>
                <w:szCs w:val="22"/>
              </w:rPr>
              <w:t>SFA</w:t>
            </w:r>
          </w:p>
        </w:tc>
        <w:tc>
          <w:tcPr>
            <w:tcW w:w="1465" w:type="pct"/>
            <w:tcBorders>
              <w:top w:val="nil"/>
              <w:left w:val="nil"/>
              <w:bottom w:val="single" w:sz="6" w:space="0" w:color="auto"/>
              <w:right w:val="nil"/>
            </w:tcBorders>
          </w:tcPr>
          <w:p w14:paraId="16F5EB72" w14:textId="25EA44FD" w:rsidR="00024BE0" w:rsidRPr="007E3420" w:rsidRDefault="008B40EA" w:rsidP="00327231">
            <w:pPr>
              <w:widowControl w:val="0"/>
              <w:autoSpaceDE w:val="0"/>
              <w:autoSpaceDN w:val="0"/>
              <w:adjustRightInd w:val="0"/>
              <w:jc w:val="center"/>
              <w:rPr>
                <w:b/>
                <w:bCs/>
                <w:sz w:val="22"/>
                <w:szCs w:val="22"/>
              </w:rPr>
            </w:pPr>
            <w:r w:rsidRPr="007E3420">
              <w:rPr>
                <w:b/>
                <w:bCs/>
                <w:sz w:val="22"/>
                <w:szCs w:val="22"/>
              </w:rPr>
              <w:t>SFA</w:t>
            </w:r>
          </w:p>
        </w:tc>
      </w:tr>
      <w:tr w:rsidR="008550C6" w:rsidRPr="008550C6" w14:paraId="5CECD155" w14:textId="77777777" w:rsidTr="00327231">
        <w:tc>
          <w:tcPr>
            <w:tcW w:w="1749" w:type="pct"/>
            <w:tcBorders>
              <w:top w:val="nil"/>
              <w:left w:val="nil"/>
              <w:bottom w:val="nil"/>
              <w:right w:val="nil"/>
            </w:tcBorders>
          </w:tcPr>
          <w:p w14:paraId="4BCF214B" w14:textId="77777777" w:rsidR="00024BE0" w:rsidRPr="008550C6" w:rsidRDefault="00024BE0" w:rsidP="0032723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643D0DCA" w14:textId="77777777" w:rsidR="00024BE0" w:rsidRPr="008550C6" w:rsidRDefault="00024BE0" w:rsidP="00327231">
            <w:pPr>
              <w:widowControl w:val="0"/>
              <w:autoSpaceDE w:val="0"/>
              <w:autoSpaceDN w:val="0"/>
              <w:adjustRightInd w:val="0"/>
              <w:jc w:val="center"/>
              <w:rPr>
                <w:sz w:val="22"/>
                <w:szCs w:val="22"/>
              </w:rPr>
            </w:pPr>
          </w:p>
        </w:tc>
        <w:tc>
          <w:tcPr>
            <w:tcW w:w="1465" w:type="pct"/>
            <w:tcBorders>
              <w:top w:val="nil"/>
              <w:left w:val="nil"/>
              <w:bottom w:val="nil"/>
              <w:right w:val="nil"/>
            </w:tcBorders>
          </w:tcPr>
          <w:p w14:paraId="1546EC88" w14:textId="77777777" w:rsidR="00024BE0" w:rsidRPr="008550C6" w:rsidRDefault="00024BE0" w:rsidP="00327231">
            <w:pPr>
              <w:widowControl w:val="0"/>
              <w:autoSpaceDE w:val="0"/>
              <w:autoSpaceDN w:val="0"/>
              <w:adjustRightInd w:val="0"/>
              <w:jc w:val="center"/>
              <w:rPr>
                <w:sz w:val="22"/>
                <w:szCs w:val="22"/>
              </w:rPr>
            </w:pPr>
          </w:p>
        </w:tc>
      </w:tr>
      <w:tr w:rsidR="008550C6" w:rsidRPr="007E4ED2" w14:paraId="2ABAD192" w14:textId="77777777" w:rsidTr="00327231">
        <w:tc>
          <w:tcPr>
            <w:tcW w:w="1749" w:type="pct"/>
            <w:tcBorders>
              <w:top w:val="nil"/>
              <w:left w:val="nil"/>
              <w:bottom w:val="nil"/>
              <w:right w:val="nil"/>
            </w:tcBorders>
          </w:tcPr>
          <w:p w14:paraId="04277F00" w14:textId="77777777" w:rsidR="00024BE0" w:rsidRPr="007E4ED2" w:rsidRDefault="00024BE0" w:rsidP="00327231">
            <w:pPr>
              <w:widowControl w:val="0"/>
              <w:autoSpaceDE w:val="0"/>
              <w:autoSpaceDN w:val="0"/>
              <w:adjustRightInd w:val="0"/>
              <w:rPr>
                <w:sz w:val="22"/>
                <w:szCs w:val="22"/>
              </w:rPr>
            </w:pPr>
            <w:r w:rsidRPr="007E4ED2">
              <w:rPr>
                <w:sz w:val="22"/>
                <w:szCs w:val="22"/>
              </w:rPr>
              <w:t>SVOTE</w:t>
            </w:r>
          </w:p>
        </w:tc>
        <w:tc>
          <w:tcPr>
            <w:tcW w:w="1786" w:type="pct"/>
            <w:tcBorders>
              <w:top w:val="nil"/>
              <w:left w:val="single" w:sz="4" w:space="0" w:color="auto"/>
              <w:bottom w:val="nil"/>
              <w:right w:val="nil"/>
            </w:tcBorders>
          </w:tcPr>
          <w:p w14:paraId="7A3FE3A9" w14:textId="55FADF01" w:rsidR="00024BE0" w:rsidRPr="007E4ED2" w:rsidRDefault="00024BE0" w:rsidP="00327231">
            <w:pPr>
              <w:widowControl w:val="0"/>
              <w:autoSpaceDE w:val="0"/>
              <w:autoSpaceDN w:val="0"/>
              <w:adjustRightInd w:val="0"/>
              <w:jc w:val="center"/>
              <w:rPr>
                <w:sz w:val="22"/>
                <w:szCs w:val="22"/>
              </w:rPr>
            </w:pPr>
            <w:r w:rsidRPr="007E4ED2">
              <w:rPr>
                <w:sz w:val="22"/>
                <w:szCs w:val="22"/>
              </w:rPr>
              <w:t>0.1075***</w:t>
            </w:r>
          </w:p>
        </w:tc>
        <w:tc>
          <w:tcPr>
            <w:tcW w:w="1465" w:type="pct"/>
            <w:tcBorders>
              <w:top w:val="nil"/>
              <w:left w:val="nil"/>
              <w:bottom w:val="nil"/>
              <w:right w:val="nil"/>
            </w:tcBorders>
          </w:tcPr>
          <w:p w14:paraId="000DC13C" w14:textId="77777777" w:rsidR="00024BE0" w:rsidRPr="007E4ED2" w:rsidRDefault="00024BE0" w:rsidP="00327231">
            <w:pPr>
              <w:widowControl w:val="0"/>
              <w:autoSpaceDE w:val="0"/>
              <w:autoSpaceDN w:val="0"/>
              <w:adjustRightInd w:val="0"/>
              <w:jc w:val="center"/>
              <w:rPr>
                <w:sz w:val="22"/>
                <w:szCs w:val="22"/>
              </w:rPr>
            </w:pPr>
          </w:p>
        </w:tc>
      </w:tr>
      <w:tr w:rsidR="008550C6" w:rsidRPr="007E4ED2" w14:paraId="31492C2F" w14:textId="77777777" w:rsidTr="00327231">
        <w:tc>
          <w:tcPr>
            <w:tcW w:w="1749" w:type="pct"/>
            <w:tcBorders>
              <w:top w:val="nil"/>
              <w:left w:val="nil"/>
              <w:bottom w:val="nil"/>
              <w:right w:val="nil"/>
            </w:tcBorders>
          </w:tcPr>
          <w:p w14:paraId="5C069F69" w14:textId="77777777" w:rsidR="00024BE0" w:rsidRPr="007E4ED2" w:rsidRDefault="00024BE0" w:rsidP="0032723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051E70AA" w14:textId="3590620A" w:rsidR="00024BE0" w:rsidRPr="007E4ED2" w:rsidRDefault="00024BE0" w:rsidP="00327231">
            <w:pPr>
              <w:widowControl w:val="0"/>
              <w:autoSpaceDE w:val="0"/>
              <w:autoSpaceDN w:val="0"/>
              <w:adjustRightInd w:val="0"/>
              <w:jc w:val="center"/>
              <w:rPr>
                <w:sz w:val="22"/>
                <w:szCs w:val="22"/>
              </w:rPr>
            </w:pPr>
            <w:r w:rsidRPr="007E4ED2">
              <w:rPr>
                <w:sz w:val="22"/>
                <w:szCs w:val="22"/>
              </w:rPr>
              <w:t xml:space="preserve">(12.36)   </w:t>
            </w:r>
          </w:p>
        </w:tc>
        <w:tc>
          <w:tcPr>
            <w:tcW w:w="1465" w:type="pct"/>
            <w:tcBorders>
              <w:top w:val="nil"/>
              <w:left w:val="nil"/>
              <w:bottom w:val="nil"/>
              <w:right w:val="nil"/>
            </w:tcBorders>
          </w:tcPr>
          <w:p w14:paraId="7BD4E459" w14:textId="77777777" w:rsidR="00024BE0" w:rsidRPr="007E4ED2" w:rsidRDefault="00024BE0" w:rsidP="00327231">
            <w:pPr>
              <w:widowControl w:val="0"/>
              <w:autoSpaceDE w:val="0"/>
              <w:autoSpaceDN w:val="0"/>
              <w:adjustRightInd w:val="0"/>
              <w:jc w:val="center"/>
              <w:rPr>
                <w:sz w:val="22"/>
                <w:szCs w:val="22"/>
              </w:rPr>
            </w:pPr>
          </w:p>
        </w:tc>
      </w:tr>
      <w:tr w:rsidR="008550C6" w:rsidRPr="007E4ED2" w14:paraId="4FEBF9F1" w14:textId="77777777" w:rsidTr="00327231">
        <w:tc>
          <w:tcPr>
            <w:tcW w:w="1749" w:type="pct"/>
            <w:tcBorders>
              <w:top w:val="nil"/>
              <w:left w:val="nil"/>
              <w:bottom w:val="nil"/>
              <w:right w:val="nil"/>
            </w:tcBorders>
          </w:tcPr>
          <w:p w14:paraId="5F30D8AB" w14:textId="77777777" w:rsidR="00024BE0" w:rsidRPr="007E4ED2" w:rsidRDefault="00024BE0" w:rsidP="00327231">
            <w:pPr>
              <w:widowControl w:val="0"/>
              <w:autoSpaceDE w:val="0"/>
              <w:autoSpaceDN w:val="0"/>
              <w:adjustRightInd w:val="0"/>
              <w:rPr>
                <w:sz w:val="22"/>
                <w:szCs w:val="22"/>
              </w:rPr>
            </w:pPr>
            <w:r w:rsidRPr="007E4ED2">
              <w:rPr>
                <w:sz w:val="22"/>
                <w:szCs w:val="22"/>
              </w:rPr>
              <w:t>NVOTE</w:t>
            </w:r>
          </w:p>
        </w:tc>
        <w:tc>
          <w:tcPr>
            <w:tcW w:w="1786" w:type="pct"/>
            <w:tcBorders>
              <w:top w:val="nil"/>
              <w:left w:val="single" w:sz="4" w:space="0" w:color="auto"/>
              <w:bottom w:val="nil"/>
              <w:right w:val="nil"/>
            </w:tcBorders>
          </w:tcPr>
          <w:p w14:paraId="6FF510E7" w14:textId="77777777" w:rsidR="00024BE0" w:rsidRPr="007E4ED2" w:rsidRDefault="00024BE0" w:rsidP="00327231">
            <w:pPr>
              <w:widowControl w:val="0"/>
              <w:autoSpaceDE w:val="0"/>
              <w:autoSpaceDN w:val="0"/>
              <w:adjustRightInd w:val="0"/>
              <w:jc w:val="center"/>
              <w:rPr>
                <w:sz w:val="22"/>
                <w:szCs w:val="22"/>
              </w:rPr>
            </w:pPr>
          </w:p>
        </w:tc>
        <w:tc>
          <w:tcPr>
            <w:tcW w:w="1465" w:type="pct"/>
            <w:tcBorders>
              <w:top w:val="nil"/>
              <w:left w:val="nil"/>
              <w:bottom w:val="nil"/>
              <w:right w:val="nil"/>
            </w:tcBorders>
          </w:tcPr>
          <w:p w14:paraId="279666A1" w14:textId="63699E49" w:rsidR="00024BE0" w:rsidRPr="007E4ED2" w:rsidRDefault="00024BE0" w:rsidP="00327231">
            <w:pPr>
              <w:widowControl w:val="0"/>
              <w:autoSpaceDE w:val="0"/>
              <w:autoSpaceDN w:val="0"/>
              <w:adjustRightInd w:val="0"/>
              <w:jc w:val="center"/>
              <w:rPr>
                <w:sz w:val="22"/>
                <w:szCs w:val="22"/>
              </w:rPr>
            </w:pPr>
            <w:r w:rsidRPr="007E4ED2">
              <w:rPr>
                <w:sz w:val="22"/>
                <w:szCs w:val="22"/>
              </w:rPr>
              <w:t xml:space="preserve">0.0492***   </w:t>
            </w:r>
          </w:p>
        </w:tc>
      </w:tr>
      <w:tr w:rsidR="008550C6" w:rsidRPr="007E4ED2" w14:paraId="733F606D" w14:textId="77777777" w:rsidTr="00327231">
        <w:tc>
          <w:tcPr>
            <w:tcW w:w="1749" w:type="pct"/>
            <w:tcBorders>
              <w:top w:val="nil"/>
              <w:left w:val="nil"/>
              <w:bottom w:val="nil"/>
              <w:right w:val="nil"/>
            </w:tcBorders>
          </w:tcPr>
          <w:p w14:paraId="2AE06905" w14:textId="77777777" w:rsidR="00024BE0" w:rsidRPr="007E4ED2" w:rsidRDefault="00024BE0" w:rsidP="0032723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7E29AFD1" w14:textId="77777777" w:rsidR="00024BE0" w:rsidRPr="007E4ED2" w:rsidRDefault="00024BE0" w:rsidP="00327231">
            <w:pPr>
              <w:widowControl w:val="0"/>
              <w:autoSpaceDE w:val="0"/>
              <w:autoSpaceDN w:val="0"/>
              <w:adjustRightInd w:val="0"/>
              <w:jc w:val="center"/>
              <w:rPr>
                <w:sz w:val="22"/>
                <w:szCs w:val="22"/>
              </w:rPr>
            </w:pPr>
          </w:p>
        </w:tc>
        <w:tc>
          <w:tcPr>
            <w:tcW w:w="1465" w:type="pct"/>
            <w:tcBorders>
              <w:top w:val="nil"/>
              <w:left w:val="nil"/>
              <w:bottom w:val="nil"/>
              <w:right w:val="nil"/>
            </w:tcBorders>
          </w:tcPr>
          <w:p w14:paraId="204ADE50" w14:textId="539581A3" w:rsidR="00024BE0" w:rsidRPr="007E4ED2" w:rsidRDefault="00024BE0" w:rsidP="00327231">
            <w:pPr>
              <w:widowControl w:val="0"/>
              <w:autoSpaceDE w:val="0"/>
              <w:autoSpaceDN w:val="0"/>
              <w:adjustRightInd w:val="0"/>
              <w:jc w:val="center"/>
              <w:rPr>
                <w:sz w:val="22"/>
                <w:szCs w:val="22"/>
              </w:rPr>
            </w:pPr>
            <w:r w:rsidRPr="007E4ED2">
              <w:rPr>
                <w:sz w:val="22"/>
                <w:szCs w:val="22"/>
              </w:rPr>
              <w:t xml:space="preserve">(6.37)   </w:t>
            </w:r>
          </w:p>
        </w:tc>
      </w:tr>
      <w:tr w:rsidR="008550C6" w:rsidRPr="007E4ED2" w14:paraId="00975BDB" w14:textId="77777777" w:rsidTr="00327231">
        <w:tc>
          <w:tcPr>
            <w:tcW w:w="1749" w:type="pct"/>
            <w:tcBorders>
              <w:top w:val="nil"/>
              <w:left w:val="nil"/>
              <w:bottom w:val="nil"/>
              <w:right w:val="nil"/>
            </w:tcBorders>
          </w:tcPr>
          <w:p w14:paraId="61632CBB" w14:textId="77777777" w:rsidR="00024BE0" w:rsidRPr="007E4ED2" w:rsidRDefault="00024BE0" w:rsidP="00327231">
            <w:pPr>
              <w:widowControl w:val="0"/>
              <w:autoSpaceDE w:val="0"/>
              <w:autoSpaceDN w:val="0"/>
              <w:adjustRightInd w:val="0"/>
              <w:rPr>
                <w:sz w:val="22"/>
                <w:szCs w:val="22"/>
              </w:rPr>
            </w:pPr>
            <w:r w:rsidRPr="007E4ED2">
              <w:rPr>
                <w:sz w:val="22"/>
                <w:szCs w:val="22"/>
              </w:rPr>
              <w:t>LNTA</w:t>
            </w:r>
          </w:p>
        </w:tc>
        <w:tc>
          <w:tcPr>
            <w:tcW w:w="1786" w:type="pct"/>
            <w:tcBorders>
              <w:top w:val="nil"/>
              <w:left w:val="single" w:sz="4" w:space="0" w:color="auto"/>
              <w:bottom w:val="nil"/>
              <w:right w:val="nil"/>
            </w:tcBorders>
          </w:tcPr>
          <w:p w14:paraId="34B7FAF2" w14:textId="5F91C992" w:rsidR="00024BE0" w:rsidRPr="007E4ED2" w:rsidRDefault="00024BE0" w:rsidP="00327231">
            <w:pPr>
              <w:widowControl w:val="0"/>
              <w:autoSpaceDE w:val="0"/>
              <w:autoSpaceDN w:val="0"/>
              <w:adjustRightInd w:val="0"/>
              <w:jc w:val="center"/>
              <w:rPr>
                <w:sz w:val="22"/>
                <w:szCs w:val="22"/>
              </w:rPr>
            </w:pPr>
            <w:r w:rsidRPr="007E4ED2">
              <w:rPr>
                <w:sz w:val="22"/>
                <w:szCs w:val="22"/>
              </w:rPr>
              <w:t xml:space="preserve">0.0855***   </w:t>
            </w:r>
          </w:p>
        </w:tc>
        <w:tc>
          <w:tcPr>
            <w:tcW w:w="1465" w:type="pct"/>
            <w:tcBorders>
              <w:top w:val="nil"/>
              <w:left w:val="nil"/>
              <w:bottom w:val="nil"/>
              <w:right w:val="nil"/>
            </w:tcBorders>
          </w:tcPr>
          <w:p w14:paraId="1122D6CE" w14:textId="4ADC7022" w:rsidR="00024BE0" w:rsidRPr="007E4ED2" w:rsidRDefault="00024BE0" w:rsidP="00327231">
            <w:pPr>
              <w:widowControl w:val="0"/>
              <w:autoSpaceDE w:val="0"/>
              <w:autoSpaceDN w:val="0"/>
              <w:adjustRightInd w:val="0"/>
              <w:jc w:val="center"/>
              <w:rPr>
                <w:sz w:val="22"/>
                <w:szCs w:val="22"/>
              </w:rPr>
            </w:pPr>
            <w:r w:rsidRPr="007E4ED2">
              <w:rPr>
                <w:sz w:val="22"/>
                <w:szCs w:val="22"/>
              </w:rPr>
              <w:t xml:space="preserve">0.0856***   </w:t>
            </w:r>
          </w:p>
        </w:tc>
      </w:tr>
      <w:tr w:rsidR="008550C6" w:rsidRPr="008550C6" w14:paraId="2DA66B0D" w14:textId="77777777" w:rsidTr="00327231">
        <w:tc>
          <w:tcPr>
            <w:tcW w:w="1749" w:type="pct"/>
            <w:tcBorders>
              <w:top w:val="nil"/>
              <w:left w:val="nil"/>
              <w:bottom w:val="nil"/>
              <w:right w:val="nil"/>
            </w:tcBorders>
          </w:tcPr>
          <w:p w14:paraId="49AB8AD1" w14:textId="77777777" w:rsidR="00024BE0" w:rsidRPr="008550C6" w:rsidRDefault="00024BE0" w:rsidP="0032723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54F95ED9" w14:textId="262F0721" w:rsidR="00024BE0" w:rsidRPr="008550C6" w:rsidRDefault="00024BE0" w:rsidP="00327231">
            <w:pPr>
              <w:widowControl w:val="0"/>
              <w:autoSpaceDE w:val="0"/>
              <w:autoSpaceDN w:val="0"/>
              <w:adjustRightInd w:val="0"/>
              <w:jc w:val="center"/>
              <w:rPr>
                <w:sz w:val="22"/>
                <w:szCs w:val="22"/>
              </w:rPr>
            </w:pPr>
            <w:r w:rsidRPr="008550C6">
              <w:rPr>
                <w:sz w:val="22"/>
                <w:szCs w:val="22"/>
              </w:rPr>
              <w:t xml:space="preserve">(26.08)   </w:t>
            </w:r>
          </w:p>
        </w:tc>
        <w:tc>
          <w:tcPr>
            <w:tcW w:w="1465" w:type="pct"/>
            <w:tcBorders>
              <w:top w:val="nil"/>
              <w:left w:val="nil"/>
              <w:bottom w:val="nil"/>
              <w:right w:val="nil"/>
            </w:tcBorders>
          </w:tcPr>
          <w:p w14:paraId="7DB897D9" w14:textId="19D59260" w:rsidR="00024BE0" w:rsidRPr="008550C6" w:rsidRDefault="00024BE0" w:rsidP="00327231">
            <w:pPr>
              <w:widowControl w:val="0"/>
              <w:autoSpaceDE w:val="0"/>
              <w:autoSpaceDN w:val="0"/>
              <w:adjustRightInd w:val="0"/>
              <w:jc w:val="center"/>
              <w:rPr>
                <w:sz w:val="22"/>
                <w:szCs w:val="22"/>
              </w:rPr>
            </w:pPr>
            <w:r w:rsidRPr="008550C6">
              <w:rPr>
                <w:sz w:val="22"/>
                <w:szCs w:val="22"/>
              </w:rPr>
              <w:t xml:space="preserve">(25.46)   </w:t>
            </w:r>
          </w:p>
        </w:tc>
      </w:tr>
      <w:tr w:rsidR="008550C6" w:rsidRPr="008550C6" w14:paraId="0860A0B2" w14:textId="77777777" w:rsidTr="00327231">
        <w:tc>
          <w:tcPr>
            <w:tcW w:w="1749" w:type="pct"/>
            <w:tcBorders>
              <w:top w:val="nil"/>
              <w:left w:val="nil"/>
              <w:bottom w:val="nil"/>
              <w:right w:val="nil"/>
            </w:tcBorders>
          </w:tcPr>
          <w:p w14:paraId="64659814" w14:textId="77777777" w:rsidR="00024BE0" w:rsidRPr="008550C6" w:rsidRDefault="00024BE0" w:rsidP="00327231">
            <w:pPr>
              <w:widowControl w:val="0"/>
              <w:autoSpaceDE w:val="0"/>
              <w:autoSpaceDN w:val="0"/>
              <w:adjustRightInd w:val="0"/>
              <w:rPr>
                <w:sz w:val="22"/>
                <w:szCs w:val="22"/>
              </w:rPr>
            </w:pPr>
            <w:r w:rsidRPr="008550C6">
              <w:rPr>
                <w:sz w:val="22"/>
                <w:szCs w:val="22"/>
              </w:rPr>
              <w:t>NPLTL</w:t>
            </w:r>
          </w:p>
        </w:tc>
        <w:tc>
          <w:tcPr>
            <w:tcW w:w="1786" w:type="pct"/>
            <w:tcBorders>
              <w:top w:val="nil"/>
              <w:left w:val="single" w:sz="4" w:space="0" w:color="auto"/>
              <w:bottom w:val="nil"/>
              <w:right w:val="nil"/>
            </w:tcBorders>
          </w:tcPr>
          <w:p w14:paraId="2888269C" w14:textId="5CF82B81" w:rsidR="00024BE0" w:rsidRPr="008550C6" w:rsidRDefault="00024BE0" w:rsidP="00327231">
            <w:pPr>
              <w:widowControl w:val="0"/>
              <w:autoSpaceDE w:val="0"/>
              <w:autoSpaceDN w:val="0"/>
              <w:adjustRightInd w:val="0"/>
              <w:jc w:val="center"/>
              <w:rPr>
                <w:sz w:val="22"/>
                <w:szCs w:val="22"/>
              </w:rPr>
            </w:pPr>
            <w:r w:rsidRPr="008550C6">
              <w:rPr>
                <w:sz w:val="22"/>
                <w:szCs w:val="22"/>
              </w:rPr>
              <w:t xml:space="preserve">-3.2948***   </w:t>
            </w:r>
          </w:p>
        </w:tc>
        <w:tc>
          <w:tcPr>
            <w:tcW w:w="1465" w:type="pct"/>
            <w:tcBorders>
              <w:top w:val="nil"/>
              <w:left w:val="nil"/>
              <w:bottom w:val="nil"/>
              <w:right w:val="nil"/>
            </w:tcBorders>
          </w:tcPr>
          <w:p w14:paraId="0A3E055E" w14:textId="0DD1C24F" w:rsidR="00024BE0" w:rsidRPr="008550C6" w:rsidRDefault="00024BE0" w:rsidP="00327231">
            <w:pPr>
              <w:widowControl w:val="0"/>
              <w:autoSpaceDE w:val="0"/>
              <w:autoSpaceDN w:val="0"/>
              <w:adjustRightInd w:val="0"/>
              <w:jc w:val="center"/>
              <w:rPr>
                <w:sz w:val="22"/>
                <w:szCs w:val="22"/>
              </w:rPr>
            </w:pPr>
            <w:r w:rsidRPr="008550C6">
              <w:rPr>
                <w:sz w:val="22"/>
                <w:szCs w:val="22"/>
              </w:rPr>
              <w:t xml:space="preserve">-3.4815***   </w:t>
            </w:r>
          </w:p>
        </w:tc>
      </w:tr>
      <w:tr w:rsidR="008550C6" w:rsidRPr="008550C6" w14:paraId="1252CFF5" w14:textId="77777777" w:rsidTr="00327231">
        <w:tc>
          <w:tcPr>
            <w:tcW w:w="1749" w:type="pct"/>
            <w:tcBorders>
              <w:top w:val="nil"/>
              <w:left w:val="nil"/>
              <w:bottom w:val="nil"/>
              <w:right w:val="nil"/>
            </w:tcBorders>
          </w:tcPr>
          <w:p w14:paraId="7E019351" w14:textId="77777777" w:rsidR="00024BE0" w:rsidRPr="008550C6" w:rsidRDefault="00024BE0" w:rsidP="0032723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1D7D95A5" w14:textId="15E2EE3D" w:rsidR="00024BE0" w:rsidRPr="008550C6" w:rsidRDefault="00024BE0" w:rsidP="00327231">
            <w:pPr>
              <w:widowControl w:val="0"/>
              <w:autoSpaceDE w:val="0"/>
              <w:autoSpaceDN w:val="0"/>
              <w:adjustRightInd w:val="0"/>
              <w:jc w:val="center"/>
              <w:rPr>
                <w:sz w:val="22"/>
                <w:szCs w:val="22"/>
              </w:rPr>
            </w:pPr>
            <w:r w:rsidRPr="008550C6">
              <w:rPr>
                <w:sz w:val="22"/>
                <w:szCs w:val="22"/>
              </w:rPr>
              <w:t xml:space="preserve">(3.60)   </w:t>
            </w:r>
          </w:p>
        </w:tc>
        <w:tc>
          <w:tcPr>
            <w:tcW w:w="1465" w:type="pct"/>
            <w:tcBorders>
              <w:top w:val="nil"/>
              <w:left w:val="nil"/>
              <w:bottom w:val="nil"/>
              <w:right w:val="nil"/>
            </w:tcBorders>
          </w:tcPr>
          <w:p w14:paraId="75E2A14C" w14:textId="4081D0E4" w:rsidR="00024BE0" w:rsidRPr="008550C6" w:rsidRDefault="00024BE0" w:rsidP="00327231">
            <w:pPr>
              <w:widowControl w:val="0"/>
              <w:autoSpaceDE w:val="0"/>
              <w:autoSpaceDN w:val="0"/>
              <w:adjustRightInd w:val="0"/>
              <w:jc w:val="center"/>
              <w:rPr>
                <w:sz w:val="22"/>
                <w:szCs w:val="22"/>
              </w:rPr>
            </w:pPr>
            <w:r w:rsidRPr="008550C6">
              <w:rPr>
                <w:sz w:val="22"/>
                <w:szCs w:val="22"/>
              </w:rPr>
              <w:t xml:space="preserve">(3.66)   </w:t>
            </w:r>
          </w:p>
        </w:tc>
      </w:tr>
      <w:tr w:rsidR="008550C6" w:rsidRPr="008550C6" w14:paraId="23ACDEE5" w14:textId="77777777" w:rsidTr="00327231">
        <w:tc>
          <w:tcPr>
            <w:tcW w:w="1749" w:type="pct"/>
            <w:tcBorders>
              <w:top w:val="nil"/>
              <w:left w:val="nil"/>
              <w:bottom w:val="nil"/>
              <w:right w:val="nil"/>
            </w:tcBorders>
          </w:tcPr>
          <w:p w14:paraId="0E009A7C" w14:textId="77777777" w:rsidR="00024BE0" w:rsidRPr="008550C6" w:rsidRDefault="00024BE0" w:rsidP="00327231">
            <w:pPr>
              <w:widowControl w:val="0"/>
              <w:autoSpaceDE w:val="0"/>
              <w:autoSpaceDN w:val="0"/>
              <w:adjustRightInd w:val="0"/>
              <w:rPr>
                <w:sz w:val="22"/>
                <w:szCs w:val="22"/>
              </w:rPr>
            </w:pPr>
            <w:r w:rsidRPr="008550C6">
              <w:rPr>
                <w:sz w:val="22"/>
                <w:szCs w:val="22"/>
              </w:rPr>
              <w:t>DOA</w:t>
            </w:r>
          </w:p>
        </w:tc>
        <w:tc>
          <w:tcPr>
            <w:tcW w:w="1786" w:type="pct"/>
            <w:tcBorders>
              <w:top w:val="nil"/>
              <w:left w:val="single" w:sz="4" w:space="0" w:color="auto"/>
              <w:bottom w:val="nil"/>
              <w:right w:val="nil"/>
            </w:tcBorders>
          </w:tcPr>
          <w:p w14:paraId="48334E87" w14:textId="65503BD7" w:rsidR="00024BE0" w:rsidRPr="008550C6" w:rsidRDefault="00024BE0" w:rsidP="00327231">
            <w:pPr>
              <w:widowControl w:val="0"/>
              <w:autoSpaceDE w:val="0"/>
              <w:autoSpaceDN w:val="0"/>
              <w:adjustRightInd w:val="0"/>
              <w:jc w:val="center"/>
              <w:rPr>
                <w:sz w:val="22"/>
                <w:szCs w:val="22"/>
              </w:rPr>
            </w:pPr>
            <w:r w:rsidRPr="008550C6">
              <w:rPr>
                <w:sz w:val="22"/>
                <w:szCs w:val="22"/>
              </w:rPr>
              <w:t xml:space="preserve">  -0.1838*** </w:t>
            </w:r>
          </w:p>
        </w:tc>
        <w:tc>
          <w:tcPr>
            <w:tcW w:w="1465" w:type="pct"/>
            <w:tcBorders>
              <w:top w:val="nil"/>
              <w:left w:val="nil"/>
              <w:bottom w:val="nil"/>
              <w:right w:val="nil"/>
            </w:tcBorders>
          </w:tcPr>
          <w:p w14:paraId="735875D2" w14:textId="14F710E7" w:rsidR="00024BE0" w:rsidRPr="008550C6" w:rsidRDefault="00024BE0" w:rsidP="00327231">
            <w:pPr>
              <w:widowControl w:val="0"/>
              <w:autoSpaceDE w:val="0"/>
              <w:autoSpaceDN w:val="0"/>
              <w:adjustRightInd w:val="0"/>
              <w:jc w:val="center"/>
              <w:rPr>
                <w:sz w:val="22"/>
                <w:szCs w:val="22"/>
              </w:rPr>
            </w:pPr>
            <w:r w:rsidRPr="008550C6">
              <w:rPr>
                <w:sz w:val="22"/>
                <w:szCs w:val="22"/>
              </w:rPr>
              <w:t xml:space="preserve">-0.2551***   </w:t>
            </w:r>
          </w:p>
        </w:tc>
      </w:tr>
      <w:tr w:rsidR="008550C6" w:rsidRPr="008550C6" w14:paraId="66A30892" w14:textId="77777777" w:rsidTr="00327231">
        <w:tc>
          <w:tcPr>
            <w:tcW w:w="1749" w:type="pct"/>
            <w:tcBorders>
              <w:top w:val="nil"/>
              <w:left w:val="nil"/>
              <w:bottom w:val="nil"/>
              <w:right w:val="nil"/>
            </w:tcBorders>
          </w:tcPr>
          <w:p w14:paraId="39EFB65B" w14:textId="77777777" w:rsidR="00024BE0" w:rsidRPr="008550C6" w:rsidRDefault="00024BE0" w:rsidP="0032723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3C339F9E" w14:textId="4B4E2D22" w:rsidR="00024BE0" w:rsidRPr="008550C6" w:rsidRDefault="00024BE0" w:rsidP="00327231">
            <w:pPr>
              <w:widowControl w:val="0"/>
              <w:autoSpaceDE w:val="0"/>
              <w:autoSpaceDN w:val="0"/>
              <w:adjustRightInd w:val="0"/>
              <w:jc w:val="center"/>
              <w:rPr>
                <w:sz w:val="22"/>
                <w:szCs w:val="22"/>
              </w:rPr>
            </w:pPr>
            <w:r w:rsidRPr="008550C6">
              <w:rPr>
                <w:sz w:val="22"/>
                <w:szCs w:val="22"/>
              </w:rPr>
              <w:t xml:space="preserve">(3.68)   </w:t>
            </w:r>
          </w:p>
        </w:tc>
        <w:tc>
          <w:tcPr>
            <w:tcW w:w="1465" w:type="pct"/>
            <w:tcBorders>
              <w:top w:val="nil"/>
              <w:left w:val="nil"/>
              <w:bottom w:val="nil"/>
              <w:right w:val="nil"/>
            </w:tcBorders>
          </w:tcPr>
          <w:p w14:paraId="237F5315" w14:textId="158E73A4" w:rsidR="00024BE0" w:rsidRPr="008550C6" w:rsidRDefault="00024BE0" w:rsidP="00327231">
            <w:pPr>
              <w:widowControl w:val="0"/>
              <w:autoSpaceDE w:val="0"/>
              <w:autoSpaceDN w:val="0"/>
              <w:adjustRightInd w:val="0"/>
              <w:jc w:val="center"/>
              <w:rPr>
                <w:sz w:val="22"/>
                <w:szCs w:val="22"/>
              </w:rPr>
            </w:pPr>
            <w:r w:rsidRPr="008550C6">
              <w:rPr>
                <w:sz w:val="22"/>
                <w:szCs w:val="22"/>
              </w:rPr>
              <w:t xml:space="preserve">(4.99)   </w:t>
            </w:r>
          </w:p>
        </w:tc>
      </w:tr>
      <w:tr w:rsidR="008550C6" w:rsidRPr="008550C6" w14:paraId="06515271" w14:textId="77777777" w:rsidTr="00327231">
        <w:tc>
          <w:tcPr>
            <w:tcW w:w="1749" w:type="pct"/>
            <w:tcBorders>
              <w:top w:val="nil"/>
              <w:left w:val="nil"/>
              <w:bottom w:val="nil"/>
              <w:right w:val="nil"/>
            </w:tcBorders>
          </w:tcPr>
          <w:p w14:paraId="178CAEDF" w14:textId="5D036BF0" w:rsidR="00024BE0" w:rsidRPr="008550C6" w:rsidRDefault="00024BE0" w:rsidP="00327231">
            <w:pPr>
              <w:widowControl w:val="0"/>
              <w:autoSpaceDE w:val="0"/>
              <w:autoSpaceDN w:val="0"/>
              <w:adjustRightInd w:val="0"/>
              <w:rPr>
                <w:sz w:val="22"/>
                <w:szCs w:val="22"/>
              </w:rPr>
            </w:pPr>
            <w:r w:rsidRPr="008550C6">
              <w:rPr>
                <w:sz w:val="22"/>
                <w:szCs w:val="22"/>
              </w:rPr>
              <w:t>C</w:t>
            </w:r>
            <w:r w:rsidR="00783103">
              <w:rPr>
                <w:sz w:val="22"/>
                <w:szCs w:val="22"/>
              </w:rPr>
              <w:t>OVID</w:t>
            </w:r>
            <w:r w:rsidRPr="008550C6">
              <w:rPr>
                <w:sz w:val="22"/>
                <w:szCs w:val="22"/>
              </w:rPr>
              <w:t>-19</w:t>
            </w:r>
          </w:p>
        </w:tc>
        <w:tc>
          <w:tcPr>
            <w:tcW w:w="1786" w:type="pct"/>
            <w:tcBorders>
              <w:top w:val="nil"/>
              <w:left w:val="single" w:sz="4" w:space="0" w:color="auto"/>
              <w:bottom w:val="nil"/>
              <w:right w:val="nil"/>
            </w:tcBorders>
          </w:tcPr>
          <w:p w14:paraId="0B1D4EB9" w14:textId="3213B74F" w:rsidR="00024BE0" w:rsidRPr="008550C6" w:rsidRDefault="00D06E52" w:rsidP="00327231">
            <w:pPr>
              <w:widowControl w:val="0"/>
              <w:autoSpaceDE w:val="0"/>
              <w:autoSpaceDN w:val="0"/>
              <w:adjustRightInd w:val="0"/>
              <w:jc w:val="center"/>
              <w:rPr>
                <w:sz w:val="22"/>
                <w:szCs w:val="22"/>
              </w:rPr>
            </w:pPr>
            <w:r w:rsidRPr="008550C6">
              <w:rPr>
                <w:sz w:val="22"/>
                <w:szCs w:val="22"/>
              </w:rPr>
              <w:t>-</w:t>
            </w:r>
            <w:r w:rsidR="00024BE0" w:rsidRPr="008550C6">
              <w:rPr>
                <w:sz w:val="22"/>
                <w:szCs w:val="22"/>
              </w:rPr>
              <w:t xml:space="preserve">0.3786***   </w:t>
            </w:r>
          </w:p>
        </w:tc>
        <w:tc>
          <w:tcPr>
            <w:tcW w:w="1465" w:type="pct"/>
            <w:tcBorders>
              <w:top w:val="nil"/>
              <w:left w:val="nil"/>
              <w:bottom w:val="nil"/>
              <w:right w:val="nil"/>
            </w:tcBorders>
          </w:tcPr>
          <w:p w14:paraId="7E61BB09" w14:textId="396C2A0A" w:rsidR="00024BE0" w:rsidRPr="008550C6" w:rsidRDefault="00D06E52" w:rsidP="00327231">
            <w:pPr>
              <w:widowControl w:val="0"/>
              <w:autoSpaceDE w:val="0"/>
              <w:autoSpaceDN w:val="0"/>
              <w:adjustRightInd w:val="0"/>
              <w:jc w:val="center"/>
              <w:rPr>
                <w:sz w:val="22"/>
                <w:szCs w:val="22"/>
              </w:rPr>
            </w:pPr>
            <w:r w:rsidRPr="008550C6">
              <w:rPr>
                <w:sz w:val="22"/>
                <w:szCs w:val="22"/>
              </w:rPr>
              <w:t>-</w:t>
            </w:r>
            <w:r w:rsidR="00024BE0" w:rsidRPr="008550C6">
              <w:rPr>
                <w:sz w:val="22"/>
                <w:szCs w:val="22"/>
              </w:rPr>
              <w:t xml:space="preserve">0.3674***   </w:t>
            </w:r>
          </w:p>
        </w:tc>
      </w:tr>
      <w:tr w:rsidR="008550C6" w:rsidRPr="008550C6" w14:paraId="120ECC4E" w14:textId="77777777" w:rsidTr="00327231">
        <w:tc>
          <w:tcPr>
            <w:tcW w:w="1749" w:type="pct"/>
            <w:tcBorders>
              <w:top w:val="nil"/>
              <w:left w:val="nil"/>
              <w:bottom w:val="nil"/>
              <w:right w:val="nil"/>
            </w:tcBorders>
          </w:tcPr>
          <w:p w14:paraId="78D46A6D" w14:textId="77777777" w:rsidR="00024BE0" w:rsidRPr="008550C6" w:rsidRDefault="00024BE0" w:rsidP="0032723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0803CC57" w14:textId="53AB553E" w:rsidR="00024BE0" w:rsidRPr="008550C6" w:rsidRDefault="00024BE0" w:rsidP="00327231">
            <w:pPr>
              <w:widowControl w:val="0"/>
              <w:autoSpaceDE w:val="0"/>
              <w:autoSpaceDN w:val="0"/>
              <w:adjustRightInd w:val="0"/>
              <w:jc w:val="center"/>
              <w:rPr>
                <w:sz w:val="22"/>
                <w:szCs w:val="22"/>
              </w:rPr>
            </w:pPr>
            <w:r w:rsidRPr="008550C6">
              <w:rPr>
                <w:sz w:val="22"/>
                <w:szCs w:val="22"/>
              </w:rPr>
              <w:t xml:space="preserve">(14.09)   </w:t>
            </w:r>
          </w:p>
        </w:tc>
        <w:tc>
          <w:tcPr>
            <w:tcW w:w="1465" w:type="pct"/>
            <w:tcBorders>
              <w:top w:val="nil"/>
              <w:left w:val="nil"/>
              <w:bottom w:val="nil"/>
              <w:right w:val="nil"/>
            </w:tcBorders>
          </w:tcPr>
          <w:p w14:paraId="14C2D916" w14:textId="182F7536" w:rsidR="00024BE0" w:rsidRPr="008550C6" w:rsidRDefault="00024BE0" w:rsidP="00327231">
            <w:pPr>
              <w:widowControl w:val="0"/>
              <w:autoSpaceDE w:val="0"/>
              <w:autoSpaceDN w:val="0"/>
              <w:adjustRightInd w:val="0"/>
              <w:jc w:val="center"/>
              <w:rPr>
                <w:sz w:val="22"/>
                <w:szCs w:val="22"/>
              </w:rPr>
            </w:pPr>
            <w:r w:rsidRPr="008550C6">
              <w:rPr>
                <w:sz w:val="22"/>
                <w:szCs w:val="22"/>
              </w:rPr>
              <w:t xml:space="preserve">(13.25)   </w:t>
            </w:r>
          </w:p>
        </w:tc>
      </w:tr>
      <w:tr w:rsidR="008550C6" w:rsidRPr="008550C6" w14:paraId="0E705973" w14:textId="77777777" w:rsidTr="00327231">
        <w:tc>
          <w:tcPr>
            <w:tcW w:w="1749" w:type="pct"/>
            <w:tcBorders>
              <w:top w:val="nil"/>
              <w:left w:val="nil"/>
              <w:bottom w:val="nil"/>
              <w:right w:val="nil"/>
            </w:tcBorders>
          </w:tcPr>
          <w:p w14:paraId="5CC07F5C" w14:textId="77777777" w:rsidR="00024BE0" w:rsidRPr="008550C6" w:rsidRDefault="00024BE0" w:rsidP="00327231">
            <w:pPr>
              <w:widowControl w:val="0"/>
              <w:autoSpaceDE w:val="0"/>
              <w:autoSpaceDN w:val="0"/>
              <w:adjustRightInd w:val="0"/>
              <w:rPr>
                <w:sz w:val="22"/>
                <w:szCs w:val="22"/>
              </w:rPr>
            </w:pPr>
            <w:r w:rsidRPr="008550C6">
              <w:rPr>
                <w:sz w:val="22"/>
                <w:szCs w:val="22"/>
              </w:rPr>
              <w:t>Constant</w:t>
            </w:r>
          </w:p>
        </w:tc>
        <w:tc>
          <w:tcPr>
            <w:tcW w:w="1786" w:type="pct"/>
            <w:tcBorders>
              <w:top w:val="nil"/>
              <w:left w:val="single" w:sz="4" w:space="0" w:color="auto"/>
              <w:bottom w:val="nil"/>
              <w:right w:val="nil"/>
            </w:tcBorders>
          </w:tcPr>
          <w:p w14:paraId="5FE2E102" w14:textId="332AF6A4" w:rsidR="00024BE0" w:rsidRPr="008550C6" w:rsidRDefault="00024BE0" w:rsidP="00327231">
            <w:pPr>
              <w:widowControl w:val="0"/>
              <w:autoSpaceDE w:val="0"/>
              <w:autoSpaceDN w:val="0"/>
              <w:adjustRightInd w:val="0"/>
              <w:jc w:val="center"/>
              <w:rPr>
                <w:sz w:val="22"/>
                <w:szCs w:val="22"/>
              </w:rPr>
            </w:pPr>
            <w:r w:rsidRPr="008550C6">
              <w:rPr>
                <w:sz w:val="22"/>
                <w:szCs w:val="22"/>
              </w:rPr>
              <w:t>-0.9574*</w:t>
            </w:r>
            <w:r w:rsidR="00764ECC" w:rsidRPr="008550C6">
              <w:rPr>
                <w:sz w:val="22"/>
                <w:szCs w:val="22"/>
              </w:rPr>
              <w:t>**</w:t>
            </w:r>
            <w:r w:rsidRPr="008550C6">
              <w:rPr>
                <w:sz w:val="22"/>
                <w:szCs w:val="22"/>
              </w:rPr>
              <w:t xml:space="preserve">  </w:t>
            </w:r>
          </w:p>
        </w:tc>
        <w:tc>
          <w:tcPr>
            <w:tcW w:w="1465" w:type="pct"/>
            <w:tcBorders>
              <w:top w:val="nil"/>
              <w:left w:val="nil"/>
              <w:bottom w:val="nil"/>
              <w:right w:val="nil"/>
            </w:tcBorders>
          </w:tcPr>
          <w:p w14:paraId="1DDEFBD8" w14:textId="115D5DC5" w:rsidR="00024BE0" w:rsidRPr="008550C6" w:rsidRDefault="00024BE0" w:rsidP="00327231">
            <w:pPr>
              <w:widowControl w:val="0"/>
              <w:autoSpaceDE w:val="0"/>
              <w:autoSpaceDN w:val="0"/>
              <w:adjustRightInd w:val="0"/>
              <w:jc w:val="center"/>
              <w:rPr>
                <w:sz w:val="22"/>
                <w:szCs w:val="22"/>
              </w:rPr>
            </w:pPr>
            <w:r w:rsidRPr="008550C6">
              <w:rPr>
                <w:sz w:val="22"/>
                <w:szCs w:val="22"/>
              </w:rPr>
              <w:t>-0.</w:t>
            </w:r>
            <w:r w:rsidR="00764ECC" w:rsidRPr="008550C6">
              <w:rPr>
                <w:sz w:val="22"/>
                <w:szCs w:val="22"/>
              </w:rPr>
              <w:t>8838</w:t>
            </w:r>
            <w:r w:rsidRPr="008550C6">
              <w:rPr>
                <w:sz w:val="22"/>
                <w:szCs w:val="22"/>
              </w:rPr>
              <w:t>*</w:t>
            </w:r>
            <w:r w:rsidR="00764ECC" w:rsidRPr="008550C6">
              <w:rPr>
                <w:sz w:val="22"/>
                <w:szCs w:val="22"/>
              </w:rPr>
              <w:t>**</w:t>
            </w:r>
            <w:r w:rsidRPr="008550C6">
              <w:rPr>
                <w:sz w:val="22"/>
                <w:szCs w:val="22"/>
              </w:rPr>
              <w:t xml:space="preserve">   </w:t>
            </w:r>
          </w:p>
        </w:tc>
      </w:tr>
      <w:tr w:rsidR="008550C6" w:rsidRPr="008550C6" w14:paraId="52CDCBEE" w14:textId="77777777" w:rsidTr="00327231">
        <w:tc>
          <w:tcPr>
            <w:tcW w:w="1749" w:type="pct"/>
            <w:tcBorders>
              <w:top w:val="nil"/>
              <w:left w:val="nil"/>
              <w:bottom w:val="nil"/>
              <w:right w:val="nil"/>
            </w:tcBorders>
          </w:tcPr>
          <w:p w14:paraId="07244B4D" w14:textId="77777777" w:rsidR="00024BE0" w:rsidRPr="008550C6" w:rsidRDefault="00024BE0" w:rsidP="0032723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16697722" w14:textId="038EE002" w:rsidR="00024BE0" w:rsidRPr="008550C6" w:rsidRDefault="00024BE0" w:rsidP="00327231">
            <w:pPr>
              <w:widowControl w:val="0"/>
              <w:autoSpaceDE w:val="0"/>
              <w:autoSpaceDN w:val="0"/>
              <w:adjustRightInd w:val="0"/>
              <w:jc w:val="center"/>
              <w:rPr>
                <w:sz w:val="22"/>
                <w:szCs w:val="22"/>
              </w:rPr>
            </w:pPr>
            <w:r w:rsidRPr="008550C6">
              <w:rPr>
                <w:sz w:val="22"/>
                <w:szCs w:val="22"/>
              </w:rPr>
              <w:t xml:space="preserve">(11.99)   </w:t>
            </w:r>
          </w:p>
        </w:tc>
        <w:tc>
          <w:tcPr>
            <w:tcW w:w="1465" w:type="pct"/>
            <w:tcBorders>
              <w:top w:val="nil"/>
              <w:left w:val="nil"/>
              <w:bottom w:val="nil"/>
              <w:right w:val="nil"/>
            </w:tcBorders>
          </w:tcPr>
          <w:p w14:paraId="670C02A1" w14:textId="64F20FE1" w:rsidR="00024BE0" w:rsidRPr="008550C6" w:rsidRDefault="00024BE0" w:rsidP="00327231">
            <w:pPr>
              <w:widowControl w:val="0"/>
              <w:autoSpaceDE w:val="0"/>
              <w:autoSpaceDN w:val="0"/>
              <w:adjustRightInd w:val="0"/>
              <w:jc w:val="center"/>
              <w:rPr>
                <w:sz w:val="22"/>
                <w:szCs w:val="22"/>
              </w:rPr>
            </w:pPr>
            <w:r w:rsidRPr="008550C6">
              <w:rPr>
                <w:sz w:val="22"/>
                <w:szCs w:val="22"/>
              </w:rPr>
              <w:t>(</w:t>
            </w:r>
            <w:r w:rsidR="00764ECC" w:rsidRPr="008550C6">
              <w:rPr>
                <w:sz w:val="22"/>
                <w:szCs w:val="22"/>
              </w:rPr>
              <w:t>10</w:t>
            </w:r>
            <w:r w:rsidRPr="008550C6">
              <w:rPr>
                <w:sz w:val="22"/>
                <w:szCs w:val="22"/>
              </w:rPr>
              <w:t>.</w:t>
            </w:r>
            <w:r w:rsidR="00764ECC" w:rsidRPr="008550C6">
              <w:rPr>
                <w:sz w:val="22"/>
                <w:szCs w:val="22"/>
              </w:rPr>
              <w:t>81</w:t>
            </w:r>
            <w:r w:rsidRPr="008550C6">
              <w:rPr>
                <w:sz w:val="22"/>
                <w:szCs w:val="22"/>
              </w:rPr>
              <w:t xml:space="preserve">)   </w:t>
            </w:r>
          </w:p>
        </w:tc>
      </w:tr>
      <w:tr w:rsidR="008550C6" w:rsidRPr="008550C6" w14:paraId="3A3B5483" w14:textId="77777777" w:rsidTr="00327231">
        <w:tc>
          <w:tcPr>
            <w:tcW w:w="1749" w:type="pct"/>
            <w:tcBorders>
              <w:top w:val="nil"/>
              <w:left w:val="nil"/>
              <w:bottom w:val="nil"/>
              <w:right w:val="nil"/>
            </w:tcBorders>
          </w:tcPr>
          <w:p w14:paraId="3C154373" w14:textId="77777777" w:rsidR="00024BE0" w:rsidRPr="008550C6" w:rsidRDefault="00024BE0" w:rsidP="00327231">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16C97264" w14:textId="77777777" w:rsidR="00024BE0" w:rsidRPr="008550C6" w:rsidRDefault="00024BE0" w:rsidP="00327231">
            <w:pPr>
              <w:widowControl w:val="0"/>
              <w:autoSpaceDE w:val="0"/>
              <w:autoSpaceDN w:val="0"/>
              <w:adjustRightInd w:val="0"/>
              <w:jc w:val="center"/>
              <w:rPr>
                <w:sz w:val="22"/>
                <w:szCs w:val="22"/>
              </w:rPr>
            </w:pPr>
          </w:p>
        </w:tc>
        <w:tc>
          <w:tcPr>
            <w:tcW w:w="1465" w:type="pct"/>
            <w:tcBorders>
              <w:top w:val="nil"/>
              <w:left w:val="nil"/>
              <w:bottom w:val="nil"/>
              <w:right w:val="nil"/>
            </w:tcBorders>
          </w:tcPr>
          <w:p w14:paraId="4936111D" w14:textId="77777777" w:rsidR="00024BE0" w:rsidRPr="008550C6" w:rsidRDefault="00024BE0" w:rsidP="00327231">
            <w:pPr>
              <w:widowControl w:val="0"/>
              <w:autoSpaceDE w:val="0"/>
              <w:autoSpaceDN w:val="0"/>
              <w:adjustRightInd w:val="0"/>
              <w:jc w:val="center"/>
              <w:rPr>
                <w:sz w:val="22"/>
                <w:szCs w:val="22"/>
              </w:rPr>
            </w:pPr>
          </w:p>
        </w:tc>
      </w:tr>
      <w:tr w:rsidR="008550C6" w:rsidRPr="008550C6" w14:paraId="6912CFA4" w14:textId="77777777" w:rsidTr="00327231">
        <w:tblPrEx>
          <w:tblBorders>
            <w:bottom w:val="single" w:sz="6" w:space="0" w:color="auto"/>
          </w:tblBorders>
        </w:tblPrEx>
        <w:tc>
          <w:tcPr>
            <w:tcW w:w="1749" w:type="pct"/>
            <w:tcBorders>
              <w:top w:val="nil"/>
              <w:left w:val="nil"/>
              <w:bottom w:val="nil"/>
              <w:right w:val="nil"/>
            </w:tcBorders>
          </w:tcPr>
          <w:p w14:paraId="1125EA4D" w14:textId="77777777" w:rsidR="00024BE0" w:rsidRPr="008550C6" w:rsidRDefault="00024BE0" w:rsidP="00327231">
            <w:pPr>
              <w:widowControl w:val="0"/>
              <w:autoSpaceDE w:val="0"/>
              <w:autoSpaceDN w:val="0"/>
              <w:adjustRightInd w:val="0"/>
              <w:rPr>
                <w:sz w:val="22"/>
                <w:szCs w:val="22"/>
              </w:rPr>
            </w:pPr>
            <w:r w:rsidRPr="008550C6">
              <w:rPr>
                <w:sz w:val="22"/>
                <w:szCs w:val="22"/>
              </w:rPr>
              <w:t>R-squared</w:t>
            </w:r>
          </w:p>
        </w:tc>
        <w:tc>
          <w:tcPr>
            <w:tcW w:w="1786" w:type="pct"/>
            <w:tcBorders>
              <w:top w:val="nil"/>
              <w:left w:val="single" w:sz="4" w:space="0" w:color="auto"/>
              <w:bottom w:val="nil"/>
              <w:right w:val="nil"/>
            </w:tcBorders>
          </w:tcPr>
          <w:p w14:paraId="769A551A" w14:textId="3BF73B0B" w:rsidR="00024BE0" w:rsidRPr="008550C6" w:rsidRDefault="00024BE0" w:rsidP="00327231">
            <w:pPr>
              <w:widowControl w:val="0"/>
              <w:autoSpaceDE w:val="0"/>
              <w:autoSpaceDN w:val="0"/>
              <w:adjustRightInd w:val="0"/>
              <w:jc w:val="center"/>
              <w:rPr>
                <w:sz w:val="22"/>
                <w:szCs w:val="22"/>
              </w:rPr>
            </w:pPr>
            <w:r w:rsidRPr="008550C6">
              <w:rPr>
                <w:sz w:val="22"/>
                <w:szCs w:val="22"/>
              </w:rPr>
              <w:t>0.</w:t>
            </w:r>
            <w:r w:rsidR="00764ECC" w:rsidRPr="008550C6">
              <w:rPr>
                <w:sz w:val="22"/>
                <w:szCs w:val="22"/>
              </w:rPr>
              <w:t>4869</w:t>
            </w:r>
          </w:p>
        </w:tc>
        <w:tc>
          <w:tcPr>
            <w:tcW w:w="1465" w:type="pct"/>
            <w:tcBorders>
              <w:top w:val="nil"/>
              <w:left w:val="nil"/>
              <w:bottom w:val="nil"/>
              <w:right w:val="nil"/>
            </w:tcBorders>
          </w:tcPr>
          <w:p w14:paraId="19BFAB14" w14:textId="253F5177" w:rsidR="00024BE0" w:rsidRPr="008550C6" w:rsidRDefault="00024BE0" w:rsidP="00327231">
            <w:pPr>
              <w:widowControl w:val="0"/>
              <w:autoSpaceDE w:val="0"/>
              <w:autoSpaceDN w:val="0"/>
              <w:adjustRightInd w:val="0"/>
              <w:jc w:val="center"/>
              <w:rPr>
                <w:sz w:val="22"/>
                <w:szCs w:val="22"/>
              </w:rPr>
            </w:pPr>
            <w:r w:rsidRPr="008550C6">
              <w:rPr>
                <w:sz w:val="22"/>
                <w:szCs w:val="22"/>
              </w:rPr>
              <w:t>0.</w:t>
            </w:r>
            <w:r w:rsidR="00764ECC" w:rsidRPr="008550C6">
              <w:rPr>
                <w:sz w:val="22"/>
                <w:szCs w:val="22"/>
              </w:rPr>
              <w:t>4636</w:t>
            </w:r>
          </w:p>
        </w:tc>
      </w:tr>
      <w:tr w:rsidR="008550C6" w:rsidRPr="008550C6" w14:paraId="283D6E7C" w14:textId="77777777" w:rsidTr="00327231">
        <w:tblPrEx>
          <w:tblBorders>
            <w:bottom w:val="single" w:sz="6" w:space="0" w:color="auto"/>
          </w:tblBorders>
        </w:tblPrEx>
        <w:tc>
          <w:tcPr>
            <w:tcW w:w="1749" w:type="pct"/>
            <w:tcBorders>
              <w:top w:val="nil"/>
              <w:left w:val="nil"/>
              <w:bottom w:val="nil"/>
              <w:right w:val="nil"/>
            </w:tcBorders>
          </w:tcPr>
          <w:p w14:paraId="11B4BB52" w14:textId="77777777" w:rsidR="00024BE0" w:rsidRPr="008550C6" w:rsidRDefault="00024BE0" w:rsidP="00327231">
            <w:pPr>
              <w:widowControl w:val="0"/>
              <w:autoSpaceDE w:val="0"/>
              <w:autoSpaceDN w:val="0"/>
              <w:adjustRightInd w:val="0"/>
              <w:rPr>
                <w:sz w:val="22"/>
                <w:szCs w:val="22"/>
              </w:rPr>
            </w:pPr>
            <w:r w:rsidRPr="008550C6">
              <w:rPr>
                <w:sz w:val="22"/>
                <w:szCs w:val="22"/>
              </w:rPr>
              <w:t>Observations</w:t>
            </w:r>
          </w:p>
        </w:tc>
        <w:tc>
          <w:tcPr>
            <w:tcW w:w="1786" w:type="pct"/>
            <w:tcBorders>
              <w:top w:val="nil"/>
              <w:left w:val="single" w:sz="4" w:space="0" w:color="auto"/>
              <w:bottom w:val="nil"/>
              <w:right w:val="nil"/>
            </w:tcBorders>
          </w:tcPr>
          <w:p w14:paraId="5D82EC1D" w14:textId="77777777" w:rsidR="00024BE0" w:rsidRPr="008550C6" w:rsidRDefault="00024BE0" w:rsidP="00327231">
            <w:pPr>
              <w:widowControl w:val="0"/>
              <w:autoSpaceDE w:val="0"/>
              <w:autoSpaceDN w:val="0"/>
              <w:adjustRightInd w:val="0"/>
              <w:jc w:val="center"/>
              <w:rPr>
                <w:sz w:val="22"/>
                <w:szCs w:val="22"/>
              </w:rPr>
            </w:pPr>
            <w:r w:rsidRPr="008550C6">
              <w:rPr>
                <w:sz w:val="22"/>
                <w:szCs w:val="22"/>
              </w:rPr>
              <w:t>2,499</w:t>
            </w:r>
          </w:p>
        </w:tc>
        <w:tc>
          <w:tcPr>
            <w:tcW w:w="1465" w:type="pct"/>
            <w:tcBorders>
              <w:top w:val="nil"/>
              <w:left w:val="nil"/>
              <w:bottom w:val="nil"/>
              <w:right w:val="nil"/>
            </w:tcBorders>
          </w:tcPr>
          <w:p w14:paraId="02A8FEA3" w14:textId="77777777" w:rsidR="00024BE0" w:rsidRPr="008550C6" w:rsidRDefault="00024BE0" w:rsidP="00327231">
            <w:pPr>
              <w:widowControl w:val="0"/>
              <w:autoSpaceDE w:val="0"/>
              <w:autoSpaceDN w:val="0"/>
              <w:adjustRightInd w:val="0"/>
              <w:jc w:val="center"/>
              <w:rPr>
                <w:sz w:val="22"/>
                <w:szCs w:val="22"/>
              </w:rPr>
            </w:pPr>
            <w:r w:rsidRPr="008550C6">
              <w:rPr>
                <w:sz w:val="22"/>
                <w:szCs w:val="22"/>
              </w:rPr>
              <w:t>2,499</w:t>
            </w:r>
          </w:p>
        </w:tc>
      </w:tr>
      <w:tr w:rsidR="008550C6" w:rsidRPr="008550C6" w14:paraId="652ED702" w14:textId="77777777" w:rsidTr="00327231">
        <w:tblPrEx>
          <w:tblBorders>
            <w:bottom w:val="single" w:sz="6" w:space="0" w:color="auto"/>
          </w:tblBorders>
        </w:tblPrEx>
        <w:tc>
          <w:tcPr>
            <w:tcW w:w="1749" w:type="pct"/>
            <w:tcBorders>
              <w:top w:val="nil"/>
              <w:left w:val="nil"/>
              <w:bottom w:val="nil"/>
              <w:right w:val="nil"/>
            </w:tcBorders>
          </w:tcPr>
          <w:p w14:paraId="57C45886" w14:textId="77777777" w:rsidR="00024BE0" w:rsidRPr="008550C6" w:rsidRDefault="00024BE0" w:rsidP="00327231">
            <w:pPr>
              <w:widowControl w:val="0"/>
              <w:autoSpaceDE w:val="0"/>
              <w:autoSpaceDN w:val="0"/>
              <w:adjustRightInd w:val="0"/>
              <w:rPr>
                <w:sz w:val="22"/>
                <w:szCs w:val="22"/>
              </w:rPr>
            </w:pPr>
            <w:r w:rsidRPr="008550C6">
              <w:rPr>
                <w:sz w:val="22"/>
                <w:szCs w:val="22"/>
              </w:rPr>
              <w:t>Number of states</w:t>
            </w:r>
          </w:p>
        </w:tc>
        <w:tc>
          <w:tcPr>
            <w:tcW w:w="1786" w:type="pct"/>
            <w:tcBorders>
              <w:top w:val="nil"/>
              <w:left w:val="single" w:sz="4" w:space="0" w:color="auto"/>
              <w:bottom w:val="nil"/>
              <w:right w:val="nil"/>
            </w:tcBorders>
          </w:tcPr>
          <w:p w14:paraId="2284F67B" w14:textId="77777777" w:rsidR="00024BE0" w:rsidRPr="008550C6" w:rsidRDefault="00024BE0" w:rsidP="00327231">
            <w:pPr>
              <w:widowControl w:val="0"/>
              <w:autoSpaceDE w:val="0"/>
              <w:autoSpaceDN w:val="0"/>
              <w:adjustRightInd w:val="0"/>
              <w:jc w:val="center"/>
              <w:rPr>
                <w:sz w:val="22"/>
                <w:szCs w:val="22"/>
              </w:rPr>
            </w:pPr>
            <w:r w:rsidRPr="008550C6">
              <w:rPr>
                <w:sz w:val="22"/>
                <w:szCs w:val="22"/>
              </w:rPr>
              <w:t>51</w:t>
            </w:r>
          </w:p>
        </w:tc>
        <w:tc>
          <w:tcPr>
            <w:tcW w:w="1465" w:type="pct"/>
            <w:tcBorders>
              <w:top w:val="nil"/>
              <w:left w:val="nil"/>
              <w:bottom w:val="nil"/>
              <w:right w:val="nil"/>
            </w:tcBorders>
          </w:tcPr>
          <w:p w14:paraId="61F09271" w14:textId="77777777" w:rsidR="00024BE0" w:rsidRPr="008550C6" w:rsidRDefault="00024BE0" w:rsidP="00327231">
            <w:pPr>
              <w:widowControl w:val="0"/>
              <w:autoSpaceDE w:val="0"/>
              <w:autoSpaceDN w:val="0"/>
              <w:adjustRightInd w:val="0"/>
              <w:jc w:val="center"/>
              <w:rPr>
                <w:sz w:val="22"/>
                <w:szCs w:val="22"/>
              </w:rPr>
            </w:pPr>
            <w:r w:rsidRPr="008550C6">
              <w:rPr>
                <w:sz w:val="22"/>
                <w:szCs w:val="22"/>
              </w:rPr>
              <w:t>51</w:t>
            </w:r>
          </w:p>
        </w:tc>
      </w:tr>
      <w:tr w:rsidR="008550C6" w:rsidRPr="008550C6" w14:paraId="2D767C22" w14:textId="77777777" w:rsidTr="00327231">
        <w:tblPrEx>
          <w:tblBorders>
            <w:bottom w:val="single" w:sz="6" w:space="0" w:color="auto"/>
          </w:tblBorders>
        </w:tblPrEx>
        <w:tc>
          <w:tcPr>
            <w:tcW w:w="1749" w:type="pct"/>
            <w:tcBorders>
              <w:top w:val="nil"/>
              <w:left w:val="nil"/>
              <w:bottom w:val="single" w:sz="4" w:space="0" w:color="auto"/>
              <w:right w:val="nil"/>
            </w:tcBorders>
          </w:tcPr>
          <w:p w14:paraId="50FB5F63" w14:textId="77777777" w:rsidR="00024BE0" w:rsidRPr="008550C6" w:rsidRDefault="00024BE0" w:rsidP="00327231">
            <w:pPr>
              <w:widowControl w:val="0"/>
              <w:autoSpaceDE w:val="0"/>
              <w:autoSpaceDN w:val="0"/>
              <w:adjustRightInd w:val="0"/>
              <w:rPr>
                <w:sz w:val="22"/>
                <w:szCs w:val="22"/>
              </w:rPr>
            </w:pPr>
            <w:r w:rsidRPr="008550C6">
              <w:rPr>
                <w:sz w:val="22"/>
                <w:szCs w:val="22"/>
              </w:rPr>
              <w:t>Wald Chi 2 [p-value]</w:t>
            </w:r>
          </w:p>
        </w:tc>
        <w:tc>
          <w:tcPr>
            <w:tcW w:w="1786" w:type="pct"/>
            <w:tcBorders>
              <w:top w:val="nil"/>
              <w:left w:val="single" w:sz="4" w:space="0" w:color="auto"/>
              <w:bottom w:val="single" w:sz="4" w:space="0" w:color="auto"/>
              <w:right w:val="nil"/>
            </w:tcBorders>
          </w:tcPr>
          <w:p w14:paraId="568735E0" w14:textId="77777777" w:rsidR="00024BE0" w:rsidRPr="008550C6" w:rsidRDefault="00024BE0" w:rsidP="00327231">
            <w:pPr>
              <w:widowControl w:val="0"/>
              <w:autoSpaceDE w:val="0"/>
              <w:autoSpaceDN w:val="0"/>
              <w:adjustRightInd w:val="0"/>
              <w:jc w:val="center"/>
              <w:rPr>
                <w:sz w:val="22"/>
                <w:szCs w:val="22"/>
              </w:rPr>
            </w:pPr>
            <w:r w:rsidRPr="008550C6">
              <w:rPr>
                <w:sz w:val="22"/>
                <w:szCs w:val="22"/>
              </w:rPr>
              <w:t>0.000***</w:t>
            </w:r>
          </w:p>
        </w:tc>
        <w:tc>
          <w:tcPr>
            <w:tcW w:w="1465" w:type="pct"/>
            <w:tcBorders>
              <w:top w:val="nil"/>
              <w:left w:val="nil"/>
              <w:bottom w:val="single" w:sz="4" w:space="0" w:color="auto"/>
              <w:right w:val="nil"/>
            </w:tcBorders>
          </w:tcPr>
          <w:p w14:paraId="1C2AB535" w14:textId="77777777" w:rsidR="00024BE0" w:rsidRPr="008550C6" w:rsidRDefault="00024BE0" w:rsidP="00327231">
            <w:pPr>
              <w:widowControl w:val="0"/>
              <w:autoSpaceDE w:val="0"/>
              <w:autoSpaceDN w:val="0"/>
              <w:adjustRightInd w:val="0"/>
              <w:jc w:val="center"/>
              <w:rPr>
                <w:sz w:val="22"/>
                <w:szCs w:val="22"/>
              </w:rPr>
            </w:pPr>
            <w:r w:rsidRPr="008550C6">
              <w:rPr>
                <w:sz w:val="22"/>
                <w:szCs w:val="22"/>
              </w:rPr>
              <w:t>0.000***</w:t>
            </w:r>
          </w:p>
        </w:tc>
      </w:tr>
    </w:tbl>
    <w:p w14:paraId="358501F0" w14:textId="08D3601F" w:rsidR="00024BE0" w:rsidRPr="00472A6C" w:rsidRDefault="00024BE0" w:rsidP="008550C6">
      <w:pPr>
        <w:jc w:val="both"/>
        <w:rPr>
          <w:rFonts w:asciiTheme="majorBidi" w:hAnsiTheme="majorBidi" w:cstheme="majorBidi"/>
        </w:rPr>
      </w:pPr>
      <w:r w:rsidRPr="008550C6">
        <w:rPr>
          <w:rFonts w:asciiTheme="majorBidi" w:hAnsiTheme="majorBidi" w:cstheme="majorBidi"/>
          <w:i/>
          <w:iCs/>
          <w:sz w:val="18"/>
          <w:szCs w:val="18"/>
        </w:rPr>
        <w:t xml:space="preserve">Note: </w:t>
      </w:r>
      <w:r w:rsidRPr="00472A6C">
        <w:rPr>
          <w:rFonts w:asciiTheme="majorBidi" w:hAnsiTheme="majorBidi" w:cstheme="majorBidi"/>
          <w:sz w:val="18"/>
          <w:szCs w:val="18"/>
          <w:lang w:val="en-US" w:eastAsia="en-US"/>
          <w14:ligatures w14:val="standardContextual"/>
        </w:rPr>
        <w:t xml:space="preserve">This table reports regression results on the association between </w:t>
      </w:r>
      <w:r w:rsidR="00D6340E" w:rsidRPr="00472A6C">
        <w:rPr>
          <w:rFonts w:asciiTheme="majorBidi" w:hAnsiTheme="majorBidi" w:cstheme="majorBidi"/>
          <w:sz w:val="18"/>
          <w:szCs w:val="18"/>
          <w:lang w:val="en-US" w:eastAsia="en-US"/>
          <w14:ligatures w14:val="standardContextual"/>
        </w:rPr>
        <w:t>stochastic frontier analysis</w:t>
      </w:r>
      <w:r w:rsidRPr="00472A6C">
        <w:rPr>
          <w:rFonts w:asciiTheme="majorBidi" w:hAnsiTheme="majorBidi" w:cstheme="majorBidi"/>
          <w:sz w:val="18"/>
          <w:szCs w:val="18"/>
          <w:lang w:val="en-US" w:eastAsia="en-US"/>
          <w14:ligatures w14:val="standardContextual"/>
        </w:rPr>
        <w:t xml:space="preserve"> </w:t>
      </w:r>
      <w:r w:rsidR="007E4ED2">
        <w:rPr>
          <w:rFonts w:asciiTheme="majorBidi" w:hAnsiTheme="majorBidi" w:cstheme="majorBidi"/>
          <w:sz w:val="18"/>
          <w:szCs w:val="18"/>
          <w:lang w:val="en-US" w:eastAsia="en-US"/>
          <w14:ligatures w14:val="standardContextual"/>
        </w:rPr>
        <w:t xml:space="preserve">(SFA) </w:t>
      </w:r>
      <w:r w:rsidRPr="00472A6C">
        <w:rPr>
          <w:rFonts w:asciiTheme="majorBidi" w:hAnsiTheme="majorBidi" w:cstheme="majorBidi"/>
          <w:sz w:val="18"/>
          <w:szCs w:val="18"/>
          <w:lang w:val="en-US" w:eastAsia="en-US"/>
          <w14:ligatures w14:val="standardContextual"/>
        </w:rPr>
        <w:t xml:space="preserve">score and state and national votes following Spatial Tobit model (STM). </w:t>
      </w:r>
      <w:r w:rsidRPr="00472A6C">
        <w:rPr>
          <w:rFonts w:asciiTheme="majorBidi" w:hAnsiTheme="majorBidi" w:cstheme="majorBidi"/>
          <w:sz w:val="18"/>
          <w:szCs w:val="18"/>
        </w:rPr>
        <w:t>The variables’ coefficients and t-statistics (in brackets) are reported in the table; ***, **, * denote significance at the 1%, 5%, and 10% levels, respectively.</w:t>
      </w:r>
    </w:p>
    <w:p w14:paraId="4AA82902" w14:textId="77777777" w:rsidR="00024BE0" w:rsidRDefault="00024BE0" w:rsidP="00024BE0"/>
    <w:p w14:paraId="73776386" w14:textId="77777777" w:rsidR="00024BE0" w:rsidRDefault="00024BE0" w:rsidP="00B3500A">
      <w:pPr>
        <w:rPr>
          <w:b/>
          <w:bCs/>
          <w:sz w:val="22"/>
          <w:szCs w:val="22"/>
        </w:rPr>
      </w:pPr>
    </w:p>
    <w:p w14:paraId="3BA724B2" w14:textId="77777777" w:rsidR="00024BE0" w:rsidRDefault="00024BE0" w:rsidP="00B3500A">
      <w:pPr>
        <w:rPr>
          <w:b/>
          <w:bCs/>
          <w:sz w:val="22"/>
          <w:szCs w:val="22"/>
        </w:rPr>
      </w:pPr>
    </w:p>
    <w:p w14:paraId="5ECBE78F" w14:textId="77777777" w:rsidR="00024BE0" w:rsidRDefault="00024BE0" w:rsidP="00B3500A">
      <w:pPr>
        <w:rPr>
          <w:b/>
          <w:bCs/>
          <w:sz w:val="22"/>
          <w:szCs w:val="22"/>
        </w:rPr>
      </w:pPr>
    </w:p>
    <w:p w14:paraId="626F6BA4" w14:textId="77777777" w:rsidR="00024BE0" w:rsidRDefault="00024BE0" w:rsidP="00B3500A">
      <w:pPr>
        <w:rPr>
          <w:b/>
          <w:bCs/>
          <w:sz w:val="22"/>
          <w:szCs w:val="22"/>
        </w:rPr>
      </w:pPr>
    </w:p>
    <w:p w14:paraId="69F26D49" w14:textId="77777777" w:rsidR="00024BE0" w:rsidRDefault="00024BE0" w:rsidP="00B3500A">
      <w:pPr>
        <w:rPr>
          <w:b/>
          <w:bCs/>
          <w:sz w:val="22"/>
          <w:szCs w:val="22"/>
        </w:rPr>
      </w:pPr>
    </w:p>
    <w:p w14:paraId="7BB0425F" w14:textId="77777777" w:rsidR="00024BE0" w:rsidRDefault="00024BE0" w:rsidP="00B3500A">
      <w:pPr>
        <w:rPr>
          <w:b/>
          <w:bCs/>
          <w:sz w:val="22"/>
          <w:szCs w:val="22"/>
        </w:rPr>
      </w:pPr>
    </w:p>
    <w:p w14:paraId="7755A75D" w14:textId="77777777" w:rsidR="00024BE0" w:rsidRDefault="00024BE0" w:rsidP="00B3500A">
      <w:pPr>
        <w:rPr>
          <w:b/>
          <w:bCs/>
          <w:sz w:val="22"/>
          <w:szCs w:val="22"/>
        </w:rPr>
      </w:pPr>
    </w:p>
    <w:p w14:paraId="7BB5C595" w14:textId="77777777" w:rsidR="00024BE0" w:rsidRDefault="00024BE0" w:rsidP="00B3500A">
      <w:pPr>
        <w:rPr>
          <w:b/>
          <w:bCs/>
          <w:sz w:val="22"/>
          <w:szCs w:val="22"/>
        </w:rPr>
      </w:pPr>
    </w:p>
    <w:p w14:paraId="022B7B40" w14:textId="77777777" w:rsidR="00024BE0" w:rsidRDefault="00024BE0" w:rsidP="00B3500A">
      <w:pPr>
        <w:rPr>
          <w:b/>
          <w:bCs/>
          <w:sz w:val="22"/>
          <w:szCs w:val="22"/>
        </w:rPr>
      </w:pPr>
    </w:p>
    <w:p w14:paraId="558636DB" w14:textId="77777777" w:rsidR="00024BE0" w:rsidRDefault="00024BE0" w:rsidP="00B3500A">
      <w:pPr>
        <w:rPr>
          <w:b/>
          <w:bCs/>
          <w:sz w:val="22"/>
          <w:szCs w:val="22"/>
        </w:rPr>
      </w:pPr>
    </w:p>
    <w:p w14:paraId="47342CA9" w14:textId="77777777" w:rsidR="00024BE0" w:rsidRDefault="00024BE0" w:rsidP="00B3500A">
      <w:pPr>
        <w:rPr>
          <w:b/>
          <w:bCs/>
          <w:sz w:val="22"/>
          <w:szCs w:val="22"/>
        </w:rPr>
      </w:pPr>
    </w:p>
    <w:p w14:paraId="61880650" w14:textId="77777777" w:rsidR="00024BE0" w:rsidRDefault="00024BE0" w:rsidP="00B3500A">
      <w:pPr>
        <w:rPr>
          <w:b/>
          <w:bCs/>
          <w:sz w:val="22"/>
          <w:szCs w:val="22"/>
        </w:rPr>
      </w:pPr>
    </w:p>
    <w:p w14:paraId="21DFADCB" w14:textId="77777777" w:rsidR="00024BE0" w:rsidRDefault="00024BE0" w:rsidP="00B3500A">
      <w:pPr>
        <w:rPr>
          <w:b/>
          <w:bCs/>
          <w:sz w:val="22"/>
          <w:szCs w:val="22"/>
        </w:rPr>
      </w:pPr>
    </w:p>
    <w:p w14:paraId="306C2077" w14:textId="77777777" w:rsidR="00024BE0" w:rsidRDefault="00024BE0" w:rsidP="00B3500A">
      <w:pPr>
        <w:rPr>
          <w:b/>
          <w:bCs/>
          <w:sz w:val="22"/>
          <w:szCs w:val="22"/>
        </w:rPr>
      </w:pPr>
    </w:p>
    <w:p w14:paraId="3883DBF1" w14:textId="77777777" w:rsidR="00024BE0" w:rsidRDefault="00024BE0" w:rsidP="00B3500A">
      <w:pPr>
        <w:rPr>
          <w:b/>
          <w:bCs/>
          <w:sz w:val="22"/>
          <w:szCs w:val="22"/>
        </w:rPr>
      </w:pPr>
    </w:p>
    <w:p w14:paraId="5ADFDD5D" w14:textId="77777777" w:rsidR="00024BE0" w:rsidRDefault="00024BE0" w:rsidP="00B3500A">
      <w:pPr>
        <w:rPr>
          <w:b/>
          <w:bCs/>
          <w:sz w:val="22"/>
          <w:szCs w:val="22"/>
        </w:rPr>
      </w:pPr>
    </w:p>
    <w:p w14:paraId="77E6A020" w14:textId="77777777" w:rsidR="00D6340E" w:rsidRDefault="00D6340E" w:rsidP="00B3500A">
      <w:pPr>
        <w:rPr>
          <w:b/>
          <w:bCs/>
          <w:sz w:val="22"/>
          <w:szCs w:val="22"/>
        </w:rPr>
      </w:pPr>
    </w:p>
    <w:p w14:paraId="5B44096B" w14:textId="77777777" w:rsidR="00D6340E" w:rsidRDefault="00D6340E" w:rsidP="00B3500A">
      <w:pPr>
        <w:rPr>
          <w:b/>
          <w:bCs/>
          <w:sz w:val="22"/>
          <w:szCs w:val="22"/>
        </w:rPr>
      </w:pPr>
    </w:p>
    <w:p w14:paraId="5B1F41CF" w14:textId="77777777" w:rsidR="00D6340E" w:rsidRDefault="00D6340E" w:rsidP="00B3500A">
      <w:pPr>
        <w:rPr>
          <w:b/>
          <w:bCs/>
          <w:sz w:val="22"/>
          <w:szCs w:val="22"/>
        </w:rPr>
      </w:pPr>
    </w:p>
    <w:p w14:paraId="1E0C15DD" w14:textId="77777777" w:rsidR="00D6340E" w:rsidRDefault="00D6340E" w:rsidP="00B3500A">
      <w:pPr>
        <w:rPr>
          <w:b/>
          <w:bCs/>
          <w:sz w:val="22"/>
          <w:szCs w:val="22"/>
        </w:rPr>
      </w:pPr>
    </w:p>
    <w:p w14:paraId="771D05A3" w14:textId="77777777" w:rsidR="00D6340E" w:rsidRDefault="00D6340E" w:rsidP="00B3500A">
      <w:pPr>
        <w:rPr>
          <w:b/>
          <w:bCs/>
          <w:sz w:val="22"/>
          <w:szCs w:val="22"/>
        </w:rPr>
      </w:pPr>
    </w:p>
    <w:p w14:paraId="74AE273D" w14:textId="77777777" w:rsidR="00024BE0" w:rsidRDefault="00024BE0" w:rsidP="00B3500A">
      <w:pPr>
        <w:rPr>
          <w:b/>
          <w:bCs/>
          <w:sz w:val="22"/>
          <w:szCs w:val="22"/>
        </w:rPr>
      </w:pPr>
    </w:p>
    <w:p w14:paraId="16E38A5A" w14:textId="77777777" w:rsidR="00FD6351" w:rsidRDefault="00FD6351" w:rsidP="00B3500A">
      <w:pPr>
        <w:rPr>
          <w:b/>
          <w:bCs/>
          <w:sz w:val="22"/>
          <w:szCs w:val="22"/>
        </w:rPr>
      </w:pPr>
    </w:p>
    <w:p w14:paraId="001761CD" w14:textId="77777777" w:rsidR="00024BE0" w:rsidRDefault="00024BE0" w:rsidP="00B3500A">
      <w:pPr>
        <w:rPr>
          <w:b/>
          <w:bCs/>
          <w:sz w:val="22"/>
          <w:szCs w:val="22"/>
        </w:rPr>
      </w:pPr>
    </w:p>
    <w:p w14:paraId="1E7B3358" w14:textId="77777777" w:rsidR="00024BE0" w:rsidRDefault="00024BE0" w:rsidP="00B3500A">
      <w:pPr>
        <w:rPr>
          <w:b/>
          <w:bCs/>
          <w:sz w:val="22"/>
          <w:szCs w:val="22"/>
        </w:rPr>
      </w:pPr>
    </w:p>
    <w:p w14:paraId="3C5440AE" w14:textId="77777777" w:rsidR="00024BE0" w:rsidRDefault="00024BE0" w:rsidP="00B3500A">
      <w:pPr>
        <w:rPr>
          <w:b/>
          <w:bCs/>
          <w:sz w:val="22"/>
          <w:szCs w:val="22"/>
        </w:rPr>
      </w:pPr>
    </w:p>
    <w:p w14:paraId="10D29CE1" w14:textId="77777777" w:rsidR="00024BE0" w:rsidRDefault="00024BE0" w:rsidP="00B3500A">
      <w:pPr>
        <w:rPr>
          <w:b/>
          <w:bCs/>
          <w:sz w:val="22"/>
          <w:szCs w:val="22"/>
        </w:rPr>
      </w:pPr>
    </w:p>
    <w:p w14:paraId="6E6E55B0" w14:textId="77777777" w:rsidR="00024BE0" w:rsidRDefault="00024BE0" w:rsidP="00B3500A">
      <w:pPr>
        <w:rPr>
          <w:b/>
          <w:bCs/>
          <w:sz w:val="22"/>
          <w:szCs w:val="22"/>
        </w:rPr>
      </w:pPr>
    </w:p>
    <w:p w14:paraId="228DA44C" w14:textId="407460E1" w:rsidR="007E0F6A" w:rsidRPr="008550C6" w:rsidRDefault="008550C6" w:rsidP="007E0F6A">
      <w:pPr>
        <w:jc w:val="both"/>
        <w:rPr>
          <w:b/>
          <w:bCs/>
          <w:sz w:val="22"/>
          <w:szCs w:val="22"/>
        </w:rPr>
      </w:pPr>
      <w:r w:rsidRPr="008550C6">
        <w:rPr>
          <w:b/>
          <w:bCs/>
          <w:sz w:val="22"/>
          <w:szCs w:val="22"/>
        </w:rPr>
        <w:t>TABLE</w:t>
      </w:r>
      <w:r w:rsidR="007E0F6A" w:rsidRPr="008550C6">
        <w:rPr>
          <w:b/>
          <w:bCs/>
          <w:sz w:val="22"/>
          <w:szCs w:val="22"/>
        </w:rPr>
        <w:t xml:space="preserve"> 14</w:t>
      </w:r>
    </w:p>
    <w:bookmarkEnd w:id="24"/>
    <w:p w14:paraId="65DB5B3B" w14:textId="5A26E828" w:rsidR="00DF75D4" w:rsidRPr="008550C6" w:rsidRDefault="004A0505" w:rsidP="00DF75D4">
      <w:pPr>
        <w:jc w:val="both"/>
        <w:rPr>
          <w:sz w:val="22"/>
          <w:szCs w:val="22"/>
        </w:rPr>
      </w:pPr>
      <w:r w:rsidRPr="008550C6">
        <w:rPr>
          <w:sz w:val="22"/>
          <w:szCs w:val="22"/>
        </w:rPr>
        <w:t xml:space="preserve">The models with </w:t>
      </w:r>
      <w:r w:rsidR="00372549" w:rsidRPr="008550C6">
        <w:rPr>
          <w:sz w:val="22"/>
          <w:szCs w:val="22"/>
        </w:rPr>
        <w:t>C</w:t>
      </w:r>
      <w:r w:rsidR="00DF75D4" w:rsidRPr="008550C6">
        <w:rPr>
          <w:sz w:val="22"/>
          <w:szCs w:val="22"/>
        </w:rPr>
        <w:t xml:space="preserve">onstant </w:t>
      </w:r>
      <w:r w:rsidR="00372549" w:rsidRPr="008550C6">
        <w:rPr>
          <w:sz w:val="22"/>
          <w:szCs w:val="22"/>
        </w:rPr>
        <w:t>R</w:t>
      </w:r>
      <w:r w:rsidR="00DF75D4" w:rsidRPr="008550C6">
        <w:rPr>
          <w:sz w:val="22"/>
          <w:szCs w:val="22"/>
        </w:rPr>
        <w:t xml:space="preserve">eturn to </w:t>
      </w:r>
      <w:r w:rsidR="00372549" w:rsidRPr="008550C6">
        <w:rPr>
          <w:sz w:val="22"/>
          <w:szCs w:val="22"/>
        </w:rPr>
        <w:t>S</w:t>
      </w:r>
      <w:r w:rsidR="00DF75D4" w:rsidRPr="008550C6">
        <w:rPr>
          <w:sz w:val="22"/>
          <w:szCs w:val="22"/>
        </w:rPr>
        <w:t>cale (CRS).</w:t>
      </w:r>
    </w:p>
    <w:tbl>
      <w:tblPr>
        <w:tblW w:w="5000" w:type="pct"/>
        <w:tblCellMar>
          <w:left w:w="75" w:type="dxa"/>
          <w:right w:w="75" w:type="dxa"/>
        </w:tblCellMar>
        <w:tblLook w:val="0000" w:firstRow="0" w:lastRow="0" w:firstColumn="0" w:lastColumn="0" w:noHBand="0" w:noVBand="0"/>
      </w:tblPr>
      <w:tblGrid>
        <w:gridCol w:w="3157"/>
        <w:gridCol w:w="3224"/>
        <w:gridCol w:w="2645"/>
      </w:tblGrid>
      <w:tr w:rsidR="008550C6" w:rsidRPr="007E3420" w14:paraId="673B42E2" w14:textId="77777777" w:rsidTr="003E0E5D">
        <w:tc>
          <w:tcPr>
            <w:tcW w:w="1749" w:type="pct"/>
            <w:tcBorders>
              <w:top w:val="single" w:sz="6" w:space="0" w:color="auto"/>
              <w:left w:val="nil"/>
              <w:bottom w:val="nil"/>
              <w:right w:val="nil"/>
            </w:tcBorders>
          </w:tcPr>
          <w:p w14:paraId="2B47CE49" w14:textId="77777777" w:rsidR="00DF75D4" w:rsidRPr="007E3420" w:rsidRDefault="00DF75D4" w:rsidP="003E0E5D">
            <w:pPr>
              <w:widowControl w:val="0"/>
              <w:autoSpaceDE w:val="0"/>
              <w:autoSpaceDN w:val="0"/>
              <w:adjustRightInd w:val="0"/>
              <w:rPr>
                <w:b/>
                <w:bCs/>
                <w:sz w:val="22"/>
                <w:szCs w:val="22"/>
              </w:rPr>
            </w:pPr>
          </w:p>
        </w:tc>
        <w:tc>
          <w:tcPr>
            <w:tcW w:w="1786" w:type="pct"/>
            <w:tcBorders>
              <w:top w:val="single" w:sz="6" w:space="0" w:color="auto"/>
              <w:left w:val="single" w:sz="4" w:space="0" w:color="auto"/>
              <w:bottom w:val="nil"/>
              <w:right w:val="nil"/>
            </w:tcBorders>
          </w:tcPr>
          <w:p w14:paraId="7CC196EA" w14:textId="77777777" w:rsidR="00DF75D4" w:rsidRPr="007E3420" w:rsidRDefault="00DF75D4" w:rsidP="003E0E5D">
            <w:pPr>
              <w:widowControl w:val="0"/>
              <w:autoSpaceDE w:val="0"/>
              <w:autoSpaceDN w:val="0"/>
              <w:adjustRightInd w:val="0"/>
              <w:jc w:val="center"/>
              <w:rPr>
                <w:b/>
                <w:bCs/>
                <w:sz w:val="22"/>
                <w:szCs w:val="22"/>
              </w:rPr>
            </w:pPr>
            <w:r w:rsidRPr="007E3420">
              <w:rPr>
                <w:b/>
                <w:bCs/>
                <w:sz w:val="22"/>
                <w:szCs w:val="22"/>
              </w:rPr>
              <w:t>(1)</w:t>
            </w:r>
          </w:p>
        </w:tc>
        <w:tc>
          <w:tcPr>
            <w:tcW w:w="1465" w:type="pct"/>
            <w:tcBorders>
              <w:top w:val="single" w:sz="6" w:space="0" w:color="auto"/>
              <w:left w:val="nil"/>
              <w:bottom w:val="nil"/>
              <w:right w:val="nil"/>
            </w:tcBorders>
          </w:tcPr>
          <w:p w14:paraId="29C78B64" w14:textId="77777777" w:rsidR="00DF75D4" w:rsidRPr="007E3420" w:rsidRDefault="00DF75D4" w:rsidP="003E0E5D">
            <w:pPr>
              <w:widowControl w:val="0"/>
              <w:autoSpaceDE w:val="0"/>
              <w:autoSpaceDN w:val="0"/>
              <w:adjustRightInd w:val="0"/>
              <w:jc w:val="center"/>
              <w:rPr>
                <w:b/>
                <w:bCs/>
                <w:sz w:val="22"/>
                <w:szCs w:val="22"/>
              </w:rPr>
            </w:pPr>
            <w:r w:rsidRPr="007E3420">
              <w:rPr>
                <w:b/>
                <w:bCs/>
                <w:sz w:val="22"/>
                <w:szCs w:val="22"/>
              </w:rPr>
              <w:t>(2)</w:t>
            </w:r>
          </w:p>
        </w:tc>
      </w:tr>
      <w:tr w:rsidR="008550C6" w:rsidRPr="007E3420" w14:paraId="389BDDC5" w14:textId="77777777" w:rsidTr="003E0E5D">
        <w:tc>
          <w:tcPr>
            <w:tcW w:w="1749" w:type="pct"/>
            <w:tcBorders>
              <w:top w:val="nil"/>
              <w:left w:val="nil"/>
              <w:bottom w:val="single" w:sz="6" w:space="0" w:color="auto"/>
              <w:right w:val="nil"/>
            </w:tcBorders>
          </w:tcPr>
          <w:p w14:paraId="6781C3D9" w14:textId="77777777" w:rsidR="00DF75D4" w:rsidRPr="007E3420" w:rsidRDefault="00DF75D4" w:rsidP="003E0E5D">
            <w:pPr>
              <w:widowControl w:val="0"/>
              <w:autoSpaceDE w:val="0"/>
              <w:autoSpaceDN w:val="0"/>
              <w:adjustRightInd w:val="0"/>
              <w:rPr>
                <w:b/>
                <w:bCs/>
                <w:sz w:val="22"/>
                <w:szCs w:val="22"/>
              </w:rPr>
            </w:pPr>
            <w:r w:rsidRPr="007E3420">
              <w:rPr>
                <w:b/>
                <w:bCs/>
                <w:sz w:val="22"/>
                <w:szCs w:val="22"/>
              </w:rPr>
              <w:t>VARIABLES</w:t>
            </w:r>
          </w:p>
        </w:tc>
        <w:tc>
          <w:tcPr>
            <w:tcW w:w="1786" w:type="pct"/>
            <w:tcBorders>
              <w:top w:val="nil"/>
              <w:left w:val="single" w:sz="4" w:space="0" w:color="auto"/>
              <w:bottom w:val="single" w:sz="6" w:space="0" w:color="auto"/>
              <w:right w:val="nil"/>
            </w:tcBorders>
          </w:tcPr>
          <w:p w14:paraId="78433D50" w14:textId="7FB76345" w:rsidR="00DF75D4" w:rsidRPr="007E3420" w:rsidRDefault="007107F2" w:rsidP="003E0E5D">
            <w:pPr>
              <w:widowControl w:val="0"/>
              <w:autoSpaceDE w:val="0"/>
              <w:autoSpaceDN w:val="0"/>
              <w:adjustRightInd w:val="0"/>
              <w:jc w:val="center"/>
              <w:rPr>
                <w:b/>
                <w:bCs/>
                <w:sz w:val="22"/>
                <w:szCs w:val="22"/>
              </w:rPr>
            </w:pPr>
            <w:r w:rsidRPr="007E3420">
              <w:rPr>
                <w:b/>
                <w:bCs/>
                <w:sz w:val="22"/>
                <w:szCs w:val="22"/>
              </w:rPr>
              <w:t>C</w:t>
            </w:r>
            <w:r w:rsidR="00DF75D4" w:rsidRPr="007E3420">
              <w:rPr>
                <w:b/>
                <w:bCs/>
                <w:sz w:val="22"/>
                <w:szCs w:val="22"/>
              </w:rPr>
              <w:t>RS</w:t>
            </w:r>
          </w:p>
        </w:tc>
        <w:tc>
          <w:tcPr>
            <w:tcW w:w="1465" w:type="pct"/>
            <w:tcBorders>
              <w:top w:val="nil"/>
              <w:left w:val="nil"/>
              <w:bottom w:val="single" w:sz="6" w:space="0" w:color="auto"/>
              <w:right w:val="nil"/>
            </w:tcBorders>
          </w:tcPr>
          <w:p w14:paraId="46940BF7" w14:textId="722AB7D4" w:rsidR="00DF75D4" w:rsidRPr="007E3420" w:rsidRDefault="007107F2" w:rsidP="003E0E5D">
            <w:pPr>
              <w:widowControl w:val="0"/>
              <w:autoSpaceDE w:val="0"/>
              <w:autoSpaceDN w:val="0"/>
              <w:adjustRightInd w:val="0"/>
              <w:jc w:val="center"/>
              <w:rPr>
                <w:b/>
                <w:bCs/>
                <w:sz w:val="22"/>
                <w:szCs w:val="22"/>
              </w:rPr>
            </w:pPr>
            <w:r w:rsidRPr="007E3420">
              <w:rPr>
                <w:b/>
                <w:bCs/>
                <w:sz w:val="22"/>
                <w:szCs w:val="22"/>
              </w:rPr>
              <w:t>C</w:t>
            </w:r>
            <w:r w:rsidR="00DF75D4" w:rsidRPr="007E3420">
              <w:rPr>
                <w:b/>
                <w:bCs/>
                <w:sz w:val="22"/>
                <w:szCs w:val="22"/>
              </w:rPr>
              <w:t>RS</w:t>
            </w:r>
          </w:p>
        </w:tc>
      </w:tr>
      <w:tr w:rsidR="008550C6" w:rsidRPr="008550C6" w14:paraId="029F95CD" w14:textId="77777777" w:rsidTr="003E0E5D">
        <w:tc>
          <w:tcPr>
            <w:tcW w:w="1749" w:type="pct"/>
            <w:tcBorders>
              <w:top w:val="nil"/>
              <w:left w:val="nil"/>
              <w:bottom w:val="nil"/>
              <w:right w:val="nil"/>
            </w:tcBorders>
          </w:tcPr>
          <w:p w14:paraId="4E979CA4" w14:textId="77777777" w:rsidR="00DF75D4" w:rsidRPr="008550C6" w:rsidRDefault="00DF75D4" w:rsidP="003E0E5D">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296123C2" w14:textId="77777777" w:rsidR="00DF75D4" w:rsidRPr="008550C6" w:rsidRDefault="00DF75D4" w:rsidP="003E0E5D">
            <w:pPr>
              <w:widowControl w:val="0"/>
              <w:autoSpaceDE w:val="0"/>
              <w:autoSpaceDN w:val="0"/>
              <w:adjustRightInd w:val="0"/>
              <w:jc w:val="center"/>
              <w:rPr>
                <w:sz w:val="22"/>
                <w:szCs w:val="22"/>
              </w:rPr>
            </w:pPr>
          </w:p>
        </w:tc>
        <w:tc>
          <w:tcPr>
            <w:tcW w:w="1465" w:type="pct"/>
            <w:tcBorders>
              <w:top w:val="nil"/>
              <w:left w:val="nil"/>
              <w:bottom w:val="nil"/>
              <w:right w:val="nil"/>
            </w:tcBorders>
          </w:tcPr>
          <w:p w14:paraId="0EA59DB3" w14:textId="77777777" w:rsidR="00DF75D4" w:rsidRPr="008550C6" w:rsidRDefault="00DF75D4" w:rsidP="003E0E5D">
            <w:pPr>
              <w:widowControl w:val="0"/>
              <w:autoSpaceDE w:val="0"/>
              <w:autoSpaceDN w:val="0"/>
              <w:adjustRightInd w:val="0"/>
              <w:jc w:val="center"/>
              <w:rPr>
                <w:sz w:val="22"/>
                <w:szCs w:val="22"/>
              </w:rPr>
            </w:pPr>
          </w:p>
        </w:tc>
      </w:tr>
      <w:tr w:rsidR="008550C6" w:rsidRPr="007E4ED2" w14:paraId="702E8161" w14:textId="77777777" w:rsidTr="003E0E5D">
        <w:tc>
          <w:tcPr>
            <w:tcW w:w="1749" w:type="pct"/>
            <w:tcBorders>
              <w:top w:val="nil"/>
              <w:left w:val="nil"/>
              <w:bottom w:val="nil"/>
              <w:right w:val="nil"/>
            </w:tcBorders>
          </w:tcPr>
          <w:p w14:paraId="3F428EAC" w14:textId="77777777" w:rsidR="00DF75D4" w:rsidRPr="007E4ED2" w:rsidRDefault="00DF75D4" w:rsidP="003E0E5D">
            <w:pPr>
              <w:widowControl w:val="0"/>
              <w:autoSpaceDE w:val="0"/>
              <w:autoSpaceDN w:val="0"/>
              <w:adjustRightInd w:val="0"/>
              <w:rPr>
                <w:sz w:val="22"/>
                <w:szCs w:val="22"/>
              </w:rPr>
            </w:pPr>
            <w:r w:rsidRPr="007E4ED2">
              <w:rPr>
                <w:sz w:val="22"/>
                <w:szCs w:val="22"/>
              </w:rPr>
              <w:t>SVOTE</w:t>
            </w:r>
          </w:p>
        </w:tc>
        <w:tc>
          <w:tcPr>
            <w:tcW w:w="1786" w:type="pct"/>
            <w:tcBorders>
              <w:top w:val="nil"/>
              <w:left w:val="single" w:sz="4" w:space="0" w:color="auto"/>
              <w:bottom w:val="nil"/>
              <w:right w:val="nil"/>
            </w:tcBorders>
          </w:tcPr>
          <w:p w14:paraId="776834F9" w14:textId="7676C374" w:rsidR="00DF75D4" w:rsidRPr="007E4ED2" w:rsidRDefault="00DF75D4" w:rsidP="003E0E5D">
            <w:pPr>
              <w:widowControl w:val="0"/>
              <w:autoSpaceDE w:val="0"/>
              <w:autoSpaceDN w:val="0"/>
              <w:adjustRightInd w:val="0"/>
              <w:jc w:val="center"/>
              <w:rPr>
                <w:sz w:val="22"/>
                <w:szCs w:val="22"/>
              </w:rPr>
            </w:pPr>
            <w:r w:rsidRPr="007E4ED2">
              <w:rPr>
                <w:sz w:val="22"/>
                <w:szCs w:val="22"/>
              </w:rPr>
              <w:t>0.0002</w:t>
            </w:r>
          </w:p>
        </w:tc>
        <w:tc>
          <w:tcPr>
            <w:tcW w:w="1465" w:type="pct"/>
            <w:tcBorders>
              <w:top w:val="nil"/>
              <w:left w:val="nil"/>
              <w:bottom w:val="nil"/>
              <w:right w:val="nil"/>
            </w:tcBorders>
          </w:tcPr>
          <w:p w14:paraId="73C53927" w14:textId="77777777" w:rsidR="00DF75D4" w:rsidRPr="007E4ED2" w:rsidRDefault="00DF75D4" w:rsidP="003E0E5D">
            <w:pPr>
              <w:widowControl w:val="0"/>
              <w:autoSpaceDE w:val="0"/>
              <w:autoSpaceDN w:val="0"/>
              <w:adjustRightInd w:val="0"/>
              <w:jc w:val="center"/>
              <w:rPr>
                <w:sz w:val="22"/>
                <w:szCs w:val="22"/>
              </w:rPr>
            </w:pPr>
          </w:p>
        </w:tc>
      </w:tr>
      <w:tr w:rsidR="008550C6" w:rsidRPr="007E4ED2" w14:paraId="01A31151" w14:textId="77777777" w:rsidTr="003E0E5D">
        <w:tc>
          <w:tcPr>
            <w:tcW w:w="1749" w:type="pct"/>
            <w:tcBorders>
              <w:top w:val="nil"/>
              <w:left w:val="nil"/>
              <w:bottom w:val="nil"/>
              <w:right w:val="nil"/>
            </w:tcBorders>
          </w:tcPr>
          <w:p w14:paraId="43265BF3" w14:textId="77777777" w:rsidR="00DF75D4" w:rsidRPr="007E4ED2" w:rsidRDefault="00DF75D4" w:rsidP="003E0E5D">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31A260E8" w14:textId="4A59EA1A" w:rsidR="00DF75D4" w:rsidRPr="007E4ED2" w:rsidRDefault="00DF75D4" w:rsidP="003E0E5D">
            <w:pPr>
              <w:widowControl w:val="0"/>
              <w:autoSpaceDE w:val="0"/>
              <w:autoSpaceDN w:val="0"/>
              <w:adjustRightInd w:val="0"/>
              <w:jc w:val="center"/>
              <w:rPr>
                <w:sz w:val="22"/>
                <w:szCs w:val="22"/>
              </w:rPr>
            </w:pPr>
            <w:r w:rsidRPr="007E4ED2">
              <w:rPr>
                <w:sz w:val="22"/>
                <w:szCs w:val="22"/>
              </w:rPr>
              <w:t>(</w:t>
            </w:r>
            <w:r w:rsidR="00295426" w:rsidRPr="007E4ED2">
              <w:rPr>
                <w:sz w:val="22"/>
                <w:szCs w:val="22"/>
              </w:rPr>
              <w:t>0.01</w:t>
            </w:r>
            <w:r w:rsidRPr="007E4ED2">
              <w:rPr>
                <w:sz w:val="22"/>
                <w:szCs w:val="22"/>
              </w:rPr>
              <w:t xml:space="preserve">)   </w:t>
            </w:r>
          </w:p>
        </w:tc>
        <w:tc>
          <w:tcPr>
            <w:tcW w:w="1465" w:type="pct"/>
            <w:tcBorders>
              <w:top w:val="nil"/>
              <w:left w:val="nil"/>
              <w:bottom w:val="nil"/>
              <w:right w:val="nil"/>
            </w:tcBorders>
          </w:tcPr>
          <w:p w14:paraId="3D6C5FC6" w14:textId="77777777" w:rsidR="00DF75D4" w:rsidRPr="007E4ED2" w:rsidRDefault="00DF75D4" w:rsidP="003E0E5D">
            <w:pPr>
              <w:widowControl w:val="0"/>
              <w:autoSpaceDE w:val="0"/>
              <w:autoSpaceDN w:val="0"/>
              <w:adjustRightInd w:val="0"/>
              <w:jc w:val="center"/>
              <w:rPr>
                <w:sz w:val="22"/>
                <w:szCs w:val="22"/>
              </w:rPr>
            </w:pPr>
          </w:p>
        </w:tc>
      </w:tr>
      <w:tr w:rsidR="008550C6" w:rsidRPr="007E4ED2" w14:paraId="776D6EE1" w14:textId="77777777" w:rsidTr="003E0E5D">
        <w:tc>
          <w:tcPr>
            <w:tcW w:w="1749" w:type="pct"/>
            <w:tcBorders>
              <w:top w:val="nil"/>
              <w:left w:val="nil"/>
              <w:bottom w:val="nil"/>
              <w:right w:val="nil"/>
            </w:tcBorders>
          </w:tcPr>
          <w:p w14:paraId="67DBF07E" w14:textId="77777777" w:rsidR="00DF75D4" w:rsidRPr="007E4ED2" w:rsidRDefault="00DF75D4" w:rsidP="003E0E5D">
            <w:pPr>
              <w:widowControl w:val="0"/>
              <w:autoSpaceDE w:val="0"/>
              <w:autoSpaceDN w:val="0"/>
              <w:adjustRightInd w:val="0"/>
              <w:rPr>
                <w:sz w:val="22"/>
                <w:szCs w:val="22"/>
              </w:rPr>
            </w:pPr>
            <w:r w:rsidRPr="007E4ED2">
              <w:rPr>
                <w:sz w:val="22"/>
                <w:szCs w:val="22"/>
              </w:rPr>
              <w:t>NVOTE</w:t>
            </w:r>
          </w:p>
        </w:tc>
        <w:tc>
          <w:tcPr>
            <w:tcW w:w="1786" w:type="pct"/>
            <w:tcBorders>
              <w:top w:val="nil"/>
              <w:left w:val="single" w:sz="4" w:space="0" w:color="auto"/>
              <w:bottom w:val="nil"/>
              <w:right w:val="nil"/>
            </w:tcBorders>
          </w:tcPr>
          <w:p w14:paraId="7BA60815" w14:textId="77777777" w:rsidR="00DF75D4" w:rsidRPr="007E4ED2" w:rsidRDefault="00DF75D4" w:rsidP="003E0E5D">
            <w:pPr>
              <w:widowControl w:val="0"/>
              <w:autoSpaceDE w:val="0"/>
              <w:autoSpaceDN w:val="0"/>
              <w:adjustRightInd w:val="0"/>
              <w:jc w:val="center"/>
              <w:rPr>
                <w:sz w:val="22"/>
                <w:szCs w:val="22"/>
              </w:rPr>
            </w:pPr>
          </w:p>
        </w:tc>
        <w:tc>
          <w:tcPr>
            <w:tcW w:w="1465" w:type="pct"/>
            <w:tcBorders>
              <w:top w:val="nil"/>
              <w:left w:val="nil"/>
              <w:bottom w:val="nil"/>
              <w:right w:val="nil"/>
            </w:tcBorders>
          </w:tcPr>
          <w:p w14:paraId="2B911207" w14:textId="519AFFC9" w:rsidR="00DF75D4" w:rsidRPr="007E4ED2" w:rsidRDefault="00DF75D4" w:rsidP="003E0E5D">
            <w:pPr>
              <w:widowControl w:val="0"/>
              <w:autoSpaceDE w:val="0"/>
              <w:autoSpaceDN w:val="0"/>
              <w:adjustRightInd w:val="0"/>
              <w:jc w:val="center"/>
              <w:rPr>
                <w:sz w:val="22"/>
                <w:szCs w:val="22"/>
              </w:rPr>
            </w:pPr>
            <w:r w:rsidRPr="007E4ED2">
              <w:rPr>
                <w:sz w:val="22"/>
                <w:szCs w:val="22"/>
              </w:rPr>
              <w:t>0.01</w:t>
            </w:r>
            <w:r w:rsidR="007107F2" w:rsidRPr="007E4ED2">
              <w:rPr>
                <w:sz w:val="22"/>
                <w:szCs w:val="22"/>
              </w:rPr>
              <w:t>7</w:t>
            </w:r>
            <w:r w:rsidRPr="007E4ED2">
              <w:rPr>
                <w:sz w:val="22"/>
                <w:szCs w:val="22"/>
              </w:rPr>
              <w:t xml:space="preserve">9***   </w:t>
            </w:r>
          </w:p>
        </w:tc>
      </w:tr>
      <w:tr w:rsidR="008550C6" w:rsidRPr="007E4ED2" w14:paraId="6E207D1B" w14:textId="77777777" w:rsidTr="003E0E5D">
        <w:tc>
          <w:tcPr>
            <w:tcW w:w="1749" w:type="pct"/>
            <w:tcBorders>
              <w:top w:val="nil"/>
              <w:left w:val="nil"/>
              <w:bottom w:val="nil"/>
              <w:right w:val="nil"/>
            </w:tcBorders>
          </w:tcPr>
          <w:p w14:paraId="3C43B3DC" w14:textId="77777777" w:rsidR="00DF75D4" w:rsidRPr="007E4ED2" w:rsidRDefault="00DF75D4" w:rsidP="003E0E5D">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0C57DE29" w14:textId="77777777" w:rsidR="00DF75D4" w:rsidRPr="007E4ED2" w:rsidRDefault="00DF75D4" w:rsidP="003E0E5D">
            <w:pPr>
              <w:widowControl w:val="0"/>
              <w:autoSpaceDE w:val="0"/>
              <w:autoSpaceDN w:val="0"/>
              <w:adjustRightInd w:val="0"/>
              <w:jc w:val="center"/>
              <w:rPr>
                <w:sz w:val="22"/>
                <w:szCs w:val="22"/>
              </w:rPr>
            </w:pPr>
          </w:p>
        </w:tc>
        <w:tc>
          <w:tcPr>
            <w:tcW w:w="1465" w:type="pct"/>
            <w:tcBorders>
              <w:top w:val="nil"/>
              <w:left w:val="nil"/>
              <w:bottom w:val="nil"/>
              <w:right w:val="nil"/>
            </w:tcBorders>
          </w:tcPr>
          <w:p w14:paraId="21F27934" w14:textId="42D56E45" w:rsidR="00DF75D4" w:rsidRPr="007E4ED2" w:rsidRDefault="00DF75D4" w:rsidP="003E0E5D">
            <w:pPr>
              <w:widowControl w:val="0"/>
              <w:autoSpaceDE w:val="0"/>
              <w:autoSpaceDN w:val="0"/>
              <w:adjustRightInd w:val="0"/>
              <w:jc w:val="center"/>
              <w:rPr>
                <w:sz w:val="22"/>
                <w:szCs w:val="22"/>
              </w:rPr>
            </w:pPr>
            <w:r w:rsidRPr="007E4ED2">
              <w:rPr>
                <w:sz w:val="22"/>
                <w:szCs w:val="22"/>
              </w:rPr>
              <w:t>(</w:t>
            </w:r>
            <w:r w:rsidR="007107F2" w:rsidRPr="007E4ED2">
              <w:rPr>
                <w:sz w:val="22"/>
                <w:szCs w:val="22"/>
              </w:rPr>
              <w:t>5</w:t>
            </w:r>
            <w:r w:rsidRPr="007E4ED2">
              <w:rPr>
                <w:sz w:val="22"/>
                <w:szCs w:val="22"/>
              </w:rPr>
              <w:t>.7</w:t>
            </w:r>
            <w:r w:rsidR="007107F2" w:rsidRPr="007E4ED2">
              <w:rPr>
                <w:sz w:val="22"/>
                <w:szCs w:val="22"/>
              </w:rPr>
              <w:t>6</w:t>
            </w:r>
            <w:r w:rsidRPr="007E4ED2">
              <w:rPr>
                <w:sz w:val="22"/>
                <w:szCs w:val="22"/>
              </w:rPr>
              <w:t xml:space="preserve">)   </w:t>
            </w:r>
          </w:p>
        </w:tc>
      </w:tr>
      <w:tr w:rsidR="008550C6" w:rsidRPr="008550C6" w14:paraId="5FAD8E47" w14:textId="77777777" w:rsidTr="003E0E5D">
        <w:tc>
          <w:tcPr>
            <w:tcW w:w="1749" w:type="pct"/>
            <w:tcBorders>
              <w:top w:val="nil"/>
              <w:left w:val="nil"/>
              <w:bottom w:val="nil"/>
              <w:right w:val="nil"/>
            </w:tcBorders>
          </w:tcPr>
          <w:p w14:paraId="6F6C5E01" w14:textId="77777777" w:rsidR="00DF75D4" w:rsidRPr="008550C6" w:rsidRDefault="00DF75D4" w:rsidP="003E0E5D">
            <w:pPr>
              <w:widowControl w:val="0"/>
              <w:autoSpaceDE w:val="0"/>
              <w:autoSpaceDN w:val="0"/>
              <w:adjustRightInd w:val="0"/>
              <w:rPr>
                <w:sz w:val="22"/>
                <w:szCs w:val="22"/>
              </w:rPr>
            </w:pPr>
            <w:r w:rsidRPr="008550C6">
              <w:rPr>
                <w:sz w:val="22"/>
                <w:szCs w:val="22"/>
              </w:rPr>
              <w:t>LNTA</w:t>
            </w:r>
          </w:p>
        </w:tc>
        <w:tc>
          <w:tcPr>
            <w:tcW w:w="1786" w:type="pct"/>
            <w:tcBorders>
              <w:top w:val="nil"/>
              <w:left w:val="single" w:sz="4" w:space="0" w:color="auto"/>
              <w:bottom w:val="nil"/>
              <w:right w:val="nil"/>
            </w:tcBorders>
          </w:tcPr>
          <w:p w14:paraId="2B5F4D77" w14:textId="45353B71" w:rsidR="00DF75D4" w:rsidRPr="008550C6" w:rsidRDefault="00295426" w:rsidP="003E0E5D">
            <w:pPr>
              <w:widowControl w:val="0"/>
              <w:autoSpaceDE w:val="0"/>
              <w:autoSpaceDN w:val="0"/>
              <w:adjustRightInd w:val="0"/>
              <w:jc w:val="center"/>
              <w:rPr>
                <w:sz w:val="22"/>
                <w:szCs w:val="22"/>
              </w:rPr>
            </w:pPr>
            <w:r w:rsidRPr="008550C6">
              <w:rPr>
                <w:sz w:val="22"/>
                <w:szCs w:val="22"/>
              </w:rPr>
              <w:t>-</w:t>
            </w:r>
            <w:r w:rsidR="00DF75D4" w:rsidRPr="008550C6">
              <w:rPr>
                <w:sz w:val="22"/>
                <w:szCs w:val="22"/>
              </w:rPr>
              <w:t>0.0</w:t>
            </w:r>
            <w:r w:rsidR="00921354" w:rsidRPr="008550C6">
              <w:rPr>
                <w:sz w:val="22"/>
                <w:szCs w:val="22"/>
              </w:rPr>
              <w:t>222</w:t>
            </w:r>
            <w:r w:rsidR="00DF75D4" w:rsidRPr="008550C6">
              <w:rPr>
                <w:sz w:val="22"/>
                <w:szCs w:val="22"/>
              </w:rPr>
              <w:t xml:space="preserve">***   </w:t>
            </w:r>
          </w:p>
        </w:tc>
        <w:tc>
          <w:tcPr>
            <w:tcW w:w="1465" w:type="pct"/>
            <w:tcBorders>
              <w:top w:val="nil"/>
              <w:left w:val="nil"/>
              <w:bottom w:val="nil"/>
              <w:right w:val="nil"/>
            </w:tcBorders>
          </w:tcPr>
          <w:p w14:paraId="022BA6E0" w14:textId="26363319" w:rsidR="00DF75D4" w:rsidRPr="008550C6" w:rsidRDefault="00295426" w:rsidP="003E0E5D">
            <w:pPr>
              <w:widowControl w:val="0"/>
              <w:autoSpaceDE w:val="0"/>
              <w:autoSpaceDN w:val="0"/>
              <w:adjustRightInd w:val="0"/>
              <w:jc w:val="center"/>
              <w:rPr>
                <w:sz w:val="22"/>
                <w:szCs w:val="22"/>
              </w:rPr>
            </w:pPr>
            <w:r w:rsidRPr="008550C6">
              <w:rPr>
                <w:sz w:val="22"/>
                <w:szCs w:val="22"/>
              </w:rPr>
              <w:t>-</w:t>
            </w:r>
            <w:r w:rsidR="00DF75D4" w:rsidRPr="008550C6">
              <w:rPr>
                <w:sz w:val="22"/>
                <w:szCs w:val="22"/>
              </w:rPr>
              <w:t>0.0</w:t>
            </w:r>
            <w:r w:rsidR="007107F2" w:rsidRPr="008550C6">
              <w:rPr>
                <w:sz w:val="22"/>
                <w:szCs w:val="22"/>
              </w:rPr>
              <w:t>227</w:t>
            </w:r>
            <w:r w:rsidR="00DF75D4" w:rsidRPr="008550C6">
              <w:rPr>
                <w:sz w:val="22"/>
                <w:szCs w:val="22"/>
              </w:rPr>
              <w:t xml:space="preserve">***   </w:t>
            </w:r>
          </w:p>
        </w:tc>
      </w:tr>
      <w:tr w:rsidR="008550C6" w:rsidRPr="008550C6" w14:paraId="757C9399" w14:textId="77777777" w:rsidTr="003E0E5D">
        <w:tc>
          <w:tcPr>
            <w:tcW w:w="1749" w:type="pct"/>
            <w:tcBorders>
              <w:top w:val="nil"/>
              <w:left w:val="nil"/>
              <w:bottom w:val="nil"/>
              <w:right w:val="nil"/>
            </w:tcBorders>
          </w:tcPr>
          <w:p w14:paraId="20382EC3" w14:textId="77777777" w:rsidR="00DF75D4" w:rsidRPr="008550C6" w:rsidRDefault="00DF75D4" w:rsidP="003E0E5D">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2666A7B6" w14:textId="09344463" w:rsidR="00DF75D4" w:rsidRPr="008550C6" w:rsidRDefault="00DF75D4" w:rsidP="003E0E5D">
            <w:pPr>
              <w:widowControl w:val="0"/>
              <w:autoSpaceDE w:val="0"/>
              <w:autoSpaceDN w:val="0"/>
              <w:adjustRightInd w:val="0"/>
              <w:jc w:val="center"/>
              <w:rPr>
                <w:sz w:val="22"/>
                <w:szCs w:val="22"/>
              </w:rPr>
            </w:pPr>
            <w:r w:rsidRPr="008550C6">
              <w:rPr>
                <w:sz w:val="22"/>
                <w:szCs w:val="22"/>
              </w:rPr>
              <w:t>(</w:t>
            </w:r>
            <w:r w:rsidR="00921354" w:rsidRPr="008550C6">
              <w:rPr>
                <w:sz w:val="22"/>
                <w:szCs w:val="22"/>
              </w:rPr>
              <w:t>16.47</w:t>
            </w:r>
            <w:r w:rsidRPr="008550C6">
              <w:rPr>
                <w:sz w:val="22"/>
                <w:szCs w:val="22"/>
              </w:rPr>
              <w:t xml:space="preserve">)   </w:t>
            </w:r>
          </w:p>
        </w:tc>
        <w:tc>
          <w:tcPr>
            <w:tcW w:w="1465" w:type="pct"/>
            <w:tcBorders>
              <w:top w:val="nil"/>
              <w:left w:val="nil"/>
              <w:bottom w:val="nil"/>
              <w:right w:val="nil"/>
            </w:tcBorders>
          </w:tcPr>
          <w:p w14:paraId="4B3CC5C9" w14:textId="2F791768" w:rsidR="00DF75D4" w:rsidRPr="008550C6" w:rsidRDefault="00DF75D4" w:rsidP="003E0E5D">
            <w:pPr>
              <w:widowControl w:val="0"/>
              <w:autoSpaceDE w:val="0"/>
              <w:autoSpaceDN w:val="0"/>
              <w:adjustRightInd w:val="0"/>
              <w:jc w:val="center"/>
              <w:rPr>
                <w:sz w:val="22"/>
                <w:szCs w:val="22"/>
              </w:rPr>
            </w:pPr>
            <w:r w:rsidRPr="008550C6">
              <w:rPr>
                <w:sz w:val="22"/>
                <w:szCs w:val="22"/>
              </w:rPr>
              <w:t>(</w:t>
            </w:r>
            <w:r w:rsidR="007107F2" w:rsidRPr="008550C6">
              <w:rPr>
                <w:sz w:val="22"/>
                <w:szCs w:val="22"/>
              </w:rPr>
              <w:t>16</w:t>
            </w:r>
            <w:r w:rsidRPr="008550C6">
              <w:rPr>
                <w:sz w:val="22"/>
                <w:szCs w:val="22"/>
              </w:rPr>
              <w:t>.</w:t>
            </w:r>
            <w:r w:rsidR="007107F2" w:rsidRPr="008550C6">
              <w:rPr>
                <w:sz w:val="22"/>
                <w:szCs w:val="22"/>
              </w:rPr>
              <w:t>9</w:t>
            </w:r>
            <w:r w:rsidRPr="008550C6">
              <w:rPr>
                <w:sz w:val="22"/>
                <w:szCs w:val="22"/>
              </w:rPr>
              <w:t xml:space="preserve">4)   </w:t>
            </w:r>
          </w:p>
        </w:tc>
      </w:tr>
      <w:tr w:rsidR="008550C6" w:rsidRPr="008550C6" w14:paraId="4DA5BD47" w14:textId="77777777" w:rsidTr="003E0E5D">
        <w:tc>
          <w:tcPr>
            <w:tcW w:w="1749" w:type="pct"/>
            <w:tcBorders>
              <w:top w:val="nil"/>
              <w:left w:val="nil"/>
              <w:bottom w:val="nil"/>
              <w:right w:val="nil"/>
            </w:tcBorders>
          </w:tcPr>
          <w:p w14:paraId="47373DC8" w14:textId="77777777" w:rsidR="00DF75D4" w:rsidRPr="008550C6" w:rsidRDefault="00DF75D4" w:rsidP="003E0E5D">
            <w:pPr>
              <w:widowControl w:val="0"/>
              <w:autoSpaceDE w:val="0"/>
              <w:autoSpaceDN w:val="0"/>
              <w:adjustRightInd w:val="0"/>
              <w:rPr>
                <w:sz w:val="22"/>
                <w:szCs w:val="22"/>
              </w:rPr>
            </w:pPr>
            <w:r w:rsidRPr="008550C6">
              <w:rPr>
                <w:sz w:val="22"/>
                <w:szCs w:val="22"/>
              </w:rPr>
              <w:t>NPLTL</w:t>
            </w:r>
          </w:p>
        </w:tc>
        <w:tc>
          <w:tcPr>
            <w:tcW w:w="1786" w:type="pct"/>
            <w:tcBorders>
              <w:top w:val="nil"/>
              <w:left w:val="single" w:sz="4" w:space="0" w:color="auto"/>
              <w:bottom w:val="nil"/>
              <w:right w:val="nil"/>
            </w:tcBorders>
          </w:tcPr>
          <w:p w14:paraId="2D49FC65" w14:textId="703BBD5B" w:rsidR="00DF75D4" w:rsidRPr="008550C6" w:rsidRDefault="00DF75D4" w:rsidP="003E0E5D">
            <w:pPr>
              <w:widowControl w:val="0"/>
              <w:autoSpaceDE w:val="0"/>
              <w:autoSpaceDN w:val="0"/>
              <w:adjustRightInd w:val="0"/>
              <w:jc w:val="center"/>
              <w:rPr>
                <w:sz w:val="22"/>
                <w:szCs w:val="22"/>
              </w:rPr>
            </w:pPr>
            <w:r w:rsidRPr="008550C6">
              <w:rPr>
                <w:sz w:val="22"/>
                <w:szCs w:val="22"/>
              </w:rPr>
              <w:t>-6.2</w:t>
            </w:r>
            <w:r w:rsidR="00921354" w:rsidRPr="008550C6">
              <w:rPr>
                <w:sz w:val="22"/>
                <w:szCs w:val="22"/>
              </w:rPr>
              <w:t>06</w:t>
            </w:r>
            <w:r w:rsidRPr="008550C6">
              <w:rPr>
                <w:sz w:val="22"/>
                <w:szCs w:val="22"/>
              </w:rPr>
              <w:t xml:space="preserve">***   </w:t>
            </w:r>
          </w:p>
        </w:tc>
        <w:tc>
          <w:tcPr>
            <w:tcW w:w="1465" w:type="pct"/>
            <w:tcBorders>
              <w:top w:val="nil"/>
              <w:left w:val="nil"/>
              <w:bottom w:val="nil"/>
              <w:right w:val="nil"/>
            </w:tcBorders>
          </w:tcPr>
          <w:p w14:paraId="0A648743" w14:textId="123C74EF" w:rsidR="00DF75D4" w:rsidRPr="008550C6" w:rsidRDefault="00DF75D4" w:rsidP="003E0E5D">
            <w:pPr>
              <w:widowControl w:val="0"/>
              <w:autoSpaceDE w:val="0"/>
              <w:autoSpaceDN w:val="0"/>
              <w:adjustRightInd w:val="0"/>
              <w:jc w:val="center"/>
              <w:rPr>
                <w:sz w:val="22"/>
                <w:szCs w:val="22"/>
              </w:rPr>
            </w:pPr>
            <w:r w:rsidRPr="008550C6">
              <w:rPr>
                <w:sz w:val="22"/>
                <w:szCs w:val="22"/>
              </w:rPr>
              <w:t>-6.</w:t>
            </w:r>
            <w:r w:rsidR="007107F2" w:rsidRPr="008550C6">
              <w:rPr>
                <w:sz w:val="22"/>
                <w:szCs w:val="22"/>
              </w:rPr>
              <w:t>189</w:t>
            </w:r>
            <w:r w:rsidRPr="008550C6">
              <w:rPr>
                <w:sz w:val="22"/>
                <w:szCs w:val="22"/>
              </w:rPr>
              <w:t xml:space="preserve">***   </w:t>
            </w:r>
          </w:p>
        </w:tc>
      </w:tr>
      <w:tr w:rsidR="008550C6" w:rsidRPr="008550C6" w14:paraId="5657C980" w14:textId="77777777" w:rsidTr="003E0E5D">
        <w:tc>
          <w:tcPr>
            <w:tcW w:w="1749" w:type="pct"/>
            <w:tcBorders>
              <w:top w:val="nil"/>
              <w:left w:val="nil"/>
              <w:bottom w:val="nil"/>
              <w:right w:val="nil"/>
            </w:tcBorders>
          </w:tcPr>
          <w:p w14:paraId="6A5B1F83" w14:textId="77777777" w:rsidR="00DF75D4" w:rsidRPr="008550C6" w:rsidRDefault="00DF75D4" w:rsidP="003E0E5D">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44D4D2CF" w14:textId="6EBFEF27" w:rsidR="00DF75D4" w:rsidRPr="008550C6" w:rsidRDefault="00DF75D4" w:rsidP="003E0E5D">
            <w:pPr>
              <w:widowControl w:val="0"/>
              <w:autoSpaceDE w:val="0"/>
              <w:autoSpaceDN w:val="0"/>
              <w:adjustRightInd w:val="0"/>
              <w:jc w:val="center"/>
              <w:rPr>
                <w:sz w:val="22"/>
                <w:szCs w:val="22"/>
              </w:rPr>
            </w:pPr>
            <w:r w:rsidRPr="008550C6">
              <w:rPr>
                <w:sz w:val="22"/>
                <w:szCs w:val="22"/>
              </w:rPr>
              <w:t>(1</w:t>
            </w:r>
            <w:r w:rsidR="00921354" w:rsidRPr="008550C6">
              <w:rPr>
                <w:sz w:val="22"/>
                <w:szCs w:val="22"/>
              </w:rPr>
              <w:t>5</w:t>
            </w:r>
            <w:r w:rsidRPr="008550C6">
              <w:rPr>
                <w:sz w:val="22"/>
                <w:szCs w:val="22"/>
              </w:rPr>
              <w:t>.</w:t>
            </w:r>
            <w:r w:rsidR="00921354" w:rsidRPr="008550C6">
              <w:rPr>
                <w:sz w:val="22"/>
                <w:szCs w:val="22"/>
              </w:rPr>
              <w:t>52</w:t>
            </w:r>
            <w:r w:rsidRPr="008550C6">
              <w:rPr>
                <w:sz w:val="22"/>
                <w:szCs w:val="22"/>
              </w:rPr>
              <w:t xml:space="preserve">)   </w:t>
            </w:r>
          </w:p>
        </w:tc>
        <w:tc>
          <w:tcPr>
            <w:tcW w:w="1465" w:type="pct"/>
            <w:tcBorders>
              <w:top w:val="nil"/>
              <w:left w:val="nil"/>
              <w:bottom w:val="nil"/>
              <w:right w:val="nil"/>
            </w:tcBorders>
          </w:tcPr>
          <w:p w14:paraId="33A83075" w14:textId="086629F7" w:rsidR="00DF75D4" w:rsidRPr="008550C6" w:rsidRDefault="00DF75D4" w:rsidP="003E0E5D">
            <w:pPr>
              <w:widowControl w:val="0"/>
              <w:autoSpaceDE w:val="0"/>
              <w:autoSpaceDN w:val="0"/>
              <w:adjustRightInd w:val="0"/>
              <w:jc w:val="center"/>
              <w:rPr>
                <w:sz w:val="22"/>
                <w:szCs w:val="22"/>
              </w:rPr>
            </w:pPr>
            <w:r w:rsidRPr="008550C6">
              <w:rPr>
                <w:sz w:val="22"/>
                <w:szCs w:val="22"/>
              </w:rPr>
              <w:t>(1</w:t>
            </w:r>
            <w:r w:rsidR="007107F2" w:rsidRPr="008550C6">
              <w:rPr>
                <w:sz w:val="22"/>
                <w:szCs w:val="22"/>
              </w:rPr>
              <w:t>5</w:t>
            </w:r>
            <w:r w:rsidRPr="008550C6">
              <w:rPr>
                <w:sz w:val="22"/>
                <w:szCs w:val="22"/>
              </w:rPr>
              <w:t>.</w:t>
            </w:r>
            <w:r w:rsidR="007107F2" w:rsidRPr="008550C6">
              <w:rPr>
                <w:sz w:val="22"/>
                <w:szCs w:val="22"/>
              </w:rPr>
              <w:t>60</w:t>
            </w:r>
            <w:r w:rsidRPr="008550C6">
              <w:rPr>
                <w:sz w:val="22"/>
                <w:szCs w:val="22"/>
              </w:rPr>
              <w:t xml:space="preserve">)   </w:t>
            </w:r>
          </w:p>
        </w:tc>
      </w:tr>
      <w:tr w:rsidR="008550C6" w:rsidRPr="008550C6" w14:paraId="1C853677" w14:textId="77777777" w:rsidTr="003E0E5D">
        <w:tc>
          <w:tcPr>
            <w:tcW w:w="1749" w:type="pct"/>
            <w:tcBorders>
              <w:top w:val="nil"/>
              <w:left w:val="nil"/>
              <w:bottom w:val="nil"/>
              <w:right w:val="nil"/>
            </w:tcBorders>
          </w:tcPr>
          <w:p w14:paraId="00DA1AE8" w14:textId="77777777" w:rsidR="00DF75D4" w:rsidRPr="008550C6" w:rsidRDefault="00DF75D4" w:rsidP="003E0E5D">
            <w:pPr>
              <w:widowControl w:val="0"/>
              <w:autoSpaceDE w:val="0"/>
              <w:autoSpaceDN w:val="0"/>
              <w:adjustRightInd w:val="0"/>
              <w:rPr>
                <w:sz w:val="22"/>
                <w:szCs w:val="22"/>
              </w:rPr>
            </w:pPr>
            <w:r w:rsidRPr="008550C6">
              <w:rPr>
                <w:sz w:val="22"/>
                <w:szCs w:val="22"/>
              </w:rPr>
              <w:t>DOA</w:t>
            </w:r>
          </w:p>
        </w:tc>
        <w:tc>
          <w:tcPr>
            <w:tcW w:w="1786" w:type="pct"/>
            <w:tcBorders>
              <w:top w:val="nil"/>
              <w:left w:val="single" w:sz="4" w:space="0" w:color="auto"/>
              <w:bottom w:val="nil"/>
              <w:right w:val="nil"/>
            </w:tcBorders>
          </w:tcPr>
          <w:p w14:paraId="4A46DCDE" w14:textId="04CBDEBF" w:rsidR="00DF75D4" w:rsidRPr="008550C6" w:rsidRDefault="00DF75D4" w:rsidP="003E0E5D">
            <w:pPr>
              <w:widowControl w:val="0"/>
              <w:autoSpaceDE w:val="0"/>
              <w:autoSpaceDN w:val="0"/>
              <w:adjustRightInd w:val="0"/>
              <w:jc w:val="center"/>
              <w:rPr>
                <w:sz w:val="22"/>
                <w:szCs w:val="22"/>
              </w:rPr>
            </w:pPr>
            <w:r w:rsidRPr="008550C6">
              <w:rPr>
                <w:sz w:val="22"/>
                <w:szCs w:val="22"/>
              </w:rPr>
              <w:t xml:space="preserve">  0.0</w:t>
            </w:r>
            <w:r w:rsidR="00921354" w:rsidRPr="008550C6">
              <w:rPr>
                <w:sz w:val="22"/>
                <w:szCs w:val="22"/>
              </w:rPr>
              <w:t>121</w:t>
            </w:r>
            <w:r w:rsidRPr="008550C6">
              <w:rPr>
                <w:sz w:val="22"/>
                <w:szCs w:val="22"/>
              </w:rPr>
              <w:t xml:space="preserve"> </w:t>
            </w:r>
          </w:p>
        </w:tc>
        <w:tc>
          <w:tcPr>
            <w:tcW w:w="1465" w:type="pct"/>
            <w:tcBorders>
              <w:top w:val="nil"/>
              <w:left w:val="nil"/>
              <w:bottom w:val="nil"/>
              <w:right w:val="nil"/>
            </w:tcBorders>
          </w:tcPr>
          <w:p w14:paraId="1B941F65" w14:textId="0E7BA411" w:rsidR="00DF75D4" w:rsidRPr="008550C6" w:rsidRDefault="00DF75D4" w:rsidP="003E0E5D">
            <w:pPr>
              <w:widowControl w:val="0"/>
              <w:autoSpaceDE w:val="0"/>
              <w:autoSpaceDN w:val="0"/>
              <w:adjustRightInd w:val="0"/>
              <w:jc w:val="center"/>
              <w:rPr>
                <w:sz w:val="22"/>
                <w:szCs w:val="22"/>
              </w:rPr>
            </w:pPr>
            <w:r w:rsidRPr="008550C6">
              <w:rPr>
                <w:sz w:val="22"/>
                <w:szCs w:val="22"/>
              </w:rPr>
              <w:t>0.</w:t>
            </w:r>
            <w:r w:rsidR="007107F2" w:rsidRPr="008550C6">
              <w:rPr>
                <w:sz w:val="22"/>
                <w:szCs w:val="22"/>
              </w:rPr>
              <w:t>0146</w:t>
            </w:r>
            <w:r w:rsidRPr="008550C6">
              <w:rPr>
                <w:sz w:val="22"/>
                <w:szCs w:val="22"/>
              </w:rPr>
              <w:t xml:space="preserve">   </w:t>
            </w:r>
          </w:p>
        </w:tc>
      </w:tr>
      <w:tr w:rsidR="008550C6" w:rsidRPr="008550C6" w14:paraId="58A71914" w14:textId="77777777" w:rsidTr="003E0E5D">
        <w:tc>
          <w:tcPr>
            <w:tcW w:w="1749" w:type="pct"/>
            <w:tcBorders>
              <w:top w:val="nil"/>
              <w:left w:val="nil"/>
              <w:bottom w:val="nil"/>
              <w:right w:val="nil"/>
            </w:tcBorders>
          </w:tcPr>
          <w:p w14:paraId="3D8745BA" w14:textId="77777777" w:rsidR="00DF75D4" w:rsidRPr="008550C6" w:rsidRDefault="00DF75D4" w:rsidP="003E0E5D">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098AC9E3" w14:textId="605DF182" w:rsidR="00DF75D4" w:rsidRPr="008550C6" w:rsidRDefault="00DF75D4" w:rsidP="003E0E5D">
            <w:pPr>
              <w:widowControl w:val="0"/>
              <w:autoSpaceDE w:val="0"/>
              <w:autoSpaceDN w:val="0"/>
              <w:adjustRightInd w:val="0"/>
              <w:jc w:val="center"/>
              <w:rPr>
                <w:sz w:val="22"/>
                <w:szCs w:val="22"/>
              </w:rPr>
            </w:pPr>
            <w:r w:rsidRPr="008550C6">
              <w:rPr>
                <w:sz w:val="22"/>
                <w:szCs w:val="22"/>
              </w:rPr>
              <w:t>(</w:t>
            </w:r>
            <w:r w:rsidR="00921354" w:rsidRPr="008550C6">
              <w:rPr>
                <w:sz w:val="22"/>
                <w:szCs w:val="22"/>
              </w:rPr>
              <w:t>0.58</w:t>
            </w:r>
            <w:r w:rsidRPr="008550C6">
              <w:rPr>
                <w:sz w:val="22"/>
                <w:szCs w:val="22"/>
              </w:rPr>
              <w:t xml:space="preserve">)   </w:t>
            </w:r>
          </w:p>
        </w:tc>
        <w:tc>
          <w:tcPr>
            <w:tcW w:w="1465" w:type="pct"/>
            <w:tcBorders>
              <w:top w:val="nil"/>
              <w:left w:val="nil"/>
              <w:bottom w:val="nil"/>
              <w:right w:val="nil"/>
            </w:tcBorders>
          </w:tcPr>
          <w:p w14:paraId="2C6FD0B9" w14:textId="59E87C63" w:rsidR="00DF75D4" w:rsidRPr="008550C6" w:rsidRDefault="00DF75D4" w:rsidP="003E0E5D">
            <w:pPr>
              <w:widowControl w:val="0"/>
              <w:autoSpaceDE w:val="0"/>
              <w:autoSpaceDN w:val="0"/>
              <w:adjustRightInd w:val="0"/>
              <w:jc w:val="center"/>
              <w:rPr>
                <w:sz w:val="22"/>
                <w:szCs w:val="22"/>
              </w:rPr>
            </w:pPr>
            <w:r w:rsidRPr="008550C6">
              <w:rPr>
                <w:sz w:val="22"/>
                <w:szCs w:val="22"/>
              </w:rPr>
              <w:t>(</w:t>
            </w:r>
            <w:r w:rsidR="007107F2" w:rsidRPr="008550C6">
              <w:rPr>
                <w:sz w:val="22"/>
                <w:szCs w:val="22"/>
              </w:rPr>
              <w:t>0.70</w:t>
            </w:r>
            <w:r w:rsidRPr="008550C6">
              <w:rPr>
                <w:sz w:val="22"/>
                <w:szCs w:val="22"/>
              </w:rPr>
              <w:t xml:space="preserve">)   </w:t>
            </w:r>
          </w:p>
        </w:tc>
      </w:tr>
      <w:tr w:rsidR="008550C6" w:rsidRPr="008550C6" w14:paraId="55D1DB7E" w14:textId="77777777" w:rsidTr="003E0E5D">
        <w:tc>
          <w:tcPr>
            <w:tcW w:w="1749" w:type="pct"/>
            <w:tcBorders>
              <w:top w:val="nil"/>
              <w:left w:val="nil"/>
              <w:bottom w:val="nil"/>
              <w:right w:val="nil"/>
            </w:tcBorders>
          </w:tcPr>
          <w:p w14:paraId="1D7A063C" w14:textId="0EB45B47" w:rsidR="00DF75D4" w:rsidRPr="008550C6" w:rsidRDefault="00DF75D4" w:rsidP="003E0E5D">
            <w:pPr>
              <w:widowControl w:val="0"/>
              <w:autoSpaceDE w:val="0"/>
              <w:autoSpaceDN w:val="0"/>
              <w:adjustRightInd w:val="0"/>
              <w:rPr>
                <w:sz w:val="22"/>
                <w:szCs w:val="22"/>
              </w:rPr>
            </w:pPr>
            <w:r w:rsidRPr="008550C6">
              <w:rPr>
                <w:sz w:val="22"/>
                <w:szCs w:val="22"/>
              </w:rPr>
              <w:t>C</w:t>
            </w:r>
            <w:r w:rsidR="00783103">
              <w:rPr>
                <w:sz w:val="22"/>
                <w:szCs w:val="22"/>
              </w:rPr>
              <w:t>OVID</w:t>
            </w:r>
            <w:r w:rsidRPr="008550C6">
              <w:rPr>
                <w:sz w:val="22"/>
                <w:szCs w:val="22"/>
              </w:rPr>
              <w:t>-19</w:t>
            </w:r>
          </w:p>
        </w:tc>
        <w:tc>
          <w:tcPr>
            <w:tcW w:w="1786" w:type="pct"/>
            <w:tcBorders>
              <w:top w:val="nil"/>
              <w:left w:val="single" w:sz="4" w:space="0" w:color="auto"/>
              <w:bottom w:val="nil"/>
              <w:right w:val="nil"/>
            </w:tcBorders>
          </w:tcPr>
          <w:p w14:paraId="6D4DE9D6" w14:textId="3C54D6FE" w:rsidR="00DF75D4" w:rsidRPr="008550C6" w:rsidRDefault="00DF75D4" w:rsidP="003E0E5D">
            <w:pPr>
              <w:widowControl w:val="0"/>
              <w:autoSpaceDE w:val="0"/>
              <w:autoSpaceDN w:val="0"/>
              <w:adjustRightInd w:val="0"/>
              <w:jc w:val="center"/>
              <w:rPr>
                <w:sz w:val="22"/>
                <w:szCs w:val="22"/>
              </w:rPr>
            </w:pPr>
            <w:r w:rsidRPr="008550C6">
              <w:rPr>
                <w:sz w:val="22"/>
                <w:szCs w:val="22"/>
              </w:rPr>
              <w:t>-0.0</w:t>
            </w:r>
            <w:r w:rsidR="00921354" w:rsidRPr="008550C6">
              <w:rPr>
                <w:sz w:val="22"/>
                <w:szCs w:val="22"/>
              </w:rPr>
              <w:t>901</w:t>
            </w:r>
            <w:r w:rsidRPr="008550C6">
              <w:rPr>
                <w:sz w:val="22"/>
                <w:szCs w:val="22"/>
              </w:rPr>
              <w:t xml:space="preserve">***   </w:t>
            </w:r>
          </w:p>
        </w:tc>
        <w:tc>
          <w:tcPr>
            <w:tcW w:w="1465" w:type="pct"/>
            <w:tcBorders>
              <w:top w:val="nil"/>
              <w:left w:val="nil"/>
              <w:bottom w:val="nil"/>
              <w:right w:val="nil"/>
            </w:tcBorders>
          </w:tcPr>
          <w:p w14:paraId="61109FDD" w14:textId="78936E1F" w:rsidR="00DF75D4" w:rsidRPr="008550C6" w:rsidRDefault="00DF75D4" w:rsidP="003E0E5D">
            <w:pPr>
              <w:widowControl w:val="0"/>
              <w:autoSpaceDE w:val="0"/>
              <w:autoSpaceDN w:val="0"/>
              <w:adjustRightInd w:val="0"/>
              <w:jc w:val="center"/>
              <w:rPr>
                <w:sz w:val="22"/>
                <w:szCs w:val="22"/>
              </w:rPr>
            </w:pPr>
            <w:r w:rsidRPr="008550C6">
              <w:rPr>
                <w:sz w:val="22"/>
                <w:szCs w:val="22"/>
              </w:rPr>
              <w:t>-0.0</w:t>
            </w:r>
            <w:r w:rsidR="007107F2" w:rsidRPr="008550C6">
              <w:rPr>
                <w:sz w:val="22"/>
                <w:szCs w:val="22"/>
              </w:rPr>
              <w:t>999</w:t>
            </w:r>
            <w:r w:rsidRPr="008550C6">
              <w:rPr>
                <w:sz w:val="22"/>
                <w:szCs w:val="22"/>
              </w:rPr>
              <w:t xml:space="preserve">***   </w:t>
            </w:r>
          </w:p>
        </w:tc>
      </w:tr>
      <w:tr w:rsidR="008550C6" w:rsidRPr="008550C6" w14:paraId="3646431A" w14:textId="77777777" w:rsidTr="003E0E5D">
        <w:tc>
          <w:tcPr>
            <w:tcW w:w="1749" w:type="pct"/>
            <w:tcBorders>
              <w:top w:val="nil"/>
              <w:left w:val="nil"/>
              <w:bottom w:val="nil"/>
              <w:right w:val="nil"/>
            </w:tcBorders>
          </w:tcPr>
          <w:p w14:paraId="6EDE546D" w14:textId="77777777" w:rsidR="00DF75D4" w:rsidRPr="008550C6" w:rsidRDefault="00DF75D4" w:rsidP="003E0E5D">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6259C9C3" w14:textId="112C35B4" w:rsidR="00DF75D4" w:rsidRPr="008550C6" w:rsidRDefault="00DF75D4" w:rsidP="003E0E5D">
            <w:pPr>
              <w:widowControl w:val="0"/>
              <w:autoSpaceDE w:val="0"/>
              <w:autoSpaceDN w:val="0"/>
              <w:adjustRightInd w:val="0"/>
              <w:jc w:val="center"/>
              <w:rPr>
                <w:sz w:val="22"/>
                <w:szCs w:val="22"/>
              </w:rPr>
            </w:pPr>
            <w:r w:rsidRPr="008550C6">
              <w:rPr>
                <w:sz w:val="22"/>
                <w:szCs w:val="22"/>
              </w:rPr>
              <w:t>(</w:t>
            </w:r>
            <w:r w:rsidR="00921354" w:rsidRPr="008550C6">
              <w:rPr>
                <w:sz w:val="22"/>
                <w:szCs w:val="22"/>
              </w:rPr>
              <w:t>8</w:t>
            </w:r>
            <w:r w:rsidRPr="008550C6">
              <w:rPr>
                <w:sz w:val="22"/>
                <w:szCs w:val="22"/>
              </w:rPr>
              <w:t>.</w:t>
            </w:r>
            <w:r w:rsidR="00921354" w:rsidRPr="008550C6">
              <w:rPr>
                <w:sz w:val="22"/>
                <w:szCs w:val="22"/>
              </w:rPr>
              <w:t>14</w:t>
            </w:r>
            <w:r w:rsidRPr="008550C6">
              <w:rPr>
                <w:sz w:val="22"/>
                <w:szCs w:val="22"/>
              </w:rPr>
              <w:t xml:space="preserve">)   </w:t>
            </w:r>
          </w:p>
        </w:tc>
        <w:tc>
          <w:tcPr>
            <w:tcW w:w="1465" w:type="pct"/>
            <w:tcBorders>
              <w:top w:val="nil"/>
              <w:left w:val="nil"/>
              <w:bottom w:val="nil"/>
              <w:right w:val="nil"/>
            </w:tcBorders>
          </w:tcPr>
          <w:p w14:paraId="299E3AE6" w14:textId="30F9E780" w:rsidR="00DF75D4" w:rsidRPr="008550C6" w:rsidRDefault="00DF75D4" w:rsidP="003E0E5D">
            <w:pPr>
              <w:widowControl w:val="0"/>
              <w:autoSpaceDE w:val="0"/>
              <w:autoSpaceDN w:val="0"/>
              <w:adjustRightInd w:val="0"/>
              <w:jc w:val="center"/>
              <w:rPr>
                <w:sz w:val="22"/>
                <w:szCs w:val="22"/>
              </w:rPr>
            </w:pPr>
            <w:r w:rsidRPr="008550C6">
              <w:rPr>
                <w:sz w:val="22"/>
                <w:szCs w:val="22"/>
              </w:rPr>
              <w:t>(</w:t>
            </w:r>
            <w:r w:rsidR="007107F2" w:rsidRPr="008550C6">
              <w:rPr>
                <w:sz w:val="22"/>
                <w:szCs w:val="22"/>
              </w:rPr>
              <w:t>8</w:t>
            </w:r>
            <w:r w:rsidRPr="008550C6">
              <w:rPr>
                <w:sz w:val="22"/>
                <w:szCs w:val="22"/>
              </w:rPr>
              <w:t>.</w:t>
            </w:r>
            <w:r w:rsidR="007107F2" w:rsidRPr="008550C6">
              <w:rPr>
                <w:sz w:val="22"/>
                <w:szCs w:val="22"/>
              </w:rPr>
              <w:t>99</w:t>
            </w:r>
            <w:r w:rsidRPr="008550C6">
              <w:rPr>
                <w:sz w:val="22"/>
                <w:szCs w:val="22"/>
              </w:rPr>
              <w:t xml:space="preserve">)   </w:t>
            </w:r>
          </w:p>
        </w:tc>
      </w:tr>
      <w:tr w:rsidR="008550C6" w:rsidRPr="008550C6" w14:paraId="301E7F1E" w14:textId="77777777" w:rsidTr="003E0E5D">
        <w:tc>
          <w:tcPr>
            <w:tcW w:w="1749" w:type="pct"/>
            <w:tcBorders>
              <w:top w:val="nil"/>
              <w:left w:val="nil"/>
              <w:bottom w:val="nil"/>
              <w:right w:val="nil"/>
            </w:tcBorders>
          </w:tcPr>
          <w:p w14:paraId="4089031A" w14:textId="77777777" w:rsidR="00DF75D4" w:rsidRPr="008550C6" w:rsidRDefault="00DF75D4" w:rsidP="003E0E5D">
            <w:pPr>
              <w:widowControl w:val="0"/>
              <w:autoSpaceDE w:val="0"/>
              <w:autoSpaceDN w:val="0"/>
              <w:adjustRightInd w:val="0"/>
              <w:rPr>
                <w:sz w:val="22"/>
                <w:szCs w:val="22"/>
              </w:rPr>
            </w:pPr>
            <w:r w:rsidRPr="008550C6">
              <w:rPr>
                <w:sz w:val="22"/>
                <w:szCs w:val="22"/>
              </w:rPr>
              <w:t>Constant</w:t>
            </w:r>
          </w:p>
        </w:tc>
        <w:tc>
          <w:tcPr>
            <w:tcW w:w="1786" w:type="pct"/>
            <w:tcBorders>
              <w:top w:val="nil"/>
              <w:left w:val="single" w:sz="4" w:space="0" w:color="auto"/>
              <w:bottom w:val="nil"/>
              <w:right w:val="nil"/>
            </w:tcBorders>
          </w:tcPr>
          <w:p w14:paraId="6348E14C" w14:textId="43C556C8" w:rsidR="00DF75D4" w:rsidRPr="008550C6" w:rsidRDefault="00DF75D4" w:rsidP="003E0E5D">
            <w:pPr>
              <w:widowControl w:val="0"/>
              <w:autoSpaceDE w:val="0"/>
              <w:autoSpaceDN w:val="0"/>
              <w:adjustRightInd w:val="0"/>
              <w:jc w:val="center"/>
              <w:rPr>
                <w:sz w:val="22"/>
                <w:szCs w:val="22"/>
              </w:rPr>
            </w:pPr>
            <w:r w:rsidRPr="008550C6">
              <w:rPr>
                <w:sz w:val="22"/>
                <w:szCs w:val="22"/>
              </w:rPr>
              <w:t>0.</w:t>
            </w:r>
            <w:r w:rsidR="00921354" w:rsidRPr="008550C6">
              <w:rPr>
                <w:sz w:val="22"/>
                <w:szCs w:val="22"/>
              </w:rPr>
              <w:t>8394**</w:t>
            </w:r>
            <w:r w:rsidRPr="008550C6">
              <w:rPr>
                <w:sz w:val="22"/>
                <w:szCs w:val="22"/>
              </w:rPr>
              <w:t xml:space="preserve">*  </w:t>
            </w:r>
          </w:p>
        </w:tc>
        <w:tc>
          <w:tcPr>
            <w:tcW w:w="1465" w:type="pct"/>
            <w:tcBorders>
              <w:top w:val="nil"/>
              <w:left w:val="nil"/>
              <w:bottom w:val="nil"/>
              <w:right w:val="nil"/>
            </w:tcBorders>
          </w:tcPr>
          <w:p w14:paraId="7DF80D2D" w14:textId="26A5AF01" w:rsidR="00DF75D4" w:rsidRPr="008550C6" w:rsidRDefault="00DF75D4" w:rsidP="003E0E5D">
            <w:pPr>
              <w:widowControl w:val="0"/>
              <w:autoSpaceDE w:val="0"/>
              <w:autoSpaceDN w:val="0"/>
              <w:adjustRightInd w:val="0"/>
              <w:jc w:val="center"/>
              <w:rPr>
                <w:sz w:val="22"/>
                <w:szCs w:val="22"/>
              </w:rPr>
            </w:pPr>
            <w:r w:rsidRPr="008550C6">
              <w:rPr>
                <w:sz w:val="22"/>
                <w:szCs w:val="22"/>
              </w:rPr>
              <w:t>0.</w:t>
            </w:r>
            <w:r w:rsidR="007107F2" w:rsidRPr="008550C6">
              <w:rPr>
                <w:sz w:val="22"/>
                <w:szCs w:val="22"/>
              </w:rPr>
              <w:t>8384**</w:t>
            </w:r>
            <w:r w:rsidRPr="008550C6">
              <w:rPr>
                <w:sz w:val="22"/>
                <w:szCs w:val="22"/>
              </w:rPr>
              <w:t xml:space="preserve">*   </w:t>
            </w:r>
          </w:p>
        </w:tc>
      </w:tr>
      <w:tr w:rsidR="008550C6" w:rsidRPr="008550C6" w14:paraId="38E29C15" w14:textId="77777777" w:rsidTr="003E0E5D">
        <w:tc>
          <w:tcPr>
            <w:tcW w:w="1749" w:type="pct"/>
            <w:tcBorders>
              <w:top w:val="nil"/>
              <w:left w:val="nil"/>
              <w:bottom w:val="nil"/>
              <w:right w:val="nil"/>
            </w:tcBorders>
          </w:tcPr>
          <w:p w14:paraId="1CFF80D6" w14:textId="77777777" w:rsidR="00DF75D4" w:rsidRPr="008550C6" w:rsidRDefault="00DF75D4" w:rsidP="003E0E5D">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10FE4A8B" w14:textId="6CD91E60" w:rsidR="00DF75D4" w:rsidRPr="008550C6" w:rsidRDefault="00DF75D4" w:rsidP="003E0E5D">
            <w:pPr>
              <w:widowControl w:val="0"/>
              <w:autoSpaceDE w:val="0"/>
              <w:autoSpaceDN w:val="0"/>
              <w:adjustRightInd w:val="0"/>
              <w:jc w:val="center"/>
              <w:rPr>
                <w:sz w:val="22"/>
                <w:szCs w:val="22"/>
              </w:rPr>
            </w:pPr>
            <w:r w:rsidRPr="008550C6">
              <w:rPr>
                <w:sz w:val="22"/>
                <w:szCs w:val="22"/>
              </w:rPr>
              <w:t>(</w:t>
            </w:r>
            <w:r w:rsidR="00921354" w:rsidRPr="008550C6">
              <w:rPr>
                <w:sz w:val="22"/>
                <w:szCs w:val="22"/>
              </w:rPr>
              <w:t>25</w:t>
            </w:r>
            <w:r w:rsidRPr="008550C6">
              <w:rPr>
                <w:sz w:val="22"/>
                <w:szCs w:val="22"/>
              </w:rPr>
              <w:t>.</w:t>
            </w:r>
            <w:r w:rsidR="00921354" w:rsidRPr="008550C6">
              <w:rPr>
                <w:sz w:val="22"/>
                <w:szCs w:val="22"/>
              </w:rPr>
              <w:t>27</w:t>
            </w:r>
            <w:r w:rsidRPr="008550C6">
              <w:rPr>
                <w:sz w:val="22"/>
                <w:szCs w:val="22"/>
              </w:rPr>
              <w:t xml:space="preserve">)   </w:t>
            </w:r>
          </w:p>
        </w:tc>
        <w:tc>
          <w:tcPr>
            <w:tcW w:w="1465" w:type="pct"/>
            <w:tcBorders>
              <w:top w:val="nil"/>
              <w:left w:val="nil"/>
              <w:bottom w:val="nil"/>
              <w:right w:val="nil"/>
            </w:tcBorders>
          </w:tcPr>
          <w:p w14:paraId="067E5DD6" w14:textId="20A1F5BE" w:rsidR="00DF75D4" w:rsidRPr="008550C6" w:rsidRDefault="00DF75D4" w:rsidP="003E0E5D">
            <w:pPr>
              <w:widowControl w:val="0"/>
              <w:autoSpaceDE w:val="0"/>
              <w:autoSpaceDN w:val="0"/>
              <w:adjustRightInd w:val="0"/>
              <w:jc w:val="center"/>
              <w:rPr>
                <w:sz w:val="22"/>
                <w:szCs w:val="22"/>
              </w:rPr>
            </w:pPr>
            <w:r w:rsidRPr="008550C6">
              <w:rPr>
                <w:sz w:val="22"/>
                <w:szCs w:val="22"/>
              </w:rPr>
              <w:t>(</w:t>
            </w:r>
            <w:r w:rsidR="007107F2" w:rsidRPr="008550C6">
              <w:rPr>
                <w:sz w:val="22"/>
                <w:szCs w:val="22"/>
              </w:rPr>
              <w:t>25</w:t>
            </w:r>
            <w:r w:rsidRPr="008550C6">
              <w:rPr>
                <w:sz w:val="22"/>
                <w:szCs w:val="22"/>
              </w:rPr>
              <w:t>.</w:t>
            </w:r>
            <w:r w:rsidR="007107F2" w:rsidRPr="008550C6">
              <w:rPr>
                <w:sz w:val="22"/>
                <w:szCs w:val="22"/>
              </w:rPr>
              <w:t>48</w:t>
            </w:r>
            <w:r w:rsidRPr="008550C6">
              <w:rPr>
                <w:sz w:val="22"/>
                <w:szCs w:val="22"/>
              </w:rPr>
              <w:t xml:space="preserve">)   </w:t>
            </w:r>
          </w:p>
        </w:tc>
      </w:tr>
      <w:tr w:rsidR="008550C6" w:rsidRPr="008550C6" w14:paraId="25BE95AF" w14:textId="77777777" w:rsidTr="003E0E5D">
        <w:tc>
          <w:tcPr>
            <w:tcW w:w="1749" w:type="pct"/>
            <w:tcBorders>
              <w:top w:val="nil"/>
              <w:left w:val="nil"/>
              <w:bottom w:val="nil"/>
              <w:right w:val="nil"/>
            </w:tcBorders>
          </w:tcPr>
          <w:p w14:paraId="688A9417" w14:textId="77777777" w:rsidR="00DF75D4" w:rsidRPr="008550C6" w:rsidRDefault="00DF75D4" w:rsidP="003E0E5D">
            <w:pPr>
              <w:widowControl w:val="0"/>
              <w:autoSpaceDE w:val="0"/>
              <w:autoSpaceDN w:val="0"/>
              <w:adjustRightInd w:val="0"/>
              <w:rPr>
                <w:sz w:val="22"/>
                <w:szCs w:val="22"/>
              </w:rPr>
            </w:pPr>
          </w:p>
        </w:tc>
        <w:tc>
          <w:tcPr>
            <w:tcW w:w="1786" w:type="pct"/>
            <w:tcBorders>
              <w:top w:val="nil"/>
              <w:left w:val="single" w:sz="4" w:space="0" w:color="auto"/>
              <w:bottom w:val="nil"/>
              <w:right w:val="nil"/>
            </w:tcBorders>
          </w:tcPr>
          <w:p w14:paraId="2760149E" w14:textId="77777777" w:rsidR="00DF75D4" w:rsidRPr="008550C6" w:rsidRDefault="00DF75D4" w:rsidP="003E0E5D">
            <w:pPr>
              <w:widowControl w:val="0"/>
              <w:autoSpaceDE w:val="0"/>
              <w:autoSpaceDN w:val="0"/>
              <w:adjustRightInd w:val="0"/>
              <w:jc w:val="center"/>
              <w:rPr>
                <w:sz w:val="22"/>
                <w:szCs w:val="22"/>
              </w:rPr>
            </w:pPr>
          </w:p>
        </w:tc>
        <w:tc>
          <w:tcPr>
            <w:tcW w:w="1465" w:type="pct"/>
            <w:tcBorders>
              <w:top w:val="nil"/>
              <w:left w:val="nil"/>
              <w:bottom w:val="nil"/>
              <w:right w:val="nil"/>
            </w:tcBorders>
          </w:tcPr>
          <w:p w14:paraId="2C03B835" w14:textId="77777777" w:rsidR="00DF75D4" w:rsidRPr="008550C6" w:rsidRDefault="00DF75D4" w:rsidP="003E0E5D">
            <w:pPr>
              <w:widowControl w:val="0"/>
              <w:autoSpaceDE w:val="0"/>
              <w:autoSpaceDN w:val="0"/>
              <w:adjustRightInd w:val="0"/>
              <w:jc w:val="center"/>
              <w:rPr>
                <w:sz w:val="22"/>
                <w:szCs w:val="22"/>
              </w:rPr>
            </w:pPr>
          </w:p>
        </w:tc>
      </w:tr>
      <w:tr w:rsidR="008550C6" w:rsidRPr="008550C6" w14:paraId="311F863E" w14:textId="77777777" w:rsidTr="003E0E5D">
        <w:tblPrEx>
          <w:tblBorders>
            <w:bottom w:val="single" w:sz="6" w:space="0" w:color="auto"/>
          </w:tblBorders>
        </w:tblPrEx>
        <w:tc>
          <w:tcPr>
            <w:tcW w:w="1749" w:type="pct"/>
            <w:tcBorders>
              <w:top w:val="nil"/>
              <w:left w:val="nil"/>
              <w:bottom w:val="nil"/>
              <w:right w:val="nil"/>
            </w:tcBorders>
          </w:tcPr>
          <w:p w14:paraId="1B81188B" w14:textId="77777777" w:rsidR="00DF75D4" w:rsidRPr="008550C6" w:rsidRDefault="00DF75D4" w:rsidP="003E0E5D">
            <w:pPr>
              <w:widowControl w:val="0"/>
              <w:autoSpaceDE w:val="0"/>
              <w:autoSpaceDN w:val="0"/>
              <w:adjustRightInd w:val="0"/>
              <w:rPr>
                <w:sz w:val="22"/>
                <w:szCs w:val="22"/>
              </w:rPr>
            </w:pPr>
            <w:r w:rsidRPr="008550C6">
              <w:rPr>
                <w:sz w:val="22"/>
                <w:szCs w:val="22"/>
              </w:rPr>
              <w:t>R-squared</w:t>
            </w:r>
          </w:p>
        </w:tc>
        <w:tc>
          <w:tcPr>
            <w:tcW w:w="1786" w:type="pct"/>
            <w:tcBorders>
              <w:top w:val="nil"/>
              <w:left w:val="single" w:sz="4" w:space="0" w:color="auto"/>
              <w:bottom w:val="nil"/>
              <w:right w:val="nil"/>
            </w:tcBorders>
          </w:tcPr>
          <w:p w14:paraId="4297484A" w14:textId="065612BC" w:rsidR="00DF75D4" w:rsidRPr="008550C6" w:rsidRDefault="00DF75D4" w:rsidP="003E0E5D">
            <w:pPr>
              <w:widowControl w:val="0"/>
              <w:autoSpaceDE w:val="0"/>
              <w:autoSpaceDN w:val="0"/>
              <w:adjustRightInd w:val="0"/>
              <w:jc w:val="center"/>
              <w:rPr>
                <w:sz w:val="22"/>
                <w:szCs w:val="22"/>
              </w:rPr>
            </w:pPr>
            <w:r w:rsidRPr="008550C6">
              <w:rPr>
                <w:sz w:val="22"/>
                <w:szCs w:val="22"/>
              </w:rPr>
              <w:t>0.4891</w:t>
            </w:r>
          </w:p>
        </w:tc>
        <w:tc>
          <w:tcPr>
            <w:tcW w:w="1465" w:type="pct"/>
            <w:tcBorders>
              <w:top w:val="nil"/>
              <w:left w:val="nil"/>
              <w:bottom w:val="nil"/>
              <w:right w:val="nil"/>
            </w:tcBorders>
          </w:tcPr>
          <w:p w14:paraId="40BD16C6" w14:textId="5BC92912" w:rsidR="00DF75D4" w:rsidRPr="008550C6" w:rsidRDefault="00DF75D4" w:rsidP="003E0E5D">
            <w:pPr>
              <w:widowControl w:val="0"/>
              <w:autoSpaceDE w:val="0"/>
              <w:autoSpaceDN w:val="0"/>
              <w:adjustRightInd w:val="0"/>
              <w:jc w:val="center"/>
              <w:rPr>
                <w:sz w:val="22"/>
                <w:szCs w:val="22"/>
              </w:rPr>
            </w:pPr>
            <w:r w:rsidRPr="008550C6">
              <w:rPr>
                <w:sz w:val="22"/>
                <w:szCs w:val="22"/>
              </w:rPr>
              <w:t>0.</w:t>
            </w:r>
            <w:r w:rsidR="007E0F6A" w:rsidRPr="008550C6">
              <w:rPr>
                <w:sz w:val="22"/>
                <w:szCs w:val="22"/>
              </w:rPr>
              <w:t>4967</w:t>
            </w:r>
          </w:p>
        </w:tc>
      </w:tr>
      <w:tr w:rsidR="008550C6" w:rsidRPr="008550C6" w14:paraId="16EEE8B6" w14:textId="77777777" w:rsidTr="003E0E5D">
        <w:tblPrEx>
          <w:tblBorders>
            <w:bottom w:val="single" w:sz="6" w:space="0" w:color="auto"/>
          </w:tblBorders>
        </w:tblPrEx>
        <w:tc>
          <w:tcPr>
            <w:tcW w:w="1749" w:type="pct"/>
            <w:tcBorders>
              <w:top w:val="nil"/>
              <w:left w:val="nil"/>
              <w:bottom w:val="nil"/>
              <w:right w:val="nil"/>
            </w:tcBorders>
          </w:tcPr>
          <w:p w14:paraId="216DC9F9" w14:textId="77777777" w:rsidR="00DF75D4" w:rsidRPr="008550C6" w:rsidRDefault="00DF75D4" w:rsidP="003E0E5D">
            <w:pPr>
              <w:widowControl w:val="0"/>
              <w:autoSpaceDE w:val="0"/>
              <w:autoSpaceDN w:val="0"/>
              <w:adjustRightInd w:val="0"/>
              <w:rPr>
                <w:sz w:val="22"/>
                <w:szCs w:val="22"/>
              </w:rPr>
            </w:pPr>
            <w:r w:rsidRPr="008550C6">
              <w:rPr>
                <w:sz w:val="22"/>
                <w:szCs w:val="22"/>
              </w:rPr>
              <w:t>Observations</w:t>
            </w:r>
          </w:p>
        </w:tc>
        <w:tc>
          <w:tcPr>
            <w:tcW w:w="1786" w:type="pct"/>
            <w:tcBorders>
              <w:top w:val="nil"/>
              <w:left w:val="single" w:sz="4" w:space="0" w:color="auto"/>
              <w:bottom w:val="nil"/>
              <w:right w:val="nil"/>
            </w:tcBorders>
          </w:tcPr>
          <w:p w14:paraId="0BEA19F2" w14:textId="77777777" w:rsidR="00DF75D4" w:rsidRPr="008550C6" w:rsidRDefault="00DF75D4" w:rsidP="003E0E5D">
            <w:pPr>
              <w:widowControl w:val="0"/>
              <w:autoSpaceDE w:val="0"/>
              <w:autoSpaceDN w:val="0"/>
              <w:adjustRightInd w:val="0"/>
              <w:jc w:val="center"/>
              <w:rPr>
                <w:sz w:val="22"/>
                <w:szCs w:val="22"/>
              </w:rPr>
            </w:pPr>
            <w:r w:rsidRPr="008550C6">
              <w:rPr>
                <w:sz w:val="22"/>
                <w:szCs w:val="22"/>
              </w:rPr>
              <w:t>2,499</w:t>
            </w:r>
          </w:p>
        </w:tc>
        <w:tc>
          <w:tcPr>
            <w:tcW w:w="1465" w:type="pct"/>
            <w:tcBorders>
              <w:top w:val="nil"/>
              <w:left w:val="nil"/>
              <w:bottom w:val="nil"/>
              <w:right w:val="nil"/>
            </w:tcBorders>
          </w:tcPr>
          <w:p w14:paraId="2EF20D24" w14:textId="77777777" w:rsidR="00DF75D4" w:rsidRPr="008550C6" w:rsidRDefault="00DF75D4" w:rsidP="003E0E5D">
            <w:pPr>
              <w:widowControl w:val="0"/>
              <w:autoSpaceDE w:val="0"/>
              <w:autoSpaceDN w:val="0"/>
              <w:adjustRightInd w:val="0"/>
              <w:jc w:val="center"/>
              <w:rPr>
                <w:sz w:val="22"/>
                <w:szCs w:val="22"/>
              </w:rPr>
            </w:pPr>
            <w:r w:rsidRPr="008550C6">
              <w:rPr>
                <w:sz w:val="22"/>
                <w:szCs w:val="22"/>
              </w:rPr>
              <w:t>2,499</w:t>
            </w:r>
          </w:p>
        </w:tc>
      </w:tr>
      <w:tr w:rsidR="008550C6" w:rsidRPr="008550C6" w14:paraId="38817AA6" w14:textId="77777777" w:rsidTr="003E0E5D">
        <w:tblPrEx>
          <w:tblBorders>
            <w:bottom w:val="single" w:sz="6" w:space="0" w:color="auto"/>
          </w:tblBorders>
        </w:tblPrEx>
        <w:tc>
          <w:tcPr>
            <w:tcW w:w="1749" w:type="pct"/>
            <w:tcBorders>
              <w:top w:val="nil"/>
              <w:left w:val="nil"/>
              <w:bottom w:val="nil"/>
              <w:right w:val="nil"/>
            </w:tcBorders>
          </w:tcPr>
          <w:p w14:paraId="66623E4B" w14:textId="77777777" w:rsidR="00DF75D4" w:rsidRPr="008550C6" w:rsidRDefault="00DF75D4" w:rsidP="003E0E5D">
            <w:pPr>
              <w:widowControl w:val="0"/>
              <w:autoSpaceDE w:val="0"/>
              <w:autoSpaceDN w:val="0"/>
              <w:adjustRightInd w:val="0"/>
              <w:rPr>
                <w:sz w:val="22"/>
                <w:szCs w:val="22"/>
              </w:rPr>
            </w:pPr>
            <w:r w:rsidRPr="008550C6">
              <w:rPr>
                <w:sz w:val="22"/>
                <w:szCs w:val="22"/>
              </w:rPr>
              <w:t>Number of states</w:t>
            </w:r>
          </w:p>
        </w:tc>
        <w:tc>
          <w:tcPr>
            <w:tcW w:w="1786" w:type="pct"/>
            <w:tcBorders>
              <w:top w:val="nil"/>
              <w:left w:val="single" w:sz="4" w:space="0" w:color="auto"/>
              <w:bottom w:val="nil"/>
              <w:right w:val="nil"/>
            </w:tcBorders>
          </w:tcPr>
          <w:p w14:paraId="61FCBB94" w14:textId="77777777" w:rsidR="00DF75D4" w:rsidRPr="008550C6" w:rsidRDefault="00DF75D4" w:rsidP="003E0E5D">
            <w:pPr>
              <w:widowControl w:val="0"/>
              <w:autoSpaceDE w:val="0"/>
              <w:autoSpaceDN w:val="0"/>
              <w:adjustRightInd w:val="0"/>
              <w:jc w:val="center"/>
              <w:rPr>
                <w:sz w:val="22"/>
                <w:szCs w:val="22"/>
              </w:rPr>
            </w:pPr>
            <w:r w:rsidRPr="008550C6">
              <w:rPr>
                <w:sz w:val="22"/>
                <w:szCs w:val="22"/>
              </w:rPr>
              <w:t>51</w:t>
            </w:r>
          </w:p>
        </w:tc>
        <w:tc>
          <w:tcPr>
            <w:tcW w:w="1465" w:type="pct"/>
            <w:tcBorders>
              <w:top w:val="nil"/>
              <w:left w:val="nil"/>
              <w:bottom w:val="nil"/>
              <w:right w:val="nil"/>
            </w:tcBorders>
          </w:tcPr>
          <w:p w14:paraId="37B51207" w14:textId="77777777" w:rsidR="00DF75D4" w:rsidRPr="008550C6" w:rsidRDefault="00DF75D4" w:rsidP="003E0E5D">
            <w:pPr>
              <w:widowControl w:val="0"/>
              <w:autoSpaceDE w:val="0"/>
              <w:autoSpaceDN w:val="0"/>
              <w:adjustRightInd w:val="0"/>
              <w:jc w:val="center"/>
              <w:rPr>
                <w:sz w:val="22"/>
                <w:szCs w:val="22"/>
              </w:rPr>
            </w:pPr>
            <w:r w:rsidRPr="008550C6">
              <w:rPr>
                <w:sz w:val="22"/>
                <w:szCs w:val="22"/>
              </w:rPr>
              <w:t>51</w:t>
            </w:r>
          </w:p>
        </w:tc>
      </w:tr>
      <w:tr w:rsidR="008550C6" w:rsidRPr="008550C6" w14:paraId="4F8BBE42" w14:textId="77777777" w:rsidTr="003E0E5D">
        <w:tblPrEx>
          <w:tblBorders>
            <w:bottom w:val="single" w:sz="6" w:space="0" w:color="auto"/>
          </w:tblBorders>
        </w:tblPrEx>
        <w:tc>
          <w:tcPr>
            <w:tcW w:w="1749" w:type="pct"/>
            <w:tcBorders>
              <w:top w:val="nil"/>
              <w:left w:val="nil"/>
              <w:bottom w:val="single" w:sz="4" w:space="0" w:color="auto"/>
              <w:right w:val="nil"/>
            </w:tcBorders>
          </w:tcPr>
          <w:p w14:paraId="5A4AFF8E" w14:textId="77777777" w:rsidR="00DF75D4" w:rsidRPr="008550C6" w:rsidRDefault="00DF75D4" w:rsidP="003E0E5D">
            <w:pPr>
              <w:widowControl w:val="0"/>
              <w:autoSpaceDE w:val="0"/>
              <w:autoSpaceDN w:val="0"/>
              <w:adjustRightInd w:val="0"/>
              <w:rPr>
                <w:sz w:val="22"/>
                <w:szCs w:val="22"/>
              </w:rPr>
            </w:pPr>
            <w:r w:rsidRPr="008550C6">
              <w:rPr>
                <w:sz w:val="22"/>
                <w:szCs w:val="22"/>
              </w:rPr>
              <w:t>Wald Chi 2 [p-value]</w:t>
            </w:r>
          </w:p>
        </w:tc>
        <w:tc>
          <w:tcPr>
            <w:tcW w:w="1786" w:type="pct"/>
            <w:tcBorders>
              <w:top w:val="nil"/>
              <w:left w:val="single" w:sz="4" w:space="0" w:color="auto"/>
              <w:bottom w:val="single" w:sz="4" w:space="0" w:color="auto"/>
              <w:right w:val="nil"/>
            </w:tcBorders>
          </w:tcPr>
          <w:p w14:paraId="0A3ACED8" w14:textId="77777777" w:rsidR="00DF75D4" w:rsidRPr="008550C6" w:rsidRDefault="00DF75D4" w:rsidP="003E0E5D">
            <w:pPr>
              <w:widowControl w:val="0"/>
              <w:autoSpaceDE w:val="0"/>
              <w:autoSpaceDN w:val="0"/>
              <w:adjustRightInd w:val="0"/>
              <w:jc w:val="center"/>
              <w:rPr>
                <w:sz w:val="22"/>
                <w:szCs w:val="22"/>
              </w:rPr>
            </w:pPr>
            <w:r w:rsidRPr="008550C6">
              <w:rPr>
                <w:sz w:val="22"/>
                <w:szCs w:val="22"/>
              </w:rPr>
              <w:t>0.000***</w:t>
            </w:r>
          </w:p>
        </w:tc>
        <w:tc>
          <w:tcPr>
            <w:tcW w:w="1465" w:type="pct"/>
            <w:tcBorders>
              <w:top w:val="nil"/>
              <w:left w:val="nil"/>
              <w:bottom w:val="single" w:sz="4" w:space="0" w:color="auto"/>
              <w:right w:val="nil"/>
            </w:tcBorders>
          </w:tcPr>
          <w:p w14:paraId="0D1DE94C" w14:textId="77777777" w:rsidR="00DF75D4" w:rsidRPr="008550C6" w:rsidRDefault="00DF75D4" w:rsidP="003E0E5D">
            <w:pPr>
              <w:widowControl w:val="0"/>
              <w:autoSpaceDE w:val="0"/>
              <w:autoSpaceDN w:val="0"/>
              <w:adjustRightInd w:val="0"/>
              <w:jc w:val="center"/>
              <w:rPr>
                <w:sz w:val="22"/>
                <w:szCs w:val="22"/>
              </w:rPr>
            </w:pPr>
            <w:r w:rsidRPr="008550C6">
              <w:rPr>
                <w:sz w:val="22"/>
                <w:szCs w:val="22"/>
              </w:rPr>
              <w:t>0.000***</w:t>
            </w:r>
          </w:p>
        </w:tc>
      </w:tr>
    </w:tbl>
    <w:p w14:paraId="3F0EC5EA" w14:textId="086CDC09" w:rsidR="00DF75D4" w:rsidRPr="00472A6C" w:rsidRDefault="00DF75D4" w:rsidP="008550C6">
      <w:pPr>
        <w:jc w:val="both"/>
        <w:rPr>
          <w:rFonts w:asciiTheme="majorBidi" w:hAnsiTheme="majorBidi" w:cstheme="majorBidi"/>
        </w:rPr>
      </w:pPr>
      <w:r w:rsidRPr="008550C6">
        <w:rPr>
          <w:rFonts w:asciiTheme="majorBidi" w:hAnsiTheme="majorBidi" w:cstheme="majorBidi"/>
          <w:i/>
          <w:iCs/>
          <w:sz w:val="18"/>
          <w:szCs w:val="18"/>
        </w:rPr>
        <w:t xml:space="preserve">Note: </w:t>
      </w:r>
      <w:r w:rsidRPr="00472A6C">
        <w:rPr>
          <w:rFonts w:asciiTheme="majorBidi" w:hAnsiTheme="majorBidi" w:cstheme="majorBidi"/>
          <w:sz w:val="18"/>
          <w:szCs w:val="18"/>
          <w:lang w:val="en-US" w:eastAsia="en-US"/>
          <w14:ligatures w14:val="standardContextual"/>
        </w:rPr>
        <w:t xml:space="preserve">This table reports regression results on the association between bootstrap </w:t>
      </w:r>
      <w:r w:rsidR="007E0F6A" w:rsidRPr="00472A6C">
        <w:rPr>
          <w:rFonts w:asciiTheme="majorBidi" w:hAnsiTheme="majorBidi" w:cstheme="majorBidi"/>
          <w:sz w:val="18"/>
          <w:szCs w:val="18"/>
          <w:lang w:val="en-US" w:eastAsia="en-US"/>
          <w14:ligatures w14:val="standardContextual"/>
        </w:rPr>
        <w:t>constant</w:t>
      </w:r>
      <w:r w:rsidRPr="00472A6C">
        <w:rPr>
          <w:rFonts w:asciiTheme="majorBidi" w:hAnsiTheme="majorBidi" w:cstheme="majorBidi"/>
          <w:sz w:val="18"/>
          <w:szCs w:val="18"/>
          <w:lang w:val="en-US" w:eastAsia="en-US"/>
          <w14:ligatures w14:val="standardContextual"/>
        </w:rPr>
        <w:t xml:space="preserve"> return to scale efficiency </w:t>
      </w:r>
      <w:r w:rsidR="007E4ED2">
        <w:rPr>
          <w:rFonts w:asciiTheme="majorBidi" w:hAnsiTheme="majorBidi" w:cstheme="majorBidi"/>
          <w:sz w:val="18"/>
          <w:szCs w:val="18"/>
          <w:lang w:val="en-US" w:eastAsia="en-US"/>
          <w14:ligatures w14:val="standardContextual"/>
        </w:rPr>
        <w:t xml:space="preserve">(CRS) </w:t>
      </w:r>
      <w:r w:rsidRPr="00472A6C">
        <w:rPr>
          <w:rFonts w:asciiTheme="majorBidi" w:hAnsiTheme="majorBidi" w:cstheme="majorBidi"/>
          <w:sz w:val="18"/>
          <w:szCs w:val="18"/>
          <w:lang w:val="en-US" w:eastAsia="en-US"/>
          <w14:ligatures w14:val="standardContextual"/>
        </w:rPr>
        <w:t xml:space="preserve">score and state and national votes following Spatial Tobit model (STM). </w:t>
      </w:r>
      <w:r w:rsidRPr="00472A6C">
        <w:rPr>
          <w:rFonts w:asciiTheme="majorBidi" w:hAnsiTheme="majorBidi" w:cstheme="majorBidi"/>
          <w:sz w:val="18"/>
          <w:szCs w:val="18"/>
        </w:rPr>
        <w:t>The variables’ coefficients and t-statistics (in brackets) are reported in the table; ***, **, * denote significance at the 1%, 5%, and 10% levels, respectively.</w:t>
      </w:r>
    </w:p>
    <w:p w14:paraId="30EA78C7" w14:textId="77777777" w:rsidR="00B3500A" w:rsidRPr="008550C6" w:rsidRDefault="00B3500A" w:rsidP="00B3500A"/>
    <w:p w14:paraId="3B0691B8" w14:textId="77777777" w:rsidR="00BF5C5B" w:rsidRDefault="00BF5C5B" w:rsidP="00B3500A"/>
    <w:p w14:paraId="562E15D0" w14:textId="77777777" w:rsidR="004A0505" w:rsidRDefault="004A0505" w:rsidP="00B3500A"/>
    <w:p w14:paraId="5F67997E" w14:textId="77777777" w:rsidR="004A0505" w:rsidRDefault="004A0505" w:rsidP="00B3500A"/>
    <w:p w14:paraId="3701457A" w14:textId="77777777" w:rsidR="004A0505" w:rsidRDefault="004A0505" w:rsidP="00B3500A"/>
    <w:p w14:paraId="2B5C4BBD" w14:textId="77777777" w:rsidR="004A0505" w:rsidRDefault="004A0505" w:rsidP="00B3500A"/>
    <w:p w14:paraId="35A46B04" w14:textId="77777777" w:rsidR="004A0505" w:rsidRDefault="004A0505" w:rsidP="00B3500A"/>
    <w:p w14:paraId="40B7205D" w14:textId="77777777" w:rsidR="004A0505" w:rsidRDefault="004A0505" w:rsidP="00B3500A"/>
    <w:p w14:paraId="4EB3C117" w14:textId="77777777" w:rsidR="004A0505" w:rsidRDefault="004A0505" w:rsidP="00B3500A"/>
    <w:p w14:paraId="5DE9D22D" w14:textId="77777777" w:rsidR="004A0505" w:rsidRDefault="004A0505" w:rsidP="00B3500A"/>
    <w:p w14:paraId="65874FEB" w14:textId="77777777" w:rsidR="004A0505" w:rsidRDefault="004A0505" w:rsidP="00B3500A"/>
    <w:p w14:paraId="2BCF1B39" w14:textId="77777777" w:rsidR="004A0505" w:rsidRDefault="004A0505" w:rsidP="00B3500A"/>
    <w:p w14:paraId="0C1743E7" w14:textId="77777777" w:rsidR="004A0505" w:rsidRDefault="004A0505" w:rsidP="00B3500A"/>
    <w:p w14:paraId="29FE7180" w14:textId="77777777" w:rsidR="004A0505" w:rsidRDefault="004A0505" w:rsidP="00B3500A"/>
    <w:p w14:paraId="433488AA" w14:textId="77777777" w:rsidR="00FD6351" w:rsidRDefault="00FD6351" w:rsidP="00B3500A"/>
    <w:p w14:paraId="57F27E58" w14:textId="77777777" w:rsidR="004A0505" w:rsidRDefault="004A0505" w:rsidP="00B3500A"/>
    <w:p w14:paraId="6B729B0E" w14:textId="77777777" w:rsidR="004A0505" w:rsidRDefault="004A0505" w:rsidP="00B3500A"/>
    <w:p w14:paraId="468A6C1F" w14:textId="77777777" w:rsidR="004A0505" w:rsidRDefault="004A0505" w:rsidP="00B3500A"/>
    <w:p w14:paraId="2F4C61AA" w14:textId="77777777" w:rsidR="004A0505" w:rsidRDefault="004A0505" w:rsidP="00B3500A"/>
    <w:p w14:paraId="75D6EA22" w14:textId="77777777" w:rsidR="004304ED" w:rsidRDefault="004304ED" w:rsidP="00B3500A"/>
    <w:p w14:paraId="0D3677EC" w14:textId="77777777" w:rsidR="004A0505" w:rsidRDefault="004A0505" w:rsidP="00B3500A"/>
    <w:p w14:paraId="7DC09900" w14:textId="77777777" w:rsidR="004A0505" w:rsidRDefault="004A0505" w:rsidP="00B3500A"/>
    <w:p w14:paraId="6FBE8BDC" w14:textId="77777777" w:rsidR="004A0505" w:rsidRDefault="004A0505" w:rsidP="00B3500A"/>
    <w:p w14:paraId="6BBAB933" w14:textId="77777777" w:rsidR="004A0505" w:rsidRDefault="004A0505" w:rsidP="00B3500A"/>
    <w:p w14:paraId="77B53DC0" w14:textId="77777777" w:rsidR="004A0505" w:rsidRDefault="004A0505" w:rsidP="00B3500A"/>
    <w:p w14:paraId="77378352" w14:textId="77777777" w:rsidR="004A0505" w:rsidRDefault="004A0505" w:rsidP="00B3500A"/>
    <w:p w14:paraId="0693CCE3" w14:textId="77777777" w:rsidR="004A0505" w:rsidRDefault="004A0505" w:rsidP="00B3500A"/>
    <w:p w14:paraId="6717296B" w14:textId="77777777" w:rsidR="004A0505" w:rsidRPr="008550C6" w:rsidRDefault="004A0505" w:rsidP="00B3500A"/>
    <w:p w14:paraId="52F9E846" w14:textId="189189B5" w:rsidR="0058403A" w:rsidRPr="008550C6" w:rsidRDefault="008550C6" w:rsidP="0058403A">
      <w:pPr>
        <w:rPr>
          <w:b/>
          <w:bCs/>
          <w:sz w:val="22"/>
          <w:szCs w:val="22"/>
        </w:rPr>
      </w:pPr>
      <w:r w:rsidRPr="008550C6">
        <w:rPr>
          <w:b/>
          <w:bCs/>
          <w:sz w:val="22"/>
          <w:szCs w:val="22"/>
        </w:rPr>
        <w:t>TABLE</w:t>
      </w:r>
      <w:r w:rsidR="00372549" w:rsidRPr="008550C6">
        <w:rPr>
          <w:b/>
          <w:bCs/>
          <w:sz w:val="22"/>
          <w:szCs w:val="22"/>
        </w:rPr>
        <w:t xml:space="preserve"> 15</w:t>
      </w:r>
    </w:p>
    <w:p w14:paraId="5849E94C" w14:textId="56714892" w:rsidR="00BF5C5B" w:rsidRPr="008550C6" w:rsidRDefault="004A0505" w:rsidP="0058403A">
      <w:pPr>
        <w:rPr>
          <w:sz w:val="22"/>
          <w:szCs w:val="22"/>
        </w:rPr>
      </w:pPr>
      <w:r w:rsidRPr="008550C6">
        <w:rPr>
          <w:sz w:val="22"/>
          <w:szCs w:val="22"/>
        </w:rPr>
        <w:t>Bank-level efficiency scores after excluding the top ten banks by assets each year</w:t>
      </w:r>
      <w:r w:rsidR="00CC5AE6" w:rsidRPr="008550C6">
        <w:rPr>
          <w:sz w:val="22"/>
          <w:szCs w:val="22"/>
        </w:rPr>
        <w:t xml:space="preserve"> from 1993 to 2020</w:t>
      </w:r>
      <w:r w:rsidRPr="008550C6">
        <w:rPr>
          <w:sz w:val="22"/>
          <w:szCs w:val="22"/>
        </w:rPr>
        <w:t>.</w:t>
      </w:r>
    </w:p>
    <w:tbl>
      <w:tblPr>
        <w:tblW w:w="5000" w:type="pct"/>
        <w:jc w:val="center"/>
        <w:tblCellMar>
          <w:left w:w="75" w:type="dxa"/>
          <w:right w:w="75" w:type="dxa"/>
        </w:tblCellMar>
        <w:tblLook w:val="0000" w:firstRow="0" w:lastRow="0" w:firstColumn="0" w:lastColumn="0" w:noHBand="0" w:noVBand="0"/>
      </w:tblPr>
      <w:tblGrid>
        <w:gridCol w:w="2575"/>
        <w:gridCol w:w="1230"/>
        <w:gridCol w:w="1324"/>
        <w:gridCol w:w="2574"/>
        <w:gridCol w:w="1323"/>
      </w:tblGrid>
      <w:tr w:rsidR="008550C6" w:rsidRPr="007E3420" w14:paraId="55F68496" w14:textId="77777777" w:rsidTr="008550C6">
        <w:trPr>
          <w:jc w:val="center"/>
        </w:trPr>
        <w:tc>
          <w:tcPr>
            <w:tcW w:w="1426" w:type="pct"/>
            <w:tcBorders>
              <w:top w:val="single" w:sz="6" w:space="0" w:color="auto"/>
              <w:left w:val="nil"/>
              <w:bottom w:val="nil"/>
              <w:right w:val="single" w:sz="4" w:space="0" w:color="auto"/>
            </w:tcBorders>
          </w:tcPr>
          <w:p w14:paraId="36D4D908" w14:textId="77777777" w:rsidR="00372549" w:rsidRPr="007E3420" w:rsidRDefault="00372549" w:rsidP="00FB6702">
            <w:pPr>
              <w:widowControl w:val="0"/>
              <w:autoSpaceDE w:val="0"/>
              <w:autoSpaceDN w:val="0"/>
              <w:adjustRightInd w:val="0"/>
              <w:rPr>
                <w:b/>
                <w:bCs/>
                <w:sz w:val="22"/>
                <w:szCs w:val="22"/>
              </w:rPr>
            </w:pPr>
          </w:p>
        </w:tc>
        <w:tc>
          <w:tcPr>
            <w:tcW w:w="681" w:type="pct"/>
            <w:tcBorders>
              <w:top w:val="single" w:sz="6" w:space="0" w:color="auto"/>
              <w:left w:val="single" w:sz="4" w:space="0" w:color="auto"/>
              <w:bottom w:val="nil"/>
              <w:right w:val="nil"/>
            </w:tcBorders>
          </w:tcPr>
          <w:p w14:paraId="1E96DC0E" w14:textId="77777777" w:rsidR="00372549" w:rsidRPr="007E3420" w:rsidRDefault="00372549" w:rsidP="00FB6702">
            <w:pPr>
              <w:widowControl w:val="0"/>
              <w:autoSpaceDE w:val="0"/>
              <w:autoSpaceDN w:val="0"/>
              <w:adjustRightInd w:val="0"/>
              <w:jc w:val="center"/>
              <w:rPr>
                <w:b/>
                <w:bCs/>
                <w:sz w:val="22"/>
                <w:szCs w:val="22"/>
              </w:rPr>
            </w:pPr>
            <w:r w:rsidRPr="007E3420">
              <w:rPr>
                <w:b/>
                <w:bCs/>
                <w:sz w:val="22"/>
                <w:szCs w:val="22"/>
              </w:rPr>
              <w:t>(1)</w:t>
            </w:r>
          </w:p>
        </w:tc>
        <w:tc>
          <w:tcPr>
            <w:tcW w:w="733" w:type="pct"/>
            <w:tcBorders>
              <w:top w:val="single" w:sz="6" w:space="0" w:color="auto"/>
              <w:left w:val="nil"/>
              <w:bottom w:val="nil"/>
              <w:right w:val="nil"/>
            </w:tcBorders>
          </w:tcPr>
          <w:p w14:paraId="1C84B7E4" w14:textId="77777777" w:rsidR="00372549" w:rsidRPr="007E3420" w:rsidRDefault="00372549" w:rsidP="00FB6702">
            <w:pPr>
              <w:widowControl w:val="0"/>
              <w:autoSpaceDE w:val="0"/>
              <w:autoSpaceDN w:val="0"/>
              <w:adjustRightInd w:val="0"/>
              <w:jc w:val="center"/>
              <w:rPr>
                <w:b/>
                <w:bCs/>
                <w:sz w:val="22"/>
                <w:szCs w:val="22"/>
              </w:rPr>
            </w:pPr>
            <w:r w:rsidRPr="007E3420">
              <w:rPr>
                <w:b/>
                <w:bCs/>
                <w:sz w:val="22"/>
                <w:szCs w:val="22"/>
              </w:rPr>
              <w:t>(2)</w:t>
            </w:r>
          </w:p>
        </w:tc>
        <w:tc>
          <w:tcPr>
            <w:tcW w:w="1426" w:type="pct"/>
            <w:tcBorders>
              <w:top w:val="single" w:sz="6" w:space="0" w:color="auto"/>
              <w:left w:val="nil"/>
              <w:bottom w:val="nil"/>
              <w:right w:val="nil"/>
            </w:tcBorders>
          </w:tcPr>
          <w:p w14:paraId="2A8F5F26" w14:textId="77777777" w:rsidR="00372549" w:rsidRPr="007E3420" w:rsidRDefault="00372549" w:rsidP="00FB6702">
            <w:pPr>
              <w:widowControl w:val="0"/>
              <w:autoSpaceDE w:val="0"/>
              <w:autoSpaceDN w:val="0"/>
              <w:adjustRightInd w:val="0"/>
              <w:jc w:val="center"/>
              <w:rPr>
                <w:b/>
                <w:bCs/>
                <w:sz w:val="22"/>
                <w:szCs w:val="22"/>
              </w:rPr>
            </w:pPr>
            <w:r w:rsidRPr="007E3420">
              <w:rPr>
                <w:b/>
                <w:bCs/>
                <w:sz w:val="22"/>
                <w:szCs w:val="22"/>
              </w:rPr>
              <w:t>(3)</w:t>
            </w:r>
          </w:p>
        </w:tc>
        <w:tc>
          <w:tcPr>
            <w:tcW w:w="733" w:type="pct"/>
            <w:tcBorders>
              <w:top w:val="single" w:sz="6" w:space="0" w:color="auto"/>
              <w:left w:val="nil"/>
              <w:bottom w:val="nil"/>
              <w:right w:val="nil"/>
            </w:tcBorders>
          </w:tcPr>
          <w:p w14:paraId="59420CEB" w14:textId="77777777" w:rsidR="00372549" w:rsidRPr="007E3420" w:rsidRDefault="00372549" w:rsidP="00FB6702">
            <w:pPr>
              <w:widowControl w:val="0"/>
              <w:autoSpaceDE w:val="0"/>
              <w:autoSpaceDN w:val="0"/>
              <w:adjustRightInd w:val="0"/>
              <w:jc w:val="center"/>
              <w:rPr>
                <w:b/>
                <w:bCs/>
                <w:sz w:val="22"/>
                <w:szCs w:val="22"/>
              </w:rPr>
            </w:pPr>
            <w:r w:rsidRPr="007E3420">
              <w:rPr>
                <w:b/>
                <w:bCs/>
                <w:sz w:val="22"/>
                <w:szCs w:val="22"/>
              </w:rPr>
              <w:t>(4)</w:t>
            </w:r>
          </w:p>
        </w:tc>
      </w:tr>
      <w:tr w:rsidR="008550C6" w:rsidRPr="007E3420" w14:paraId="134412EA" w14:textId="77777777" w:rsidTr="008550C6">
        <w:trPr>
          <w:jc w:val="center"/>
        </w:trPr>
        <w:tc>
          <w:tcPr>
            <w:tcW w:w="1426" w:type="pct"/>
            <w:tcBorders>
              <w:top w:val="nil"/>
              <w:left w:val="nil"/>
              <w:bottom w:val="single" w:sz="6" w:space="0" w:color="auto"/>
              <w:right w:val="single" w:sz="4" w:space="0" w:color="auto"/>
            </w:tcBorders>
          </w:tcPr>
          <w:p w14:paraId="6D4959F0" w14:textId="77777777" w:rsidR="00372549" w:rsidRPr="007E3420" w:rsidRDefault="00372549" w:rsidP="00FB6702">
            <w:pPr>
              <w:widowControl w:val="0"/>
              <w:autoSpaceDE w:val="0"/>
              <w:autoSpaceDN w:val="0"/>
              <w:adjustRightInd w:val="0"/>
              <w:rPr>
                <w:b/>
                <w:bCs/>
                <w:sz w:val="22"/>
                <w:szCs w:val="22"/>
              </w:rPr>
            </w:pPr>
            <w:r w:rsidRPr="007E3420">
              <w:rPr>
                <w:b/>
                <w:bCs/>
                <w:sz w:val="22"/>
                <w:szCs w:val="22"/>
              </w:rPr>
              <w:t>VARIABLES</w:t>
            </w:r>
          </w:p>
        </w:tc>
        <w:tc>
          <w:tcPr>
            <w:tcW w:w="681" w:type="pct"/>
            <w:tcBorders>
              <w:top w:val="nil"/>
              <w:left w:val="single" w:sz="4" w:space="0" w:color="auto"/>
              <w:bottom w:val="single" w:sz="6" w:space="0" w:color="auto"/>
              <w:right w:val="nil"/>
            </w:tcBorders>
          </w:tcPr>
          <w:p w14:paraId="320C3829" w14:textId="77777777" w:rsidR="00372549" w:rsidRPr="007E3420" w:rsidRDefault="00372549" w:rsidP="00FB6702">
            <w:pPr>
              <w:widowControl w:val="0"/>
              <w:autoSpaceDE w:val="0"/>
              <w:autoSpaceDN w:val="0"/>
              <w:adjustRightInd w:val="0"/>
              <w:jc w:val="center"/>
              <w:rPr>
                <w:b/>
                <w:bCs/>
                <w:sz w:val="22"/>
                <w:szCs w:val="22"/>
              </w:rPr>
            </w:pPr>
            <w:r w:rsidRPr="007E3420">
              <w:rPr>
                <w:b/>
                <w:bCs/>
                <w:sz w:val="22"/>
                <w:szCs w:val="22"/>
              </w:rPr>
              <w:t>VRS</w:t>
            </w:r>
          </w:p>
        </w:tc>
        <w:tc>
          <w:tcPr>
            <w:tcW w:w="733" w:type="pct"/>
            <w:tcBorders>
              <w:top w:val="nil"/>
              <w:left w:val="nil"/>
              <w:bottom w:val="single" w:sz="6" w:space="0" w:color="auto"/>
              <w:right w:val="nil"/>
            </w:tcBorders>
          </w:tcPr>
          <w:p w14:paraId="19D34CFF" w14:textId="77777777" w:rsidR="00372549" w:rsidRPr="007E3420" w:rsidRDefault="00372549" w:rsidP="00FB6702">
            <w:pPr>
              <w:widowControl w:val="0"/>
              <w:autoSpaceDE w:val="0"/>
              <w:autoSpaceDN w:val="0"/>
              <w:adjustRightInd w:val="0"/>
              <w:jc w:val="center"/>
              <w:rPr>
                <w:b/>
                <w:bCs/>
                <w:sz w:val="22"/>
                <w:szCs w:val="22"/>
              </w:rPr>
            </w:pPr>
            <w:r w:rsidRPr="007E3420">
              <w:rPr>
                <w:b/>
                <w:bCs/>
                <w:sz w:val="22"/>
                <w:szCs w:val="22"/>
              </w:rPr>
              <w:t>VRS</w:t>
            </w:r>
          </w:p>
        </w:tc>
        <w:tc>
          <w:tcPr>
            <w:tcW w:w="1426" w:type="pct"/>
            <w:tcBorders>
              <w:top w:val="nil"/>
              <w:left w:val="nil"/>
              <w:bottom w:val="single" w:sz="6" w:space="0" w:color="auto"/>
              <w:right w:val="nil"/>
            </w:tcBorders>
          </w:tcPr>
          <w:p w14:paraId="5A3D8CC8" w14:textId="77777777" w:rsidR="00372549" w:rsidRPr="007E3420" w:rsidRDefault="00372549" w:rsidP="00FB6702">
            <w:pPr>
              <w:widowControl w:val="0"/>
              <w:autoSpaceDE w:val="0"/>
              <w:autoSpaceDN w:val="0"/>
              <w:adjustRightInd w:val="0"/>
              <w:jc w:val="center"/>
              <w:rPr>
                <w:b/>
                <w:bCs/>
                <w:sz w:val="22"/>
                <w:szCs w:val="22"/>
              </w:rPr>
            </w:pPr>
            <w:r w:rsidRPr="007E3420">
              <w:rPr>
                <w:b/>
                <w:bCs/>
                <w:sz w:val="22"/>
                <w:szCs w:val="22"/>
              </w:rPr>
              <w:t>CRS</w:t>
            </w:r>
          </w:p>
        </w:tc>
        <w:tc>
          <w:tcPr>
            <w:tcW w:w="733" w:type="pct"/>
            <w:tcBorders>
              <w:top w:val="nil"/>
              <w:left w:val="nil"/>
              <w:bottom w:val="single" w:sz="6" w:space="0" w:color="auto"/>
              <w:right w:val="nil"/>
            </w:tcBorders>
          </w:tcPr>
          <w:p w14:paraId="064EACB3" w14:textId="77777777" w:rsidR="00372549" w:rsidRPr="007E3420" w:rsidRDefault="00372549" w:rsidP="00FB6702">
            <w:pPr>
              <w:widowControl w:val="0"/>
              <w:autoSpaceDE w:val="0"/>
              <w:autoSpaceDN w:val="0"/>
              <w:adjustRightInd w:val="0"/>
              <w:jc w:val="center"/>
              <w:rPr>
                <w:b/>
                <w:bCs/>
                <w:sz w:val="22"/>
                <w:szCs w:val="22"/>
              </w:rPr>
            </w:pPr>
            <w:r w:rsidRPr="007E3420">
              <w:rPr>
                <w:b/>
                <w:bCs/>
                <w:sz w:val="22"/>
                <w:szCs w:val="22"/>
              </w:rPr>
              <w:t>CRS</w:t>
            </w:r>
          </w:p>
        </w:tc>
      </w:tr>
      <w:tr w:rsidR="008550C6" w:rsidRPr="008550C6" w14:paraId="334578AC" w14:textId="77777777" w:rsidTr="008550C6">
        <w:trPr>
          <w:jc w:val="center"/>
        </w:trPr>
        <w:tc>
          <w:tcPr>
            <w:tcW w:w="1426" w:type="pct"/>
            <w:tcBorders>
              <w:top w:val="nil"/>
              <w:left w:val="nil"/>
              <w:bottom w:val="nil"/>
              <w:right w:val="single" w:sz="4" w:space="0" w:color="auto"/>
            </w:tcBorders>
          </w:tcPr>
          <w:p w14:paraId="35966437" w14:textId="77777777" w:rsidR="00372549" w:rsidRPr="008550C6" w:rsidRDefault="00372549" w:rsidP="00FB6702">
            <w:pPr>
              <w:widowControl w:val="0"/>
              <w:autoSpaceDE w:val="0"/>
              <w:autoSpaceDN w:val="0"/>
              <w:adjustRightInd w:val="0"/>
              <w:rPr>
                <w:sz w:val="22"/>
                <w:szCs w:val="22"/>
              </w:rPr>
            </w:pPr>
          </w:p>
        </w:tc>
        <w:tc>
          <w:tcPr>
            <w:tcW w:w="681" w:type="pct"/>
            <w:tcBorders>
              <w:top w:val="nil"/>
              <w:left w:val="single" w:sz="4" w:space="0" w:color="auto"/>
              <w:bottom w:val="nil"/>
              <w:right w:val="nil"/>
            </w:tcBorders>
          </w:tcPr>
          <w:p w14:paraId="658F5736"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4711AC87" w14:textId="77777777" w:rsidR="00372549" w:rsidRPr="008550C6" w:rsidRDefault="00372549" w:rsidP="00FB6702">
            <w:pPr>
              <w:widowControl w:val="0"/>
              <w:autoSpaceDE w:val="0"/>
              <w:autoSpaceDN w:val="0"/>
              <w:adjustRightInd w:val="0"/>
              <w:jc w:val="center"/>
              <w:rPr>
                <w:sz w:val="22"/>
                <w:szCs w:val="22"/>
              </w:rPr>
            </w:pPr>
          </w:p>
        </w:tc>
        <w:tc>
          <w:tcPr>
            <w:tcW w:w="1426" w:type="pct"/>
            <w:tcBorders>
              <w:top w:val="nil"/>
              <w:left w:val="nil"/>
              <w:bottom w:val="nil"/>
              <w:right w:val="nil"/>
            </w:tcBorders>
          </w:tcPr>
          <w:p w14:paraId="0C147ED4"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09523EF2" w14:textId="77777777" w:rsidR="00372549" w:rsidRPr="008550C6" w:rsidRDefault="00372549" w:rsidP="00FB6702">
            <w:pPr>
              <w:widowControl w:val="0"/>
              <w:autoSpaceDE w:val="0"/>
              <w:autoSpaceDN w:val="0"/>
              <w:adjustRightInd w:val="0"/>
              <w:jc w:val="center"/>
              <w:rPr>
                <w:sz w:val="22"/>
                <w:szCs w:val="22"/>
              </w:rPr>
            </w:pPr>
          </w:p>
        </w:tc>
      </w:tr>
      <w:tr w:rsidR="008550C6" w:rsidRPr="007E4ED2" w14:paraId="2E563D48" w14:textId="77777777" w:rsidTr="008550C6">
        <w:trPr>
          <w:jc w:val="center"/>
        </w:trPr>
        <w:tc>
          <w:tcPr>
            <w:tcW w:w="1426" w:type="pct"/>
            <w:tcBorders>
              <w:top w:val="nil"/>
              <w:left w:val="nil"/>
              <w:bottom w:val="nil"/>
              <w:right w:val="single" w:sz="4" w:space="0" w:color="auto"/>
            </w:tcBorders>
          </w:tcPr>
          <w:p w14:paraId="0B331F27" w14:textId="77777777" w:rsidR="00372549" w:rsidRPr="007E4ED2" w:rsidRDefault="00372549" w:rsidP="00FB6702">
            <w:pPr>
              <w:widowControl w:val="0"/>
              <w:autoSpaceDE w:val="0"/>
              <w:autoSpaceDN w:val="0"/>
              <w:adjustRightInd w:val="0"/>
              <w:rPr>
                <w:sz w:val="22"/>
                <w:szCs w:val="22"/>
              </w:rPr>
            </w:pPr>
            <w:r w:rsidRPr="007E4ED2">
              <w:rPr>
                <w:sz w:val="22"/>
                <w:szCs w:val="22"/>
              </w:rPr>
              <w:t>SVOTE</w:t>
            </w:r>
          </w:p>
        </w:tc>
        <w:tc>
          <w:tcPr>
            <w:tcW w:w="681" w:type="pct"/>
            <w:tcBorders>
              <w:top w:val="nil"/>
              <w:left w:val="single" w:sz="4" w:space="0" w:color="auto"/>
              <w:bottom w:val="nil"/>
              <w:right w:val="nil"/>
            </w:tcBorders>
          </w:tcPr>
          <w:p w14:paraId="433EC547" w14:textId="77777777" w:rsidR="00372549" w:rsidRPr="007E4ED2" w:rsidRDefault="00372549" w:rsidP="00FB6702">
            <w:pPr>
              <w:widowControl w:val="0"/>
              <w:autoSpaceDE w:val="0"/>
              <w:autoSpaceDN w:val="0"/>
              <w:adjustRightInd w:val="0"/>
              <w:jc w:val="center"/>
              <w:rPr>
                <w:sz w:val="22"/>
                <w:szCs w:val="22"/>
              </w:rPr>
            </w:pPr>
            <w:r w:rsidRPr="007E4ED2">
              <w:rPr>
                <w:sz w:val="22"/>
                <w:szCs w:val="22"/>
              </w:rPr>
              <w:t>0.006***</w:t>
            </w:r>
          </w:p>
        </w:tc>
        <w:tc>
          <w:tcPr>
            <w:tcW w:w="733" w:type="pct"/>
            <w:tcBorders>
              <w:top w:val="nil"/>
              <w:left w:val="nil"/>
              <w:bottom w:val="nil"/>
              <w:right w:val="nil"/>
            </w:tcBorders>
          </w:tcPr>
          <w:p w14:paraId="5A2311C7" w14:textId="77777777" w:rsidR="00372549" w:rsidRPr="007E4ED2" w:rsidRDefault="00372549" w:rsidP="00FB6702">
            <w:pPr>
              <w:widowControl w:val="0"/>
              <w:autoSpaceDE w:val="0"/>
              <w:autoSpaceDN w:val="0"/>
              <w:adjustRightInd w:val="0"/>
              <w:jc w:val="center"/>
              <w:rPr>
                <w:sz w:val="22"/>
                <w:szCs w:val="22"/>
              </w:rPr>
            </w:pPr>
            <w:r w:rsidRPr="007E4ED2">
              <w:rPr>
                <w:sz w:val="22"/>
                <w:szCs w:val="22"/>
              </w:rPr>
              <w:t>0.003*</w:t>
            </w:r>
          </w:p>
        </w:tc>
        <w:tc>
          <w:tcPr>
            <w:tcW w:w="1426" w:type="pct"/>
            <w:tcBorders>
              <w:top w:val="nil"/>
              <w:left w:val="nil"/>
              <w:bottom w:val="nil"/>
              <w:right w:val="nil"/>
            </w:tcBorders>
          </w:tcPr>
          <w:p w14:paraId="0E6DE918" w14:textId="77777777" w:rsidR="00372549" w:rsidRPr="007E4ED2" w:rsidRDefault="00372549" w:rsidP="00FB6702">
            <w:pPr>
              <w:widowControl w:val="0"/>
              <w:autoSpaceDE w:val="0"/>
              <w:autoSpaceDN w:val="0"/>
              <w:adjustRightInd w:val="0"/>
              <w:jc w:val="center"/>
              <w:rPr>
                <w:sz w:val="22"/>
                <w:szCs w:val="22"/>
              </w:rPr>
            </w:pPr>
            <w:r w:rsidRPr="007E4ED2">
              <w:rPr>
                <w:sz w:val="22"/>
                <w:szCs w:val="22"/>
              </w:rPr>
              <w:t>0.005***</w:t>
            </w:r>
          </w:p>
        </w:tc>
        <w:tc>
          <w:tcPr>
            <w:tcW w:w="733" w:type="pct"/>
            <w:tcBorders>
              <w:top w:val="nil"/>
              <w:left w:val="nil"/>
              <w:bottom w:val="nil"/>
              <w:right w:val="nil"/>
            </w:tcBorders>
          </w:tcPr>
          <w:p w14:paraId="2994037B" w14:textId="77777777" w:rsidR="00372549" w:rsidRPr="007E4ED2" w:rsidRDefault="00372549" w:rsidP="00FB6702">
            <w:pPr>
              <w:widowControl w:val="0"/>
              <w:autoSpaceDE w:val="0"/>
              <w:autoSpaceDN w:val="0"/>
              <w:adjustRightInd w:val="0"/>
              <w:jc w:val="center"/>
              <w:rPr>
                <w:sz w:val="22"/>
                <w:szCs w:val="22"/>
              </w:rPr>
            </w:pPr>
            <w:r w:rsidRPr="007E4ED2">
              <w:rPr>
                <w:sz w:val="22"/>
                <w:szCs w:val="22"/>
              </w:rPr>
              <w:t>0.003**</w:t>
            </w:r>
          </w:p>
        </w:tc>
      </w:tr>
      <w:tr w:rsidR="008550C6" w:rsidRPr="007E4ED2" w14:paraId="107235BF" w14:textId="77777777" w:rsidTr="008550C6">
        <w:trPr>
          <w:jc w:val="center"/>
        </w:trPr>
        <w:tc>
          <w:tcPr>
            <w:tcW w:w="1426" w:type="pct"/>
            <w:tcBorders>
              <w:top w:val="nil"/>
              <w:left w:val="nil"/>
              <w:bottom w:val="nil"/>
              <w:right w:val="single" w:sz="4" w:space="0" w:color="auto"/>
            </w:tcBorders>
          </w:tcPr>
          <w:p w14:paraId="3D79C474" w14:textId="77777777" w:rsidR="00372549" w:rsidRPr="007E4ED2" w:rsidRDefault="00372549" w:rsidP="00FB6702">
            <w:pPr>
              <w:widowControl w:val="0"/>
              <w:autoSpaceDE w:val="0"/>
              <w:autoSpaceDN w:val="0"/>
              <w:adjustRightInd w:val="0"/>
              <w:rPr>
                <w:sz w:val="22"/>
                <w:szCs w:val="22"/>
              </w:rPr>
            </w:pPr>
          </w:p>
        </w:tc>
        <w:tc>
          <w:tcPr>
            <w:tcW w:w="681" w:type="pct"/>
            <w:tcBorders>
              <w:top w:val="nil"/>
              <w:left w:val="single" w:sz="4" w:space="0" w:color="auto"/>
              <w:bottom w:val="nil"/>
              <w:right w:val="nil"/>
            </w:tcBorders>
          </w:tcPr>
          <w:p w14:paraId="0372730E" w14:textId="77777777" w:rsidR="00372549" w:rsidRPr="007E4ED2" w:rsidRDefault="00372549" w:rsidP="00FB6702">
            <w:pPr>
              <w:widowControl w:val="0"/>
              <w:autoSpaceDE w:val="0"/>
              <w:autoSpaceDN w:val="0"/>
              <w:adjustRightInd w:val="0"/>
              <w:jc w:val="center"/>
              <w:rPr>
                <w:sz w:val="22"/>
                <w:szCs w:val="22"/>
              </w:rPr>
            </w:pPr>
            <w:r w:rsidRPr="007E4ED2">
              <w:rPr>
                <w:sz w:val="22"/>
                <w:szCs w:val="22"/>
              </w:rPr>
              <w:t>(0.001)</w:t>
            </w:r>
          </w:p>
        </w:tc>
        <w:tc>
          <w:tcPr>
            <w:tcW w:w="733" w:type="pct"/>
            <w:tcBorders>
              <w:top w:val="nil"/>
              <w:left w:val="nil"/>
              <w:bottom w:val="nil"/>
              <w:right w:val="nil"/>
            </w:tcBorders>
          </w:tcPr>
          <w:p w14:paraId="58B49C8D" w14:textId="77777777" w:rsidR="00372549" w:rsidRPr="007E4ED2" w:rsidRDefault="00372549" w:rsidP="00FB6702">
            <w:pPr>
              <w:widowControl w:val="0"/>
              <w:autoSpaceDE w:val="0"/>
              <w:autoSpaceDN w:val="0"/>
              <w:adjustRightInd w:val="0"/>
              <w:jc w:val="center"/>
              <w:rPr>
                <w:sz w:val="22"/>
                <w:szCs w:val="22"/>
              </w:rPr>
            </w:pPr>
            <w:r w:rsidRPr="007E4ED2">
              <w:rPr>
                <w:sz w:val="22"/>
                <w:szCs w:val="22"/>
              </w:rPr>
              <w:t>(0.078)</w:t>
            </w:r>
          </w:p>
        </w:tc>
        <w:tc>
          <w:tcPr>
            <w:tcW w:w="1426" w:type="pct"/>
            <w:tcBorders>
              <w:top w:val="nil"/>
              <w:left w:val="nil"/>
              <w:bottom w:val="nil"/>
              <w:right w:val="nil"/>
            </w:tcBorders>
          </w:tcPr>
          <w:p w14:paraId="23E6BD78" w14:textId="77777777" w:rsidR="00372549" w:rsidRPr="007E4ED2" w:rsidRDefault="00372549" w:rsidP="00FB6702">
            <w:pPr>
              <w:widowControl w:val="0"/>
              <w:autoSpaceDE w:val="0"/>
              <w:autoSpaceDN w:val="0"/>
              <w:adjustRightInd w:val="0"/>
              <w:jc w:val="center"/>
              <w:rPr>
                <w:sz w:val="22"/>
                <w:szCs w:val="22"/>
              </w:rPr>
            </w:pPr>
            <w:r w:rsidRPr="007E4ED2">
              <w:rPr>
                <w:sz w:val="22"/>
                <w:szCs w:val="22"/>
              </w:rPr>
              <w:t>(0.001)</w:t>
            </w:r>
          </w:p>
        </w:tc>
        <w:tc>
          <w:tcPr>
            <w:tcW w:w="733" w:type="pct"/>
            <w:tcBorders>
              <w:top w:val="nil"/>
              <w:left w:val="nil"/>
              <w:bottom w:val="nil"/>
              <w:right w:val="nil"/>
            </w:tcBorders>
          </w:tcPr>
          <w:p w14:paraId="65FF5BD0" w14:textId="77777777" w:rsidR="00372549" w:rsidRPr="007E4ED2" w:rsidRDefault="00372549" w:rsidP="00FB6702">
            <w:pPr>
              <w:widowControl w:val="0"/>
              <w:autoSpaceDE w:val="0"/>
              <w:autoSpaceDN w:val="0"/>
              <w:adjustRightInd w:val="0"/>
              <w:jc w:val="center"/>
              <w:rPr>
                <w:sz w:val="22"/>
                <w:szCs w:val="22"/>
              </w:rPr>
            </w:pPr>
            <w:r w:rsidRPr="007E4ED2">
              <w:rPr>
                <w:sz w:val="22"/>
                <w:szCs w:val="22"/>
              </w:rPr>
              <w:t>(0.035)</w:t>
            </w:r>
          </w:p>
        </w:tc>
      </w:tr>
      <w:tr w:rsidR="008550C6" w:rsidRPr="008550C6" w14:paraId="181FBB0A" w14:textId="77777777" w:rsidTr="008550C6">
        <w:trPr>
          <w:jc w:val="center"/>
        </w:trPr>
        <w:tc>
          <w:tcPr>
            <w:tcW w:w="1426" w:type="pct"/>
            <w:tcBorders>
              <w:top w:val="nil"/>
              <w:left w:val="nil"/>
              <w:bottom w:val="nil"/>
              <w:right w:val="single" w:sz="4" w:space="0" w:color="auto"/>
            </w:tcBorders>
          </w:tcPr>
          <w:p w14:paraId="0884AB8B" w14:textId="77777777" w:rsidR="00372549" w:rsidRPr="008550C6" w:rsidRDefault="00372549" w:rsidP="00FB6702">
            <w:pPr>
              <w:widowControl w:val="0"/>
              <w:autoSpaceDE w:val="0"/>
              <w:autoSpaceDN w:val="0"/>
              <w:adjustRightInd w:val="0"/>
              <w:rPr>
                <w:sz w:val="22"/>
                <w:szCs w:val="22"/>
              </w:rPr>
            </w:pPr>
            <w:r w:rsidRPr="008550C6">
              <w:rPr>
                <w:sz w:val="22"/>
                <w:szCs w:val="22"/>
              </w:rPr>
              <w:t>LNTAno10</w:t>
            </w:r>
          </w:p>
        </w:tc>
        <w:tc>
          <w:tcPr>
            <w:tcW w:w="681" w:type="pct"/>
            <w:tcBorders>
              <w:top w:val="nil"/>
              <w:left w:val="single" w:sz="4" w:space="0" w:color="auto"/>
              <w:bottom w:val="nil"/>
              <w:right w:val="nil"/>
            </w:tcBorders>
          </w:tcPr>
          <w:p w14:paraId="64B5AE17"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28E483D8"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0.035***</w:t>
            </w:r>
          </w:p>
        </w:tc>
        <w:tc>
          <w:tcPr>
            <w:tcW w:w="1426" w:type="pct"/>
            <w:tcBorders>
              <w:top w:val="nil"/>
              <w:left w:val="nil"/>
              <w:bottom w:val="nil"/>
              <w:right w:val="nil"/>
            </w:tcBorders>
          </w:tcPr>
          <w:p w14:paraId="61A2C6FD"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3CB8C9BA"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0.022***</w:t>
            </w:r>
          </w:p>
        </w:tc>
      </w:tr>
      <w:tr w:rsidR="008550C6" w:rsidRPr="008550C6" w14:paraId="35CF9371" w14:textId="77777777" w:rsidTr="008550C6">
        <w:trPr>
          <w:jc w:val="center"/>
        </w:trPr>
        <w:tc>
          <w:tcPr>
            <w:tcW w:w="1426" w:type="pct"/>
            <w:tcBorders>
              <w:top w:val="nil"/>
              <w:left w:val="nil"/>
              <w:bottom w:val="nil"/>
              <w:right w:val="single" w:sz="4" w:space="0" w:color="auto"/>
            </w:tcBorders>
          </w:tcPr>
          <w:p w14:paraId="145739A4" w14:textId="77777777" w:rsidR="00372549" w:rsidRPr="008550C6" w:rsidRDefault="00372549" w:rsidP="00FB6702">
            <w:pPr>
              <w:widowControl w:val="0"/>
              <w:autoSpaceDE w:val="0"/>
              <w:autoSpaceDN w:val="0"/>
              <w:adjustRightInd w:val="0"/>
              <w:rPr>
                <w:sz w:val="22"/>
                <w:szCs w:val="22"/>
              </w:rPr>
            </w:pPr>
          </w:p>
        </w:tc>
        <w:tc>
          <w:tcPr>
            <w:tcW w:w="681" w:type="pct"/>
            <w:tcBorders>
              <w:top w:val="nil"/>
              <w:left w:val="single" w:sz="4" w:space="0" w:color="auto"/>
              <w:bottom w:val="nil"/>
              <w:right w:val="nil"/>
            </w:tcBorders>
          </w:tcPr>
          <w:p w14:paraId="714AF53C"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63AEE286"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(0.000)</w:t>
            </w:r>
          </w:p>
        </w:tc>
        <w:tc>
          <w:tcPr>
            <w:tcW w:w="1426" w:type="pct"/>
            <w:tcBorders>
              <w:top w:val="nil"/>
              <w:left w:val="nil"/>
              <w:bottom w:val="nil"/>
              <w:right w:val="nil"/>
            </w:tcBorders>
          </w:tcPr>
          <w:p w14:paraId="473525E4"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5CFB754B"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(0.000)</w:t>
            </w:r>
          </w:p>
        </w:tc>
      </w:tr>
      <w:tr w:rsidR="008550C6" w:rsidRPr="008550C6" w14:paraId="585E8905" w14:textId="77777777" w:rsidTr="008550C6">
        <w:trPr>
          <w:jc w:val="center"/>
        </w:trPr>
        <w:tc>
          <w:tcPr>
            <w:tcW w:w="1426" w:type="pct"/>
            <w:tcBorders>
              <w:top w:val="nil"/>
              <w:left w:val="nil"/>
              <w:bottom w:val="nil"/>
              <w:right w:val="single" w:sz="4" w:space="0" w:color="auto"/>
            </w:tcBorders>
          </w:tcPr>
          <w:p w14:paraId="77581DAE" w14:textId="77777777" w:rsidR="00372549" w:rsidRPr="008550C6" w:rsidRDefault="00372549" w:rsidP="00FB6702">
            <w:pPr>
              <w:widowControl w:val="0"/>
              <w:autoSpaceDE w:val="0"/>
              <w:autoSpaceDN w:val="0"/>
              <w:adjustRightInd w:val="0"/>
              <w:rPr>
                <w:sz w:val="22"/>
                <w:szCs w:val="22"/>
              </w:rPr>
            </w:pPr>
            <w:r w:rsidRPr="008550C6">
              <w:rPr>
                <w:sz w:val="22"/>
                <w:szCs w:val="22"/>
              </w:rPr>
              <w:t>NPLTLno10</w:t>
            </w:r>
          </w:p>
        </w:tc>
        <w:tc>
          <w:tcPr>
            <w:tcW w:w="681" w:type="pct"/>
            <w:tcBorders>
              <w:top w:val="nil"/>
              <w:left w:val="single" w:sz="4" w:space="0" w:color="auto"/>
              <w:bottom w:val="nil"/>
              <w:right w:val="nil"/>
            </w:tcBorders>
          </w:tcPr>
          <w:p w14:paraId="0A778EEE"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27B2F789"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-0.001*</w:t>
            </w:r>
          </w:p>
        </w:tc>
        <w:tc>
          <w:tcPr>
            <w:tcW w:w="1426" w:type="pct"/>
            <w:tcBorders>
              <w:top w:val="nil"/>
              <w:left w:val="nil"/>
              <w:bottom w:val="nil"/>
              <w:right w:val="nil"/>
            </w:tcBorders>
          </w:tcPr>
          <w:p w14:paraId="17CF09A8"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7CB21F0F"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0.000</w:t>
            </w:r>
          </w:p>
        </w:tc>
      </w:tr>
      <w:tr w:rsidR="008550C6" w:rsidRPr="008550C6" w14:paraId="69DC5EAF" w14:textId="77777777" w:rsidTr="008550C6">
        <w:trPr>
          <w:jc w:val="center"/>
        </w:trPr>
        <w:tc>
          <w:tcPr>
            <w:tcW w:w="1426" w:type="pct"/>
            <w:tcBorders>
              <w:top w:val="nil"/>
              <w:left w:val="nil"/>
              <w:bottom w:val="nil"/>
              <w:right w:val="single" w:sz="4" w:space="0" w:color="auto"/>
            </w:tcBorders>
          </w:tcPr>
          <w:p w14:paraId="3DBB6759" w14:textId="77777777" w:rsidR="00372549" w:rsidRPr="008550C6" w:rsidRDefault="00372549" w:rsidP="00FB6702">
            <w:pPr>
              <w:widowControl w:val="0"/>
              <w:autoSpaceDE w:val="0"/>
              <w:autoSpaceDN w:val="0"/>
              <w:adjustRightInd w:val="0"/>
              <w:rPr>
                <w:sz w:val="22"/>
                <w:szCs w:val="22"/>
              </w:rPr>
            </w:pPr>
          </w:p>
        </w:tc>
        <w:tc>
          <w:tcPr>
            <w:tcW w:w="681" w:type="pct"/>
            <w:tcBorders>
              <w:top w:val="nil"/>
              <w:left w:val="single" w:sz="4" w:space="0" w:color="auto"/>
              <w:bottom w:val="nil"/>
              <w:right w:val="nil"/>
            </w:tcBorders>
          </w:tcPr>
          <w:p w14:paraId="597895B3"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0213E21A"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(0.083)</w:t>
            </w:r>
          </w:p>
        </w:tc>
        <w:tc>
          <w:tcPr>
            <w:tcW w:w="1426" w:type="pct"/>
            <w:tcBorders>
              <w:top w:val="nil"/>
              <w:left w:val="nil"/>
              <w:bottom w:val="nil"/>
              <w:right w:val="nil"/>
            </w:tcBorders>
          </w:tcPr>
          <w:p w14:paraId="4FD5AC67"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5343C4A9"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(0.907)</w:t>
            </w:r>
          </w:p>
        </w:tc>
      </w:tr>
      <w:tr w:rsidR="008550C6" w:rsidRPr="008550C6" w14:paraId="0CC3C1DB" w14:textId="77777777" w:rsidTr="008550C6">
        <w:trPr>
          <w:jc w:val="center"/>
        </w:trPr>
        <w:tc>
          <w:tcPr>
            <w:tcW w:w="1426" w:type="pct"/>
            <w:tcBorders>
              <w:top w:val="nil"/>
              <w:left w:val="nil"/>
              <w:bottom w:val="nil"/>
              <w:right w:val="single" w:sz="4" w:space="0" w:color="auto"/>
            </w:tcBorders>
          </w:tcPr>
          <w:p w14:paraId="462950DE" w14:textId="77777777" w:rsidR="00372549" w:rsidRPr="008550C6" w:rsidRDefault="00372549" w:rsidP="00FB6702">
            <w:pPr>
              <w:widowControl w:val="0"/>
              <w:autoSpaceDE w:val="0"/>
              <w:autoSpaceDN w:val="0"/>
              <w:adjustRightInd w:val="0"/>
              <w:rPr>
                <w:sz w:val="22"/>
                <w:szCs w:val="22"/>
              </w:rPr>
            </w:pPr>
            <w:r w:rsidRPr="008550C6">
              <w:rPr>
                <w:sz w:val="22"/>
                <w:szCs w:val="22"/>
              </w:rPr>
              <w:t>DOAno10</w:t>
            </w:r>
          </w:p>
        </w:tc>
        <w:tc>
          <w:tcPr>
            <w:tcW w:w="681" w:type="pct"/>
            <w:tcBorders>
              <w:top w:val="nil"/>
              <w:left w:val="single" w:sz="4" w:space="0" w:color="auto"/>
              <w:bottom w:val="nil"/>
              <w:right w:val="nil"/>
            </w:tcBorders>
          </w:tcPr>
          <w:p w14:paraId="3A1020B4"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17C35AE1"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-0.433***</w:t>
            </w:r>
          </w:p>
        </w:tc>
        <w:tc>
          <w:tcPr>
            <w:tcW w:w="1426" w:type="pct"/>
            <w:tcBorders>
              <w:top w:val="nil"/>
              <w:left w:val="nil"/>
              <w:bottom w:val="nil"/>
              <w:right w:val="nil"/>
            </w:tcBorders>
          </w:tcPr>
          <w:p w14:paraId="3C823A23"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6AFD26BB"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-0.403***</w:t>
            </w:r>
          </w:p>
        </w:tc>
      </w:tr>
      <w:tr w:rsidR="008550C6" w:rsidRPr="008550C6" w14:paraId="1A1D4CE3" w14:textId="77777777" w:rsidTr="008550C6">
        <w:trPr>
          <w:jc w:val="center"/>
        </w:trPr>
        <w:tc>
          <w:tcPr>
            <w:tcW w:w="1426" w:type="pct"/>
            <w:tcBorders>
              <w:top w:val="nil"/>
              <w:left w:val="nil"/>
              <w:bottom w:val="nil"/>
              <w:right w:val="single" w:sz="4" w:space="0" w:color="auto"/>
            </w:tcBorders>
          </w:tcPr>
          <w:p w14:paraId="4CF0B404" w14:textId="77777777" w:rsidR="00372549" w:rsidRPr="008550C6" w:rsidRDefault="00372549" w:rsidP="00FB6702">
            <w:pPr>
              <w:widowControl w:val="0"/>
              <w:autoSpaceDE w:val="0"/>
              <w:autoSpaceDN w:val="0"/>
              <w:adjustRightInd w:val="0"/>
              <w:rPr>
                <w:sz w:val="22"/>
                <w:szCs w:val="22"/>
              </w:rPr>
            </w:pPr>
          </w:p>
        </w:tc>
        <w:tc>
          <w:tcPr>
            <w:tcW w:w="681" w:type="pct"/>
            <w:tcBorders>
              <w:top w:val="nil"/>
              <w:left w:val="single" w:sz="4" w:space="0" w:color="auto"/>
              <w:bottom w:val="nil"/>
              <w:right w:val="nil"/>
            </w:tcBorders>
          </w:tcPr>
          <w:p w14:paraId="4936E5E7"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5A1EB0B3"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(0.000)</w:t>
            </w:r>
          </w:p>
        </w:tc>
        <w:tc>
          <w:tcPr>
            <w:tcW w:w="1426" w:type="pct"/>
            <w:tcBorders>
              <w:top w:val="nil"/>
              <w:left w:val="nil"/>
              <w:bottom w:val="nil"/>
              <w:right w:val="nil"/>
            </w:tcBorders>
          </w:tcPr>
          <w:p w14:paraId="666D9E70"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16641F9B"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(0.000)</w:t>
            </w:r>
          </w:p>
        </w:tc>
      </w:tr>
      <w:tr w:rsidR="008550C6" w:rsidRPr="008550C6" w14:paraId="402295CC" w14:textId="77777777" w:rsidTr="008550C6">
        <w:trPr>
          <w:jc w:val="center"/>
        </w:trPr>
        <w:tc>
          <w:tcPr>
            <w:tcW w:w="1426" w:type="pct"/>
            <w:tcBorders>
              <w:top w:val="nil"/>
              <w:left w:val="nil"/>
              <w:bottom w:val="nil"/>
              <w:right w:val="single" w:sz="4" w:space="0" w:color="auto"/>
            </w:tcBorders>
          </w:tcPr>
          <w:p w14:paraId="711B5031" w14:textId="77777777" w:rsidR="00372549" w:rsidRPr="008550C6" w:rsidRDefault="00372549" w:rsidP="00FB6702">
            <w:pPr>
              <w:widowControl w:val="0"/>
              <w:autoSpaceDE w:val="0"/>
              <w:autoSpaceDN w:val="0"/>
              <w:adjustRightInd w:val="0"/>
              <w:rPr>
                <w:sz w:val="22"/>
                <w:szCs w:val="22"/>
              </w:rPr>
            </w:pPr>
            <w:r w:rsidRPr="008550C6">
              <w:rPr>
                <w:sz w:val="22"/>
                <w:szCs w:val="22"/>
              </w:rPr>
              <w:t>Constant</w:t>
            </w:r>
          </w:p>
        </w:tc>
        <w:tc>
          <w:tcPr>
            <w:tcW w:w="681" w:type="pct"/>
            <w:tcBorders>
              <w:top w:val="nil"/>
              <w:left w:val="single" w:sz="4" w:space="0" w:color="auto"/>
              <w:bottom w:val="nil"/>
              <w:right w:val="nil"/>
            </w:tcBorders>
          </w:tcPr>
          <w:p w14:paraId="3FE05CB0"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0.375***</w:t>
            </w:r>
          </w:p>
        </w:tc>
        <w:tc>
          <w:tcPr>
            <w:tcW w:w="733" w:type="pct"/>
            <w:tcBorders>
              <w:top w:val="nil"/>
              <w:left w:val="nil"/>
              <w:bottom w:val="nil"/>
              <w:right w:val="nil"/>
            </w:tcBorders>
          </w:tcPr>
          <w:p w14:paraId="1D50B391"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0.464***</w:t>
            </w:r>
          </w:p>
        </w:tc>
        <w:tc>
          <w:tcPr>
            <w:tcW w:w="1426" w:type="pct"/>
            <w:tcBorders>
              <w:top w:val="nil"/>
              <w:left w:val="nil"/>
              <w:bottom w:val="nil"/>
              <w:right w:val="nil"/>
            </w:tcBorders>
          </w:tcPr>
          <w:p w14:paraId="3C057D2B"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0.355***</w:t>
            </w:r>
          </w:p>
        </w:tc>
        <w:tc>
          <w:tcPr>
            <w:tcW w:w="733" w:type="pct"/>
            <w:tcBorders>
              <w:top w:val="nil"/>
              <w:left w:val="nil"/>
              <w:bottom w:val="nil"/>
              <w:right w:val="nil"/>
            </w:tcBorders>
          </w:tcPr>
          <w:p w14:paraId="399FBD01"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0.507***</w:t>
            </w:r>
          </w:p>
        </w:tc>
      </w:tr>
      <w:tr w:rsidR="008550C6" w:rsidRPr="008550C6" w14:paraId="58FBD035" w14:textId="77777777" w:rsidTr="008550C6">
        <w:trPr>
          <w:jc w:val="center"/>
        </w:trPr>
        <w:tc>
          <w:tcPr>
            <w:tcW w:w="1426" w:type="pct"/>
            <w:tcBorders>
              <w:top w:val="nil"/>
              <w:left w:val="nil"/>
              <w:bottom w:val="nil"/>
              <w:right w:val="single" w:sz="4" w:space="0" w:color="auto"/>
            </w:tcBorders>
          </w:tcPr>
          <w:p w14:paraId="09D98310" w14:textId="77777777" w:rsidR="00372549" w:rsidRPr="008550C6" w:rsidRDefault="00372549" w:rsidP="00FB6702">
            <w:pPr>
              <w:widowControl w:val="0"/>
              <w:autoSpaceDE w:val="0"/>
              <w:autoSpaceDN w:val="0"/>
              <w:adjustRightInd w:val="0"/>
              <w:rPr>
                <w:sz w:val="22"/>
                <w:szCs w:val="22"/>
              </w:rPr>
            </w:pPr>
          </w:p>
        </w:tc>
        <w:tc>
          <w:tcPr>
            <w:tcW w:w="681" w:type="pct"/>
            <w:tcBorders>
              <w:top w:val="nil"/>
              <w:left w:val="single" w:sz="4" w:space="0" w:color="auto"/>
              <w:bottom w:val="nil"/>
              <w:right w:val="nil"/>
            </w:tcBorders>
          </w:tcPr>
          <w:p w14:paraId="7885A904"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(0.000)</w:t>
            </w:r>
          </w:p>
        </w:tc>
        <w:tc>
          <w:tcPr>
            <w:tcW w:w="733" w:type="pct"/>
            <w:tcBorders>
              <w:top w:val="nil"/>
              <w:left w:val="nil"/>
              <w:bottom w:val="nil"/>
              <w:right w:val="nil"/>
            </w:tcBorders>
          </w:tcPr>
          <w:p w14:paraId="3AB2051A"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(0.000)</w:t>
            </w:r>
          </w:p>
        </w:tc>
        <w:tc>
          <w:tcPr>
            <w:tcW w:w="1426" w:type="pct"/>
            <w:tcBorders>
              <w:top w:val="nil"/>
              <w:left w:val="nil"/>
              <w:bottom w:val="nil"/>
              <w:right w:val="nil"/>
            </w:tcBorders>
          </w:tcPr>
          <w:p w14:paraId="5A7A79A8"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(0.000)</w:t>
            </w:r>
          </w:p>
        </w:tc>
        <w:tc>
          <w:tcPr>
            <w:tcW w:w="733" w:type="pct"/>
            <w:tcBorders>
              <w:top w:val="nil"/>
              <w:left w:val="nil"/>
              <w:bottom w:val="nil"/>
              <w:right w:val="nil"/>
            </w:tcBorders>
          </w:tcPr>
          <w:p w14:paraId="2799F940"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(0.000)</w:t>
            </w:r>
          </w:p>
        </w:tc>
      </w:tr>
      <w:tr w:rsidR="008550C6" w:rsidRPr="008550C6" w14:paraId="05197BB1" w14:textId="77777777" w:rsidTr="008550C6">
        <w:trPr>
          <w:jc w:val="center"/>
        </w:trPr>
        <w:tc>
          <w:tcPr>
            <w:tcW w:w="1426" w:type="pct"/>
            <w:tcBorders>
              <w:top w:val="nil"/>
              <w:left w:val="nil"/>
              <w:bottom w:val="nil"/>
              <w:right w:val="single" w:sz="4" w:space="0" w:color="auto"/>
            </w:tcBorders>
          </w:tcPr>
          <w:p w14:paraId="4F6F77CA" w14:textId="77777777" w:rsidR="00372549" w:rsidRPr="008550C6" w:rsidRDefault="00372549" w:rsidP="00FB6702">
            <w:pPr>
              <w:widowControl w:val="0"/>
              <w:autoSpaceDE w:val="0"/>
              <w:autoSpaceDN w:val="0"/>
              <w:adjustRightInd w:val="0"/>
              <w:rPr>
                <w:sz w:val="22"/>
                <w:szCs w:val="22"/>
              </w:rPr>
            </w:pPr>
          </w:p>
        </w:tc>
        <w:tc>
          <w:tcPr>
            <w:tcW w:w="681" w:type="pct"/>
            <w:tcBorders>
              <w:top w:val="nil"/>
              <w:left w:val="single" w:sz="4" w:space="0" w:color="auto"/>
              <w:bottom w:val="nil"/>
              <w:right w:val="nil"/>
            </w:tcBorders>
          </w:tcPr>
          <w:p w14:paraId="025367DD"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54C436D7" w14:textId="77777777" w:rsidR="00372549" w:rsidRPr="008550C6" w:rsidRDefault="00372549" w:rsidP="00FB6702">
            <w:pPr>
              <w:widowControl w:val="0"/>
              <w:autoSpaceDE w:val="0"/>
              <w:autoSpaceDN w:val="0"/>
              <w:adjustRightInd w:val="0"/>
              <w:jc w:val="center"/>
              <w:rPr>
                <w:sz w:val="22"/>
                <w:szCs w:val="22"/>
              </w:rPr>
            </w:pPr>
          </w:p>
        </w:tc>
        <w:tc>
          <w:tcPr>
            <w:tcW w:w="1426" w:type="pct"/>
            <w:tcBorders>
              <w:top w:val="nil"/>
              <w:left w:val="nil"/>
              <w:bottom w:val="nil"/>
              <w:right w:val="nil"/>
            </w:tcBorders>
          </w:tcPr>
          <w:p w14:paraId="0678C0BC" w14:textId="77777777" w:rsidR="00372549" w:rsidRPr="008550C6" w:rsidRDefault="00372549" w:rsidP="00FB6702">
            <w:pPr>
              <w:widowControl w:val="0"/>
              <w:autoSpaceDE w:val="0"/>
              <w:autoSpaceDN w:val="0"/>
              <w:adjustRightInd w:val="0"/>
              <w:jc w:val="center"/>
              <w:rPr>
                <w:sz w:val="22"/>
                <w:szCs w:val="22"/>
              </w:rPr>
            </w:pPr>
          </w:p>
        </w:tc>
        <w:tc>
          <w:tcPr>
            <w:tcW w:w="733" w:type="pct"/>
            <w:tcBorders>
              <w:top w:val="nil"/>
              <w:left w:val="nil"/>
              <w:bottom w:val="nil"/>
              <w:right w:val="nil"/>
            </w:tcBorders>
          </w:tcPr>
          <w:p w14:paraId="6186A29E" w14:textId="77777777" w:rsidR="00372549" w:rsidRPr="008550C6" w:rsidRDefault="00372549" w:rsidP="00FB6702">
            <w:pPr>
              <w:widowControl w:val="0"/>
              <w:autoSpaceDE w:val="0"/>
              <w:autoSpaceDN w:val="0"/>
              <w:adjustRightInd w:val="0"/>
              <w:jc w:val="center"/>
              <w:rPr>
                <w:sz w:val="22"/>
                <w:szCs w:val="22"/>
              </w:rPr>
            </w:pPr>
          </w:p>
        </w:tc>
      </w:tr>
      <w:tr w:rsidR="008550C6" w:rsidRPr="008550C6" w14:paraId="229D0DBA" w14:textId="77777777" w:rsidTr="008550C6">
        <w:tblPrEx>
          <w:tblBorders>
            <w:bottom w:val="single" w:sz="6" w:space="0" w:color="auto"/>
          </w:tblBorders>
        </w:tblPrEx>
        <w:trPr>
          <w:jc w:val="center"/>
        </w:trPr>
        <w:tc>
          <w:tcPr>
            <w:tcW w:w="1426" w:type="pct"/>
            <w:tcBorders>
              <w:top w:val="nil"/>
              <w:left w:val="nil"/>
              <w:bottom w:val="nil"/>
              <w:right w:val="single" w:sz="4" w:space="0" w:color="auto"/>
            </w:tcBorders>
          </w:tcPr>
          <w:p w14:paraId="3DAAE52E" w14:textId="77777777" w:rsidR="00372549" w:rsidRPr="008550C6" w:rsidRDefault="00372549" w:rsidP="00FB6702">
            <w:pPr>
              <w:widowControl w:val="0"/>
              <w:autoSpaceDE w:val="0"/>
              <w:autoSpaceDN w:val="0"/>
              <w:adjustRightInd w:val="0"/>
              <w:rPr>
                <w:sz w:val="22"/>
                <w:szCs w:val="22"/>
              </w:rPr>
            </w:pPr>
            <w:r w:rsidRPr="008550C6">
              <w:rPr>
                <w:sz w:val="22"/>
                <w:szCs w:val="22"/>
              </w:rPr>
              <w:t>R-squared</w:t>
            </w:r>
          </w:p>
        </w:tc>
        <w:tc>
          <w:tcPr>
            <w:tcW w:w="681" w:type="pct"/>
            <w:tcBorders>
              <w:top w:val="nil"/>
              <w:left w:val="single" w:sz="4" w:space="0" w:color="auto"/>
              <w:bottom w:val="nil"/>
              <w:right w:val="nil"/>
            </w:tcBorders>
          </w:tcPr>
          <w:p w14:paraId="6026F22C"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0.774</w:t>
            </w:r>
          </w:p>
        </w:tc>
        <w:tc>
          <w:tcPr>
            <w:tcW w:w="733" w:type="pct"/>
            <w:tcBorders>
              <w:top w:val="nil"/>
              <w:left w:val="nil"/>
              <w:bottom w:val="nil"/>
              <w:right w:val="nil"/>
            </w:tcBorders>
          </w:tcPr>
          <w:p w14:paraId="5125615E"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0.835</w:t>
            </w:r>
          </w:p>
        </w:tc>
        <w:tc>
          <w:tcPr>
            <w:tcW w:w="1426" w:type="pct"/>
            <w:tcBorders>
              <w:top w:val="nil"/>
              <w:left w:val="nil"/>
              <w:bottom w:val="nil"/>
              <w:right w:val="nil"/>
            </w:tcBorders>
          </w:tcPr>
          <w:p w14:paraId="221535C2"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0.742</w:t>
            </w:r>
          </w:p>
        </w:tc>
        <w:tc>
          <w:tcPr>
            <w:tcW w:w="733" w:type="pct"/>
            <w:tcBorders>
              <w:top w:val="nil"/>
              <w:left w:val="nil"/>
              <w:bottom w:val="nil"/>
              <w:right w:val="nil"/>
            </w:tcBorders>
          </w:tcPr>
          <w:p w14:paraId="22BC0874"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0.815</w:t>
            </w:r>
          </w:p>
        </w:tc>
      </w:tr>
      <w:tr w:rsidR="008550C6" w:rsidRPr="008550C6" w14:paraId="24BB8DF6" w14:textId="77777777" w:rsidTr="008550C6">
        <w:trPr>
          <w:jc w:val="center"/>
        </w:trPr>
        <w:tc>
          <w:tcPr>
            <w:tcW w:w="1426" w:type="pct"/>
            <w:tcBorders>
              <w:top w:val="nil"/>
              <w:left w:val="nil"/>
              <w:bottom w:val="nil"/>
              <w:right w:val="single" w:sz="4" w:space="0" w:color="auto"/>
            </w:tcBorders>
          </w:tcPr>
          <w:p w14:paraId="7E246C43" w14:textId="77777777" w:rsidR="00372549" w:rsidRPr="008550C6" w:rsidRDefault="00372549" w:rsidP="00FB6702">
            <w:pPr>
              <w:widowControl w:val="0"/>
              <w:autoSpaceDE w:val="0"/>
              <w:autoSpaceDN w:val="0"/>
              <w:adjustRightInd w:val="0"/>
              <w:rPr>
                <w:sz w:val="22"/>
                <w:szCs w:val="22"/>
              </w:rPr>
            </w:pPr>
            <w:r w:rsidRPr="008550C6">
              <w:rPr>
                <w:sz w:val="22"/>
                <w:szCs w:val="22"/>
              </w:rPr>
              <w:t>Observations</w:t>
            </w:r>
          </w:p>
        </w:tc>
        <w:tc>
          <w:tcPr>
            <w:tcW w:w="681" w:type="pct"/>
            <w:tcBorders>
              <w:top w:val="nil"/>
              <w:left w:val="single" w:sz="4" w:space="0" w:color="auto"/>
              <w:bottom w:val="nil"/>
              <w:right w:val="nil"/>
            </w:tcBorders>
          </w:tcPr>
          <w:p w14:paraId="565A426C"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18,865</w:t>
            </w:r>
          </w:p>
        </w:tc>
        <w:tc>
          <w:tcPr>
            <w:tcW w:w="733" w:type="pct"/>
            <w:tcBorders>
              <w:top w:val="nil"/>
              <w:left w:val="nil"/>
              <w:bottom w:val="nil"/>
              <w:right w:val="nil"/>
            </w:tcBorders>
          </w:tcPr>
          <w:p w14:paraId="5FB2FB47"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16,004</w:t>
            </w:r>
          </w:p>
        </w:tc>
        <w:tc>
          <w:tcPr>
            <w:tcW w:w="1426" w:type="pct"/>
            <w:tcBorders>
              <w:top w:val="nil"/>
              <w:left w:val="nil"/>
              <w:bottom w:val="nil"/>
              <w:right w:val="nil"/>
            </w:tcBorders>
          </w:tcPr>
          <w:p w14:paraId="705ECF05"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18,865</w:t>
            </w:r>
          </w:p>
        </w:tc>
        <w:tc>
          <w:tcPr>
            <w:tcW w:w="733" w:type="pct"/>
            <w:tcBorders>
              <w:top w:val="nil"/>
              <w:left w:val="nil"/>
              <w:bottom w:val="nil"/>
              <w:right w:val="nil"/>
            </w:tcBorders>
          </w:tcPr>
          <w:p w14:paraId="0038F92B"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16,004</w:t>
            </w:r>
          </w:p>
        </w:tc>
      </w:tr>
      <w:tr w:rsidR="008550C6" w:rsidRPr="008550C6" w14:paraId="3FD65283" w14:textId="77777777" w:rsidTr="008550C6">
        <w:trPr>
          <w:jc w:val="center"/>
        </w:trPr>
        <w:tc>
          <w:tcPr>
            <w:tcW w:w="1426" w:type="pct"/>
            <w:tcBorders>
              <w:top w:val="nil"/>
              <w:left w:val="nil"/>
              <w:bottom w:val="nil"/>
              <w:right w:val="single" w:sz="4" w:space="0" w:color="auto"/>
            </w:tcBorders>
          </w:tcPr>
          <w:p w14:paraId="4A41D7B5" w14:textId="77777777" w:rsidR="00372549" w:rsidRPr="008550C6" w:rsidRDefault="00372549" w:rsidP="00FB6702">
            <w:pPr>
              <w:widowControl w:val="0"/>
              <w:autoSpaceDE w:val="0"/>
              <w:autoSpaceDN w:val="0"/>
              <w:adjustRightInd w:val="0"/>
              <w:rPr>
                <w:sz w:val="22"/>
                <w:szCs w:val="22"/>
              </w:rPr>
            </w:pPr>
            <w:r w:rsidRPr="008550C6">
              <w:rPr>
                <w:sz w:val="22"/>
                <w:szCs w:val="22"/>
              </w:rPr>
              <w:t>Number of banks</w:t>
            </w:r>
          </w:p>
        </w:tc>
        <w:tc>
          <w:tcPr>
            <w:tcW w:w="681" w:type="pct"/>
            <w:tcBorders>
              <w:top w:val="nil"/>
              <w:left w:val="single" w:sz="4" w:space="0" w:color="auto"/>
              <w:bottom w:val="nil"/>
              <w:right w:val="nil"/>
            </w:tcBorders>
          </w:tcPr>
          <w:p w14:paraId="5AFD0B9A"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1,830</w:t>
            </w:r>
          </w:p>
        </w:tc>
        <w:tc>
          <w:tcPr>
            <w:tcW w:w="733" w:type="pct"/>
            <w:tcBorders>
              <w:top w:val="nil"/>
              <w:left w:val="nil"/>
              <w:bottom w:val="nil"/>
              <w:right w:val="nil"/>
            </w:tcBorders>
          </w:tcPr>
          <w:p w14:paraId="38B2EC69"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1,622</w:t>
            </w:r>
          </w:p>
        </w:tc>
        <w:tc>
          <w:tcPr>
            <w:tcW w:w="1426" w:type="pct"/>
            <w:tcBorders>
              <w:top w:val="nil"/>
              <w:left w:val="nil"/>
              <w:bottom w:val="nil"/>
              <w:right w:val="nil"/>
            </w:tcBorders>
          </w:tcPr>
          <w:p w14:paraId="43244D57"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1,830</w:t>
            </w:r>
          </w:p>
        </w:tc>
        <w:tc>
          <w:tcPr>
            <w:tcW w:w="733" w:type="pct"/>
            <w:tcBorders>
              <w:top w:val="nil"/>
              <w:left w:val="nil"/>
              <w:bottom w:val="nil"/>
              <w:right w:val="nil"/>
            </w:tcBorders>
          </w:tcPr>
          <w:p w14:paraId="62B7CA3C"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1,622</w:t>
            </w:r>
          </w:p>
        </w:tc>
      </w:tr>
      <w:tr w:rsidR="008550C6" w:rsidRPr="008550C6" w14:paraId="6B2B4C71" w14:textId="77777777" w:rsidTr="008550C6">
        <w:tblPrEx>
          <w:tblBorders>
            <w:bottom w:val="single" w:sz="6" w:space="0" w:color="auto"/>
          </w:tblBorders>
        </w:tblPrEx>
        <w:trPr>
          <w:jc w:val="center"/>
        </w:trPr>
        <w:tc>
          <w:tcPr>
            <w:tcW w:w="1426" w:type="pct"/>
            <w:tcBorders>
              <w:top w:val="nil"/>
              <w:left w:val="nil"/>
              <w:bottom w:val="single" w:sz="6" w:space="0" w:color="auto"/>
              <w:right w:val="single" w:sz="4" w:space="0" w:color="auto"/>
            </w:tcBorders>
          </w:tcPr>
          <w:p w14:paraId="1C2848F4" w14:textId="77777777" w:rsidR="00372549" w:rsidRPr="008550C6" w:rsidRDefault="00372549" w:rsidP="00FB6702">
            <w:pPr>
              <w:widowControl w:val="0"/>
              <w:autoSpaceDE w:val="0"/>
              <w:autoSpaceDN w:val="0"/>
              <w:adjustRightInd w:val="0"/>
              <w:rPr>
                <w:sz w:val="22"/>
                <w:szCs w:val="22"/>
              </w:rPr>
            </w:pPr>
            <w:r w:rsidRPr="008550C6">
              <w:rPr>
                <w:sz w:val="22"/>
                <w:szCs w:val="22"/>
              </w:rPr>
              <w:t>Wald Chi 2 [p-value]</w:t>
            </w:r>
          </w:p>
        </w:tc>
        <w:tc>
          <w:tcPr>
            <w:tcW w:w="681" w:type="pct"/>
            <w:tcBorders>
              <w:top w:val="nil"/>
              <w:left w:val="single" w:sz="4" w:space="0" w:color="auto"/>
              <w:bottom w:val="single" w:sz="6" w:space="0" w:color="auto"/>
              <w:right w:val="nil"/>
            </w:tcBorders>
          </w:tcPr>
          <w:p w14:paraId="5083788E"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0.000***</w:t>
            </w:r>
          </w:p>
        </w:tc>
        <w:tc>
          <w:tcPr>
            <w:tcW w:w="733" w:type="pct"/>
            <w:tcBorders>
              <w:top w:val="nil"/>
              <w:left w:val="nil"/>
              <w:bottom w:val="single" w:sz="6" w:space="0" w:color="auto"/>
              <w:right w:val="nil"/>
            </w:tcBorders>
          </w:tcPr>
          <w:p w14:paraId="5EB4B71A"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0.000***</w:t>
            </w:r>
          </w:p>
        </w:tc>
        <w:tc>
          <w:tcPr>
            <w:tcW w:w="1426" w:type="pct"/>
            <w:tcBorders>
              <w:top w:val="nil"/>
              <w:left w:val="nil"/>
              <w:bottom w:val="single" w:sz="6" w:space="0" w:color="auto"/>
              <w:right w:val="nil"/>
            </w:tcBorders>
          </w:tcPr>
          <w:p w14:paraId="55E14047" w14:textId="5C1E2122" w:rsidR="00372549" w:rsidRPr="008550C6" w:rsidRDefault="00460921" w:rsidP="00FB6702">
            <w:pPr>
              <w:widowControl w:val="0"/>
              <w:autoSpaceDE w:val="0"/>
              <w:autoSpaceDN w:val="0"/>
              <w:adjustRightInd w:val="0"/>
              <w:jc w:val="center"/>
              <w:rPr>
                <w:sz w:val="22"/>
                <w:szCs w:val="22"/>
              </w:rPr>
            </w:pPr>
            <w:r w:rsidRPr="008550C6">
              <w:rPr>
                <w:sz w:val="22"/>
                <w:szCs w:val="22"/>
              </w:rPr>
              <w:t>0.000***</w:t>
            </w:r>
          </w:p>
        </w:tc>
        <w:tc>
          <w:tcPr>
            <w:tcW w:w="733" w:type="pct"/>
            <w:tcBorders>
              <w:top w:val="nil"/>
              <w:left w:val="nil"/>
              <w:bottom w:val="single" w:sz="6" w:space="0" w:color="auto"/>
              <w:right w:val="nil"/>
            </w:tcBorders>
          </w:tcPr>
          <w:p w14:paraId="3D6BC9D9" w14:textId="77777777" w:rsidR="00372549" w:rsidRPr="008550C6" w:rsidRDefault="00372549" w:rsidP="00FB6702">
            <w:pPr>
              <w:widowControl w:val="0"/>
              <w:autoSpaceDE w:val="0"/>
              <w:autoSpaceDN w:val="0"/>
              <w:adjustRightInd w:val="0"/>
              <w:jc w:val="center"/>
              <w:rPr>
                <w:sz w:val="22"/>
                <w:szCs w:val="22"/>
              </w:rPr>
            </w:pPr>
            <w:r w:rsidRPr="008550C6">
              <w:rPr>
                <w:sz w:val="22"/>
                <w:szCs w:val="22"/>
              </w:rPr>
              <w:t>0.000***</w:t>
            </w:r>
          </w:p>
        </w:tc>
      </w:tr>
    </w:tbl>
    <w:p w14:paraId="4B4B8CB8" w14:textId="1CC7A0D4" w:rsidR="00372549" w:rsidRPr="00472A6C" w:rsidRDefault="00372549" w:rsidP="007E4ED2">
      <w:pPr>
        <w:jc w:val="both"/>
        <w:rPr>
          <w:rFonts w:asciiTheme="majorBidi" w:hAnsiTheme="majorBidi" w:cstheme="majorBidi"/>
        </w:rPr>
      </w:pPr>
      <w:r w:rsidRPr="008550C6">
        <w:rPr>
          <w:rFonts w:asciiTheme="majorBidi" w:hAnsiTheme="majorBidi" w:cstheme="majorBidi"/>
          <w:i/>
          <w:iCs/>
          <w:sz w:val="18"/>
          <w:szCs w:val="18"/>
        </w:rPr>
        <w:t xml:space="preserve">Note: </w:t>
      </w:r>
      <w:r w:rsidR="007E4ED2" w:rsidRPr="007E4ED2">
        <w:rPr>
          <w:rFonts w:asciiTheme="majorBidi" w:hAnsiTheme="majorBidi" w:cstheme="majorBidi"/>
          <w:sz w:val="18"/>
          <w:szCs w:val="18"/>
          <w:lang w:eastAsia="en-US"/>
          <w14:ligatures w14:val="standardContextual"/>
        </w:rPr>
        <w:t>This table presents regression results on the relationship between variable returns to scale (VRS) and constant returns to scale (CRS) efficiency scores at the bank level, after excluding the ten largest banks by assets, using state-level voting data from 1993 to 2020</w:t>
      </w:r>
      <w:r w:rsidRPr="00472A6C">
        <w:rPr>
          <w:rFonts w:asciiTheme="majorBidi" w:hAnsiTheme="majorBidi" w:cstheme="majorBidi"/>
          <w:sz w:val="18"/>
          <w:szCs w:val="18"/>
          <w:lang w:val="en-US" w:eastAsia="en-US"/>
          <w14:ligatures w14:val="standardContextual"/>
        </w:rPr>
        <w:t xml:space="preserve">. </w:t>
      </w:r>
      <w:r w:rsidR="009D7D8F" w:rsidRPr="00472A6C">
        <w:rPr>
          <w:rFonts w:asciiTheme="majorBidi" w:hAnsiTheme="majorBidi" w:cstheme="majorBidi"/>
          <w:sz w:val="18"/>
          <w:szCs w:val="18"/>
          <w:lang w:eastAsia="en-US"/>
          <w14:ligatures w14:val="standardContextual"/>
        </w:rPr>
        <w:t>The COVID-19 period is excluded due to near-zero partial values</w:t>
      </w:r>
      <w:r w:rsidRPr="00472A6C">
        <w:rPr>
          <w:rFonts w:asciiTheme="majorBidi" w:hAnsiTheme="majorBidi" w:cstheme="majorBidi"/>
          <w:sz w:val="18"/>
          <w:szCs w:val="18"/>
          <w:lang w:val="en-US" w:eastAsia="en-US"/>
          <w14:ligatures w14:val="standardContextual"/>
        </w:rPr>
        <w:t xml:space="preserve">. </w:t>
      </w:r>
      <w:r w:rsidRPr="00472A6C">
        <w:rPr>
          <w:rFonts w:asciiTheme="majorBidi" w:hAnsiTheme="majorBidi" w:cstheme="majorBidi"/>
          <w:sz w:val="18"/>
          <w:szCs w:val="18"/>
        </w:rPr>
        <w:t>The variables’ coefficients and t-statistics (in brackets) are reported in the table; ***, **, * denote significance at the 1%, 5%, and 10% levels, respectively.</w:t>
      </w:r>
    </w:p>
    <w:p w14:paraId="48F285D3" w14:textId="77777777" w:rsidR="00BF5C5B" w:rsidRPr="008550C6" w:rsidRDefault="00BF5C5B" w:rsidP="00B3500A"/>
    <w:p w14:paraId="2208F491" w14:textId="77777777" w:rsidR="00BF5C5B" w:rsidRDefault="00BF5C5B" w:rsidP="00B3500A"/>
    <w:p w14:paraId="787B0124" w14:textId="77777777" w:rsidR="00BF5C5B" w:rsidRDefault="00BF5C5B" w:rsidP="00B3500A"/>
    <w:p w14:paraId="5262DDEC" w14:textId="77777777" w:rsidR="00BF5C5B" w:rsidRDefault="00BF5C5B" w:rsidP="00B3500A"/>
    <w:p w14:paraId="329F4454" w14:textId="77777777" w:rsidR="00BF5C5B" w:rsidRDefault="00BF5C5B" w:rsidP="00B3500A"/>
    <w:p w14:paraId="466454D5" w14:textId="77777777" w:rsidR="00BF5C5B" w:rsidRDefault="00BF5C5B" w:rsidP="00B3500A"/>
    <w:p w14:paraId="2030343D" w14:textId="77777777" w:rsidR="00BF5C5B" w:rsidRDefault="00BF5C5B" w:rsidP="00B3500A"/>
    <w:p w14:paraId="57DC5227" w14:textId="77777777" w:rsidR="00BF5C5B" w:rsidRDefault="00BF5C5B" w:rsidP="00B3500A"/>
    <w:p w14:paraId="0CDDC6F7" w14:textId="77777777" w:rsidR="00BF5C5B" w:rsidRDefault="00BF5C5B" w:rsidP="00B3500A"/>
    <w:p w14:paraId="6FCD0F32" w14:textId="77777777" w:rsidR="00BF5C5B" w:rsidRDefault="00BF5C5B" w:rsidP="00B3500A"/>
    <w:p w14:paraId="5657D74B" w14:textId="77777777" w:rsidR="00BF5C5B" w:rsidRDefault="00BF5C5B" w:rsidP="00B3500A"/>
    <w:p w14:paraId="18347665" w14:textId="77777777" w:rsidR="00BF5C5B" w:rsidRDefault="00BF5C5B" w:rsidP="00B3500A"/>
    <w:p w14:paraId="5C9BDA49" w14:textId="77777777" w:rsidR="00BF5C5B" w:rsidRDefault="00BF5C5B" w:rsidP="00B3500A"/>
    <w:p w14:paraId="69780B28" w14:textId="77777777" w:rsidR="00BF5C5B" w:rsidRDefault="00BF5C5B" w:rsidP="00B3500A"/>
    <w:p w14:paraId="65E6B531" w14:textId="77777777" w:rsidR="00BF5C5B" w:rsidRDefault="00BF5C5B" w:rsidP="00B3500A"/>
    <w:p w14:paraId="562699F7" w14:textId="77777777" w:rsidR="00BF5C5B" w:rsidRDefault="00BF5C5B" w:rsidP="00B3500A"/>
    <w:p w14:paraId="2C36D7B2" w14:textId="77777777" w:rsidR="00FD6351" w:rsidRDefault="00FD6351" w:rsidP="00B3500A"/>
    <w:p w14:paraId="722F8EC9" w14:textId="77777777" w:rsidR="00FD6351" w:rsidRDefault="00FD6351" w:rsidP="00B3500A"/>
    <w:p w14:paraId="31842C58" w14:textId="77777777" w:rsidR="00BF5C5B" w:rsidRDefault="00BF5C5B" w:rsidP="00B3500A"/>
    <w:p w14:paraId="641E29DA" w14:textId="77777777" w:rsidR="004304ED" w:rsidRDefault="004304ED" w:rsidP="00B3500A"/>
    <w:p w14:paraId="3C7DEA12" w14:textId="77777777" w:rsidR="004A0505" w:rsidRDefault="004A0505" w:rsidP="00B3500A"/>
    <w:p w14:paraId="069858BC" w14:textId="77777777" w:rsidR="00F12C74" w:rsidRDefault="00F12C74" w:rsidP="00B3500A"/>
    <w:p w14:paraId="5AB80152" w14:textId="77777777" w:rsidR="00F12C74" w:rsidRDefault="00F12C74" w:rsidP="00B3500A"/>
    <w:p w14:paraId="305A6530" w14:textId="77777777" w:rsidR="00BF5C5B" w:rsidRDefault="00BF5C5B" w:rsidP="00B3500A"/>
    <w:p w14:paraId="688D8A5D" w14:textId="55CA3B49" w:rsidR="008567F0" w:rsidRPr="008550C6" w:rsidRDefault="008550C6" w:rsidP="008567F0">
      <w:pPr>
        <w:jc w:val="both"/>
        <w:rPr>
          <w:b/>
          <w:bCs/>
          <w:sz w:val="22"/>
          <w:szCs w:val="22"/>
        </w:rPr>
      </w:pPr>
      <w:r w:rsidRPr="008550C6">
        <w:rPr>
          <w:b/>
          <w:bCs/>
          <w:sz w:val="22"/>
          <w:szCs w:val="22"/>
        </w:rPr>
        <w:t>TABLE</w:t>
      </w:r>
      <w:r w:rsidR="008567F0" w:rsidRPr="008550C6">
        <w:rPr>
          <w:b/>
          <w:bCs/>
          <w:sz w:val="22"/>
          <w:szCs w:val="22"/>
        </w:rPr>
        <w:t xml:space="preserve"> 1</w:t>
      </w:r>
      <w:r w:rsidR="00690AC7" w:rsidRPr="008550C6">
        <w:rPr>
          <w:b/>
          <w:bCs/>
          <w:sz w:val="22"/>
          <w:szCs w:val="22"/>
        </w:rPr>
        <w:t>6</w:t>
      </w:r>
    </w:p>
    <w:p w14:paraId="1901FB36" w14:textId="7ADD57DD" w:rsidR="008567F0" w:rsidRPr="008550C6" w:rsidRDefault="008567F0" w:rsidP="008567F0">
      <w:pPr>
        <w:jc w:val="both"/>
        <w:rPr>
          <w:sz w:val="22"/>
          <w:szCs w:val="22"/>
        </w:rPr>
      </w:pPr>
      <w:r w:rsidRPr="008550C6">
        <w:rPr>
          <w:sz w:val="22"/>
          <w:szCs w:val="22"/>
        </w:rPr>
        <w:t xml:space="preserve">Spatial Tobit model (STM) when </w:t>
      </w:r>
      <w:r w:rsidR="006A0241" w:rsidRPr="008550C6">
        <w:rPr>
          <w:sz w:val="22"/>
          <w:szCs w:val="22"/>
        </w:rPr>
        <w:t xml:space="preserve">the number </w:t>
      </w:r>
      <w:r w:rsidR="00C8068C" w:rsidRPr="008550C6">
        <w:rPr>
          <w:sz w:val="22"/>
          <w:szCs w:val="22"/>
        </w:rPr>
        <w:t>n</w:t>
      </w:r>
      <w:r w:rsidRPr="008550C6">
        <w:rPr>
          <w:sz w:val="22"/>
          <w:szCs w:val="22"/>
        </w:rPr>
        <w:t xml:space="preserve">ew </w:t>
      </w:r>
      <w:r w:rsidR="00C8068C" w:rsidRPr="008550C6">
        <w:rPr>
          <w:sz w:val="22"/>
          <w:szCs w:val="22"/>
        </w:rPr>
        <w:t>bank c</w:t>
      </w:r>
      <w:r w:rsidRPr="008550C6">
        <w:rPr>
          <w:sz w:val="22"/>
          <w:szCs w:val="22"/>
        </w:rPr>
        <w:t>harters at the state level is the dependent variable.</w:t>
      </w:r>
    </w:p>
    <w:tbl>
      <w:tblPr>
        <w:tblW w:w="4946" w:type="pct"/>
        <w:tblCellMar>
          <w:left w:w="75" w:type="dxa"/>
          <w:right w:w="75" w:type="dxa"/>
        </w:tblCellMar>
        <w:tblLook w:val="0000" w:firstRow="0" w:lastRow="0" w:firstColumn="0" w:lastColumn="0" w:noHBand="0" w:noVBand="0"/>
      </w:tblPr>
      <w:tblGrid>
        <w:gridCol w:w="3158"/>
        <w:gridCol w:w="2089"/>
        <w:gridCol w:w="1841"/>
        <w:gridCol w:w="1841"/>
      </w:tblGrid>
      <w:tr w:rsidR="008550C6" w:rsidRPr="007E3420" w14:paraId="7764E8F1" w14:textId="4814AEEC" w:rsidTr="00A24DF1">
        <w:tc>
          <w:tcPr>
            <w:tcW w:w="1768" w:type="pct"/>
            <w:tcBorders>
              <w:top w:val="single" w:sz="6" w:space="0" w:color="auto"/>
              <w:left w:val="nil"/>
              <w:bottom w:val="nil"/>
              <w:right w:val="nil"/>
            </w:tcBorders>
          </w:tcPr>
          <w:p w14:paraId="7C0F0FE5" w14:textId="77777777" w:rsidR="00A24DF1" w:rsidRPr="007E3420" w:rsidRDefault="00A24DF1" w:rsidP="00270716">
            <w:pPr>
              <w:widowControl w:val="0"/>
              <w:autoSpaceDE w:val="0"/>
              <w:autoSpaceDN w:val="0"/>
              <w:adjustRightInd w:val="0"/>
              <w:rPr>
                <w:b/>
                <w:bCs/>
                <w:sz w:val="22"/>
                <w:szCs w:val="22"/>
              </w:rPr>
            </w:pPr>
          </w:p>
        </w:tc>
        <w:tc>
          <w:tcPr>
            <w:tcW w:w="1170" w:type="pct"/>
            <w:tcBorders>
              <w:top w:val="single" w:sz="6" w:space="0" w:color="auto"/>
              <w:left w:val="single" w:sz="4" w:space="0" w:color="auto"/>
              <w:bottom w:val="nil"/>
              <w:right w:val="nil"/>
            </w:tcBorders>
          </w:tcPr>
          <w:p w14:paraId="68E1B6C1" w14:textId="77777777" w:rsidR="00A24DF1" w:rsidRPr="007E3420" w:rsidRDefault="00A24DF1" w:rsidP="00270716">
            <w:pPr>
              <w:widowControl w:val="0"/>
              <w:autoSpaceDE w:val="0"/>
              <w:autoSpaceDN w:val="0"/>
              <w:adjustRightInd w:val="0"/>
              <w:jc w:val="center"/>
              <w:rPr>
                <w:b/>
                <w:bCs/>
                <w:sz w:val="22"/>
                <w:szCs w:val="22"/>
              </w:rPr>
            </w:pPr>
            <w:r w:rsidRPr="007E3420">
              <w:rPr>
                <w:b/>
                <w:bCs/>
                <w:sz w:val="22"/>
                <w:szCs w:val="22"/>
              </w:rPr>
              <w:t>(1)</w:t>
            </w:r>
          </w:p>
        </w:tc>
        <w:tc>
          <w:tcPr>
            <w:tcW w:w="1031" w:type="pct"/>
            <w:tcBorders>
              <w:top w:val="single" w:sz="6" w:space="0" w:color="auto"/>
              <w:left w:val="nil"/>
              <w:bottom w:val="nil"/>
              <w:right w:val="nil"/>
            </w:tcBorders>
          </w:tcPr>
          <w:p w14:paraId="362CFFFA" w14:textId="77777777" w:rsidR="00A24DF1" w:rsidRPr="007E3420" w:rsidRDefault="00A24DF1" w:rsidP="00270716">
            <w:pPr>
              <w:widowControl w:val="0"/>
              <w:autoSpaceDE w:val="0"/>
              <w:autoSpaceDN w:val="0"/>
              <w:adjustRightInd w:val="0"/>
              <w:jc w:val="center"/>
              <w:rPr>
                <w:b/>
                <w:bCs/>
                <w:sz w:val="22"/>
                <w:szCs w:val="22"/>
              </w:rPr>
            </w:pPr>
            <w:r w:rsidRPr="007E3420">
              <w:rPr>
                <w:b/>
                <w:bCs/>
                <w:sz w:val="22"/>
                <w:szCs w:val="22"/>
              </w:rPr>
              <w:t>(2)</w:t>
            </w:r>
          </w:p>
        </w:tc>
        <w:tc>
          <w:tcPr>
            <w:tcW w:w="1031" w:type="pct"/>
            <w:tcBorders>
              <w:top w:val="single" w:sz="6" w:space="0" w:color="auto"/>
              <w:left w:val="nil"/>
              <w:bottom w:val="nil"/>
              <w:right w:val="nil"/>
            </w:tcBorders>
          </w:tcPr>
          <w:p w14:paraId="5C876734" w14:textId="26C6787D" w:rsidR="00A24DF1" w:rsidRPr="007E3420" w:rsidRDefault="00A24DF1" w:rsidP="00270716">
            <w:pPr>
              <w:widowControl w:val="0"/>
              <w:autoSpaceDE w:val="0"/>
              <w:autoSpaceDN w:val="0"/>
              <w:adjustRightInd w:val="0"/>
              <w:jc w:val="center"/>
              <w:rPr>
                <w:b/>
                <w:bCs/>
                <w:sz w:val="22"/>
                <w:szCs w:val="22"/>
              </w:rPr>
            </w:pPr>
            <w:r w:rsidRPr="007E3420">
              <w:rPr>
                <w:b/>
                <w:bCs/>
                <w:sz w:val="22"/>
                <w:szCs w:val="22"/>
              </w:rPr>
              <w:t>(3)</w:t>
            </w:r>
          </w:p>
        </w:tc>
      </w:tr>
      <w:tr w:rsidR="008550C6" w:rsidRPr="007E3420" w14:paraId="13D936AB" w14:textId="518F1D11" w:rsidTr="00A24DF1">
        <w:tc>
          <w:tcPr>
            <w:tcW w:w="1768" w:type="pct"/>
            <w:tcBorders>
              <w:top w:val="nil"/>
              <w:left w:val="nil"/>
              <w:bottom w:val="single" w:sz="6" w:space="0" w:color="auto"/>
              <w:right w:val="nil"/>
            </w:tcBorders>
          </w:tcPr>
          <w:p w14:paraId="75495E8F" w14:textId="77777777" w:rsidR="00A24DF1" w:rsidRPr="007E3420" w:rsidRDefault="00A24DF1" w:rsidP="00270716">
            <w:pPr>
              <w:widowControl w:val="0"/>
              <w:autoSpaceDE w:val="0"/>
              <w:autoSpaceDN w:val="0"/>
              <w:adjustRightInd w:val="0"/>
              <w:rPr>
                <w:b/>
                <w:bCs/>
                <w:sz w:val="22"/>
                <w:szCs w:val="22"/>
              </w:rPr>
            </w:pPr>
            <w:r w:rsidRPr="007E3420">
              <w:rPr>
                <w:b/>
                <w:bCs/>
                <w:sz w:val="22"/>
                <w:szCs w:val="22"/>
              </w:rPr>
              <w:t>VARIABLES</w:t>
            </w:r>
          </w:p>
        </w:tc>
        <w:tc>
          <w:tcPr>
            <w:tcW w:w="1170" w:type="pct"/>
            <w:tcBorders>
              <w:top w:val="nil"/>
              <w:left w:val="single" w:sz="4" w:space="0" w:color="auto"/>
              <w:bottom w:val="single" w:sz="6" w:space="0" w:color="auto"/>
              <w:right w:val="nil"/>
            </w:tcBorders>
          </w:tcPr>
          <w:p w14:paraId="1ABD7B47" w14:textId="4B040F66" w:rsidR="00A24DF1" w:rsidRPr="007E3420" w:rsidRDefault="00A24DF1" w:rsidP="00270716">
            <w:pPr>
              <w:widowControl w:val="0"/>
              <w:autoSpaceDE w:val="0"/>
              <w:autoSpaceDN w:val="0"/>
              <w:adjustRightInd w:val="0"/>
              <w:jc w:val="center"/>
              <w:rPr>
                <w:b/>
                <w:bCs/>
                <w:sz w:val="22"/>
                <w:szCs w:val="22"/>
              </w:rPr>
            </w:pPr>
            <w:r w:rsidRPr="007E3420">
              <w:rPr>
                <w:b/>
                <w:bCs/>
                <w:sz w:val="22"/>
                <w:szCs w:val="22"/>
              </w:rPr>
              <w:t>SNCharters</w:t>
            </w:r>
          </w:p>
        </w:tc>
        <w:tc>
          <w:tcPr>
            <w:tcW w:w="1031" w:type="pct"/>
            <w:tcBorders>
              <w:top w:val="nil"/>
              <w:left w:val="nil"/>
              <w:bottom w:val="single" w:sz="6" w:space="0" w:color="auto"/>
              <w:right w:val="nil"/>
            </w:tcBorders>
          </w:tcPr>
          <w:p w14:paraId="722F18D9" w14:textId="09F26685" w:rsidR="00A24DF1" w:rsidRPr="007E3420" w:rsidRDefault="00A24DF1" w:rsidP="00270716">
            <w:pPr>
              <w:widowControl w:val="0"/>
              <w:autoSpaceDE w:val="0"/>
              <w:autoSpaceDN w:val="0"/>
              <w:adjustRightInd w:val="0"/>
              <w:jc w:val="center"/>
              <w:rPr>
                <w:b/>
                <w:bCs/>
                <w:sz w:val="22"/>
                <w:szCs w:val="22"/>
              </w:rPr>
            </w:pPr>
            <w:r w:rsidRPr="007E3420">
              <w:rPr>
                <w:b/>
                <w:bCs/>
                <w:sz w:val="22"/>
                <w:szCs w:val="22"/>
              </w:rPr>
              <w:t>SNCharters</w:t>
            </w:r>
          </w:p>
        </w:tc>
        <w:tc>
          <w:tcPr>
            <w:tcW w:w="1031" w:type="pct"/>
            <w:tcBorders>
              <w:top w:val="nil"/>
              <w:left w:val="nil"/>
              <w:bottom w:val="single" w:sz="6" w:space="0" w:color="auto"/>
              <w:right w:val="nil"/>
            </w:tcBorders>
          </w:tcPr>
          <w:p w14:paraId="7A5AF395" w14:textId="56D6A0AB" w:rsidR="00A24DF1" w:rsidRPr="007E3420" w:rsidRDefault="00A24DF1" w:rsidP="00A24DF1">
            <w:pPr>
              <w:widowControl w:val="0"/>
              <w:autoSpaceDE w:val="0"/>
              <w:autoSpaceDN w:val="0"/>
              <w:adjustRightInd w:val="0"/>
              <w:jc w:val="center"/>
              <w:rPr>
                <w:b/>
                <w:bCs/>
                <w:sz w:val="22"/>
                <w:szCs w:val="22"/>
              </w:rPr>
            </w:pPr>
            <w:r w:rsidRPr="007E3420">
              <w:rPr>
                <w:b/>
                <w:bCs/>
                <w:sz w:val="22"/>
                <w:szCs w:val="22"/>
              </w:rPr>
              <w:t>SNCharters</w:t>
            </w:r>
          </w:p>
        </w:tc>
      </w:tr>
      <w:tr w:rsidR="008550C6" w:rsidRPr="008550C6" w14:paraId="0D0EE017" w14:textId="0E3F963D" w:rsidTr="00A24DF1">
        <w:tc>
          <w:tcPr>
            <w:tcW w:w="1768" w:type="pct"/>
            <w:tcBorders>
              <w:top w:val="nil"/>
              <w:left w:val="nil"/>
              <w:bottom w:val="nil"/>
              <w:right w:val="nil"/>
            </w:tcBorders>
          </w:tcPr>
          <w:p w14:paraId="0F12FF16" w14:textId="77777777" w:rsidR="00A24DF1" w:rsidRPr="008550C6" w:rsidRDefault="00A24DF1" w:rsidP="00270716">
            <w:pPr>
              <w:widowControl w:val="0"/>
              <w:autoSpaceDE w:val="0"/>
              <w:autoSpaceDN w:val="0"/>
              <w:adjustRightInd w:val="0"/>
              <w:rPr>
                <w:sz w:val="22"/>
                <w:szCs w:val="22"/>
              </w:rPr>
            </w:pPr>
          </w:p>
        </w:tc>
        <w:tc>
          <w:tcPr>
            <w:tcW w:w="1170" w:type="pct"/>
            <w:tcBorders>
              <w:top w:val="nil"/>
              <w:left w:val="single" w:sz="4" w:space="0" w:color="auto"/>
              <w:bottom w:val="nil"/>
              <w:right w:val="nil"/>
            </w:tcBorders>
          </w:tcPr>
          <w:p w14:paraId="66D0B4F9" w14:textId="77777777" w:rsidR="00A24DF1" w:rsidRPr="008550C6" w:rsidRDefault="00A24DF1" w:rsidP="00270716">
            <w:pPr>
              <w:widowControl w:val="0"/>
              <w:autoSpaceDE w:val="0"/>
              <w:autoSpaceDN w:val="0"/>
              <w:adjustRightInd w:val="0"/>
              <w:jc w:val="center"/>
              <w:rPr>
                <w:sz w:val="22"/>
                <w:szCs w:val="22"/>
              </w:rPr>
            </w:pPr>
          </w:p>
        </w:tc>
        <w:tc>
          <w:tcPr>
            <w:tcW w:w="1031" w:type="pct"/>
            <w:tcBorders>
              <w:top w:val="nil"/>
              <w:left w:val="nil"/>
              <w:bottom w:val="nil"/>
              <w:right w:val="nil"/>
            </w:tcBorders>
          </w:tcPr>
          <w:p w14:paraId="6FBBA752" w14:textId="77777777" w:rsidR="00A24DF1" w:rsidRPr="008550C6" w:rsidRDefault="00A24DF1" w:rsidP="00270716">
            <w:pPr>
              <w:widowControl w:val="0"/>
              <w:autoSpaceDE w:val="0"/>
              <w:autoSpaceDN w:val="0"/>
              <w:adjustRightInd w:val="0"/>
              <w:jc w:val="center"/>
              <w:rPr>
                <w:sz w:val="22"/>
                <w:szCs w:val="22"/>
              </w:rPr>
            </w:pPr>
          </w:p>
        </w:tc>
        <w:tc>
          <w:tcPr>
            <w:tcW w:w="1031" w:type="pct"/>
            <w:tcBorders>
              <w:top w:val="nil"/>
              <w:left w:val="nil"/>
              <w:bottom w:val="nil"/>
              <w:right w:val="nil"/>
            </w:tcBorders>
          </w:tcPr>
          <w:p w14:paraId="3873666C" w14:textId="77777777" w:rsidR="00A24DF1" w:rsidRPr="008550C6" w:rsidRDefault="00A24DF1" w:rsidP="00270716">
            <w:pPr>
              <w:widowControl w:val="0"/>
              <w:autoSpaceDE w:val="0"/>
              <w:autoSpaceDN w:val="0"/>
              <w:adjustRightInd w:val="0"/>
              <w:jc w:val="center"/>
              <w:rPr>
                <w:sz w:val="22"/>
                <w:szCs w:val="22"/>
              </w:rPr>
            </w:pPr>
          </w:p>
        </w:tc>
      </w:tr>
      <w:tr w:rsidR="008550C6" w:rsidRPr="007E4ED2" w14:paraId="0391CC1F" w14:textId="3E2D02EB" w:rsidTr="00A24DF1">
        <w:tc>
          <w:tcPr>
            <w:tcW w:w="1768" w:type="pct"/>
            <w:tcBorders>
              <w:top w:val="nil"/>
              <w:left w:val="nil"/>
              <w:bottom w:val="nil"/>
              <w:right w:val="nil"/>
            </w:tcBorders>
          </w:tcPr>
          <w:p w14:paraId="0EB78A08" w14:textId="77777777" w:rsidR="00A24DF1" w:rsidRPr="007E4ED2" w:rsidRDefault="00A24DF1" w:rsidP="00270716">
            <w:pPr>
              <w:widowControl w:val="0"/>
              <w:autoSpaceDE w:val="0"/>
              <w:autoSpaceDN w:val="0"/>
              <w:adjustRightInd w:val="0"/>
              <w:rPr>
                <w:sz w:val="22"/>
                <w:szCs w:val="22"/>
              </w:rPr>
            </w:pPr>
            <w:r w:rsidRPr="007E4ED2">
              <w:rPr>
                <w:sz w:val="22"/>
                <w:szCs w:val="22"/>
              </w:rPr>
              <w:t>SVOTE</w:t>
            </w:r>
          </w:p>
        </w:tc>
        <w:tc>
          <w:tcPr>
            <w:tcW w:w="1170" w:type="pct"/>
            <w:tcBorders>
              <w:top w:val="nil"/>
              <w:left w:val="single" w:sz="4" w:space="0" w:color="auto"/>
              <w:bottom w:val="nil"/>
              <w:right w:val="nil"/>
            </w:tcBorders>
          </w:tcPr>
          <w:p w14:paraId="323706CF" w14:textId="1B7BF0BC" w:rsidR="00A24DF1" w:rsidRPr="007E4ED2" w:rsidRDefault="00A24DF1" w:rsidP="00270716">
            <w:pPr>
              <w:widowControl w:val="0"/>
              <w:autoSpaceDE w:val="0"/>
              <w:autoSpaceDN w:val="0"/>
              <w:adjustRightInd w:val="0"/>
              <w:jc w:val="center"/>
              <w:rPr>
                <w:sz w:val="22"/>
                <w:szCs w:val="22"/>
              </w:rPr>
            </w:pPr>
            <w:r w:rsidRPr="007E4ED2">
              <w:rPr>
                <w:sz w:val="22"/>
                <w:szCs w:val="22"/>
              </w:rPr>
              <w:t>-0.8070***</w:t>
            </w:r>
          </w:p>
        </w:tc>
        <w:tc>
          <w:tcPr>
            <w:tcW w:w="1031" w:type="pct"/>
            <w:tcBorders>
              <w:top w:val="nil"/>
              <w:left w:val="nil"/>
              <w:bottom w:val="nil"/>
              <w:right w:val="nil"/>
            </w:tcBorders>
          </w:tcPr>
          <w:p w14:paraId="040D0BFE" w14:textId="77777777" w:rsidR="00A24DF1" w:rsidRPr="007E4ED2" w:rsidRDefault="00A24DF1" w:rsidP="00270716">
            <w:pPr>
              <w:widowControl w:val="0"/>
              <w:autoSpaceDE w:val="0"/>
              <w:autoSpaceDN w:val="0"/>
              <w:adjustRightInd w:val="0"/>
              <w:jc w:val="center"/>
              <w:rPr>
                <w:sz w:val="22"/>
                <w:szCs w:val="22"/>
              </w:rPr>
            </w:pPr>
          </w:p>
        </w:tc>
        <w:tc>
          <w:tcPr>
            <w:tcW w:w="1031" w:type="pct"/>
            <w:tcBorders>
              <w:top w:val="nil"/>
              <w:left w:val="nil"/>
              <w:bottom w:val="nil"/>
              <w:right w:val="nil"/>
            </w:tcBorders>
          </w:tcPr>
          <w:p w14:paraId="5FD5C85C" w14:textId="77777777" w:rsidR="00A24DF1" w:rsidRPr="007E4ED2" w:rsidRDefault="00A24DF1" w:rsidP="00270716">
            <w:pPr>
              <w:widowControl w:val="0"/>
              <w:autoSpaceDE w:val="0"/>
              <w:autoSpaceDN w:val="0"/>
              <w:adjustRightInd w:val="0"/>
              <w:jc w:val="center"/>
              <w:rPr>
                <w:sz w:val="22"/>
                <w:szCs w:val="22"/>
              </w:rPr>
            </w:pPr>
          </w:p>
        </w:tc>
      </w:tr>
      <w:tr w:rsidR="008550C6" w:rsidRPr="007E4ED2" w14:paraId="2438B693" w14:textId="27746D35" w:rsidTr="00A24DF1">
        <w:tc>
          <w:tcPr>
            <w:tcW w:w="1768" w:type="pct"/>
            <w:tcBorders>
              <w:top w:val="nil"/>
              <w:left w:val="nil"/>
              <w:bottom w:val="nil"/>
              <w:right w:val="nil"/>
            </w:tcBorders>
          </w:tcPr>
          <w:p w14:paraId="0B506142" w14:textId="77777777" w:rsidR="00A24DF1" w:rsidRPr="007E4ED2" w:rsidRDefault="00A24DF1" w:rsidP="00270716">
            <w:pPr>
              <w:widowControl w:val="0"/>
              <w:autoSpaceDE w:val="0"/>
              <w:autoSpaceDN w:val="0"/>
              <w:adjustRightInd w:val="0"/>
              <w:rPr>
                <w:sz w:val="22"/>
                <w:szCs w:val="22"/>
              </w:rPr>
            </w:pPr>
          </w:p>
        </w:tc>
        <w:tc>
          <w:tcPr>
            <w:tcW w:w="1170" w:type="pct"/>
            <w:tcBorders>
              <w:top w:val="nil"/>
              <w:left w:val="single" w:sz="4" w:space="0" w:color="auto"/>
              <w:bottom w:val="nil"/>
              <w:right w:val="nil"/>
            </w:tcBorders>
          </w:tcPr>
          <w:p w14:paraId="25AFE9F5" w14:textId="220C6161" w:rsidR="00A24DF1" w:rsidRPr="007E4ED2" w:rsidRDefault="00A24DF1" w:rsidP="00270716">
            <w:pPr>
              <w:widowControl w:val="0"/>
              <w:autoSpaceDE w:val="0"/>
              <w:autoSpaceDN w:val="0"/>
              <w:adjustRightInd w:val="0"/>
              <w:jc w:val="center"/>
              <w:rPr>
                <w:sz w:val="22"/>
                <w:szCs w:val="22"/>
              </w:rPr>
            </w:pPr>
            <w:r w:rsidRPr="007E4ED2">
              <w:rPr>
                <w:sz w:val="22"/>
                <w:szCs w:val="22"/>
              </w:rPr>
              <w:t xml:space="preserve">(3.49)   </w:t>
            </w:r>
          </w:p>
        </w:tc>
        <w:tc>
          <w:tcPr>
            <w:tcW w:w="1031" w:type="pct"/>
            <w:tcBorders>
              <w:top w:val="nil"/>
              <w:left w:val="nil"/>
              <w:bottom w:val="nil"/>
              <w:right w:val="nil"/>
            </w:tcBorders>
          </w:tcPr>
          <w:p w14:paraId="68AF32B2" w14:textId="77777777" w:rsidR="00A24DF1" w:rsidRPr="007E4ED2" w:rsidRDefault="00A24DF1" w:rsidP="00270716">
            <w:pPr>
              <w:widowControl w:val="0"/>
              <w:autoSpaceDE w:val="0"/>
              <w:autoSpaceDN w:val="0"/>
              <w:adjustRightInd w:val="0"/>
              <w:jc w:val="center"/>
              <w:rPr>
                <w:sz w:val="22"/>
                <w:szCs w:val="22"/>
              </w:rPr>
            </w:pPr>
          </w:p>
        </w:tc>
        <w:tc>
          <w:tcPr>
            <w:tcW w:w="1031" w:type="pct"/>
            <w:tcBorders>
              <w:top w:val="nil"/>
              <w:left w:val="nil"/>
              <w:bottom w:val="nil"/>
              <w:right w:val="nil"/>
            </w:tcBorders>
          </w:tcPr>
          <w:p w14:paraId="388E406E" w14:textId="77777777" w:rsidR="00A24DF1" w:rsidRPr="007E4ED2" w:rsidRDefault="00A24DF1" w:rsidP="00270716">
            <w:pPr>
              <w:widowControl w:val="0"/>
              <w:autoSpaceDE w:val="0"/>
              <w:autoSpaceDN w:val="0"/>
              <w:adjustRightInd w:val="0"/>
              <w:jc w:val="center"/>
              <w:rPr>
                <w:sz w:val="22"/>
                <w:szCs w:val="22"/>
              </w:rPr>
            </w:pPr>
          </w:p>
        </w:tc>
      </w:tr>
      <w:tr w:rsidR="008550C6" w:rsidRPr="007E4ED2" w14:paraId="032473E8" w14:textId="444A7BF3" w:rsidTr="00A24DF1">
        <w:tc>
          <w:tcPr>
            <w:tcW w:w="1768" w:type="pct"/>
            <w:tcBorders>
              <w:top w:val="nil"/>
              <w:left w:val="nil"/>
              <w:bottom w:val="nil"/>
              <w:right w:val="nil"/>
            </w:tcBorders>
          </w:tcPr>
          <w:p w14:paraId="2EC0EC10" w14:textId="77777777" w:rsidR="00A24DF1" w:rsidRPr="007E4ED2" w:rsidRDefault="00A24DF1" w:rsidP="00270716">
            <w:pPr>
              <w:widowControl w:val="0"/>
              <w:autoSpaceDE w:val="0"/>
              <w:autoSpaceDN w:val="0"/>
              <w:adjustRightInd w:val="0"/>
              <w:rPr>
                <w:sz w:val="22"/>
                <w:szCs w:val="22"/>
              </w:rPr>
            </w:pPr>
            <w:r w:rsidRPr="007E4ED2">
              <w:rPr>
                <w:sz w:val="22"/>
                <w:szCs w:val="22"/>
              </w:rPr>
              <w:t>NVOTE</w:t>
            </w:r>
          </w:p>
        </w:tc>
        <w:tc>
          <w:tcPr>
            <w:tcW w:w="1170" w:type="pct"/>
            <w:tcBorders>
              <w:top w:val="nil"/>
              <w:left w:val="single" w:sz="4" w:space="0" w:color="auto"/>
              <w:bottom w:val="nil"/>
              <w:right w:val="nil"/>
            </w:tcBorders>
          </w:tcPr>
          <w:p w14:paraId="3A2CE04E" w14:textId="77777777" w:rsidR="00A24DF1" w:rsidRPr="007E4ED2" w:rsidRDefault="00A24DF1" w:rsidP="00270716">
            <w:pPr>
              <w:widowControl w:val="0"/>
              <w:autoSpaceDE w:val="0"/>
              <w:autoSpaceDN w:val="0"/>
              <w:adjustRightInd w:val="0"/>
              <w:jc w:val="center"/>
              <w:rPr>
                <w:sz w:val="22"/>
                <w:szCs w:val="22"/>
              </w:rPr>
            </w:pPr>
          </w:p>
        </w:tc>
        <w:tc>
          <w:tcPr>
            <w:tcW w:w="1031" w:type="pct"/>
            <w:tcBorders>
              <w:top w:val="nil"/>
              <w:left w:val="nil"/>
              <w:bottom w:val="nil"/>
              <w:right w:val="nil"/>
            </w:tcBorders>
          </w:tcPr>
          <w:p w14:paraId="66A5D68B" w14:textId="5D61F6DD" w:rsidR="00A24DF1" w:rsidRPr="007E4ED2" w:rsidRDefault="00A24DF1" w:rsidP="00270716">
            <w:pPr>
              <w:widowControl w:val="0"/>
              <w:autoSpaceDE w:val="0"/>
              <w:autoSpaceDN w:val="0"/>
              <w:adjustRightInd w:val="0"/>
              <w:jc w:val="center"/>
              <w:rPr>
                <w:sz w:val="22"/>
                <w:szCs w:val="22"/>
              </w:rPr>
            </w:pPr>
            <w:r w:rsidRPr="007E4ED2">
              <w:rPr>
                <w:sz w:val="22"/>
                <w:szCs w:val="22"/>
              </w:rPr>
              <w:t xml:space="preserve">-1.1506***   </w:t>
            </w:r>
          </w:p>
        </w:tc>
        <w:tc>
          <w:tcPr>
            <w:tcW w:w="1031" w:type="pct"/>
            <w:tcBorders>
              <w:top w:val="nil"/>
              <w:left w:val="nil"/>
              <w:bottom w:val="nil"/>
              <w:right w:val="nil"/>
            </w:tcBorders>
          </w:tcPr>
          <w:p w14:paraId="7881F7C2" w14:textId="77777777" w:rsidR="00A24DF1" w:rsidRPr="007E4ED2" w:rsidRDefault="00A24DF1" w:rsidP="00270716">
            <w:pPr>
              <w:widowControl w:val="0"/>
              <w:autoSpaceDE w:val="0"/>
              <w:autoSpaceDN w:val="0"/>
              <w:adjustRightInd w:val="0"/>
              <w:jc w:val="center"/>
              <w:rPr>
                <w:sz w:val="22"/>
                <w:szCs w:val="22"/>
              </w:rPr>
            </w:pPr>
          </w:p>
        </w:tc>
      </w:tr>
      <w:tr w:rsidR="008550C6" w:rsidRPr="007E4ED2" w14:paraId="3F4ECB7A" w14:textId="2D0ACF8E" w:rsidTr="00A24DF1">
        <w:tc>
          <w:tcPr>
            <w:tcW w:w="1768" w:type="pct"/>
            <w:tcBorders>
              <w:top w:val="nil"/>
              <w:left w:val="nil"/>
              <w:bottom w:val="nil"/>
              <w:right w:val="nil"/>
            </w:tcBorders>
          </w:tcPr>
          <w:p w14:paraId="287F43DB" w14:textId="77777777" w:rsidR="00A24DF1" w:rsidRPr="007E4ED2" w:rsidRDefault="00A24DF1" w:rsidP="00270716">
            <w:pPr>
              <w:widowControl w:val="0"/>
              <w:autoSpaceDE w:val="0"/>
              <w:autoSpaceDN w:val="0"/>
              <w:adjustRightInd w:val="0"/>
              <w:rPr>
                <w:sz w:val="22"/>
                <w:szCs w:val="22"/>
              </w:rPr>
            </w:pPr>
          </w:p>
        </w:tc>
        <w:tc>
          <w:tcPr>
            <w:tcW w:w="1170" w:type="pct"/>
            <w:tcBorders>
              <w:top w:val="nil"/>
              <w:left w:val="single" w:sz="4" w:space="0" w:color="auto"/>
              <w:bottom w:val="nil"/>
              <w:right w:val="nil"/>
            </w:tcBorders>
          </w:tcPr>
          <w:p w14:paraId="355AE15C" w14:textId="77777777" w:rsidR="00A24DF1" w:rsidRPr="007E4ED2" w:rsidRDefault="00A24DF1" w:rsidP="00270716">
            <w:pPr>
              <w:widowControl w:val="0"/>
              <w:autoSpaceDE w:val="0"/>
              <w:autoSpaceDN w:val="0"/>
              <w:adjustRightInd w:val="0"/>
              <w:jc w:val="center"/>
              <w:rPr>
                <w:sz w:val="22"/>
                <w:szCs w:val="22"/>
              </w:rPr>
            </w:pPr>
          </w:p>
        </w:tc>
        <w:tc>
          <w:tcPr>
            <w:tcW w:w="1031" w:type="pct"/>
            <w:tcBorders>
              <w:top w:val="nil"/>
              <w:left w:val="nil"/>
              <w:bottom w:val="nil"/>
              <w:right w:val="nil"/>
            </w:tcBorders>
          </w:tcPr>
          <w:p w14:paraId="7A8444C2" w14:textId="21BCA711" w:rsidR="00A24DF1" w:rsidRPr="007E4ED2" w:rsidRDefault="00A24DF1" w:rsidP="00270716">
            <w:pPr>
              <w:widowControl w:val="0"/>
              <w:autoSpaceDE w:val="0"/>
              <w:autoSpaceDN w:val="0"/>
              <w:adjustRightInd w:val="0"/>
              <w:jc w:val="center"/>
              <w:rPr>
                <w:sz w:val="22"/>
                <w:szCs w:val="22"/>
              </w:rPr>
            </w:pPr>
            <w:r w:rsidRPr="007E4ED2">
              <w:rPr>
                <w:sz w:val="22"/>
                <w:szCs w:val="22"/>
              </w:rPr>
              <w:t xml:space="preserve">(5.89)   </w:t>
            </w:r>
          </w:p>
        </w:tc>
        <w:tc>
          <w:tcPr>
            <w:tcW w:w="1031" w:type="pct"/>
            <w:tcBorders>
              <w:top w:val="nil"/>
              <w:left w:val="nil"/>
              <w:bottom w:val="nil"/>
              <w:right w:val="nil"/>
            </w:tcBorders>
          </w:tcPr>
          <w:p w14:paraId="12C93AA7" w14:textId="77777777" w:rsidR="00A24DF1" w:rsidRPr="007E4ED2" w:rsidRDefault="00A24DF1" w:rsidP="00270716">
            <w:pPr>
              <w:widowControl w:val="0"/>
              <w:autoSpaceDE w:val="0"/>
              <w:autoSpaceDN w:val="0"/>
              <w:adjustRightInd w:val="0"/>
              <w:jc w:val="center"/>
              <w:rPr>
                <w:sz w:val="22"/>
                <w:szCs w:val="22"/>
              </w:rPr>
            </w:pPr>
          </w:p>
        </w:tc>
      </w:tr>
      <w:tr w:rsidR="008550C6" w:rsidRPr="007E4ED2" w14:paraId="51C68D8B" w14:textId="77777777" w:rsidTr="00A24DF1">
        <w:tc>
          <w:tcPr>
            <w:tcW w:w="1768" w:type="pct"/>
            <w:tcBorders>
              <w:top w:val="nil"/>
              <w:left w:val="nil"/>
              <w:bottom w:val="nil"/>
              <w:right w:val="nil"/>
            </w:tcBorders>
          </w:tcPr>
          <w:p w14:paraId="26C6FDFD" w14:textId="5431C730" w:rsidR="00A24DF1" w:rsidRPr="007E4ED2" w:rsidRDefault="00F4081A" w:rsidP="00A24DF1">
            <w:pPr>
              <w:widowControl w:val="0"/>
              <w:autoSpaceDE w:val="0"/>
              <w:autoSpaceDN w:val="0"/>
              <w:adjustRightInd w:val="0"/>
              <w:rPr>
                <w:sz w:val="22"/>
                <w:szCs w:val="22"/>
              </w:rPr>
            </w:pPr>
            <w:r w:rsidRPr="007E4ED2">
              <w:rPr>
                <w:sz w:val="22"/>
                <w:szCs w:val="22"/>
              </w:rPr>
              <w:t>VRS</w:t>
            </w:r>
          </w:p>
        </w:tc>
        <w:tc>
          <w:tcPr>
            <w:tcW w:w="1170" w:type="pct"/>
            <w:tcBorders>
              <w:top w:val="nil"/>
              <w:left w:val="single" w:sz="4" w:space="0" w:color="auto"/>
              <w:bottom w:val="nil"/>
              <w:right w:val="nil"/>
            </w:tcBorders>
          </w:tcPr>
          <w:p w14:paraId="3B0AA1BC" w14:textId="77777777" w:rsidR="00A24DF1" w:rsidRPr="007E4ED2" w:rsidRDefault="00A24DF1" w:rsidP="00A24DF1">
            <w:pPr>
              <w:widowControl w:val="0"/>
              <w:autoSpaceDE w:val="0"/>
              <w:autoSpaceDN w:val="0"/>
              <w:adjustRightInd w:val="0"/>
              <w:jc w:val="center"/>
              <w:rPr>
                <w:sz w:val="22"/>
                <w:szCs w:val="22"/>
              </w:rPr>
            </w:pPr>
          </w:p>
        </w:tc>
        <w:tc>
          <w:tcPr>
            <w:tcW w:w="1031" w:type="pct"/>
            <w:tcBorders>
              <w:top w:val="nil"/>
              <w:left w:val="nil"/>
              <w:bottom w:val="nil"/>
              <w:right w:val="nil"/>
            </w:tcBorders>
          </w:tcPr>
          <w:p w14:paraId="21EB866F" w14:textId="77777777" w:rsidR="00A24DF1" w:rsidRPr="007E4ED2" w:rsidRDefault="00A24DF1" w:rsidP="00A24DF1">
            <w:pPr>
              <w:widowControl w:val="0"/>
              <w:autoSpaceDE w:val="0"/>
              <w:autoSpaceDN w:val="0"/>
              <w:adjustRightInd w:val="0"/>
              <w:jc w:val="center"/>
              <w:rPr>
                <w:sz w:val="22"/>
                <w:szCs w:val="22"/>
              </w:rPr>
            </w:pPr>
          </w:p>
        </w:tc>
        <w:tc>
          <w:tcPr>
            <w:tcW w:w="1031" w:type="pct"/>
            <w:tcBorders>
              <w:top w:val="nil"/>
              <w:left w:val="nil"/>
              <w:bottom w:val="nil"/>
              <w:right w:val="nil"/>
            </w:tcBorders>
          </w:tcPr>
          <w:p w14:paraId="639121B2" w14:textId="17382C86" w:rsidR="00A24DF1" w:rsidRPr="007E4ED2" w:rsidRDefault="00A24DF1" w:rsidP="00A24DF1">
            <w:pPr>
              <w:widowControl w:val="0"/>
              <w:autoSpaceDE w:val="0"/>
              <w:autoSpaceDN w:val="0"/>
              <w:adjustRightInd w:val="0"/>
              <w:jc w:val="center"/>
              <w:rPr>
                <w:sz w:val="22"/>
                <w:szCs w:val="22"/>
              </w:rPr>
            </w:pPr>
            <w:r w:rsidRPr="007E4ED2">
              <w:rPr>
                <w:sz w:val="22"/>
                <w:szCs w:val="22"/>
              </w:rPr>
              <w:t xml:space="preserve">-3.029***   </w:t>
            </w:r>
          </w:p>
        </w:tc>
      </w:tr>
      <w:tr w:rsidR="008550C6" w:rsidRPr="007E4ED2" w14:paraId="62F134A2" w14:textId="77777777" w:rsidTr="00A24DF1">
        <w:tc>
          <w:tcPr>
            <w:tcW w:w="1768" w:type="pct"/>
            <w:tcBorders>
              <w:top w:val="nil"/>
              <w:left w:val="nil"/>
              <w:bottom w:val="nil"/>
              <w:right w:val="nil"/>
            </w:tcBorders>
          </w:tcPr>
          <w:p w14:paraId="4930EC35" w14:textId="77777777" w:rsidR="00A24DF1" w:rsidRPr="007E4ED2" w:rsidRDefault="00A24DF1" w:rsidP="00A24DF1">
            <w:pPr>
              <w:widowControl w:val="0"/>
              <w:autoSpaceDE w:val="0"/>
              <w:autoSpaceDN w:val="0"/>
              <w:adjustRightInd w:val="0"/>
              <w:rPr>
                <w:sz w:val="22"/>
                <w:szCs w:val="22"/>
              </w:rPr>
            </w:pPr>
          </w:p>
        </w:tc>
        <w:tc>
          <w:tcPr>
            <w:tcW w:w="1170" w:type="pct"/>
            <w:tcBorders>
              <w:top w:val="nil"/>
              <w:left w:val="single" w:sz="4" w:space="0" w:color="auto"/>
              <w:bottom w:val="nil"/>
              <w:right w:val="nil"/>
            </w:tcBorders>
          </w:tcPr>
          <w:p w14:paraId="74E27781" w14:textId="77777777" w:rsidR="00A24DF1" w:rsidRPr="007E4ED2" w:rsidRDefault="00A24DF1" w:rsidP="00A24DF1">
            <w:pPr>
              <w:widowControl w:val="0"/>
              <w:autoSpaceDE w:val="0"/>
              <w:autoSpaceDN w:val="0"/>
              <w:adjustRightInd w:val="0"/>
              <w:jc w:val="center"/>
              <w:rPr>
                <w:sz w:val="22"/>
                <w:szCs w:val="22"/>
              </w:rPr>
            </w:pPr>
          </w:p>
        </w:tc>
        <w:tc>
          <w:tcPr>
            <w:tcW w:w="1031" w:type="pct"/>
            <w:tcBorders>
              <w:top w:val="nil"/>
              <w:left w:val="nil"/>
              <w:bottom w:val="nil"/>
              <w:right w:val="nil"/>
            </w:tcBorders>
          </w:tcPr>
          <w:p w14:paraId="2F0F904B" w14:textId="77777777" w:rsidR="00A24DF1" w:rsidRPr="007E4ED2" w:rsidRDefault="00A24DF1" w:rsidP="00A24DF1">
            <w:pPr>
              <w:widowControl w:val="0"/>
              <w:autoSpaceDE w:val="0"/>
              <w:autoSpaceDN w:val="0"/>
              <w:adjustRightInd w:val="0"/>
              <w:jc w:val="center"/>
              <w:rPr>
                <w:sz w:val="22"/>
                <w:szCs w:val="22"/>
              </w:rPr>
            </w:pPr>
          </w:p>
        </w:tc>
        <w:tc>
          <w:tcPr>
            <w:tcW w:w="1031" w:type="pct"/>
            <w:tcBorders>
              <w:top w:val="nil"/>
              <w:left w:val="nil"/>
              <w:bottom w:val="nil"/>
              <w:right w:val="nil"/>
            </w:tcBorders>
          </w:tcPr>
          <w:p w14:paraId="031F4D9D" w14:textId="249FB64A" w:rsidR="00A24DF1" w:rsidRPr="007E4ED2" w:rsidRDefault="00A24DF1" w:rsidP="00A24DF1">
            <w:pPr>
              <w:widowControl w:val="0"/>
              <w:autoSpaceDE w:val="0"/>
              <w:autoSpaceDN w:val="0"/>
              <w:adjustRightInd w:val="0"/>
              <w:jc w:val="center"/>
              <w:rPr>
                <w:sz w:val="22"/>
                <w:szCs w:val="22"/>
              </w:rPr>
            </w:pPr>
            <w:r w:rsidRPr="007E4ED2">
              <w:rPr>
                <w:sz w:val="22"/>
                <w:szCs w:val="22"/>
              </w:rPr>
              <w:t xml:space="preserve">(2.77)   </w:t>
            </w:r>
          </w:p>
        </w:tc>
      </w:tr>
      <w:tr w:rsidR="008550C6" w:rsidRPr="008550C6" w14:paraId="29D6AC93" w14:textId="4CDBD7C2" w:rsidTr="00A24DF1">
        <w:tc>
          <w:tcPr>
            <w:tcW w:w="1768" w:type="pct"/>
            <w:tcBorders>
              <w:top w:val="nil"/>
              <w:left w:val="nil"/>
              <w:bottom w:val="nil"/>
              <w:right w:val="nil"/>
            </w:tcBorders>
          </w:tcPr>
          <w:p w14:paraId="4CE0CAAE" w14:textId="77777777" w:rsidR="00A24DF1" w:rsidRPr="008550C6" w:rsidRDefault="00A24DF1" w:rsidP="00A24DF1">
            <w:pPr>
              <w:widowControl w:val="0"/>
              <w:autoSpaceDE w:val="0"/>
              <w:autoSpaceDN w:val="0"/>
              <w:adjustRightInd w:val="0"/>
              <w:rPr>
                <w:sz w:val="22"/>
                <w:szCs w:val="22"/>
              </w:rPr>
            </w:pPr>
            <w:r w:rsidRPr="008550C6">
              <w:rPr>
                <w:sz w:val="22"/>
                <w:szCs w:val="22"/>
              </w:rPr>
              <w:t>LNTA</w:t>
            </w:r>
          </w:p>
        </w:tc>
        <w:tc>
          <w:tcPr>
            <w:tcW w:w="1170" w:type="pct"/>
            <w:tcBorders>
              <w:top w:val="nil"/>
              <w:left w:val="single" w:sz="4" w:space="0" w:color="auto"/>
              <w:bottom w:val="nil"/>
              <w:right w:val="nil"/>
            </w:tcBorders>
          </w:tcPr>
          <w:p w14:paraId="66CC5A5D" w14:textId="164F6F1D"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0.5024***   </w:t>
            </w:r>
          </w:p>
        </w:tc>
        <w:tc>
          <w:tcPr>
            <w:tcW w:w="1031" w:type="pct"/>
            <w:tcBorders>
              <w:top w:val="nil"/>
              <w:left w:val="nil"/>
              <w:bottom w:val="nil"/>
              <w:right w:val="nil"/>
            </w:tcBorders>
          </w:tcPr>
          <w:p w14:paraId="48B383DE" w14:textId="224D457E"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0.5140***   </w:t>
            </w:r>
          </w:p>
        </w:tc>
        <w:tc>
          <w:tcPr>
            <w:tcW w:w="1031" w:type="pct"/>
            <w:tcBorders>
              <w:top w:val="nil"/>
              <w:left w:val="nil"/>
              <w:bottom w:val="nil"/>
              <w:right w:val="nil"/>
            </w:tcBorders>
          </w:tcPr>
          <w:p w14:paraId="28F10512" w14:textId="0D8D9BB0"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0.6044***   </w:t>
            </w:r>
          </w:p>
        </w:tc>
      </w:tr>
      <w:tr w:rsidR="008550C6" w:rsidRPr="008550C6" w14:paraId="3CFFA7D7" w14:textId="415C43FA" w:rsidTr="00A24DF1">
        <w:tc>
          <w:tcPr>
            <w:tcW w:w="1768" w:type="pct"/>
            <w:tcBorders>
              <w:top w:val="nil"/>
              <w:left w:val="nil"/>
              <w:bottom w:val="nil"/>
              <w:right w:val="nil"/>
            </w:tcBorders>
          </w:tcPr>
          <w:p w14:paraId="2BA73D79" w14:textId="77777777" w:rsidR="00A24DF1" w:rsidRPr="008550C6" w:rsidRDefault="00A24DF1" w:rsidP="00A24DF1">
            <w:pPr>
              <w:widowControl w:val="0"/>
              <w:autoSpaceDE w:val="0"/>
              <w:autoSpaceDN w:val="0"/>
              <w:adjustRightInd w:val="0"/>
              <w:rPr>
                <w:sz w:val="22"/>
                <w:szCs w:val="22"/>
              </w:rPr>
            </w:pPr>
          </w:p>
        </w:tc>
        <w:tc>
          <w:tcPr>
            <w:tcW w:w="1170" w:type="pct"/>
            <w:tcBorders>
              <w:top w:val="nil"/>
              <w:left w:val="single" w:sz="4" w:space="0" w:color="auto"/>
              <w:bottom w:val="nil"/>
              <w:right w:val="nil"/>
            </w:tcBorders>
          </w:tcPr>
          <w:p w14:paraId="49EE1C07" w14:textId="113E293D"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(6.03)   </w:t>
            </w:r>
          </w:p>
        </w:tc>
        <w:tc>
          <w:tcPr>
            <w:tcW w:w="1031" w:type="pct"/>
            <w:tcBorders>
              <w:top w:val="nil"/>
              <w:left w:val="nil"/>
              <w:bottom w:val="nil"/>
              <w:right w:val="nil"/>
            </w:tcBorders>
          </w:tcPr>
          <w:p w14:paraId="4EB626E9" w14:textId="08DDBD66"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(6.20)   </w:t>
            </w:r>
          </w:p>
        </w:tc>
        <w:tc>
          <w:tcPr>
            <w:tcW w:w="1031" w:type="pct"/>
            <w:tcBorders>
              <w:top w:val="nil"/>
              <w:left w:val="nil"/>
              <w:bottom w:val="nil"/>
              <w:right w:val="nil"/>
            </w:tcBorders>
          </w:tcPr>
          <w:p w14:paraId="0BA8AFC1" w14:textId="74191BE7"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(6.41)   </w:t>
            </w:r>
          </w:p>
        </w:tc>
      </w:tr>
      <w:tr w:rsidR="008550C6" w:rsidRPr="008550C6" w14:paraId="4F7A8E18" w14:textId="616B4219" w:rsidTr="00A24DF1">
        <w:tc>
          <w:tcPr>
            <w:tcW w:w="1768" w:type="pct"/>
            <w:tcBorders>
              <w:top w:val="nil"/>
              <w:left w:val="nil"/>
              <w:bottom w:val="nil"/>
              <w:right w:val="nil"/>
            </w:tcBorders>
          </w:tcPr>
          <w:p w14:paraId="36D6ABDD" w14:textId="77777777" w:rsidR="00A24DF1" w:rsidRPr="008550C6" w:rsidRDefault="00A24DF1" w:rsidP="00A24DF1">
            <w:pPr>
              <w:widowControl w:val="0"/>
              <w:autoSpaceDE w:val="0"/>
              <w:autoSpaceDN w:val="0"/>
              <w:adjustRightInd w:val="0"/>
              <w:rPr>
                <w:sz w:val="22"/>
                <w:szCs w:val="22"/>
              </w:rPr>
            </w:pPr>
            <w:r w:rsidRPr="008550C6">
              <w:rPr>
                <w:sz w:val="22"/>
                <w:szCs w:val="22"/>
              </w:rPr>
              <w:t>NPLTL</w:t>
            </w:r>
          </w:p>
        </w:tc>
        <w:tc>
          <w:tcPr>
            <w:tcW w:w="1170" w:type="pct"/>
            <w:tcBorders>
              <w:top w:val="nil"/>
              <w:left w:val="single" w:sz="4" w:space="0" w:color="auto"/>
              <w:bottom w:val="nil"/>
              <w:right w:val="nil"/>
            </w:tcBorders>
          </w:tcPr>
          <w:p w14:paraId="648BFF12" w14:textId="5DBA2465"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90.223***   </w:t>
            </w:r>
          </w:p>
        </w:tc>
        <w:tc>
          <w:tcPr>
            <w:tcW w:w="1031" w:type="pct"/>
            <w:tcBorders>
              <w:top w:val="nil"/>
              <w:left w:val="nil"/>
              <w:bottom w:val="nil"/>
              <w:right w:val="nil"/>
            </w:tcBorders>
          </w:tcPr>
          <w:p w14:paraId="69C541CF" w14:textId="3C5EB10D"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95.85***   </w:t>
            </w:r>
          </w:p>
        </w:tc>
        <w:tc>
          <w:tcPr>
            <w:tcW w:w="1031" w:type="pct"/>
            <w:tcBorders>
              <w:top w:val="nil"/>
              <w:left w:val="nil"/>
              <w:bottom w:val="nil"/>
              <w:right w:val="nil"/>
            </w:tcBorders>
          </w:tcPr>
          <w:p w14:paraId="6AD3A1C1" w14:textId="16D1291B"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77.87***   </w:t>
            </w:r>
          </w:p>
        </w:tc>
      </w:tr>
      <w:tr w:rsidR="008550C6" w:rsidRPr="008550C6" w14:paraId="7EE658C9" w14:textId="53F15FCC" w:rsidTr="00A24DF1">
        <w:tc>
          <w:tcPr>
            <w:tcW w:w="1768" w:type="pct"/>
            <w:tcBorders>
              <w:top w:val="nil"/>
              <w:left w:val="nil"/>
              <w:bottom w:val="nil"/>
              <w:right w:val="nil"/>
            </w:tcBorders>
          </w:tcPr>
          <w:p w14:paraId="2BAA1E24" w14:textId="77777777" w:rsidR="00A24DF1" w:rsidRPr="008550C6" w:rsidRDefault="00A24DF1" w:rsidP="00A24DF1">
            <w:pPr>
              <w:widowControl w:val="0"/>
              <w:autoSpaceDE w:val="0"/>
              <w:autoSpaceDN w:val="0"/>
              <w:adjustRightInd w:val="0"/>
              <w:rPr>
                <w:sz w:val="22"/>
                <w:szCs w:val="22"/>
              </w:rPr>
            </w:pPr>
          </w:p>
        </w:tc>
        <w:tc>
          <w:tcPr>
            <w:tcW w:w="1170" w:type="pct"/>
            <w:tcBorders>
              <w:top w:val="nil"/>
              <w:left w:val="single" w:sz="4" w:space="0" w:color="auto"/>
              <w:bottom w:val="nil"/>
              <w:right w:val="nil"/>
            </w:tcBorders>
          </w:tcPr>
          <w:p w14:paraId="38530260" w14:textId="6D05F204"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(3.54)   </w:t>
            </w:r>
          </w:p>
        </w:tc>
        <w:tc>
          <w:tcPr>
            <w:tcW w:w="1031" w:type="pct"/>
            <w:tcBorders>
              <w:top w:val="nil"/>
              <w:left w:val="nil"/>
              <w:bottom w:val="nil"/>
              <w:right w:val="nil"/>
            </w:tcBorders>
          </w:tcPr>
          <w:p w14:paraId="638EF8A9" w14:textId="5043C454"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(3.79)   </w:t>
            </w:r>
          </w:p>
        </w:tc>
        <w:tc>
          <w:tcPr>
            <w:tcW w:w="1031" w:type="pct"/>
            <w:tcBorders>
              <w:top w:val="nil"/>
              <w:left w:val="nil"/>
              <w:bottom w:val="nil"/>
              <w:right w:val="nil"/>
            </w:tcBorders>
          </w:tcPr>
          <w:p w14:paraId="6DF50A85" w14:textId="781878B0"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(2.95)   </w:t>
            </w:r>
          </w:p>
        </w:tc>
      </w:tr>
      <w:tr w:rsidR="008550C6" w:rsidRPr="008550C6" w14:paraId="75EFF5E1" w14:textId="6CA1825B" w:rsidTr="00A24DF1">
        <w:tc>
          <w:tcPr>
            <w:tcW w:w="1768" w:type="pct"/>
            <w:tcBorders>
              <w:top w:val="nil"/>
              <w:left w:val="nil"/>
              <w:bottom w:val="nil"/>
              <w:right w:val="nil"/>
            </w:tcBorders>
          </w:tcPr>
          <w:p w14:paraId="65E91EB6" w14:textId="77777777" w:rsidR="00A24DF1" w:rsidRPr="008550C6" w:rsidRDefault="00A24DF1" w:rsidP="00A24DF1">
            <w:pPr>
              <w:widowControl w:val="0"/>
              <w:autoSpaceDE w:val="0"/>
              <w:autoSpaceDN w:val="0"/>
              <w:adjustRightInd w:val="0"/>
              <w:rPr>
                <w:sz w:val="22"/>
                <w:szCs w:val="22"/>
              </w:rPr>
            </w:pPr>
            <w:r w:rsidRPr="008550C6">
              <w:rPr>
                <w:sz w:val="22"/>
                <w:szCs w:val="22"/>
              </w:rPr>
              <w:t>DOA</w:t>
            </w:r>
          </w:p>
        </w:tc>
        <w:tc>
          <w:tcPr>
            <w:tcW w:w="1170" w:type="pct"/>
            <w:tcBorders>
              <w:top w:val="nil"/>
              <w:left w:val="single" w:sz="4" w:space="0" w:color="auto"/>
              <w:bottom w:val="nil"/>
              <w:right w:val="nil"/>
            </w:tcBorders>
          </w:tcPr>
          <w:p w14:paraId="3B4C2A86" w14:textId="3BDBA907"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  -1.917 </w:t>
            </w:r>
          </w:p>
        </w:tc>
        <w:tc>
          <w:tcPr>
            <w:tcW w:w="1031" w:type="pct"/>
            <w:tcBorders>
              <w:top w:val="nil"/>
              <w:left w:val="nil"/>
              <w:bottom w:val="nil"/>
              <w:right w:val="nil"/>
            </w:tcBorders>
          </w:tcPr>
          <w:p w14:paraId="74081A90" w14:textId="76B70294"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-1.424   </w:t>
            </w:r>
          </w:p>
        </w:tc>
        <w:tc>
          <w:tcPr>
            <w:tcW w:w="1031" w:type="pct"/>
            <w:tcBorders>
              <w:top w:val="nil"/>
              <w:left w:val="nil"/>
              <w:bottom w:val="nil"/>
              <w:right w:val="nil"/>
            </w:tcBorders>
          </w:tcPr>
          <w:p w14:paraId="0B12C896" w14:textId="5135A1B4"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-1.513   </w:t>
            </w:r>
          </w:p>
        </w:tc>
      </w:tr>
      <w:tr w:rsidR="008550C6" w:rsidRPr="008550C6" w14:paraId="2080B2A4" w14:textId="6AA5C8C7" w:rsidTr="00A24DF1">
        <w:tc>
          <w:tcPr>
            <w:tcW w:w="1768" w:type="pct"/>
            <w:tcBorders>
              <w:top w:val="nil"/>
              <w:left w:val="nil"/>
              <w:bottom w:val="nil"/>
              <w:right w:val="nil"/>
            </w:tcBorders>
          </w:tcPr>
          <w:p w14:paraId="11B8A46A" w14:textId="77777777" w:rsidR="00A24DF1" w:rsidRPr="008550C6" w:rsidRDefault="00A24DF1" w:rsidP="00A24DF1">
            <w:pPr>
              <w:widowControl w:val="0"/>
              <w:autoSpaceDE w:val="0"/>
              <w:autoSpaceDN w:val="0"/>
              <w:adjustRightInd w:val="0"/>
              <w:rPr>
                <w:sz w:val="22"/>
                <w:szCs w:val="22"/>
              </w:rPr>
            </w:pPr>
          </w:p>
        </w:tc>
        <w:tc>
          <w:tcPr>
            <w:tcW w:w="1170" w:type="pct"/>
            <w:tcBorders>
              <w:top w:val="nil"/>
              <w:left w:val="single" w:sz="4" w:space="0" w:color="auto"/>
              <w:bottom w:val="nil"/>
              <w:right w:val="nil"/>
            </w:tcBorders>
          </w:tcPr>
          <w:p w14:paraId="73882ABB" w14:textId="70A31B7C"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(1.45)   </w:t>
            </w:r>
          </w:p>
        </w:tc>
        <w:tc>
          <w:tcPr>
            <w:tcW w:w="1031" w:type="pct"/>
            <w:tcBorders>
              <w:top w:val="nil"/>
              <w:left w:val="nil"/>
              <w:bottom w:val="nil"/>
              <w:right w:val="nil"/>
            </w:tcBorders>
          </w:tcPr>
          <w:p w14:paraId="49DC38ED" w14:textId="2233CD8A"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(1.10)   </w:t>
            </w:r>
          </w:p>
        </w:tc>
        <w:tc>
          <w:tcPr>
            <w:tcW w:w="1031" w:type="pct"/>
            <w:tcBorders>
              <w:top w:val="nil"/>
              <w:left w:val="nil"/>
              <w:bottom w:val="nil"/>
              <w:right w:val="nil"/>
            </w:tcBorders>
          </w:tcPr>
          <w:p w14:paraId="75147386" w14:textId="5DB4E3A3"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(1.16)   </w:t>
            </w:r>
          </w:p>
        </w:tc>
      </w:tr>
      <w:tr w:rsidR="008550C6" w:rsidRPr="008550C6" w14:paraId="04F76367" w14:textId="2CA0D7D6" w:rsidTr="00A24DF1">
        <w:tc>
          <w:tcPr>
            <w:tcW w:w="1768" w:type="pct"/>
            <w:tcBorders>
              <w:top w:val="nil"/>
              <w:left w:val="nil"/>
              <w:bottom w:val="nil"/>
              <w:right w:val="nil"/>
            </w:tcBorders>
          </w:tcPr>
          <w:p w14:paraId="04520F8E" w14:textId="46118F08" w:rsidR="00A24DF1" w:rsidRPr="008550C6" w:rsidRDefault="00A24DF1" w:rsidP="00A24DF1">
            <w:pPr>
              <w:widowControl w:val="0"/>
              <w:autoSpaceDE w:val="0"/>
              <w:autoSpaceDN w:val="0"/>
              <w:adjustRightInd w:val="0"/>
              <w:rPr>
                <w:sz w:val="22"/>
                <w:szCs w:val="22"/>
              </w:rPr>
            </w:pPr>
            <w:r w:rsidRPr="008550C6">
              <w:rPr>
                <w:sz w:val="22"/>
                <w:szCs w:val="22"/>
              </w:rPr>
              <w:t>C</w:t>
            </w:r>
            <w:r w:rsidR="00783103">
              <w:rPr>
                <w:sz w:val="22"/>
                <w:szCs w:val="22"/>
              </w:rPr>
              <w:t>OVID</w:t>
            </w:r>
            <w:r w:rsidRPr="008550C6">
              <w:rPr>
                <w:sz w:val="22"/>
                <w:szCs w:val="22"/>
              </w:rPr>
              <w:t>-19</w:t>
            </w:r>
          </w:p>
        </w:tc>
        <w:tc>
          <w:tcPr>
            <w:tcW w:w="1170" w:type="pct"/>
            <w:tcBorders>
              <w:top w:val="nil"/>
              <w:left w:val="single" w:sz="4" w:space="0" w:color="auto"/>
              <w:bottom w:val="nil"/>
              <w:right w:val="nil"/>
            </w:tcBorders>
          </w:tcPr>
          <w:p w14:paraId="5B2B631F" w14:textId="6BAA07A0"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-1.773***   </w:t>
            </w:r>
          </w:p>
        </w:tc>
        <w:tc>
          <w:tcPr>
            <w:tcW w:w="1031" w:type="pct"/>
            <w:tcBorders>
              <w:top w:val="nil"/>
              <w:left w:val="nil"/>
              <w:bottom w:val="nil"/>
              <w:right w:val="nil"/>
            </w:tcBorders>
          </w:tcPr>
          <w:p w14:paraId="2A86805E" w14:textId="20D5868A"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-1.247*   </w:t>
            </w:r>
          </w:p>
        </w:tc>
        <w:tc>
          <w:tcPr>
            <w:tcW w:w="1031" w:type="pct"/>
            <w:tcBorders>
              <w:top w:val="nil"/>
              <w:left w:val="nil"/>
              <w:bottom w:val="nil"/>
              <w:right w:val="nil"/>
            </w:tcBorders>
          </w:tcPr>
          <w:p w14:paraId="318505D5" w14:textId="373F5D81"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-2.009***   </w:t>
            </w:r>
          </w:p>
        </w:tc>
      </w:tr>
      <w:tr w:rsidR="008550C6" w:rsidRPr="008550C6" w14:paraId="18F83143" w14:textId="573D9518" w:rsidTr="00A24DF1">
        <w:tc>
          <w:tcPr>
            <w:tcW w:w="1768" w:type="pct"/>
            <w:tcBorders>
              <w:top w:val="nil"/>
              <w:left w:val="nil"/>
              <w:bottom w:val="nil"/>
              <w:right w:val="nil"/>
            </w:tcBorders>
          </w:tcPr>
          <w:p w14:paraId="21AD2450" w14:textId="77777777" w:rsidR="00A24DF1" w:rsidRPr="008550C6" w:rsidRDefault="00A24DF1" w:rsidP="00A24DF1">
            <w:pPr>
              <w:widowControl w:val="0"/>
              <w:autoSpaceDE w:val="0"/>
              <w:autoSpaceDN w:val="0"/>
              <w:adjustRightInd w:val="0"/>
              <w:rPr>
                <w:sz w:val="22"/>
                <w:szCs w:val="22"/>
              </w:rPr>
            </w:pPr>
          </w:p>
        </w:tc>
        <w:tc>
          <w:tcPr>
            <w:tcW w:w="1170" w:type="pct"/>
            <w:tcBorders>
              <w:top w:val="nil"/>
              <w:left w:val="single" w:sz="4" w:space="0" w:color="auto"/>
              <w:bottom w:val="nil"/>
              <w:right w:val="nil"/>
            </w:tcBorders>
          </w:tcPr>
          <w:p w14:paraId="0A56C5E4" w14:textId="74EC5B4E"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(2.56)   </w:t>
            </w:r>
          </w:p>
        </w:tc>
        <w:tc>
          <w:tcPr>
            <w:tcW w:w="1031" w:type="pct"/>
            <w:tcBorders>
              <w:top w:val="nil"/>
              <w:left w:val="nil"/>
              <w:bottom w:val="nil"/>
              <w:right w:val="nil"/>
            </w:tcBorders>
          </w:tcPr>
          <w:p w14:paraId="3DF2717A" w14:textId="4638F2CB"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(1.79)   </w:t>
            </w:r>
          </w:p>
        </w:tc>
        <w:tc>
          <w:tcPr>
            <w:tcW w:w="1031" w:type="pct"/>
            <w:tcBorders>
              <w:top w:val="nil"/>
              <w:left w:val="nil"/>
              <w:bottom w:val="nil"/>
              <w:right w:val="nil"/>
            </w:tcBorders>
          </w:tcPr>
          <w:p w14:paraId="708D95F4" w14:textId="382A718C"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(2.89)   </w:t>
            </w:r>
          </w:p>
        </w:tc>
      </w:tr>
      <w:tr w:rsidR="008550C6" w:rsidRPr="008550C6" w14:paraId="6923DC80" w14:textId="02BEA27D" w:rsidTr="00A24DF1">
        <w:tc>
          <w:tcPr>
            <w:tcW w:w="1768" w:type="pct"/>
            <w:tcBorders>
              <w:top w:val="nil"/>
              <w:left w:val="nil"/>
              <w:bottom w:val="nil"/>
              <w:right w:val="nil"/>
            </w:tcBorders>
          </w:tcPr>
          <w:p w14:paraId="048685F3" w14:textId="77777777" w:rsidR="00A24DF1" w:rsidRPr="008550C6" w:rsidRDefault="00A24DF1" w:rsidP="00A24DF1">
            <w:pPr>
              <w:widowControl w:val="0"/>
              <w:autoSpaceDE w:val="0"/>
              <w:autoSpaceDN w:val="0"/>
              <w:adjustRightInd w:val="0"/>
              <w:rPr>
                <w:sz w:val="22"/>
                <w:szCs w:val="22"/>
              </w:rPr>
            </w:pPr>
            <w:r w:rsidRPr="008550C6">
              <w:rPr>
                <w:sz w:val="22"/>
                <w:szCs w:val="22"/>
              </w:rPr>
              <w:t>Constant</w:t>
            </w:r>
          </w:p>
        </w:tc>
        <w:tc>
          <w:tcPr>
            <w:tcW w:w="1170" w:type="pct"/>
            <w:tcBorders>
              <w:top w:val="nil"/>
              <w:left w:val="single" w:sz="4" w:space="0" w:color="auto"/>
              <w:bottom w:val="nil"/>
              <w:right w:val="nil"/>
            </w:tcBorders>
          </w:tcPr>
          <w:p w14:paraId="37CD6E01" w14:textId="710C4DB2"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5.467***  </w:t>
            </w:r>
          </w:p>
        </w:tc>
        <w:tc>
          <w:tcPr>
            <w:tcW w:w="1031" w:type="pct"/>
            <w:tcBorders>
              <w:top w:val="nil"/>
              <w:left w:val="nil"/>
              <w:bottom w:val="nil"/>
              <w:right w:val="nil"/>
            </w:tcBorders>
          </w:tcPr>
          <w:p w14:paraId="5F01F514" w14:textId="68E44534"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5.89***   </w:t>
            </w:r>
          </w:p>
        </w:tc>
        <w:tc>
          <w:tcPr>
            <w:tcW w:w="1031" w:type="pct"/>
            <w:tcBorders>
              <w:top w:val="nil"/>
              <w:left w:val="nil"/>
              <w:bottom w:val="nil"/>
              <w:right w:val="nil"/>
            </w:tcBorders>
          </w:tcPr>
          <w:p w14:paraId="666C37CD" w14:textId="69B8CA9F"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6.142***   </w:t>
            </w:r>
          </w:p>
        </w:tc>
      </w:tr>
      <w:tr w:rsidR="008550C6" w:rsidRPr="008550C6" w14:paraId="1055278D" w14:textId="60A59BA0" w:rsidTr="00A24DF1">
        <w:tc>
          <w:tcPr>
            <w:tcW w:w="1768" w:type="pct"/>
            <w:tcBorders>
              <w:top w:val="nil"/>
              <w:left w:val="nil"/>
              <w:bottom w:val="nil"/>
              <w:right w:val="nil"/>
            </w:tcBorders>
          </w:tcPr>
          <w:p w14:paraId="1FCF0B58" w14:textId="77777777" w:rsidR="00A24DF1" w:rsidRPr="008550C6" w:rsidRDefault="00A24DF1" w:rsidP="00A24DF1">
            <w:pPr>
              <w:widowControl w:val="0"/>
              <w:autoSpaceDE w:val="0"/>
              <w:autoSpaceDN w:val="0"/>
              <w:adjustRightInd w:val="0"/>
              <w:rPr>
                <w:sz w:val="22"/>
                <w:szCs w:val="22"/>
              </w:rPr>
            </w:pPr>
          </w:p>
        </w:tc>
        <w:tc>
          <w:tcPr>
            <w:tcW w:w="1170" w:type="pct"/>
            <w:tcBorders>
              <w:top w:val="nil"/>
              <w:left w:val="single" w:sz="4" w:space="0" w:color="auto"/>
              <w:bottom w:val="nil"/>
              <w:right w:val="nil"/>
            </w:tcBorders>
          </w:tcPr>
          <w:p w14:paraId="64F2F793" w14:textId="31E748F9"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(2.52)   </w:t>
            </w:r>
          </w:p>
        </w:tc>
        <w:tc>
          <w:tcPr>
            <w:tcW w:w="1031" w:type="pct"/>
            <w:tcBorders>
              <w:top w:val="nil"/>
              <w:left w:val="nil"/>
              <w:bottom w:val="nil"/>
              <w:right w:val="nil"/>
            </w:tcBorders>
          </w:tcPr>
          <w:p w14:paraId="58109C9D" w14:textId="46A319D2" w:rsidR="00A24DF1" w:rsidRPr="008550C6" w:rsidRDefault="00A24DF1" w:rsidP="00A24DF1">
            <w:pPr>
              <w:widowControl w:val="0"/>
              <w:autoSpaceDE w:val="0"/>
              <w:autoSpaceDN w:val="0"/>
              <w:adjustRightInd w:val="0"/>
              <w:jc w:val="center"/>
              <w:rPr>
                <w:sz w:val="22"/>
                <w:szCs w:val="22"/>
              </w:rPr>
            </w:pPr>
            <w:r w:rsidRPr="008550C6">
              <w:rPr>
                <w:sz w:val="22"/>
                <w:szCs w:val="22"/>
              </w:rPr>
              <w:t xml:space="preserve">(2.73)   </w:t>
            </w:r>
          </w:p>
        </w:tc>
        <w:tc>
          <w:tcPr>
            <w:tcW w:w="1031" w:type="pct"/>
            <w:tcBorders>
              <w:top w:val="nil"/>
              <w:left w:val="nil"/>
              <w:bottom w:val="nil"/>
              <w:right w:val="nil"/>
            </w:tcBorders>
          </w:tcPr>
          <w:p w14:paraId="4C502609" w14:textId="5BEA9EF9" w:rsidR="00A24DF1" w:rsidRPr="008550C6" w:rsidRDefault="00A24DF1" w:rsidP="00A24DF1">
            <w:pPr>
              <w:widowControl w:val="0"/>
              <w:autoSpaceDE w:val="0"/>
              <w:autoSpaceDN w:val="0"/>
              <w:adjustRightInd w:val="0"/>
              <w:jc w:val="center"/>
              <w:rPr>
                <w:sz w:val="22"/>
                <w:szCs w:val="22"/>
              </w:rPr>
            </w:pPr>
            <w:r w:rsidRPr="008550C6">
              <w:rPr>
                <w:sz w:val="22"/>
                <w:szCs w:val="22"/>
              </w:rPr>
              <w:t>(2.</w:t>
            </w:r>
            <w:r w:rsidR="00F4081A" w:rsidRPr="008550C6">
              <w:rPr>
                <w:sz w:val="22"/>
                <w:szCs w:val="22"/>
              </w:rPr>
              <w:t>84</w:t>
            </w:r>
            <w:r w:rsidRPr="008550C6">
              <w:rPr>
                <w:sz w:val="22"/>
                <w:szCs w:val="22"/>
              </w:rPr>
              <w:t xml:space="preserve">)   </w:t>
            </w:r>
          </w:p>
        </w:tc>
      </w:tr>
      <w:tr w:rsidR="008550C6" w:rsidRPr="008550C6" w14:paraId="719D70EF" w14:textId="39D00A1A" w:rsidTr="00A24DF1">
        <w:tc>
          <w:tcPr>
            <w:tcW w:w="1768" w:type="pct"/>
            <w:tcBorders>
              <w:top w:val="nil"/>
              <w:left w:val="nil"/>
              <w:bottom w:val="nil"/>
              <w:right w:val="nil"/>
            </w:tcBorders>
          </w:tcPr>
          <w:p w14:paraId="2DDB1102" w14:textId="77777777" w:rsidR="00A24DF1" w:rsidRPr="008550C6" w:rsidRDefault="00A24DF1" w:rsidP="00A24DF1">
            <w:pPr>
              <w:widowControl w:val="0"/>
              <w:autoSpaceDE w:val="0"/>
              <w:autoSpaceDN w:val="0"/>
              <w:adjustRightInd w:val="0"/>
              <w:rPr>
                <w:sz w:val="22"/>
                <w:szCs w:val="22"/>
              </w:rPr>
            </w:pPr>
          </w:p>
        </w:tc>
        <w:tc>
          <w:tcPr>
            <w:tcW w:w="1170" w:type="pct"/>
            <w:tcBorders>
              <w:top w:val="nil"/>
              <w:left w:val="single" w:sz="4" w:space="0" w:color="auto"/>
              <w:bottom w:val="nil"/>
              <w:right w:val="nil"/>
            </w:tcBorders>
          </w:tcPr>
          <w:p w14:paraId="482849D3" w14:textId="77777777" w:rsidR="00A24DF1" w:rsidRPr="008550C6" w:rsidRDefault="00A24DF1" w:rsidP="00A24DF1">
            <w:pPr>
              <w:widowControl w:val="0"/>
              <w:autoSpaceDE w:val="0"/>
              <w:autoSpaceDN w:val="0"/>
              <w:adjustRightInd w:val="0"/>
              <w:jc w:val="center"/>
              <w:rPr>
                <w:sz w:val="22"/>
                <w:szCs w:val="22"/>
              </w:rPr>
            </w:pPr>
          </w:p>
        </w:tc>
        <w:tc>
          <w:tcPr>
            <w:tcW w:w="1031" w:type="pct"/>
            <w:tcBorders>
              <w:top w:val="nil"/>
              <w:left w:val="nil"/>
              <w:bottom w:val="nil"/>
              <w:right w:val="nil"/>
            </w:tcBorders>
          </w:tcPr>
          <w:p w14:paraId="4CA50429" w14:textId="77777777" w:rsidR="00A24DF1" w:rsidRPr="008550C6" w:rsidRDefault="00A24DF1" w:rsidP="00A24DF1">
            <w:pPr>
              <w:widowControl w:val="0"/>
              <w:autoSpaceDE w:val="0"/>
              <w:autoSpaceDN w:val="0"/>
              <w:adjustRightInd w:val="0"/>
              <w:jc w:val="center"/>
              <w:rPr>
                <w:sz w:val="22"/>
                <w:szCs w:val="22"/>
              </w:rPr>
            </w:pPr>
          </w:p>
        </w:tc>
        <w:tc>
          <w:tcPr>
            <w:tcW w:w="1031" w:type="pct"/>
            <w:tcBorders>
              <w:top w:val="nil"/>
              <w:left w:val="nil"/>
              <w:bottom w:val="nil"/>
              <w:right w:val="nil"/>
            </w:tcBorders>
          </w:tcPr>
          <w:p w14:paraId="7D205152" w14:textId="77777777" w:rsidR="00A24DF1" w:rsidRPr="008550C6" w:rsidRDefault="00A24DF1" w:rsidP="00A24DF1">
            <w:pPr>
              <w:widowControl w:val="0"/>
              <w:autoSpaceDE w:val="0"/>
              <w:autoSpaceDN w:val="0"/>
              <w:adjustRightInd w:val="0"/>
              <w:jc w:val="center"/>
              <w:rPr>
                <w:sz w:val="22"/>
                <w:szCs w:val="22"/>
              </w:rPr>
            </w:pPr>
          </w:p>
        </w:tc>
      </w:tr>
      <w:tr w:rsidR="008550C6" w:rsidRPr="008550C6" w14:paraId="4E01411B" w14:textId="5BDCBABD" w:rsidTr="00A24DF1">
        <w:tblPrEx>
          <w:tblBorders>
            <w:bottom w:val="single" w:sz="6" w:space="0" w:color="auto"/>
          </w:tblBorders>
        </w:tblPrEx>
        <w:tc>
          <w:tcPr>
            <w:tcW w:w="1768" w:type="pct"/>
            <w:tcBorders>
              <w:top w:val="nil"/>
              <w:left w:val="nil"/>
              <w:bottom w:val="nil"/>
              <w:right w:val="nil"/>
            </w:tcBorders>
          </w:tcPr>
          <w:p w14:paraId="40026B13" w14:textId="77777777" w:rsidR="00A24DF1" w:rsidRPr="008550C6" w:rsidRDefault="00A24DF1" w:rsidP="00A24DF1">
            <w:pPr>
              <w:widowControl w:val="0"/>
              <w:autoSpaceDE w:val="0"/>
              <w:autoSpaceDN w:val="0"/>
              <w:adjustRightInd w:val="0"/>
              <w:rPr>
                <w:sz w:val="22"/>
                <w:szCs w:val="22"/>
              </w:rPr>
            </w:pPr>
            <w:r w:rsidRPr="008550C6">
              <w:rPr>
                <w:sz w:val="22"/>
                <w:szCs w:val="22"/>
              </w:rPr>
              <w:t>R-squared</w:t>
            </w:r>
          </w:p>
        </w:tc>
        <w:tc>
          <w:tcPr>
            <w:tcW w:w="1170" w:type="pct"/>
            <w:tcBorders>
              <w:top w:val="nil"/>
              <w:left w:val="single" w:sz="4" w:space="0" w:color="auto"/>
              <w:bottom w:val="nil"/>
              <w:right w:val="nil"/>
            </w:tcBorders>
          </w:tcPr>
          <w:p w14:paraId="37D28142" w14:textId="3A3F5B89" w:rsidR="00A24DF1" w:rsidRPr="008550C6" w:rsidRDefault="00A24DF1" w:rsidP="00A24DF1">
            <w:pPr>
              <w:widowControl w:val="0"/>
              <w:autoSpaceDE w:val="0"/>
              <w:autoSpaceDN w:val="0"/>
              <w:adjustRightInd w:val="0"/>
              <w:jc w:val="center"/>
              <w:rPr>
                <w:sz w:val="22"/>
                <w:szCs w:val="22"/>
              </w:rPr>
            </w:pPr>
            <w:r w:rsidRPr="008550C6">
              <w:rPr>
                <w:sz w:val="22"/>
                <w:szCs w:val="22"/>
              </w:rPr>
              <w:t>0.1564</w:t>
            </w:r>
          </w:p>
        </w:tc>
        <w:tc>
          <w:tcPr>
            <w:tcW w:w="1031" w:type="pct"/>
            <w:tcBorders>
              <w:top w:val="nil"/>
              <w:left w:val="nil"/>
              <w:bottom w:val="nil"/>
              <w:right w:val="nil"/>
            </w:tcBorders>
          </w:tcPr>
          <w:p w14:paraId="21B59426" w14:textId="4B79B2F4" w:rsidR="00A24DF1" w:rsidRPr="008550C6" w:rsidRDefault="00A24DF1" w:rsidP="00A24DF1">
            <w:pPr>
              <w:widowControl w:val="0"/>
              <w:autoSpaceDE w:val="0"/>
              <w:autoSpaceDN w:val="0"/>
              <w:adjustRightInd w:val="0"/>
              <w:jc w:val="center"/>
              <w:rPr>
                <w:sz w:val="22"/>
                <w:szCs w:val="22"/>
              </w:rPr>
            </w:pPr>
            <w:r w:rsidRPr="008550C6">
              <w:rPr>
                <w:sz w:val="22"/>
                <w:szCs w:val="22"/>
              </w:rPr>
              <w:t>0.1643</w:t>
            </w:r>
          </w:p>
        </w:tc>
        <w:tc>
          <w:tcPr>
            <w:tcW w:w="1031" w:type="pct"/>
            <w:tcBorders>
              <w:top w:val="nil"/>
              <w:left w:val="nil"/>
              <w:bottom w:val="nil"/>
              <w:right w:val="nil"/>
            </w:tcBorders>
          </w:tcPr>
          <w:p w14:paraId="3DF4B98E" w14:textId="4FE56DFD" w:rsidR="00A24DF1" w:rsidRPr="008550C6" w:rsidRDefault="00A24DF1" w:rsidP="00A24DF1">
            <w:pPr>
              <w:widowControl w:val="0"/>
              <w:autoSpaceDE w:val="0"/>
              <w:autoSpaceDN w:val="0"/>
              <w:adjustRightInd w:val="0"/>
              <w:jc w:val="center"/>
              <w:rPr>
                <w:sz w:val="22"/>
                <w:szCs w:val="22"/>
              </w:rPr>
            </w:pPr>
            <w:r w:rsidRPr="008550C6">
              <w:rPr>
                <w:sz w:val="22"/>
                <w:szCs w:val="22"/>
              </w:rPr>
              <w:t>0.1</w:t>
            </w:r>
            <w:r w:rsidR="00F4081A" w:rsidRPr="008550C6">
              <w:rPr>
                <w:sz w:val="22"/>
                <w:szCs w:val="22"/>
              </w:rPr>
              <w:t>568</w:t>
            </w:r>
          </w:p>
        </w:tc>
      </w:tr>
      <w:tr w:rsidR="008550C6" w:rsidRPr="008550C6" w14:paraId="0FAE81D3" w14:textId="707F4EB4" w:rsidTr="00A24DF1">
        <w:tblPrEx>
          <w:tblBorders>
            <w:bottom w:val="single" w:sz="6" w:space="0" w:color="auto"/>
          </w:tblBorders>
        </w:tblPrEx>
        <w:tc>
          <w:tcPr>
            <w:tcW w:w="1768" w:type="pct"/>
            <w:tcBorders>
              <w:top w:val="nil"/>
              <w:left w:val="nil"/>
              <w:bottom w:val="nil"/>
              <w:right w:val="nil"/>
            </w:tcBorders>
          </w:tcPr>
          <w:p w14:paraId="212B97B4" w14:textId="77777777" w:rsidR="00A24DF1" w:rsidRPr="008550C6" w:rsidRDefault="00A24DF1" w:rsidP="00A24DF1">
            <w:pPr>
              <w:widowControl w:val="0"/>
              <w:autoSpaceDE w:val="0"/>
              <w:autoSpaceDN w:val="0"/>
              <w:adjustRightInd w:val="0"/>
              <w:rPr>
                <w:sz w:val="22"/>
                <w:szCs w:val="22"/>
              </w:rPr>
            </w:pPr>
            <w:r w:rsidRPr="008550C6">
              <w:rPr>
                <w:sz w:val="22"/>
                <w:szCs w:val="22"/>
              </w:rPr>
              <w:t>Observations</w:t>
            </w:r>
          </w:p>
        </w:tc>
        <w:tc>
          <w:tcPr>
            <w:tcW w:w="1170" w:type="pct"/>
            <w:tcBorders>
              <w:top w:val="nil"/>
              <w:left w:val="single" w:sz="4" w:space="0" w:color="auto"/>
              <w:bottom w:val="nil"/>
              <w:right w:val="nil"/>
            </w:tcBorders>
          </w:tcPr>
          <w:p w14:paraId="2067A7A3" w14:textId="77777777" w:rsidR="00A24DF1" w:rsidRPr="008550C6" w:rsidRDefault="00A24DF1" w:rsidP="00A24DF1">
            <w:pPr>
              <w:widowControl w:val="0"/>
              <w:autoSpaceDE w:val="0"/>
              <w:autoSpaceDN w:val="0"/>
              <w:adjustRightInd w:val="0"/>
              <w:jc w:val="center"/>
              <w:rPr>
                <w:sz w:val="22"/>
                <w:szCs w:val="22"/>
              </w:rPr>
            </w:pPr>
            <w:r w:rsidRPr="008550C6">
              <w:rPr>
                <w:sz w:val="22"/>
                <w:szCs w:val="22"/>
              </w:rPr>
              <w:t>2,499</w:t>
            </w:r>
          </w:p>
        </w:tc>
        <w:tc>
          <w:tcPr>
            <w:tcW w:w="1031" w:type="pct"/>
            <w:tcBorders>
              <w:top w:val="nil"/>
              <w:left w:val="nil"/>
              <w:bottom w:val="nil"/>
              <w:right w:val="nil"/>
            </w:tcBorders>
          </w:tcPr>
          <w:p w14:paraId="4396EA7C" w14:textId="77777777" w:rsidR="00A24DF1" w:rsidRPr="008550C6" w:rsidRDefault="00A24DF1" w:rsidP="00A24DF1">
            <w:pPr>
              <w:widowControl w:val="0"/>
              <w:autoSpaceDE w:val="0"/>
              <w:autoSpaceDN w:val="0"/>
              <w:adjustRightInd w:val="0"/>
              <w:jc w:val="center"/>
              <w:rPr>
                <w:sz w:val="22"/>
                <w:szCs w:val="22"/>
              </w:rPr>
            </w:pPr>
            <w:r w:rsidRPr="008550C6">
              <w:rPr>
                <w:sz w:val="22"/>
                <w:szCs w:val="22"/>
              </w:rPr>
              <w:t>2,499</w:t>
            </w:r>
          </w:p>
        </w:tc>
        <w:tc>
          <w:tcPr>
            <w:tcW w:w="1031" w:type="pct"/>
            <w:tcBorders>
              <w:top w:val="nil"/>
              <w:left w:val="nil"/>
              <w:bottom w:val="nil"/>
              <w:right w:val="nil"/>
            </w:tcBorders>
          </w:tcPr>
          <w:p w14:paraId="5EFB5297" w14:textId="4A804C5A" w:rsidR="00A24DF1" w:rsidRPr="008550C6" w:rsidRDefault="00A24DF1" w:rsidP="00A24DF1">
            <w:pPr>
              <w:widowControl w:val="0"/>
              <w:autoSpaceDE w:val="0"/>
              <w:autoSpaceDN w:val="0"/>
              <w:adjustRightInd w:val="0"/>
              <w:jc w:val="center"/>
              <w:rPr>
                <w:sz w:val="22"/>
                <w:szCs w:val="22"/>
              </w:rPr>
            </w:pPr>
            <w:r w:rsidRPr="008550C6">
              <w:rPr>
                <w:sz w:val="22"/>
                <w:szCs w:val="22"/>
              </w:rPr>
              <w:t>2,499</w:t>
            </w:r>
          </w:p>
        </w:tc>
      </w:tr>
      <w:tr w:rsidR="008550C6" w:rsidRPr="008550C6" w14:paraId="4D07EE90" w14:textId="6A9C46CA" w:rsidTr="00A24DF1">
        <w:tblPrEx>
          <w:tblBorders>
            <w:bottom w:val="single" w:sz="6" w:space="0" w:color="auto"/>
          </w:tblBorders>
        </w:tblPrEx>
        <w:tc>
          <w:tcPr>
            <w:tcW w:w="1768" w:type="pct"/>
            <w:tcBorders>
              <w:top w:val="nil"/>
              <w:left w:val="nil"/>
              <w:bottom w:val="nil"/>
              <w:right w:val="nil"/>
            </w:tcBorders>
          </w:tcPr>
          <w:p w14:paraId="34B728E9" w14:textId="77777777" w:rsidR="00A24DF1" w:rsidRPr="008550C6" w:rsidRDefault="00A24DF1" w:rsidP="00A24DF1">
            <w:pPr>
              <w:widowControl w:val="0"/>
              <w:autoSpaceDE w:val="0"/>
              <w:autoSpaceDN w:val="0"/>
              <w:adjustRightInd w:val="0"/>
              <w:rPr>
                <w:sz w:val="22"/>
                <w:szCs w:val="22"/>
              </w:rPr>
            </w:pPr>
            <w:r w:rsidRPr="008550C6">
              <w:rPr>
                <w:sz w:val="22"/>
                <w:szCs w:val="22"/>
              </w:rPr>
              <w:t>Number of states</w:t>
            </w:r>
          </w:p>
        </w:tc>
        <w:tc>
          <w:tcPr>
            <w:tcW w:w="1170" w:type="pct"/>
            <w:tcBorders>
              <w:top w:val="nil"/>
              <w:left w:val="single" w:sz="4" w:space="0" w:color="auto"/>
              <w:bottom w:val="nil"/>
              <w:right w:val="nil"/>
            </w:tcBorders>
          </w:tcPr>
          <w:p w14:paraId="71A94164" w14:textId="77777777" w:rsidR="00A24DF1" w:rsidRPr="008550C6" w:rsidRDefault="00A24DF1" w:rsidP="00A24DF1">
            <w:pPr>
              <w:widowControl w:val="0"/>
              <w:autoSpaceDE w:val="0"/>
              <w:autoSpaceDN w:val="0"/>
              <w:adjustRightInd w:val="0"/>
              <w:jc w:val="center"/>
              <w:rPr>
                <w:sz w:val="22"/>
                <w:szCs w:val="22"/>
              </w:rPr>
            </w:pPr>
            <w:r w:rsidRPr="008550C6">
              <w:rPr>
                <w:sz w:val="22"/>
                <w:szCs w:val="22"/>
              </w:rPr>
              <w:t>51</w:t>
            </w:r>
          </w:p>
        </w:tc>
        <w:tc>
          <w:tcPr>
            <w:tcW w:w="1031" w:type="pct"/>
            <w:tcBorders>
              <w:top w:val="nil"/>
              <w:left w:val="nil"/>
              <w:bottom w:val="nil"/>
              <w:right w:val="nil"/>
            </w:tcBorders>
          </w:tcPr>
          <w:p w14:paraId="053E95DD" w14:textId="77777777" w:rsidR="00A24DF1" w:rsidRPr="008550C6" w:rsidRDefault="00A24DF1" w:rsidP="00A24DF1">
            <w:pPr>
              <w:widowControl w:val="0"/>
              <w:autoSpaceDE w:val="0"/>
              <w:autoSpaceDN w:val="0"/>
              <w:adjustRightInd w:val="0"/>
              <w:jc w:val="center"/>
              <w:rPr>
                <w:sz w:val="22"/>
                <w:szCs w:val="22"/>
              </w:rPr>
            </w:pPr>
            <w:r w:rsidRPr="008550C6">
              <w:rPr>
                <w:sz w:val="22"/>
                <w:szCs w:val="22"/>
              </w:rPr>
              <w:t>51</w:t>
            </w:r>
          </w:p>
        </w:tc>
        <w:tc>
          <w:tcPr>
            <w:tcW w:w="1031" w:type="pct"/>
            <w:tcBorders>
              <w:top w:val="nil"/>
              <w:left w:val="nil"/>
              <w:bottom w:val="nil"/>
              <w:right w:val="nil"/>
            </w:tcBorders>
          </w:tcPr>
          <w:p w14:paraId="0854AEB8" w14:textId="36FDE7D2" w:rsidR="00A24DF1" w:rsidRPr="008550C6" w:rsidRDefault="00A24DF1" w:rsidP="00A24DF1">
            <w:pPr>
              <w:widowControl w:val="0"/>
              <w:autoSpaceDE w:val="0"/>
              <w:autoSpaceDN w:val="0"/>
              <w:adjustRightInd w:val="0"/>
              <w:jc w:val="center"/>
              <w:rPr>
                <w:sz w:val="22"/>
                <w:szCs w:val="22"/>
              </w:rPr>
            </w:pPr>
            <w:r w:rsidRPr="008550C6">
              <w:rPr>
                <w:sz w:val="22"/>
                <w:szCs w:val="22"/>
              </w:rPr>
              <w:t>51</w:t>
            </w:r>
          </w:p>
        </w:tc>
      </w:tr>
      <w:tr w:rsidR="008550C6" w:rsidRPr="008550C6" w14:paraId="452ED83C" w14:textId="33BF7B92" w:rsidTr="00A24DF1">
        <w:tblPrEx>
          <w:tblBorders>
            <w:bottom w:val="single" w:sz="6" w:space="0" w:color="auto"/>
          </w:tblBorders>
        </w:tblPrEx>
        <w:tc>
          <w:tcPr>
            <w:tcW w:w="1768" w:type="pct"/>
            <w:tcBorders>
              <w:top w:val="nil"/>
              <w:left w:val="nil"/>
              <w:bottom w:val="single" w:sz="4" w:space="0" w:color="auto"/>
              <w:right w:val="nil"/>
            </w:tcBorders>
          </w:tcPr>
          <w:p w14:paraId="4457FBC1" w14:textId="77777777" w:rsidR="00A24DF1" w:rsidRPr="008550C6" w:rsidRDefault="00A24DF1" w:rsidP="00A24DF1">
            <w:pPr>
              <w:widowControl w:val="0"/>
              <w:autoSpaceDE w:val="0"/>
              <w:autoSpaceDN w:val="0"/>
              <w:adjustRightInd w:val="0"/>
              <w:rPr>
                <w:sz w:val="22"/>
                <w:szCs w:val="22"/>
              </w:rPr>
            </w:pPr>
            <w:r w:rsidRPr="008550C6">
              <w:rPr>
                <w:sz w:val="22"/>
                <w:szCs w:val="22"/>
              </w:rPr>
              <w:t>Wald Chi 2 [p-value]</w:t>
            </w:r>
          </w:p>
        </w:tc>
        <w:tc>
          <w:tcPr>
            <w:tcW w:w="1170" w:type="pct"/>
            <w:tcBorders>
              <w:top w:val="nil"/>
              <w:left w:val="single" w:sz="4" w:space="0" w:color="auto"/>
              <w:bottom w:val="single" w:sz="4" w:space="0" w:color="auto"/>
              <w:right w:val="nil"/>
            </w:tcBorders>
          </w:tcPr>
          <w:p w14:paraId="7E61F519" w14:textId="77777777" w:rsidR="00A24DF1" w:rsidRPr="008550C6" w:rsidRDefault="00A24DF1" w:rsidP="00A24DF1">
            <w:pPr>
              <w:widowControl w:val="0"/>
              <w:autoSpaceDE w:val="0"/>
              <w:autoSpaceDN w:val="0"/>
              <w:adjustRightInd w:val="0"/>
              <w:jc w:val="center"/>
              <w:rPr>
                <w:sz w:val="22"/>
                <w:szCs w:val="22"/>
              </w:rPr>
            </w:pPr>
            <w:r w:rsidRPr="008550C6">
              <w:rPr>
                <w:sz w:val="22"/>
                <w:szCs w:val="22"/>
              </w:rPr>
              <w:t>0.000***</w:t>
            </w:r>
          </w:p>
        </w:tc>
        <w:tc>
          <w:tcPr>
            <w:tcW w:w="1031" w:type="pct"/>
            <w:tcBorders>
              <w:top w:val="nil"/>
              <w:left w:val="nil"/>
              <w:bottom w:val="single" w:sz="4" w:space="0" w:color="auto"/>
              <w:right w:val="nil"/>
            </w:tcBorders>
          </w:tcPr>
          <w:p w14:paraId="0F04C60F" w14:textId="77777777" w:rsidR="00A24DF1" w:rsidRPr="008550C6" w:rsidRDefault="00A24DF1" w:rsidP="00A24DF1">
            <w:pPr>
              <w:widowControl w:val="0"/>
              <w:autoSpaceDE w:val="0"/>
              <w:autoSpaceDN w:val="0"/>
              <w:adjustRightInd w:val="0"/>
              <w:jc w:val="center"/>
              <w:rPr>
                <w:sz w:val="22"/>
                <w:szCs w:val="22"/>
              </w:rPr>
            </w:pPr>
            <w:r w:rsidRPr="008550C6">
              <w:rPr>
                <w:sz w:val="22"/>
                <w:szCs w:val="22"/>
              </w:rPr>
              <w:t>0.000***</w:t>
            </w:r>
          </w:p>
        </w:tc>
        <w:tc>
          <w:tcPr>
            <w:tcW w:w="1031" w:type="pct"/>
            <w:tcBorders>
              <w:top w:val="nil"/>
              <w:left w:val="nil"/>
              <w:bottom w:val="single" w:sz="4" w:space="0" w:color="auto"/>
              <w:right w:val="nil"/>
            </w:tcBorders>
          </w:tcPr>
          <w:p w14:paraId="53F468C1" w14:textId="45B335EF" w:rsidR="00A24DF1" w:rsidRPr="008550C6" w:rsidRDefault="00A24DF1" w:rsidP="00A24DF1">
            <w:pPr>
              <w:widowControl w:val="0"/>
              <w:autoSpaceDE w:val="0"/>
              <w:autoSpaceDN w:val="0"/>
              <w:adjustRightInd w:val="0"/>
              <w:jc w:val="center"/>
              <w:rPr>
                <w:sz w:val="22"/>
                <w:szCs w:val="22"/>
              </w:rPr>
            </w:pPr>
            <w:r w:rsidRPr="008550C6">
              <w:rPr>
                <w:sz w:val="22"/>
                <w:szCs w:val="22"/>
              </w:rPr>
              <w:t>0.000***</w:t>
            </w:r>
          </w:p>
        </w:tc>
      </w:tr>
    </w:tbl>
    <w:p w14:paraId="312A44C6" w14:textId="5D5A3306" w:rsidR="008567F0" w:rsidRPr="00472A6C" w:rsidRDefault="008567F0" w:rsidP="008550C6">
      <w:pPr>
        <w:jc w:val="both"/>
        <w:rPr>
          <w:rFonts w:asciiTheme="majorBidi" w:hAnsiTheme="majorBidi" w:cstheme="majorBidi"/>
        </w:rPr>
      </w:pPr>
      <w:r w:rsidRPr="008550C6">
        <w:rPr>
          <w:rFonts w:asciiTheme="majorBidi" w:hAnsiTheme="majorBidi" w:cstheme="majorBidi"/>
          <w:i/>
          <w:iCs/>
          <w:sz w:val="18"/>
          <w:szCs w:val="18"/>
        </w:rPr>
        <w:t xml:space="preserve">Note: </w:t>
      </w:r>
      <w:r w:rsidRPr="00472A6C">
        <w:rPr>
          <w:rFonts w:asciiTheme="majorBidi" w:hAnsiTheme="majorBidi" w:cstheme="majorBidi"/>
          <w:sz w:val="18"/>
          <w:szCs w:val="18"/>
          <w:lang w:val="en-US" w:eastAsia="en-US"/>
          <w14:ligatures w14:val="standardContextual"/>
        </w:rPr>
        <w:t xml:space="preserve">This table reports regression results on the association between </w:t>
      </w:r>
      <w:r w:rsidR="006A0241" w:rsidRPr="00472A6C">
        <w:rPr>
          <w:rFonts w:asciiTheme="majorBidi" w:hAnsiTheme="majorBidi" w:cstheme="majorBidi"/>
          <w:sz w:val="18"/>
          <w:szCs w:val="18"/>
          <w:lang w:val="en-US" w:eastAsia="en-US"/>
          <w14:ligatures w14:val="standardContextual"/>
        </w:rPr>
        <w:t xml:space="preserve">the number of </w:t>
      </w:r>
      <w:r w:rsidR="00C8068C" w:rsidRPr="00472A6C">
        <w:rPr>
          <w:rFonts w:asciiTheme="majorBidi" w:hAnsiTheme="majorBidi" w:cstheme="majorBidi"/>
          <w:sz w:val="18"/>
          <w:szCs w:val="18"/>
          <w:lang w:val="en-US" w:eastAsia="en-US"/>
          <w14:ligatures w14:val="standardContextual"/>
        </w:rPr>
        <w:t>new bank charters</w:t>
      </w:r>
      <w:r w:rsidR="007E4ED2">
        <w:rPr>
          <w:rFonts w:asciiTheme="majorBidi" w:hAnsiTheme="majorBidi" w:cstheme="majorBidi"/>
          <w:sz w:val="18"/>
          <w:szCs w:val="18"/>
          <w:lang w:val="en-US" w:eastAsia="en-US"/>
          <w14:ligatures w14:val="standardContextual"/>
        </w:rPr>
        <w:t xml:space="preserve"> (</w:t>
      </w:r>
      <w:r w:rsidR="007E4ED2" w:rsidRPr="007E4ED2">
        <w:rPr>
          <w:rFonts w:asciiTheme="majorBidi" w:hAnsiTheme="majorBidi" w:cstheme="majorBidi"/>
          <w:i/>
          <w:iCs/>
          <w:sz w:val="18"/>
          <w:szCs w:val="18"/>
          <w:lang w:val="en-US" w:eastAsia="en-US"/>
          <w14:ligatures w14:val="standardContextual"/>
        </w:rPr>
        <w:t>SNCharters</w:t>
      </w:r>
      <w:r w:rsidR="007E4ED2">
        <w:rPr>
          <w:rFonts w:asciiTheme="majorBidi" w:hAnsiTheme="majorBidi" w:cstheme="majorBidi"/>
          <w:sz w:val="18"/>
          <w:szCs w:val="18"/>
          <w:lang w:val="en-US" w:eastAsia="en-US"/>
          <w14:ligatures w14:val="standardContextual"/>
        </w:rPr>
        <w:t>)</w:t>
      </w:r>
      <w:r w:rsidR="00C8068C" w:rsidRPr="00472A6C">
        <w:rPr>
          <w:rFonts w:asciiTheme="majorBidi" w:hAnsiTheme="majorBidi" w:cstheme="majorBidi"/>
          <w:sz w:val="18"/>
          <w:szCs w:val="18"/>
          <w:lang w:val="en-US" w:eastAsia="en-US"/>
          <w14:ligatures w14:val="standardContextual"/>
        </w:rPr>
        <w:t xml:space="preserve"> at the state level</w:t>
      </w:r>
      <w:r w:rsidRPr="00472A6C">
        <w:rPr>
          <w:rFonts w:asciiTheme="majorBidi" w:hAnsiTheme="majorBidi" w:cstheme="majorBidi"/>
          <w:sz w:val="18"/>
          <w:szCs w:val="18"/>
          <w:lang w:val="en-US" w:eastAsia="en-US"/>
          <w14:ligatures w14:val="standardContextual"/>
        </w:rPr>
        <w:t xml:space="preserve"> and </w:t>
      </w:r>
      <w:r w:rsidR="00F63B2B" w:rsidRPr="00472A6C">
        <w:rPr>
          <w:rFonts w:asciiTheme="majorBidi" w:hAnsiTheme="majorBidi" w:cstheme="majorBidi"/>
          <w:sz w:val="18"/>
          <w:szCs w:val="18"/>
          <w:lang w:val="en-US" w:eastAsia="en-US"/>
          <w14:ligatures w14:val="standardContextual"/>
        </w:rPr>
        <w:t>state</w:t>
      </w:r>
      <w:r w:rsidR="00F63B2B" w:rsidRPr="00472A6C">
        <w:rPr>
          <w:rFonts w:asciiTheme="majorBidi" w:hAnsiTheme="majorBidi" w:cstheme="majorBidi"/>
          <w:sz w:val="18"/>
          <w:szCs w:val="18"/>
          <w:lang w:val="vi-VN" w:eastAsia="en-US"/>
          <w14:ligatures w14:val="standardContextual"/>
        </w:rPr>
        <w:t xml:space="preserve"> votes,</w:t>
      </w:r>
      <w:r w:rsidRPr="00472A6C">
        <w:rPr>
          <w:rFonts w:asciiTheme="majorBidi" w:hAnsiTheme="majorBidi" w:cstheme="majorBidi"/>
          <w:sz w:val="18"/>
          <w:szCs w:val="18"/>
          <w:lang w:val="en-US" w:eastAsia="en-US"/>
          <w14:ligatures w14:val="standardContextual"/>
        </w:rPr>
        <w:t xml:space="preserve"> national votes</w:t>
      </w:r>
      <w:r w:rsidR="00F63B2B" w:rsidRPr="00472A6C">
        <w:rPr>
          <w:rFonts w:asciiTheme="majorBidi" w:hAnsiTheme="majorBidi" w:cstheme="majorBidi"/>
          <w:sz w:val="18"/>
          <w:szCs w:val="18"/>
          <w:lang w:val="vi-VN" w:eastAsia="en-US"/>
          <w14:ligatures w14:val="standardContextual"/>
        </w:rPr>
        <w:t xml:space="preserve"> and </w:t>
      </w:r>
      <w:r w:rsidR="00973949" w:rsidRPr="00472A6C">
        <w:rPr>
          <w:rFonts w:asciiTheme="majorBidi" w:hAnsiTheme="majorBidi" w:cstheme="majorBidi"/>
          <w:sz w:val="18"/>
          <w:szCs w:val="18"/>
          <w:lang w:eastAsia="en-US"/>
          <w14:ligatures w14:val="standardContextual"/>
        </w:rPr>
        <w:t>variable</w:t>
      </w:r>
      <w:r w:rsidR="00F63B2B" w:rsidRPr="00472A6C">
        <w:rPr>
          <w:rFonts w:asciiTheme="majorBidi" w:hAnsiTheme="majorBidi" w:cstheme="majorBidi"/>
          <w:sz w:val="18"/>
          <w:szCs w:val="18"/>
          <w:lang w:eastAsia="en-US"/>
          <w14:ligatures w14:val="standardContextual"/>
        </w:rPr>
        <w:t xml:space="preserve"> return to scale efficiency score</w:t>
      </w:r>
      <w:r w:rsidRPr="00472A6C">
        <w:rPr>
          <w:rFonts w:asciiTheme="majorBidi" w:hAnsiTheme="majorBidi" w:cstheme="majorBidi"/>
          <w:sz w:val="18"/>
          <w:szCs w:val="18"/>
          <w:lang w:val="en-US" w:eastAsia="en-US"/>
          <w14:ligatures w14:val="standardContextual"/>
        </w:rPr>
        <w:t xml:space="preserve"> </w:t>
      </w:r>
      <w:r w:rsidR="009278F8">
        <w:rPr>
          <w:rFonts w:asciiTheme="majorBidi" w:hAnsiTheme="majorBidi" w:cstheme="majorBidi"/>
          <w:sz w:val="18"/>
          <w:szCs w:val="18"/>
          <w:lang w:val="en-US" w:eastAsia="en-US"/>
          <w14:ligatures w14:val="standardContextual"/>
        </w:rPr>
        <w:t xml:space="preserve">(VRS) </w:t>
      </w:r>
      <w:r w:rsidRPr="00472A6C">
        <w:rPr>
          <w:rFonts w:asciiTheme="majorBidi" w:hAnsiTheme="majorBidi" w:cstheme="majorBidi"/>
          <w:sz w:val="18"/>
          <w:szCs w:val="18"/>
          <w:lang w:val="en-US" w:eastAsia="en-US"/>
          <w14:ligatures w14:val="standardContextual"/>
        </w:rPr>
        <w:t xml:space="preserve">following Spatial Tobit model (STM). </w:t>
      </w:r>
      <w:r w:rsidRPr="00472A6C">
        <w:rPr>
          <w:rFonts w:asciiTheme="majorBidi" w:hAnsiTheme="majorBidi" w:cstheme="majorBidi"/>
          <w:sz w:val="18"/>
          <w:szCs w:val="18"/>
        </w:rPr>
        <w:t>The variables’ coefficients and t-statistics (in brackets) are reported in the table; ***, **, * denote significance at the 1%, 5%, and 10% levels, respectively.</w:t>
      </w:r>
    </w:p>
    <w:p w14:paraId="6741F62A" w14:textId="77777777" w:rsidR="008567F0" w:rsidRDefault="008567F0" w:rsidP="00B3500A"/>
    <w:p w14:paraId="2F443E83" w14:textId="77777777" w:rsidR="00A24DF1" w:rsidRDefault="00A24DF1" w:rsidP="00B3500A"/>
    <w:p w14:paraId="079AF53E" w14:textId="77777777" w:rsidR="00A24DF1" w:rsidRDefault="00A24DF1" w:rsidP="00B3500A"/>
    <w:p w14:paraId="5F1E821F" w14:textId="77777777" w:rsidR="00A24DF1" w:rsidRDefault="00A24DF1" w:rsidP="00B3500A"/>
    <w:p w14:paraId="3D1FA183" w14:textId="77777777" w:rsidR="00A24DF1" w:rsidRDefault="00A24DF1" w:rsidP="00B3500A"/>
    <w:p w14:paraId="3FE6D9BC" w14:textId="77777777" w:rsidR="00A24DF1" w:rsidRDefault="00A24DF1" w:rsidP="00B3500A"/>
    <w:sectPr w:rsidR="00A24DF1" w:rsidSect="00B3500A">
      <w:footerReference w:type="even" r:id="rId18"/>
      <w:footerReference w:type="default" r:id="rId19"/>
      <w:footerReference w:type="first" r:id="rId20"/>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F2BC" w14:textId="77777777" w:rsidR="001072E3" w:rsidRDefault="001072E3" w:rsidP="00862C4D">
      <w:r>
        <w:separator/>
      </w:r>
    </w:p>
  </w:endnote>
  <w:endnote w:type="continuationSeparator" w:id="0">
    <w:p w14:paraId="716CD395" w14:textId="77777777" w:rsidR="001072E3" w:rsidRDefault="001072E3" w:rsidP="0086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dvOT863180fb">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hpqlHckqwxMTMI">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773744"/>
      <w:docPartObj>
        <w:docPartGallery w:val="Page Numbers (Bottom of Page)"/>
        <w:docPartUnique/>
      </w:docPartObj>
    </w:sdtPr>
    <w:sdtEndPr>
      <w:rPr>
        <w:noProof/>
      </w:rPr>
    </w:sdtEndPr>
    <w:sdtContent>
      <w:p w14:paraId="553FC33F" w14:textId="3ADF1AA6" w:rsidR="00D62AD1" w:rsidRDefault="00D62A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0320FC" w14:textId="77777777" w:rsidR="00D62AD1" w:rsidRDefault="00D62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1166149"/>
      <w:docPartObj>
        <w:docPartGallery w:val="Page Numbers (Bottom of Page)"/>
        <w:docPartUnique/>
      </w:docPartObj>
    </w:sdtPr>
    <w:sdtContent>
      <w:p w14:paraId="4633FBAC" w14:textId="73CF0C31" w:rsidR="00D62AD1" w:rsidRDefault="00D62AD1" w:rsidP="00FF6C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sdtContent>
  </w:sdt>
  <w:p w14:paraId="63EE40AC" w14:textId="77777777" w:rsidR="00D62AD1" w:rsidRDefault="00D62AD1" w:rsidP="002571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3645922"/>
      <w:docPartObj>
        <w:docPartGallery w:val="Page Numbers (Bottom of Page)"/>
        <w:docPartUnique/>
      </w:docPartObj>
    </w:sdtPr>
    <w:sdtContent>
      <w:p w14:paraId="4668189C" w14:textId="7EE20EBF" w:rsidR="00D62AD1" w:rsidRDefault="00D62AD1" w:rsidP="00D62A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722C29E" w14:textId="77777777" w:rsidR="00D62AD1" w:rsidRDefault="00D62AD1" w:rsidP="002571B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B1FA" w14:textId="56332968" w:rsidR="00D62AD1" w:rsidRDefault="00D62AD1" w:rsidP="00FF6C99">
    <w:pPr>
      <w:pStyle w:val="Footer"/>
      <w:ind w:right="360"/>
    </w:pPr>
    <w:r>
      <w:rPr>
        <w:rStyle w:val="PageNumber"/>
      </w:rPr>
      <w:tab/>
    </w:r>
    <w:r>
      <w:rPr>
        <w:rStyle w:val="PageNumber"/>
      </w:rPr>
      <w:tab/>
    </w: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A641" w14:textId="77777777" w:rsidR="001072E3" w:rsidRDefault="001072E3" w:rsidP="00862C4D">
      <w:r>
        <w:separator/>
      </w:r>
    </w:p>
  </w:footnote>
  <w:footnote w:type="continuationSeparator" w:id="0">
    <w:p w14:paraId="2CD061B6" w14:textId="77777777" w:rsidR="001072E3" w:rsidRDefault="001072E3" w:rsidP="00862C4D">
      <w:r>
        <w:continuationSeparator/>
      </w:r>
    </w:p>
  </w:footnote>
  <w:footnote w:id="1">
    <w:p w14:paraId="74B7F3DE" w14:textId="4EFC404D" w:rsidR="00D62AD1" w:rsidRPr="006D498D" w:rsidRDefault="00D62AD1">
      <w:pPr>
        <w:pStyle w:val="FootnoteText"/>
        <w:rPr>
          <w:rFonts w:asciiTheme="minorHAnsi" w:hAnsiTheme="minorHAnsi" w:cstheme="minorHAnsi"/>
          <w:sz w:val="18"/>
          <w:szCs w:val="18"/>
        </w:rPr>
      </w:pPr>
      <w:r w:rsidRPr="006D498D">
        <w:rPr>
          <w:rStyle w:val="FootnoteReference"/>
          <w:rFonts w:asciiTheme="minorHAnsi" w:hAnsiTheme="minorHAnsi" w:cstheme="minorHAnsi"/>
          <w:sz w:val="18"/>
          <w:szCs w:val="18"/>
        </w:rPr>
        <w:footnoteRef/>
      </w:r>
      <w:r w:rsidRPr="006D498D">
        <w:rPr>
          <w:rFonts w:asciiTheme="minorHAnsi" w:hAnsiTheme="minorHAnsi" w:cstheme="minorHAnsi"/>
          <w:sz w:val="18"/>
          <w:szCs w:val="18"/>
        </w:rPr>
        <w:t xml:space="preserve"> </w:t>
      </w:r>
      <w:hyperlink r:id="rId1" w:history="1">
        <w:r w:rsidRPr="006D498D">
          <w:rPr>
            <w:rStyle w:val="Hyperlink"/>
            <w:rFonts w:asciiTheme="minorHAnsi" w:hAnsiTheme="minorHAnsi" w:cstheme="minorHAnsi"/>
            <w:color w:val="auto"/>
            <w:sz w:val="18"/>
            <w:szCs w:val="18"/>
          </w:rPr>
          <w:t>https://www.fdic.gov/</w:t>
        </w:r>
      </w:hyperlink>
    </w:p>
  </w:footnote>
  <w:footnote w:id="2">
    <w:p w14:paraId="0187F788" w14:textId="54B5CF8C" w:rsidR="00D62AD1" w:rsidRPr="006D498D" w:rsidRDefault="00D62AD1">
      <w:pPr>
        <w:pStyle w:val="FootnoteText"/>
        <w:rPr>
          <w:rFonts w:asciiTheme="minorHAnsi" w:hAnsiTheme="minorHAnsi" w:cstheme="minorHAnsi"/>
          <w:sz w:val="18"/>
          <w:szCs w:val="18"/>
        </w:rPr>
      </w:pPr>
      <w:r w:rsidRPr="006D498D">
        <w:rPr>
          <w:rStyle w:val="FootnoteReference"/>
          <w:rFonts w:asciiTheme="minorHAnsi" w:hAnsiTheme="minorHAnsi" w:cstheme="minorHAnsi"/>
          <w:sz w:val="18"/>
          <w:szCs w:val="18"/>
        </w:rPr>
        <w:footnoteRef/>
      </w:r>
      <w:r w:rsidRPr="006D498D">
        <w:rPr>
          <w:rFonts w:asciiTheme="minorHAnsi" w:hAnsiTheme="minorHAnsi" w:cstheme="minorHAnsi"/>
          <w:sz w:val="18"/>
          <w:szCs w:val="18"/>
        </w:rPr>
        <w:t xml:space="preserve"> </w:t>
      </w:r>
      <w:hyperlink r:id="rId2" w:history="1">
        <w:r w:rsidRPr="006D498D">
          <w:rPr>
            <w:rStyle w:val="Hyperlink"/>
            <w:rFonts w:asciiTheme="minorHAnsi" w:hAnsiTheme="minorHAnsi" w:cstheme="minorHAnsi"/>
            <w:color w:val="auto"/>
            <w:sz w:val="18"/>
            <w:szCs w:val="18"/>
          </w:rPr>
          <w:t>https://electionlab.mit.edu/data</w:t>
        </w:r>
      </w:hyperlink>
      <w:r w:rsidRPr="006D498D">
        <w:rPr>
          <w:rFonts w:asciiTheme="minorHAnsi" w:hAnsiTheme="minorHAnsi" w:cstheme="minorHAnsi"/>
          <w:sz w:val="18"/>
          <w:szCs w:val="18"/>
        </w:rPr>
        <w:t xml:space="preserve"> </w:t>
      </w:r>
    </w:p>
  </w:footnote>
  <w:footnote w:id="3">
    <w:p w14:paraId="2BBB5B4F" w14:textId="262C5A73" w:rsidR="006709A1" w:rsidRPr="006D498D" w:rsidRDefault="006709A1" w:rsidP="006709A1">
      <w:pPr>
        <w:pStyle w:val="FootnoteText"/>
        <w:jc w:val="both"/>
        <w:rPr>
          <w:sz w:val="18"/>
          <w:szCs w:val="18"/>
        </w:rPr>
      </w:pPr>
      <w:r w:rsidRPr="006D498D">
        <w:rPr>
          <w:rStyle w:val="FootnoteReference"/>
          <w:sz w:val="18"/>
          <w:szCs w:val="18"/>
        </w:rPr>
        <w:footnoteRef/>
      </w:r>
      <w:r w:rsidRPr="006D498D">
        <w:rPr>
          <w:sz w:val="18"/>
          <w:szCs w:val="18"/>
        </w:rPr>
        <w:t xml:space="preserve"> SVOTE measures the political preferences of voters in each state, which can influence the broader political and policy environment in which banks operate, rather than the direct partisan control of state governments. Electoral outcomes may still shape expectations about policy direction, regulatory attitudes, and economic priorities, even when formal control of state institutions differs.</w:t>
      </w:r>
    </w:p>
  </w:footnote>
  <w:footnote w:id="4">
    <w:p w14:paraId="3DDC8218" w14:textId="6204D588" w:rsidR="00D62AD1" w:rsidRPr="00497433" w:rsidRDefault="00D62AD1" w:rsidP="00A9102F">
      <w:pPr>
        <w:pStyle w:val="FootnoteText"/>
        <w:jc w:val="both"/>
        <w:rPr>
          <w:color w:val="000000" w:themeColor="text1"/>
          <w:sz w:val="18"/>
          <w:szCs w:val="18"/>
        </w:rPr>
      </w:pPr>
      <w:r w:rsidRPr="00A9102F">
        <w:rPr>
          <w:rStyle w:val="FootnoteReference"/>
          <w:color w:val="004F88"/>
          <w:sz w:val="18"/>
          <w:szCs w:val="18"/>
        </w:rPr>
        <w:footnoteRef/>
      </w:r>
      <w:r w:rsidRPr="00A9102F">
        <w:rPr>
          <w:color w:val="004F88"/>
          <w:sz w:val="18"/>
          <w:szCs w:val="18"/>
        </w:rPr>
        <w:t xml:space="preserve"> </w:t>
      </w:r>
      <w:r w:rsidR="00A9102F" w:rsidRPr="00A9102F">
        <w:rPr>
          <w:color w:val="004F88"/>
          <w:sz w:val="18"/>
          <w:szCs w:val="18"/>
        </w:rPr>
        <w:t>U.S. elections have been dominated by the Democratic and Republican parties at both the federal and state levels.</w:t>
      </w:r>
    </w:p>
  </w:footnote>
  <w:footnote w:id="5">
    <w:p w14:paraId="28C75DE1" w14:textId="27E15322" w:rsidR="00D62AD1" w:rsidRPr="00497433" w:rsidRDefault="00D62AD1" w:rsidP="00337D66">
      <w:pPr>
        <w:pStyle w:val="FootnoteText"/>
        <w:jc w:val="both"/>
        <w:rPr>
          <w:color w:val="000000" w:themeColor="text1"/>
          <w:sz w:val="18"/>
          <w:szCs w:val="18"/>
        </w:rPr>
      </w:pPr>
      <w:r w:rsidRPr="00497433">
        <w:rPr>
          <w:rStyle w:val="FootnoteReference"/>
          <w:color w:val="000000" w:themeColor="text1"/>
          <w:sz w:val="18"/>
          <w:szCs w:val="18"/>
        </w:rPr>
        <w:footnoteRef/>
      </w:r>
      <w:r w:rsidRPr="00497433">
        <w:rPr>
          <w:color w:val="000000" w:themeColor="text1"/>
          <w:sz w:val="18"/>
          <w:szCs w:val="18"/>
        </w:rPr>
        <w:t xml:space="preserve"> The </w:t>
      </w:r>
      <w:r w:rsidR="00557760" w:rsidRPr="00557760">
        <w:rPr>
          <w:color w:val="000000" w:themeColor="text1"/>
          <w:sz w:val="18"/>
          <w:szCs w:val="18"/>
        </w:rPr>
        <w:t>U.S. Congress is composed of 100 senators, with two representing each state, and 435 voting members in the House of Representatives</w:t>
      </w:r>
      <w:r w:rsidR="00557760" w:rsidRPr="00337D66">
        <w:rPr>
          <w:color w:val="004F88"/>
          <w:sz w:val="18"/>
          <w:szCs w:val="18"/>
        </w:rPr>
        <w:t xml:space="preserve">. </w:t>
      </w:r>
      <w:r w:rsidR="00337D66" w:rsidRPr="00337D66">
        <w:rPr>
          <w:color w:val="004F88"/>
          <w:sz w:val="18"/>
          <w:szCs w:val="18"/>
        </w:rPr>
        <w:t xml:space="preserve">Under the 23rd Amendment </w:t>
      </w:r>
      <w:r w:rsidR="00557760" w:rsidRPr="00557760">
        <w:rPr>
          <w:color w:val="000000" w:themeColor="text1"/>
          <w:sz w:val="18"/>
          <w:szCs w:val="18"/>
        </w:rPr>
        <w:t xml:space="preserve">to the Constitution, the District of Columbia </w:t>
      </w:r>
      <w:r w:rsidR="00557760">
        <w:rPr>
          <w:color w:val="000000" w:themeColor="text1"/>
          <w:sz w:val="18"/>
          <w:szCs w:val="18"/>
        </w:rPr>
        <w:t>has</w:t>
      </w:r>
      <w:r w:rsidR="00557760" w:rsidRPr="00557760">
        <w:rPr>
          <w:color w:val="000000" w:themeColor="text1"/>
          <w:sz w:val="18"/>
          <w:szCs w:val="18"/>
        </w:rPr>
        <w:t xml:space="preserve"> three electors and is treated as a state for Electoral College purposes.</w:t>
      </w:r>
    </w:p>
  </w:footnote>
  <w:footnote w:id="6">
    <w:p w14:paraId="01A5C79C" w14:textId="77777777" w:rsidR="00557760" w:rsidRPr="00FA1251" w:rsidRDefault="00557760" w:rsidP="00F63B2B">
      <w:pPr>
        <w:spacing w:line="240" w:lineRule="exact"/>
        <w:jc w:val="both"/>
        <w:rPr>
          <w:color w:val="000000" w:themeColor="text1"/>
          <w:sz w:val="18"/>
          <w:szCs w:val="18"/>
        </w:rPr>
      </w:pPr>
      <w:r w:rsidRPr="00497433">
        <w:rPr>
          <w:rStyle w:val="FootnoteReference"/>
          <w:color w:val="000000" w:themeColor="text1"/>
          <w:sz w:val="18"/>
          <w:szCs w:val="18"/>
        </w:rPr>
        <w:footnoteRef/>
      </w:r>
      <w:r w:rsidRPr="00497433">
        <w:rPr>
          <w:color w:val="000000" w:themeColor="text1"/>
          <w:sz w:val="18"/>
          <w:szCs w:val="18"/>
        </w:rPr>
        <w:t xml:space="preserve"> Nebraska and Maine do not follow this winner-take-all method. Instead, electoral votes are proportionally allocated. </w:t>
      </w:r>
    </w:p>
  </w:footnote>
  <w:footnote w:id="7">
    <w:p w14:paraId="71F6ACC6" w14:textId="5BBE1F24" w:rsidR="00D62AD1" w:rsidRPr="003C40CB" w:rsidRDefault="00D62AD1" w:rsidP="00F63B2B">
      <w:pPr>
        <w:pStyle w:val="FootnoteText"/>
        <w:spacing w:line="240" w:lineRule="exact"/>
        <w:jc w:val="both"/>
        <w:rPr>
          <w:sz w:val="18"/>
          <w:szCs w:val="18"/>
          <w:lang w:val="en-US"/>
        </w:rPr>
      </w:pPr>
      <w:r w:rsidRPr="003C40CB">
        <w:rPr>
          <w:rStyle w:val="FootnoteReference"/>
          <w:sz w:val="18"/>
          <w:szCs w:val="18"/>
        </w:rPr>
        <w:footnoteRef/>
      </w:r>
      <w:r w:rsidRPr="003C40CB">
        <w:rPr>
          <w:sz w:val="18"/>
          <w:szCs w:val="18"/>
        </w:rPr>
        <w:t xml:space="preserve"> House of Representatives and Senate, two additional governmental offices, operate on a two-year cycle in even-numbered years (i.e., in presidential election years as well as midterm elections).</w:t>
      </w:r>
    </w:p>
  </w:footnote>
  <w:footnote w:id="8">
    <w:p w14:paraId="4E136EAF" w14:textId="1CAF438E" w:rsidR="00D62AD1" w:rsidRPr="00B666D4" w:rsidRDefault="00D62AD1" w:rsidP="00821E7B">
      <w:pPr>
        <w:jc w:val="both"/>
        <w:rPr>
          <w:sz w:val="18"/>
          <w:szCs w:val="18"/>
        </w:rPr>
      </w:pPr>
      <w:r w:rsidRPr="00B666D4">
        <w:rPr>
          <w:rStyle w:val="FootnoteReference"/>
          <w:rFonts w:eastAsia="SimSun"/>
          <w:sz w:val="18"/>
          <w:szCs w:val="18"/>
        </w:rPr>
        <w:footnoteRef/>
      </w:r>
      <w:r w:rsidRPr="00B666D4">
        <w:rPr>
          <w:sz w:val="18"/>
          <w:szCs w:val="18"/>
        </w:rPr>
        <w:t xml:space="preserve"> This number of bootstrap replications is used to construct estimated confidence intervals. Confidence-interval estimation is tantamount to estimating the tails of distributions, which necessarily requires more information</w:t>
      </w:r>
      <w:r w:rsidRPr="00B666D4">
        <w:rPr>
          <w:color w:val="000000"/>
          <w:sz w:val="18"/>
          <w:szCs w:val="18"/>
        </w:rPr>
        <w:t>.</w:t>
      </w:r>
    </w:p>
  </w:footnote>
  <w:footnote w:id="9">
    <w:p w14:paraId="7020CA0B" w14:textId="77777777" w:rsidR="00D62AD1" w:rsidRPr="005A2333" w:rsidRDefault="00D62AD1" w:rsidP="00AE164A">
      <w:pPr>
        <w:pStyle w:val="footnotedescription"/>
        <w:spacing w:line="256" w:lineRule="auto"/>
        <w:ind w:right="4"/>
        <w:rPr>
          <w:sz w:val="18"/>
          <w:szCs w:val="18"/>
        </w:rPr>
      </w:pPr>
      <w:r w:rsidRPr="005A2333">
        <w:rPr>
          <w:rStyle w:val="footnotemark"/>
          <w:sz w:val="18"/>
          <w:szCs w:val="18"/>
        </w:rPr>
        <w:footnoteRef/>
      </w:r>
      <w:r w:rsidRPr="005A2333">
        <w:rPr>
          <w:sz w:val="18"/>
          <w:szCs w:val="18"/>
        </w:rPr>
        <w:t xml:space="preserve"> Fingleton and Le Gallo (</w:t>
      </w:r>
      <w:r w:rsidRPr="005A2333">
        <w:rPr>
          <w:color w:val="0070C0"/>
          <w:sz w:val="18"/>
          <w:szCs w:val="18"/>
        </w:rPr>
        <w:t>2010</w:t>
      </w:r>
      <w:r w:rsidRPr="005A2333">
        <w:rPr>
          <w:sz w:val="18"/>
          <w:szCs w:val="18"/>
        </w:rPr>
        <w:t>) point out that the particular endogeneity problem due to omitted variables can be accounted for by the SDM specification due to the inclusion of both spatial lagged dependent and independent variables.</w:t>
      </w:r>
    </w:p>
  </w:footnote>
  <w:footnote w:id="10">
    <w:p w14:paraId="34F40ABF" w14:textId="05EFFE65" w:rsidR="00D62AD1" w:rsidRPr="00036069" w:rsidRDefault="00D62AD1" w:rsidP="00AE164A">
      <w:pPr>
        <w:pStyle w:val="footnotedescription"/>
        <w:spacing w:after="22" w:line="281" w:lineRule="auto"/>
        <w:ind w:right="4"/>
        <w:rPr>
          <w:sz w:val="18"/>
          <w:szCs w:val="18"/>
        </w:rPr>
      </w:pPr>
      <w:r w:rsidRPr="00036069">
        <w:rPr>
          <w:rStyle w:val="footnotemark"/>
          <w:sz w:val="18"/>
          <w:szCs w:val="18"/>
        </w:rPr>
        <w:footnoteRef/>
      </w:r>
      <w:r w:rsidRPr="00036069">
        <w:rPr>
          <w:sz w:val="18"/>
          <w:szCs w:val="18"/>
        </w:rPr>
        <w:t xml:space="preserve"> This method has been extensively applied in the estimation of the spatial panel model (see, for instance, Bao and Ullah </w:t>
      </w:r>
      <w:r w:rsidRPr="00EF579E">
        <w:rPr>
          <w:color w:val="0070C0"/>
          <w:sz w:val="18"/>
          <w:szCs w:val="18"/>
        </w:rPr>
        <w:t>1975</w:t>
      </w:r>
      <w:r w:rsidRPr="00036069">
        <w:rPr>
          <w:sz w:val="18"/>
          <w:szCs w:val="18"/>
        </w:rPr>
        <w:t xml:space="preserve">; Elhorst and Freret </w:t>
      </w:r>
      <w:r w:rsidRPr="00EF579E">
        <w:rPr>
          <w:color w:val="0070C0"/>
          <w:sz w:val="18"/>
          <w:szCs w:val="18"/>
        </w:rPr>
        <w:t>200</w:t>
      </w:r>
      <w:r>
        <w:rPr>
          <w:color w:val="0070C0"/>
          <w:sz w:val="18"/>
          <w:szCs w:val="18"/>
        </w:rPr>
        <w:t>9</w:t>
      </w:r>
      <w:r w:rsidRPr="00036069">
        <w:rPr>
          <w:sz w:val="18"/>
          <w:szCs w:val="18"/>
        </w:rPr>
        <w:t xml:space="preserve">; Lee </w:t>
      </w:r>
      <w:r w:rsidRPr="00EF579E">
        <w:rPr>
          <w:color w:val="0070C0"/>
          <w:sz w:val="18"/>
          <w:szCs w:val="18"/>
        </w:rPr>
        <w:t>2004</w:t>
      </w:r>
      <w:r w:rsidRPr="00036069">
        <w:rPr>
          <w:sz w:val="18"/>
          <w:szCs w:val="18"/>
        </w:rPr>
        <w:t>; Lee</w:t>
      </w:r>
      <w:r>
        <w:rPr>
          <w:sz w:val="18"/>
          <w:szCs w:val="18"/>
        </w:rPr>
        <w:t xml:space="preserve"> and </w:t>
      </w:r>
      <w:r w:rsidRPr="00036069">
        <w:rPr>
          <w:sz w:val="18"/>
          <w:szCs w:val="18"/>
        </w:rPr>
        <w:t xml:space="preserve">Yu </w:t>
      </w:r>
      <w:r w:rsidRPr="00EF579E">
        <w:rPr>
          <w:color w:val="0070C0"/>
          <w:sz w:val="18"/>
          <w:szCs w:val="18"/>
        </w:rPr>
        <w:t>2016</w:t>
      </w:r>
      <w:r w:rsidR="00140B56">
        <w:rPr>
          <w:sz w:val="18"/>
          <w:szCs w:val="18"/>
        </w:rPr>
        <w:t>;</w:t>
      </w:r>
      <w:r w:rsidRPr="00036069">
        <w:rPr>
          <w:sz w:val="18"/>
          <w:szCs w:val="18"/>
        </w:rPr>
        <w:t xml:space="preserve"> Ord </w:t>
      </w:r>
      <w:r w:rsidRPr="00EF579E">
        <w:rPr>
          <w:color w:val="0070C0"/>
          <w:sz w:val="18"/>
          <w:szCs w:val="18"/>
        </w:rPr>
        <w:t>1975</w:t>
      </w:r>
      <w:r w:rsidRPr="00036069">
        <w:rPr>
          <w:sz w:val="18"/>
          <w:szCs w:val="18"/>
        </w:rPr>
        <w:t>).</w:t>
      </w:r>
    </w:p>
  </w:footnote>
  <w:footnote w:id="11">
    <w:p w14:paraId="114D19E1" w14:textId="70C8A534" w:rsidR="00D62AD1" w:rsidRPr="00036069" w:rsidRDefault="00D62AD1" w:rsidP="00AE164A">
      <w:pPr>
        <w:pStyle w:val="footnotedescription"/>
        <w:spacing w:line="285" w:lineRule="auto"/>
        <w:ind w:right="4"/>
        <w:rPr>
          <w:sz w:val="18"/>
          <w:szCs w:val="18"/>
        </w:rPr>
      </w:pPr>
      <w:r w:rsidRPr="00036069">
        <w:rPr>
          <w:rStyle w:val="footnotemark"/>
          <w:sz w:val="18"/>
          <w:szCs w:val="18"/>
        </w:rPr>
        <w:footnoteRef/>
      </w:r>
      <w:r w:rsidRPr="00036069">
        <w:rPr>
          <w:sz w:val="18"/>
          <w:szCs w:val="18"/>
        </w:rPr>
        <w:t xml:space="preserve"> Yu </w:t>
      </w:r>
      <w:r w:rsidRPr="00235D31">
        <w:rPr>
          <w:sz w:val="18"/>
          <w:szCs w:val="18"/>
        </w:rPr>
        <w:t>et al</w:t>
      </w:r>
      <w:r>
        <w:rPr>
          <w:i/>
          <w:iCs/>
          <w:sz w:val="18"/>
          <w:szCs w:val="18"/>
        </w:rPr>
        <w:t>.</w:t>
      </w:r>
      <w:r w:rsidRPr="00036069">
        <w:rPr>
          <w:sz w:val="18"/>
          <w:szCs w:val="18"/>
        </w:rPr>
        <w:t xml:space="preserve"> (</w:t>
      </w:r>
      <w:r w:rsidRPr="00A357E6">
        <w:rPr>
          <w:color w:val="0070C0"/>
          <w:sz w:val="18"/>
          <w:szCs w:val="18"/>
        </w:rPr>
        <w:t>2008</w:t>
      </w:r>
      <w:r w:rsidRPr="00036069">
        <w:rPr>
          <w:sz w:val="18"/>
          <w:szCs w:val="18"/>
        </w:rPr>
        <w:t xml:space="preserve">) build a bias-corrected quasi maximum-likelihood (QML) estimator to estimate a dynamic spatial panel model with spatial fixed effects. This estimator can be constructed by the Stata command “xsmle” (Belotti </w:t>
      </w:r>
      <w:r w:rsidRPr="00235D31">
        <w:rPr>
          <w:sz w:val="18"/>
          <w:szCs w:val="18"/>
        </w:rPr>
        <w:t>et al.</w:t>
      </w:r>
      <w:r w:rsidRPr="00036069">
        <w:rPr>
          <w:sz w:val="18"/>
          <w:szCs w:val="18"/>
        </w:rPr>
        <w:t xml:space="preserve"> </w:t>
      </w:r>
      <w:r w:rsidRPr="00A357E6">
        <w:rPr>
          <w:color w:val="0070C0"/>
          <w:sz w:val="18"/>
          <w:szCs w:val="18"/>
        </w:rPr>
        <w:t>2017</w:t>
      </w:r>
      <w:r w:rsidRPr="00036069">
        <w:rPr>
          <w:sz w:val="18"/>
          <w:szCs w:val="18"/>
        </w:rPr>
        <w:t>). Moreover, “xsmle” treats the dynamic terms, viz., temporally spatial lagged dependent variable (W</w:t>
      </w:r>
      <w:r w:rsidRPr="00036069">
        <w:rPr>
          <w:sz w:val="18"/>
          <w:szCs w:val="18"/>
          <w:vertAlign w:val="subscript"/>
        </w:rPr>
        <w:t>ij</w:t>
      </w:r>
      <w:r w:rsidRPr="00036069">
        <w:rPr>
          <w:sz w:val="18"/>
          <w:szCs w:val="18"/>
        </w:rPr>
        <w:t>Y</w:t>
      </w:r>
      <w:r w:rsidRPr="00036069">
        <w:rPr>
          <w:sz w:val="18"/>
          <w:szCs w:val="18"/>
          <w:vertAlign w:val="subscript"/>
        </w:rPr>
        <w:t>it</w:t>
      </w:r>
      <w:r w:rsidRPr="00036069">
        <w:rPr>
          <w:rFonts w:eastAsia="Calibri"/>
          <w:sz w:val="18"/>
          <w:szCs w:val="18"/>
        </w:rPr>
        <w:t>−</w:t>
      </w:r>
      <w:r w:rsidRPr="00036069">
        <w:rPr>
          <w:sz w:val="18"/>
          <w:szCs w:val="18"/>
        </w:rPr>
        <w:t>1) and temporally</w:t>
      </w:r>
      <w:r w:rsidRPr="00187F5A">
        <w:rPr>
          <w:rFonts w:asciiTheme="minorHAnsi" w:hAnsiTheme="minorHAnsi" w:cstheme="minorHAnsi"/>
          <w:sz w:val="18"/>
          <w:szCs w:val="18"/>
        </w:rPr>
        <w:t xml:space="preserve"> </w:t>
      </w:r>
      <w:r w:rsidRPr="00036069">
        <w:rPr>
          <w:sz w:val="18"/>
          <w:szCs w:val="18"/>
        </w:rPr>
        <w:t>lagged dependent variable (Y</w:t>
      </w:r>
      <w:r w:rsidRPr="00036069">
        <w:rPr>
          <w:sz w:val="18"/>
          <w:szCs w:val="18"/>
          <w:vertAlign w:val="subscript"/>
        </w:rPr>
        <w:t>it</w:t>
      </w:r>
      <w:r w:rsidRPr="00036069">
        <w:rPr>
          <w:rFonts w:eastAsia="Calibri"/>
          <w:sz w:val="18"/>
          <w:szCs w:val="18"/>
        </w:rPr>
        <w:t>−</w:t>
      </w:r>
      <w:r w:rsidRPr="00036069">
        <w:rPr>
          <w:sz w:val="18"/>
          <w:szCs w:val="18"/>
        </w:rPr>
        <w:t xml:space="preserve">1), as the predetermined variables. A bias-corrected ML technique (i.e., quasi maximum likelihood (QML)) can be used for the purpose (Yu </w:t>
      </w:r>
      <w:r w:rsidRPr="00235D31">
        <w:rPr>
          <w:sz w:val="18"/>
          <w:szCs w:val="18"/>
        </w:rPr>
        <w:t>et al.</w:t>
      </w:r>
      <w:r w:rsidRPr="00036069">
        <w:rPr>
          <w:sz w:val="18"/>
          <w:szCs w:val="18"/>
        </w:rPr>
        <w:t xml:space="preserve"> </w:t>
      </w:r>
      <w:r w:rsidRPr="00A357E6">
        <w:rPr>
          <w:color w:val="0070C0"/>
          <w:sz w:val="18"/>
          <w:szCs w:val="18"/>
        </w:rPr>
        <w:t>2008</w:t>
      </w:r>
      <w:r w:rsidRPr="00036069">
        <w:rPr>
          <w:sz w:val="18"/>
          <w:szCs w:val="18"/>
        </w:rPr>
        <w:t>). For simplicity, we use the terms ML and QML interchangeably throughout the paper.</w:t>
      </w:r>
    </w:p>
  </w:footnote>
  <w:footnote w:id="12">
    <w:p w14:paraId="5BFD94EB" w14:textId="4FDBD054" w:rsidR="009B588C" w:rsidRPr="00FF53A5" w:rsidRDefault="009B588C" w:rsidP="00AF452C">
      <w:pPr>
        <w:ind w:left="-10" w:right="7"/>
        <w:jc w:val="both"/>
        <w:rPr>
          <w:sz w:val="18"/>
          <w:szCs w:val="18"/>
        </w:rPr>
      </w:pPr>
      <w:r w:rsidRPr="00FF53A5">
        <w:rPr>
          <w:rStyle w:val="FootnoteReference"/>
          <w:sz w:val="18"/>
          <w:szCs w:val="18"/>
        </w:rPr>
        <w:footnoteRef/>
      </w:r>
      <w:r w:rsidRPr="00FF53A5">
        <w:t xml:space="preserve"> </w:t>
      </w:r>
      <w:r w:rsidRPr="00FF53A5">
        <w:rPr>
          <w:sz w:val="18"/>
          <w:szCs w:val="18"/>
        </w:rPr>
        <w:t xml:space="preserve">The literature also suggests that the partial derivative (PD) estimation of the SDM parameters can shed new light on interpreting different types of parameters (direct/indirect effects of independent variables). Also, it can test the hypothesis of whether spatial spill-over effects exist in the tested empirical specification. Distinct from the classical point estimates, the PD method overcomes the typical problem of invalid comparisons of point estimates from various spatial regression models, implying that changing model specifications might lead to heterogeneous inferences (see LeSage and </w:t>
      </w:r>
      <w:r w:rsidR="00140B56">
        <w:rPr>
          <w:sz w:val="18"/>
          <w:szCs w:val="18"/>
        </w:rPr>
        <w:t>Pace</w:t>
      </w:r>
      <w:r w:rsidRPr="00FF53A5">
        <w:rPr>
          <w:sz w:val="18"/>
          <w:szCs w:val="18"/>
        </w:rPr>
        <w:t xml:space="preserve"> </w:t>
      </w:r>
      <w:r w:rsidRPr="00484BCF">
        <w:rPr>
          <w:color w:val="004F88"/>
          <w:sz w:val="18"/>
          <w:szCs w:val="18"/>
        </w:rPr>
        <w:t>2009</w:t>
      </w:r>
      <w:r w:rsidRPr="00FF53A5">
        <w:rPr>
          <w:sz w:val="18"/>
          <w:szCs w:val="18"/>
        </w:rPr>
        <w:t>), for exhaustive discussions of the properties of this method. In addition, the PD method provides us with both long-term and short-term direct/indirect effects of independent variables.</w:t>
      </w:r>
      <w:r w:rsidR="00AF452C" w:rsidRPr="00FF53A5">
        <w:rPr>
          <w:sz w:val="18"/>
          <w:szCs w:val="18"/>
        </w:rPr>
        <w:t xml:space="preserve"> </w:t>
      </w:r>
      <w:r w:rsidRPr="00FF53A5">
        <w:rPr>
          <w:sz w:val="18"/>
          <w:szCs w:val="18"/>
        </w:rPr>
        <w:t>A challenge concerning SDM is the interpretation of the dynamic terms in the model. Tao and Yu (</w:t>
      </w:r>
      <w:r w:rsidRPr="00484BCF">
        <w:rPr>
          <w:color w:val="004F88"/>
          <w:sz w:val="18"/>
          <w:szCs w:val="18"/>
        </w:rPr>
        <w:t>2012</w:t>
      </w:r>
      <w:r w:rsidRPr="00FF53A5">
        <w:rPr>
          <w:sz w:val="18"/>
          <w:szCs w:val="18"/>
        </w:rPr>
        <w:t>) stress the necessity to add a spatially weighted temporal lag of the dependent variable (WY</w:t>
      </w:r>
      <w:r w:rsidRPr="00FF53A5">
        <w:rPr>
          <w:sz w:val="18"/>
          <w:szCs w:val="18"/>
          <w:vertAlign w:val="subscript"/>
        </w:rPr>
        <w:t>t-1</w:t>
      </w:r>
      <w:r w:rsidRPr="00FF53A5">
        <w:rPr>
          <w:sz w:val="18"/>
          <w:szCs w:val="18"/>
        </w:rPr>
        <w:t>) in the SDM model because this term can account for either policy adjustments or inter-temporal budget constraints. Its omission may result in serious bias in estimations. The general empirical finding is that this WY</w:t>
      </w:r>
      <w:r w:rsidRPr="00FF53A5">
        <w:rPr>
          <w:sz w:val="18"/>
          <w:szCs w:val="18"/>
          <w:vertAlign w:val="subscript"/>
        </w:rPr>
        <w:t>t-1</w:t>
      </w:r>
      <w:r w:rsidRPr="00FF53A5">
        <w:rPr>
          <w:sz w:val="18"/>
          <w:szCs w:val="18"/>
        </w:rPr>
        <w:t xml:space="preserve"> can give rise to an estimated negative coefficient, which is sometimes hard to lend a sensible empirical interpretation to. Following Tao and Yu (</w:t>
      </w:r>
      <w:r w:rsidRPr="00484BCF">
        <w:rPr>
          <w:color w:val="004F88"/>
          <w:sz w:val="18"/>
          <w:szCs w:val="18"/>
        </w:rPr>
        <w:t>2012</w:t>
      </w:r>
      <w:r w:rsidRPr="00FF53A5">
        <w:rPr>
          <w:sz w:val="18"/>
          <w:szCs w:val="18"/>
        </w:rPr>
        <w:t>), the negative coefficient may arise when the coefficients of both contemporaneous spatial (WY</w:t>
      </w:r>
      <w:r w:rsidRPr="00FF53A5">
        <w:rPr>
          <w:sz w:val="18"/>
          <w:szCs w:val="18"/>
          <w:vertAlign w:val="subscript"/>
        </w:rPr>
        <w:t>t</w:t>
      </w:r>
      <w:r w:rsidRPr="00FF53A5">
        <w:rPr>
          <w:sz w:val="18"/>
          <w:szCs w:val="18"/>
        </w:rPr>
        <w:t>) and temporal (Y</w:t>
      </w:r>
      <w:r w:rsidRPr="00FF53A5">
        <w:rPr>
          <w:sz w:val="18"/>
          <w:szCs w:val="18"/>
          <w:vertAlign w:val="subscript"/>
        </w:rPr>
        <w:t>t-1</w:t>
      </w:r>
      <w:r w:rsidRPr="00FF53A5">
        <w:rPr>
          <w:sz w:val="18"/>
          <w:szCs w:val="18"/>
        </w:rPr>
        <w:t>) lags of the dependent variable are jointly positive. In our empirical investigation, such a situation may arise. We provide both statistical and empirical interpretations of this result.</w:t>
      </w:r>
    </w:p>
    <w:p w14:paraId="7E107321" w14:textId="2A46D450" w:rsidR="009B588C" w:rsidRDefault="009B588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27A74"/>
    <w:multiLevelType w:val="hybridMultilevel"/>
    <w:tmpl w:val="C1D69FA8"/>
    <w:lvl w:ilvl="0" w:tplc="37482D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DC1103"/>
    <w:multiLevelType w:val="hybridMultilevel"/>
    <w:tmpl w:val="8EF613D0"/>
    <w:lvl w:ilvl="0" w:tplc="B204EB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5A614E"/>
    <w:multiLevelType w:val="multilevel"/>
    <w:tmpl w:val="69C07B9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E70745"/>
    <w:multiLevelType w:val="hybridMultilevel"/>
    <w:tmpl w:val="175447F2"/>
    <w:lvl w:ilvl="0" w:tplc="9D8A5CB0">
      <w:start w:val="1"/>
      <w:numFmt w:val="decimal"/>
      <w:lvlText w:val="%1"/>
      <w:lvlJc w:val="left"/>
      <w:pPr>
        <w:ind w:left="2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26B08990">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0276CAA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65169392">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B7942258">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EC5AFA6C">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99909C02">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6D086CF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8C669E4A">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4" w15:restartNumberingAfterBreak="0">
    <w:nsid w:val="4D130833"/>
    <w:multiLevelType w:val="multilevel"/>
    <w:tmpl w:val="7F30E7B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A91CF2"/>
    <w:multiLevelType w:val="multilevel"/>
    <w:tmpl w:val="5B727A8C"/>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907837432">
    <w:abstractNumId w:val="5"/>
  </w:num>
  <w:num w:numId="2" w16cid:durableId="1950040157">
    <w:abstractNumId w:val="5"/>
  </w:num>
  <w:num w:numId="3" w16cid:durableId="512458445">
    <w:abstractNumId w:val="5"/>
  </w:num>
  <w:num w:numId="4" w16cid:durableId="2009401528">
    <w:abstractNumId w:val="3"/>
  </w:num>
  <w:num w:numId="5" w16cid:durableId="1234850193">
    <w:abstractNumId w:val="1"/>
  </w:num>
  <w:num w:numId="6" w16cid:durableId="1991210752">
    <w:abstractNumId w:val="5"/>
  </w:num>
  <w:num w:numId="7" w16cid:durableId="571887260">
    <w:abstractNumId w:val="0"/>
  </w:num>
  <w:num w:numId="8" w16cid:durableId="45876833">
    <w:abstractNumId w:val="2"/>
  </w:num>
  <w:num w:numId="9" w16cid:durableId="2079208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fr-FR" w:vendorID="64" w:dllVersion="4096" w:nlCheck="1" w:checkStyle="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jUwMbM0NbQ0NzZX0lEKTi0uzszPAykwqgUAb0YMqiwAAAA="/>
  </w:docVars>
  <w:rsids>
    <w:rsidRoot w:val="00862C4D"/>
    <w:rsid w:val="000009BA"/>
    <w:rsid w:val="00000BFB"/>
    <w:rsid w:val="000011E5"/>
    <w:rsid w:val="0000217C"/>
    <w:rsid w:val="0000284E"/>
    <w:rsid w:val="00002BDA"/>
    <w:rsid w:val="00002C41"/>
    <w:rsid w:val="000071F7"/>
    <w:rsid w:val="00012141"/>
    <w:rsid w:val="000122FA"/>
    <w:rsid w:val="000122FB"/>
    <w:rsid w:val="00013646"/>
    <w:rsid w:val="000136CF"/>
    <w:rsid w:val="00014C54"/>
    <w:rsid w:val="00021593"/>
    <w:rsid w:val="00024BE0"/>
    <w:rsid w:val="0002747E"/>
    <w:rsid w:val="00031204"/>
    <w:rsid w:val="0003213A"/>
    <w:rsid w:val="0003469B"/>
    <w:rsid w:val="00036069"/>
    <w:rsid w:val="0003786A"/>
    <w:rsid w:val="000408CB"/>
    <w:rsid w:val="0004130C"/>
    <w:rsid w:val="000431E0"/>
    <w:rsid w:val="00043F8E"/>
    <w:rsid w:val="00044D73"/>
    <w:rsid w:val="00044E96"/>
    <w:rsid w:val="00045970"/>
    <w:rsid w:val="00053F8A"/>
    <w:rsid w:val="00060A70"/>
    <w:rsid w:val="00060E02"/>
    <w:rsid w:val="0006163F"/>
    <w:rsid w:val="00064009"/>
    <w:rsid w:val="00064731"/>
    <w:rsid w:val="00065168"/>
    <w:rsid w:val="00066010"/>
    <w:rsid w:val="00067B0B"/>
    <w:rsid w:val="00067D80"/>
    <w:rsid w:val="00071DCC"/>
    <w:rsid w:val="0007251E"/>
    <w:rsid w:val="000769A2"/>
    <w:rsid w:val="000777B2"/>
    <w:rsid w:val="00077BEF"/>
    <w:rsid w:val="0008065E"/>
    <w:rsid w:val="00081DC6"/>
    <w:rsid w:val="000821AD"/>
    <w:rsid w:val="00084194"/>
    <w:rsid w:val="000843FA"/>
    <w:rsid w:val="00084AC3"/>
    <w:rsid w:val="0009018A"/>
    <w:rsid w:val="00090ABB"/>
    <w:rsid w:val="00090E87"/>
    <w:rsid w:val="000940A7"/>
    <w:rsid w:val="00095DBE"/>
    <w:rsid w:val="000A0F42"/>
    <w:rsid w:val="000A10A8"/>
    <w:rsid w:val="000A28A8"/>
    <w:rsid w:val="000A78A2"/>
    <w:rsid w:val="000A7E97"/>
    <w:rsid w:val="000B2614"/>
    <w:rsid w:val="000C4248"/>
    <w:rsid w:val="000C46CA"/>
    <w:rsid w:val="000C6783"/>
    <w:rsid w:val="000D0314"/>
    <w:rsid w:val="000D2330"/>
    <w:rsid w:val="000D5371"/>
    <w:rsid w:val="000D6B77"/>
    <w:rsid w:val="000D7ED7"/>
    <w:rsid w:val="000E0299"/>
    <w:rsid w:val="000E083D"/>
    <w:rsid w:val="000E213F"/>
    <w:rsid w:val="000E4EAB"/>
    <w:rsid w:val="000F24D6"/>
    <w:rsid w:val="000F3C7E"/>
    <w:rsid w:val="000F4729"/>
    <w:rsid w:val="000F5D93"/>
    <w:rsid w:val="000F6119"/>
    <w:rsid w:val="000F6D6E"/>
    <w:rsid w:val="001014A0"/>
    <w:rsid w:val="001050E1"/>
    <w:rsid w:val="00105AE5"/>
    <w:rsid w:val="001067DE"/>
    <w:rsid w:val="001072E3"/>
    <w:rsid w:val="00107E10"/>
    <w:rsid w:val="00111805"/>
    <w:rsid w:val="0011278E"/>
    <w:rsid w:val="00112EF2"/>
    <w:rsid w:val="0011380B"/>
    <w:rsid w:val="001143FD"/>
    <w:rsid w:val="00115EB1"/>
    <w:rsid w:val="00120166"/>
    <w:rsid w:val="00124435"/>
    <w:rsid w:val="00124FE2"/>
    <w:rsid w:val="001250FA"/>
    <w:rsid w:val="00125393"/>
    <w:rsid w:val="001269E8"/>
    <w:rsid w:val="00127826"/>
    <w:rsid w:val="00131DBB"/>
    <w:rsid w:val="001346E5"/>
    <w:rsid w:val="00134A41"/>
    <w:rsid w:val="00134C57"/>
    <w:rsid w:val="001402E6"/>
    <w:rsid w:val="0014063E"/>
    <w:rsid w:val="00140B56"/>
    <w:rsid w:val="00142C8B"/>
    <w:rsid w:val="00143B2F"/>
    <w:rsid w:val="001459F9"/>
    <w:rsid w:val="001461A8"/>
    <w:rsid w:val="00147AEE"/>
    <w:rsid w:val="00151D4E"/>
    <w:rsid w:val="00152AA4"/>
    <w:rsid w:val="0015646B"/>
    <w:rsid w:val="00157A84"/>
    <w:rsid w:val="001622ED"/>
    <w:rsid w:val="001633D8"/>
    <w:rsid w:val="00165DB6"/>
    <w:rsid w:val="00166180"/>
    <w:rsid w:val="00166432"/>
    <w:rsid w:val="001669EB"/>
    <w:rsid w:val="001704AA"/>
    <w:rsid w:val="0017197F"/>
    <w:rsid w:val="0017356D"/>
    <w:rsid w:val="00173E2E"/>
    <w:rsid w:val="001755F4"/>
    <w:rsid w:val="00175ACD"/>
    <w:rsid w:val="00175C34"/>
    <w:rsid w:val="00175E9B"/>
    <w:rsid w:val="00176ADF"/>
    <w:rsid w:val="00176FD4"/>
    <w:rsid w:val="00177493"/>
    <w:rsid w:val="00177AFC"/>
    <w:rsid w:val="00180F69"/>
    <w:rsid w:val="00181970"/>
    <w:rsid w:val="0018365B"/>
    <w:rsid w:val="00187F5A"/>
    <w:rsid w:val="00193119"/>
    <w:rsid w:val="001A0033"/>
    <w:rsid w:val="001A02D9"/>
    <w:rsid w:val="001A275D"/>
    <w:rsid w:val="001A65CB"/>
    <w:rsid w:val="001A6809"/>
    <w:rsid w:val="001A68AC"/>
    <w:rsid w:val="001B0636"/>
    <w:rsid w:val="001B0984"/>
    <w:rsid w:val="001B17BD"/>
    <w:rsid w:val="001B438B"/>
    <w:rsid w:val="001B57E4"/>
    <w:rsid w:val="001C0B30"/>
    <w:rsid w:val="001C589C"/>
    <w:rsid w:val="001C61A2"/>
    <w:rsid w:val="001C704A"/>
    <w:rsid w:val="001D1A5A"/>
    <w:rsid w:val="001D1C7B"/>
    <w:rsid w:val="001D20E5"/>
    <w:rsid w:val="001D317B"/>
    <w:rsid w:val="001D5D96"/>
    <w:rsid w:val="001D7EC5"/>
    <w:rsid w:val="001E616C"/>
    <w:rsid w:val="001E6B6F"/>
    <w:rsid w:val="001E6CBE"/>
    <w:rsid w:val="001F4974"/>
    <w:rsid w:val="001F4983"/>
    <w:rsid w:val="001F5755"/>
    <w:rsid w:val="001F5A01"/>
    <w:rsid w:val="001F5EA0"/>
    <w:rsid w:val="00201C8C"/>
    <w:rsid w:val="00201F68"/>
    <w:rsid w:val="0021367B"/>
    <w:rsid w:val="002153D1"/>
    <w:rsid w:val="00215836"/>
    <w:rsid w:val="00215C1A"/>
    <w:rsid w:val="00216C9A"/>
    <w:rsid w:val="00217F6A"/>
    <w:rsid w:val="00220A54"/>
    <w:rsid w:val="00220E11"/>
    <w:rsid w:val="00221447"/>
    <w:rsid w:val="00227B5B"/>
    <w:rsid w:val="00230D9E"/>
    <w:rsid w:val="00230F86"/>
    <w:rsid w:val="00232853"/>
    <w:rsid w:val="00235859"/>
    <w:rsid w:val="00235915"/>
    <w:rsid w:val="00235D31"/>
    <w:rsid w:val="0023683F"/>
    <w:rsid w:val="00241B4E"/>
    <w:rsid w:val="00242013"/>
    <w:rsid w:val="0024211C"/>
    <w:rsid w:val="00242BF1"/>
    <w:rsid w:val="00244336"/>
    <w:rsid w:val="00245843"/>
    <w:rsid w:val="0024777F"/>
    <w:rsid w:val="002518BE"/>
    <w:rsid w:val="00252EE0"/>
    <w:rsid w:val="00254EF4"/>
    <w:rsid w:val="00256B35"/>
    <w:rsid w:val="002571BF"/>
    <w:rsid w:val="00257527"/>
    <w:rsid w:val="00257A34"/>
    <w:rsid w:val="00260B68"/>
    <w:rsid w:val="0026149A"/>
    <w:rsid w:val="00261D76"/>
    <w:rsid w:val="00262B8B"/>
    <w:rsid w:val="00263200"/>
    <w:rsid w:val="00263D44"/>
    <w:rsid w:val="0026438C"/>
    <w:rsid w:val="00265BA9"/>
    <w:rsid w:val="00265C5A"/>
    <w:rsid w:val="00267EFF"/>
    <w:rsid w:val="00270150"/>
    <w:rsid w:val="00270169"/>
    <w:rsid w:val="002728EF"/>
    <w:rsid w:val="00274AB0"/>
    <w:rsid w:val="00280034"/>
    <w:rsid w:val="0028462D"/>
    <w:rsid w:val="0028481C"/>
    <w:rsid w:val="00292658"/>
    <w:rsid w:val="002934B3"/>
    <w:rsid w:val="0029353F"/>
    <w:rsid w:val="00294761"/>
    <w:rsid w:val="00295426"/>
    <w:rsid w:val="00295F43"/>
    <w:rsid w:val="002A33F0"/>
    <w:rsid w:val="002A3504"/>
    <w:rsid w:val="002B1C00"/>
    <w:rsid w:val="002B2B9A"/>
    <w:rsid w:val="002B3AED"/>
    <w:rsid w:val="002B51D2"/>
    <w:rsid w:val="002C3808"/>
    <w:rsid w:val="002C5095"/>
    <w:rsid w:val="002C652A"/>
    <w:rsid w:val="002D03EE"/>
    <w:rsid w:val="002D2576"/>
    <w:rsid w:val="002E12D9"/>
    <w:rsid w:val="002E1949"/>
    <w:rsid w:val="002E23B8"/>
    <w:rsid w:val="002E2427"/>
    <w:rsid w:val="002E4975"/>
    <w:rsid w:val="002E798C"/>
    <w:rsid w:val="002F168D"/>
    <w:rsid w:val="002F58EC"/>
    <w:rsid w:val="002F7CB7"/>
    <w:rsid w:val="00301D90"/>
    <w:rsid w:val="00302189"/>
    <w:rsid w:val="00302D37"/>
    <w:rsid w:val="00305BD9"/>
    <w:rsid w:val="00307F86"/>
    <w:rsid w:val="00314049"/>
    <w:rsid w:val="003144AA"/>
    <w:rsid w:val="00316706"/>
    <w:rsid w:val="00317677"/>
    <w:rsid w:val="00317956"/>
    <w:rsid w:val="0032177B"/>
    <w:rsid w:val="00321FAD"/>
    <w:rsid w:val="00323654"/>
    <w:rsid w:val="00326B3D"/>
    <w:rsid w:val="00336272"/>
    <w:rsid w:val="00337D66"/>
    <w:rsid w:val="00340899"/>
    <w:rsid w:val="003475CD"/>
    <w:rsid w:val="00350076"/>
    <w:rsid w:val="0035020A"/>
    <w:rsid w:val="003528CC"/>
    <w:rsid w:val="00354FC6"/>
    <w:rsid w:val="00357C27"/>
    <w:rsid w:val="00360255"/>
    <w:rsid w:val="00362072"/>
    <w:rsid w:val="00362D44"/>
    <w:rsid w:val="003643C6"/>
    <w:rsid w:val="0036481E"/>
    <w:rsid w:val="00372549"/>
    <w:rsid w:val="00373094"/>
    <w:rsid w:val="003730D0"/>
    <w:rsid w:val="00373D55"/>
    <w:rsid w:val="00373EA9"/>
    <w:rsid w:val="00374B90"/>
    <w:rsid w:val="00375107"/>
    <w:rsid w:val="00375BC5"/>
    <w:rsid w:val="003765B3"/>
    <w:rsid w:val="00380518"/>
    <w:rsid w:val="00380E2F"/>
    <w:rsid w:val="00386B53"/>
    <w:rsid w:val="003903CA"/>
    <w:rsid w:val="0039102F"/>
    <w:rsid w:val="00391497"/>
    <w:rsid w:val="00394DCC"/>
    <w:rsid w:val="003954A0"/>
    <w:rsid w:val="0039568E"/>
    <w:rsid w:val="00396812"/>
    <w:rsid w:val="003A0134"/>
    <w:rsid w:val="003A157E"/>
    <w:rsid w:val="003A367C"/>
    <w:rsid w:val="003A3895"/>
    <w:rsid w:val="003A4ED6"/>
    <w:rsid w:val="003A5D66"/>
    <w:rsid w:val="003A7E73"/>
    <w:rsid w:val="003B157D"/>
    <w:rsid w:val="003B3F2E"/>
    <w:rsid w:val="003B4F6D"/>
    <w:rsid w:val="003C0045"/>
    <w:rsid w:val="003C2C4D"/>
    <w:rsid w:val="003C40CB"/>
    <w:rsid w:val="003C46ED"/>
    <w:rsid w:val="003C5EC7"/>
    <w:rsid w:val="003C641E"/>
    <w:rsid w:val="003C71F6"/>
    <w:rsid w:val="003C7AEC"/>
    <w:rsid w:val="003D0475"/>
    <w:rsid w:val="003D1A21"/>
    <w:rsid w:val="003D1A25"/>
    <w:rsid w:val="003D25D9"/>
    <w:rsid w:val="003D31FB"/>
    <w:rsid w:val="003D3F90"/>
    <w:rsid w:val="003D58CC"/>
    <w:rsid w:val="003D6EAE"/>
    <w:rsid w:val="003D73BC"/>
    <w:rsid w:val="003E3807"/>
    <w:rsid w:val="003E42F5"/>
    <w:rsid w:val="003E4D44"/>
    <w:rsid w:val="003E60A7"/>
    <w:rsid w:val="003F0E82"/>
    <w:rsid w:val="003F1AE8"/>
    <w:rsid w:val="003F3C0E"/>
    <w:rsid w:val="003F4185"/>
    <w:rsid w:val="00400CAA"/>
    <w:rsid w:val="004018DD"/>
    <w:rsid w:val="00403288"/>
    <w:rsid w:val="004043C1"/>
    <w:rsid w:val="00405CC0"/>
    <w:rsid w:val="0040612F"/>
    <w:rsid w:val="004078D2"/>
    <w:rsid w:val="00411A94"/>
    <w:rsid w:val="00413F42"/>
    <w:rsid w:val="00414A02"/>
    <w:rsid w:val="00414B04"/>
    <w:rsid w:val="00416A04"/>
    <w:rsid w:val="00421C59"/>
    <w:rsid w:val="00424323"/>
    <w:rsid w:val="004249BB"/>
    <w:rsid w:val="0042546A"/>
    <w:rsid w:val="004304ED"/>
    <w:rsid w:val="00430853"/>
    <w:rsid w:val="0044131D"/>
    <w:rsid w:val="0044349C"/>
    <w:rsid w:val="00450110"/>
    <w:rsid w:val="00455F1F"/>
    <w:rsid w:val="00457EF4"/>
    <w:rsid w:val="00460921"/>
    <w:rsid w:val="00460B17"/>
    <w:rsid w:val="0046281F"/>
    <w:rsid w:val="004654EE"/>
    <w:rsid w:val="004704BB"/>
    <w:rsid w:val="00472A6C"/>
    <w:rsid w:val="00472AEB"/>
    <w:rsid w:val="00474117"/>
    <w:rsid w:val="00477FAA"/>
    <w:rsid w:val="00483503"/>
    <w:rsid w:val="00484BCF"/>
    <w:rsid w:val="00487518"/>
    <w:rsid w:val="00490155"/>
    <w:rsid w:val="00495A60"/>
    <w:rsid w:val="00497433"/>
    <w:rsid w:val="004A0505"/>
    <w:rsid w:val="004A0E6B"/>
    <w:rsid w:val="004A124B"/>
    <w:rsid w:val="004A1951"/>
    <w:rsid w:val="004A25BF"/>
    <w:rsid w:val="004A2E3D"/>
    <w:rsid w:val="004A6289"/>
    <w:rsid w:val="004A6296"/>
    <w:rsid w:val="004A7103"/>
    <w:rsid w:val="004B12C5"/>
    <w:rsid w:val="004B14F4"/>
    <w:rsid w:val="004B200A"/>
    <w:rsid w:val="004B27C4"/>
    <w:rsid w:val="004B6384"/>
    <w:rsid w:val="004C0046"/>
    <w:rsid w:val="004C16CB"/>
    <w:rsid w:val="004C312D"/>
    <w:rsid w:val="004C3800"/>
    <w:rsid w:val="004C3DBF"/>
    <w:rsid w:val="004C489B"/>
    <w:rsid w:val="004D1108"/>
    <w:rsid w:val="004D61C4"/>
    <w:rsid w:val="004D7452"/>
    <w:rsid w:val="004E0F32"/>
    <w:rsid w:val="004E252F"/>
    <w:rsid w:val="004E3623"/>
    <w:rsid w:val="004E5419"/>
    <w:rsid w:val="004E6125"/>
    <w:rsid w:val="004F20B3"/>
    <w:rsid w:val="004F27D1"/>
    <w:rsid w:val="004F648A"/>
    <w:rsid w:val="005013C3"/>
    <w:rsid w:val="00503D84"/>
    <w:rsid w:val="00506896"/>
    <w:rsid w:val="005075BC"/>
    <w:rsid w:val="005075D3"/>
    <w:rsid w:val="0051262F"/>
    <w:rsid w:val="00513719"/>
    <w:rsid w:val="00520B52"/>
    <w:rsid w:val="00524C97"/>
    <w:rsid w:val="00526729"/>
    <w:rsid w:val="00531F90"/>
    <w:rsid w:val="00532281"/>
    <w:rsid w:val="00532F45"/>
    <w:rsid w:val="00536FFB"/>
    <w:rsid w:val="00537C19"/>
    <w:rsid w:val="0054314A"/>
    <w:rsid w:val="00545EF3"/>
    <w:rsid w:val="0054610E"/>
    <w:rsid w:val="00546B42"/>
    <w:rsid w:val="00547400"/>
    <w:rsid w:val="005500DF"/>
    <w:rsid w:val="00550B2C"/>
    <w:rsid w:val="005527DC"/>
    <w:rsid w:val="00556192"/>
    <w:rsid w:val="00557516"/>
    <w:rsid w:val="00557760"/>
    <w:rsid w:val="00561017"/>
    <w:rsid w:val="00563230"/>
    <w:rsid w:val="00570239"/>
    <w:rsid w:val="005731D2"/>
    <w:rsid w:val="005749F4"/>
    <w:rsid w:val="00574BF2"/>
    <w:rsid w:val="00575EA5"/>
    <w:rsid w:val="00577498"/>
    <w:rsid w:val="00577AA5"/>
    <w:rsid w:val="00583A52"/>
    <w:rsid w:val="0058403A"/>
    <w:rsid w:val="00584FEF"/>
    <w:rsid w:val="00591939"/>
    <w:rsid w:val="00593B7D"/>
    <w:rsid w:val="00594045"/>
    <w:rsid w:val="005974C2"/>
    <w:rsid w:val="00597B01"/>
    <w:rsid w:val="00597E73"/>
    <w:rsid w:val="005A220A"/>
    <w:rsid w:val="005A22F2"/>
    <w:rsid w:val="005A2333"/>
    <w:rsid w:val="005A5B0D"/>
    <w:rsid w:val="005A6AE0"/>
    <w:rsid w:val="005B1D9D"/>
    <w:rsid w:val="005B1FB8"/>
    <w:rsid w:val="005B3119"/>
    <w:rsid w:val="005B41A3"/>
    <w:rsid w:val="005C0767"/>
    <w:rsid w:val="005C07B4"/>
    <w:rsid w:val="005C0856"/>
    <w:rsid w:val="005C2E11"/>
    <w:rsid w:val="005C381F"/>
    <w:rsid w:val="005C4AFC"/>
    <w:rsid w:val="005C7C75"/>
    <w:rsid w:val="005D0896"/>
    <w:rsid w:val="005D3674"/>
    <w:rsid w:val="005D489F"/>
    <w:rsid w:val="005D653D"/>
    <w:rsid w:val="005D6C4C"/>
    <w:rsid w:val="005D71C2"/>
    <w:rsid w:val="005D748A"/>
    <w:rsid w:val="005E146C"/>
    <w:rsid w:val="005E25C8"/>
    <w:rsid w:val="005F5967"/>
    <w:rsid w:val="005F5D0E"/>
    <w:rsid w:val="00602BF9"/>
    <w:rsid w:val="006111BC"/>
    <w:rsid w:val="0061400F"/>
    <w:rsid w:val="006154E0"/>
    <w:rsid w:val="00620606"/>
    <w:rsid w:val="00620F69"/>
    <w:rsid w:val="0062182B"/>
    <w:rsid w:val="00622172"/>
    <w:rsid w:val="00622D8B"/>
    <w:rsid w:val="00622ED3"/>
    <w:rsid w:val="00625356"/>
    <w:rsid w:val="00627583"/>
    <w:rsid w:val="00627896"/>
    <w:rsid w:val="00630088"/>
    <w:rsid w:val="00630486"/>
    <w:rsid w:val="00630B7F"/>
    <w:rsid w:val="00632F75"/>
    <w:rsid w:val="00634529"/>
    <w:rsid w:val="00641B63"/>
    <w:rsid w:val="00642CAA"/>
    <w:rsid w:val="006433DE"/>
    <w:rsid w:val="00647AC1"/>
    <w:rsid w:val="00651B3D"/>
    <w:rsid w:val="006550EA"/>
    <w:rsid w:val="006561CE"/>
    <w:rsid w:val="00657BE7"/>
    <w:rsid w:val="0066320F"/>
    <w:rsid w:val="00663630"/>
    <w:rsid w:val="00664C5D"/>
    <w:rsid w:val="00667BE2"/>
    <w:rsid w:val="00667C90"/>
    <w:rsid w:val="006709A1"/>
    <w:rsid w:val="00672D67"/>
    <w:rsid w:val="00675964"/>
    <w:rsid w:val="0067691E"/>
    <w:rsid w:val="0067763C"/>
    <w:rsid w:val="00680A22"/>
    <w:rsid w:val="00681DD7"/>
    <w:rsid w:val="00682284"/>
    <w:rsid w:val="00682ED0"/>
    <w:rsid w:val="00684E34"/>
    <w:rsid w:val="00686D8E"/>
    <w:rsid w:val="00690AC7"/>
    <w:rsid w:val="00691849"/>
    <w:rsid w:val="0069318F"/>
    <w:rsid w:val="006937AF"/>
    <w:rsid w:val="00695582"/>
    <w:rsid w:val="006964A5"/>
    <w:rsid w:val="006A0241"/>
    <w:rsid w:val="006A5DC9"/>
    <w:rsid w:val="006B09CA"/>
    <w:rsid w:val="006B0FD9"/>
    <w:rsid w:val="006B1150"/>
    <w:rsid w:val="006B3638"/>
    <w:rsid w:val="006B6B69"/>
    <w:rsid w:val="006C3122"/>
    <w:rsid w:val="006C47D8"/>
    <w:rsid w:val="006C513B"/>
    <w:rsid w:val="006C5411"/>
    <w:rsid w:val="006C5D72"/>
    <w:rsid w:val="006D15B7"/>
    <w:rsid w:val="006D3EB1"/>
    <w:rsid w:val="006D497E"/>
    <w:rsid w:val="006D498D"/>
    <w:rsid w:val="006D66B6"/>
    <w:rsid w:val="006D7822"/>
    <w:rsid w:val="006D7D93"/>
    <w:rsid w:val="006E03D3"/>
    <w:rsid w:val="006E0BDB"/>
    <w:rsid w:val="006E12DF"/>
    <w:rsid w:val="006E46AE"/>
    <w:rsid w:val="006E59E7"/>
    <w:rsid w:val="006E7998"/>
    <w:rsid w:val="006E7B30"/>
    <w:rsid w:val="006E7E79"/>
    <w:rsid w:val="006F00FF"/>
    <w:rsid w:val="006F16AD"/>
    <w:rsid w:val="006F179B"/>
    <w:rsid w:val="006F34B1"/>
    <w:rsid w:val="006F4CD1"/>
    <w:rsid w:val="006F6604"/>
    <w:rsid w:val="006F7148"/>
    <w:rsid w:val="00701E66"/>
    <w:rsid w:val="00702831"/>
    <w:rsid w:val="007034AE"/>
    <w:rsid w:val="00704511"/>
    <w:rsid w:val="007047A4"/>
    <w:rsid w:val="00704AE3"/>
    <w:rsid w:val="00706EDF"/>
    <w:rsid w:val="00707127"/>
    <w:rsid w:val="007107F2"/>
    <w:rsid w:val="00711B91"/>
    <w:rsid w:val="00711D4F"/>
    <w:rsid w:val="00711D93"/>
    <w:rsid w:val="00715E1F"/>
    <w:rsid w:val="007177B9"/>
    <w:rsid w:val="0072119A"/>
    <w:rsid w:val="007229C4"/>
    <w:rsid w:val="00726875"/>
    <w:rsid w:val="00727676"/>
    <w:rsid w:val="00727C99"/>
    <w:rsid w:val="0073122D"/>
    <w:rsid w:val="00731322"/>
    <w:rsid w:val="00732B72"/>
    <w:rsid w:val="00743C2A"/>
    <w:rsid w:val="007476FD"/>
    <w:rsid w:val="00752E65"/>
    <w:rsid w:val="00754EBE"/>
    <w:rsid w:val="00756018"/>
    <w:rsid w:val="00763B37"/>
    <w:rsid w:val="00764ECC"/>
    <w:rsid w:val="0077043A"/>
    <w:rsid w:val="0077267D"/>
    <w:rsid w:val="007728BA"/>
    <w:rsid w:val="00777C67"/>
    <w:rsid w:val="00783103"/>
    <w:rsid w:val="007845E8"/>
    <w:rsid w:val="007851A2"/>
    <w:rsid w:val="007869CB"/>
    <w:rsid w:val="00786CD3"/>
    <w:rsid w:val="00787A1A"/>
    <w:rsid w:val="00792612"/>
    <w:rsid w:val="007956D4"/>
    <w:rsid w:val="00796C10"/>
    <w:rsid w:val="007A0022"/>
    <w:rsid w:val="007A1EF3"/>
    <w:rsid w:val="007A61A7"/>
    <w:rsid w:val="007A74C6"/>
    <w:rsid w:val="007A78ED"/>
    <w:rsid w:val="007B0749"/>
    <w:rsid w:val="007B0DB2"/>
    <w:rsid w:val="007B349C"/>
    <w:rsid w:val="007B5931"/>
    <w:rsid w:val="007B67AD"/>
    <w:rsid w:val="007B74AA"/>
    <w:rsid w:val="007C02BB"/>
    <w:rsid w:val="007C3FBC"/>
    <w:rsid w:val="007C519F"/>
    <w:rsid w:val="007C5459"/>
    <w:rsid w:val="007C68DB"/>
    <w:rsid w:val="007D666A"/>
    <w:rsid w:val="007D7CDA"/>
    <w:rsid w:val="007E0BE0"/>
    <w:rsid w:val="007E0F6A"/>
    <w:rsid w:val="007E11C0"/>
    <w:rsid w:val="007E1356"/>
    <w:rsid w:val="007E2962"/>
    <w:rsid w:val="007E3420"/>
    <w:rsid w:val="007E4ED2"/>
    <w:rsid w:val="007E5D9B"/>
    <w:rsid w:val="007E71F0"/>
    <w:rsid w:val="007E7276"/>
    <w:rsid w:val="007F2972"/>
    <w:rsid w:val="007F3543"/>
    <w:rsid w:val="007F4DD8"/>
    <w:rsid w:val="007F5369"/>
    <w:rsid w:val="007F664F"/>
    <w:rsid w:val="007F7568"/>
    <w:rsid w:val="0080177F"/>
    <w:rsid w:val="0080190D"/>
    <w:rsid w:val="00801D91"/>
    <w:rsid w:val="008049E2"/>
    <w:rsid w:val="00805CCA"/>
    <w:rsid w:val="00816635"/>
    <w:rsid w:val="00821E7B"/>
    <w:rsid w:val="00822666"/>
    <w:rsid w:val="00823615"/>
    <w:rsid w:val="00823DA6"/>
    <w:rsid w:val="008244D9"/>
    <w:rsid w:val="008364A0"/>
    <w:rsid w:val="0084168E"/>
    <w:rsid w:val="00841798"/>
    <w:rsid w:val="008437CD"/>
    <w:rsid w:val="00847D67"/>
    <w:rsid w:val="00850917"/>
    <w:rsid w:val="00853A7E"/>
    <w:rsid w:val="00854DE2"/>
    <w:rsid w:val="008550C6"/>
    <w:rsid w:val="0085614B"/>
    <w:rsid w:val="008567F0"/>
    <w:rsid w:val="008625E0"/>
    <w:rsid w:val="00862C4D"/>
    <w:rsid w:val="0086630C"/>
    <w:rsid w:val="00866C11"/>
    <w:rsid w:val="00870F70"/>
    <w:rsid w:val="00871DA9"/>
    <w:rsid w:val="0088028D"/>
    <w:rsid w:val="00884ACD"/>
    <w:rsid w:val="00885918"/>
    <w:rsid w:val="00893A2F"/>
    <w:rsid w:val="00896489"/>
    <w:rsid w:val="00896BEF"/>
    <w:rsid w:val="008A4D7F"/>
    <w:rsid w:val="008A6375"/>
    <w:rsid w:val="008A6A72"/>
    <w:rsid w:val="008B2386"/>
    <w:rsid w:val="008B262A"/>
    <w:rsid w:val="008B40EA"/>
    <w:rsid w:val="008B4466"/>
    <w:rsid w:val="008B5502"/>
    <w:rsid w:val="008B605A"/>
    <w:rsid w:val="008B67C3"/>
    <w:rsid w:val="008B6875"/>
    <w:rsid w:val="008B737B"/>
    <w:rsid w:val="008C01F1"/>
    <w:rsid w:val="008C0785"/>
    <w:rsid w:val="008C18A8"/>
    <w:rsid w:val="008C1DE4"/>
    <w:rsid w:val="008C32DB"/>
    <w:rsid w:val="008C3513"/>
    <w:rsid w:val="008C4A61"/>
    <w:rsid w:val="008C6DD8"/>
    <w:rsid w:val="008C72FC"/>
    <w:rsid w:val="008D1701"/>
    <w:rsid w:val="008D3ABC"/>
    <w:rsid w:val="008D4C0A"/>
    <w:rsid w:val="008D6074"/>
    <w:rsid w:val="008E0CC8"/>
    <w:rsid w:val="008E15B6"/>
    <w:rsid w:val="008E2FC0"/>
    <w:rsid w:val="008E4EA7"/>
    <w:rsid w:val="008F02FE"/>
    <w:rsid w:val="008F10DE"/>
    <w:rsid w:val="008F1BEF"/>
    <w:rsid w:val="008F22A4"/>
    <w:rsid w:val="008F352E"/>
    <w:rsid w:val="008F3877"/>
    <w:rsid w:val="008F3CCA"/>
    <w:rsid w:val="008F5D8B"/>
    <w:rsid w:val="008F68EF"/>
    <w:rsid w:val="008F6F62"/>
    <w:rsid w:val="008F774B"/>
    <w:rsid w:val="00904D89"/>
    <w:rsid w:val="00905F55"/>
    <w:rsid w:val="009174D8"/>
    <w:rsid w:val="009209D8"/>
    <w:rsid w:val="00921354"/>
    <w:rsid w:val="0092212F"/>
    <w:rsid w:val="00923F82"/>
    <w:rsid w:val="00925A38"/>
    <w:rsid w:val="009278F8"/>
    <w:rsid w:val="00935E08"/>
    <w:rsid w:val="00936551"/>
    <w:rsid w:val="00937693"/>
    <w:rsid w:val="00942D1F"/>
    <w:rsid w:val="00943B29"/>
    <w:rsid w:val="009450C6"/>
    <w:rsid w:val="009453DD"/>
    <w:rsid w:val="009458F0"/>
    <w:rsid w:val="00946C09"/>
    <w:rsid w:val="00947B3C"/>
    <w:rsid w:val="009503FA"/>
    <w:rsid w:val="009512EC"/>
    <w:rsid w:val="00961D1D"/>
    <w:rsid w:val="00963E1E"/>
    <w:rsid w:val="00963F1D"/>
    <w:rsid w:val="00964F8F"/>
    <w:rsid w:val="00966C7B"/>
    <w:rsid w:val="00970CF9"/>
    <w:rsid w:val="00972217"/>
    <w:rsid w:val="00973949"/>
    <w:rsid w:val="009743ED"/>
    <w:rsid w:val="009753A0"/>
    <w:rsid w:val="00975812"/>
    <w:rsid w:val="00982103"/>
    <w:rsid w:val="0098449E"/>
    <w:rsid w:val="00984DE1"/>
    <w:rsid w:val="00985E65"/>
    <w:rsid w:val="009865D2"/>
    <w:rsid w:val="00986E97"/>
    <w:rsid w:val="00987D47"/>
    <w:rsid w:val="00991FBA"/>
    <w:rsid w:val="00994D9F"/>
    <w:rsid w:val="009A2A84"/>
    <w:rsid w:val="009B36D3"/>
    <w:rsid w:val="009B374F"/>
    <w:rsid w:val="009B588C"/>
    <w:rsid w:val="009B5A32"/>
    <w:rsid w:val="009C0BB7"/>
    <w:rsid w:val="009C2007"/>
    <w:rsid w:val="009C2FB3"/>
    <w:rsid w:val="009C47C9"/>
    <w:rsid w:val="009C4BF7"/>
    <w:rsid w:val="009C4F2D"/>
    <w:rsid w:val="009C6D2B"/>
    <w:rsid w:val="009C7834"/>
    <w:rsid w:val="009D0FD3"/>
    <w:rsid w:val="009D2E91"/>
    <w:rsid w:val="009D3402"/>
    <w:rsid w:val="009D589D"/>
    <w:rsid w:val="009D7D8F"/>
    <w:rsid w:val="009E0D05"/>
    <w:rsid w:val="009E4A96"/>
    <w:rsid w:val="009E7E4D"/>
    <w:rsid w:val="009F06CC"/>
    <w:rsid w:val="009F0DAA"/>
    <w:rsid w:val="009F20DB"/>
    <w:rsid w:val="009F38ED"/>
    <w:rsid w:val="009F3C17"/>
    <w:rsid w:val="009F4A36"/>
    <w:rsid w:val="009F5493"/>
    <w:rsid w:val="009F7D88"/>
    <w:rsid w:val="00A035F9"/>
    <w:rsid w:val="00A0418F"/>
    <w:rsid w:val="00A06FBF"/>
    <w:rsid w:val="00A101E3"/>
    <w:rsid w:val="00A129A0"/>
    <w:rsid w:val="00A12D58"/>
    <w:rsid w:val="00A17816"/>
    <w:rsid w:val="00A20093"/>
    <w:rsid w:val="00A200A6"/>
    <w:rsid w:val="00A20B3B"/>
    <w:rsid w:val="00A23A60"/>
    <w:rsid w:val="00A24DF1"/>
    <w:rsid w:val="00A26E5E"/>
    <w:rsid w:val="00A3016F"/>
    <w:rsid w:val="00A30486"/>
    <w:rsid w:val="00A30FAC"/>
    <w:rsid w:val="00A32381"/>
    <w:rsid w:val="00A331C3"/>
    <w:rsid w:val="00A331EF"/>
    <w:rsid w:val="00A357E6"/>
    <w:rsid w:val="00A35AB6"/>
    <w:rsid w:val="00A41238"/>
    <w:rsid w:val="00A42AEC"/>
    <w:rsid w:val="00A456F5"/>
    <w:rsid w:val="00A4624C"/>
    <w:rsid w:val="00A503D9"/>
    <w:rsid w:val="00A52711"/>
    <w:rsid w:val="00A53116"/>
    <w:rsid w:val="00A54708"/>
    <w:rsid w:val="00A55F89"/>
    <w:rsid w:val="00A569FB"/>
    <w:rsid w:val="00A65A79"/>
    <w:rsid w:val="00A67B33"/>
    <w:rsid w:val="00A71D4F"/>
    <w:rsid w:val="00A71E6D"/>
    <w:rsid w:val="00A725BC"/>
    <w:rsid w:val="00A72E26"/>
    <w:rsid w:val="00A7311B"/>
    <w:rsid w:val="00A73973"/>
    <w:rsid w:val="00A74724"/>
    <w:rsid w:val="00A74822"/>
    <w:rsid w:val="00A81D24"/>
    <w:rsid w:val="00A85048"/>
    <w:rsid w:val="00A85317"/>
    <w:rsid w:val="00A8663A"/>
    <w:rsid w:val="00A90B97"/>
    <w:rsid w:val="00A9102F"/>
    <w:rsid w:val="00A95C95"/>
    <w:rsid w:val="00A969E2"/>
    <w:rsid w:val="00A96D3E"/>
    <w:rsid w:val="00A9735E"/>
    <w:rsid w:val="00AA1BB2"/>
    <w:rsid w:val="00AA5D93"/>
    <w:rsid w:val="00AA5F7E"/>
    <w:rsid w:val="00AB089C"/>
    <w:rsid w:val="00AB2CB8"/>
    <w:rsid w:val="00AB308D"/>
    <w:rsid w:val="00AB485D"/>
    <w:rsid w:val="00AB551F"/>
    <w:rsid w:val="00AB5587"/>
    <w:rsid w:val="00AB728A"/>
    <w:rsid w:val="00AB7557"/>
    <w:rsid w:val="00AC11F0"/>
    <w:rsid w:val="00AC1E8C"/>
    <w:rsid w:val="00AC639D"/>
    <w:rsid w:val="00AC6CDA"/>
    <w:rsid w:val="00AC725D"/>
    <w:rsid w:val="00AD0DAD"/>
    <w:rsid w:val="00AD1CA6"/>
    <w:rsid w:val="00AD4E86"/>
    <w:rsid w:val="00AD6FDE"/>
    <w:rsid w:val="00AD7715"/>
    <w:rsid w:val="00AE00A6"/>
    <w:rsid w:val="00AE119D"/>
    <w:rsid w:val="00AE164A"/>
    <w:rsid w:val="00AE1E22"/>
    <w:rsid w:val="00AE3BEC"/>
    <w:rsid w:val="00AE488D"/>
    <w:rsid w:val="00AE510E"/>
    <w:rsid w:val="00AE6606"/>
    <w:rsid w:val="00AF0C87"/>
    <w:rsid w:val="00AF2ED4"/>
    <w:rsid w:val="00AF408B"/>
    <w:rsid w:val="00AF452C"/>
    <w:rsid w:val="00AF695B"/>
    <w:rsid w:val="00AF6F7C"/>
    <w:rsid w:val="00B00673"/>
    <w:rsid w:val="00B00B56"/>
    <w:rsid w:val="00B00F68"/>
    <w:rsid w:val="00B01C6E"/>
    <w:rsid w:val="00B02463"/>
    <w:rsid w:val="00B044B6"/>
    <w:rsid w:val="00B048AE"/>
    <w:rsid w:val="00B05BE7"/>
    <w:rsid w:val="00B06661"/>
    <w:rsid w:val="00B0779E"/>
    <w:rsid w:val="00B116DD"/>
    <w:rsid w:val="00B12651"/>
    <w:rsid w:val="00B131F1"/>
    <w:rsid w:val="00B134CF"/>
    <w:rsid w:val="00B155D7"/>
    <w:rsid w:val="00B15665"/>
    <w:rsid w:val="00B164A0"/>
    <w:rsid w:val="00B2281A"/>
    <w:rsid w:val="00B233A4"/>
    <w:rsid w:val="00B332DB"/>
    <w:rsid w:val="00B3500A"/>
    <w:rsid w:val="00B41271"/>
    <w:rsid w:val="00B4209B"/>
    <w:rsid w:val="00B44B0F"/>
    <w:rsid w:val="00B50F0E"/>
    <w:rsid w:val="00B51737"/>
    <w:rsid w:val="00B526EC"/>
    <w:rsid w:val="00B53C53"/>
    <w:rsid w:val="00B55D78"/>
    <w:rsid w:val="00B62286"/>
    <w:rsid w:val="00B62D94"/>
    <w:rsid w:val="00B62EF5"/>
    <w:rsid w:val="00B644F0"/>
    <w:rsid w:val="00B64BC7"/>
    <w:rsid w:val="00B65CE4"/>
    <w:rsid w:val="00B6637B"/>
    <w:rsid w:val="00B666D4"/>
    <w:rsid w:val="00B66ECA"/>
    <w:rsid w:val="00B725E0"/>
    <w:rsid w:val="00B7318C"/>
    <w:rsid w:val="00B7415C"/>
    <w:rsid w:val="00B766A9"/>
    <w:rsid w:val="00B77AD8"/>
    <w:rsid w:val="00B805C6"/>
    <w:rsid w:val="00B81711"/>
    <w:rsid w:val="00B83A61"/>
    <w:rsid w:val="00B85A5A"/>
    <w:rsid w:val="00B8727F"/>
    <w:rsid w:val="00B93177"/>
    <w:rsid w:val="00B93203"/>
    <w:rsid w:val="00B937EB"/>
    <w:rsid w:val="00B95E5A"/>
    <w:rsid w:val="00B971BC"/>
    <w:rsid w:val="00BA0567"/>
    <w:rsid w:val="00BA3449"/>
    <w:rsid w:val="00BA5E94"/>
    <w:rsid w:val="00BA62A3"/>
    <w:rsid w:val="00BA7E3C"/>
    <w:rsid w:val="00BA7F21"/>
    <w:rsid w:val="00BB2175"/>
    <w:rsid w:val="00BB28FD"/>
    <w:rsid w:val="00BB46B4"/>
    <w:rsid w:val="00BB6913"/>
    <w:rsid w:val="00BB79A7"/>
    <w:rsid w:val="00BC1125"/>
    <w:rsid w:val="00BC1482"/>
    <w:rsid w:val="00BD02AA"/>
    <w:rsid w:val="00BD0C25"/>
    <w:rsid w:val="00BD286E"/>
    <w:rsid w:val="00BD3F41"/>
    <w:rsid w:val="00BD43B4"/>
    <w:rsid w:val="00BD60C5"/>
    <w:rsid w:val="00BD738B"/>
    <w:rsid w:val="00BD7B5E"/>
    <w:rsid w:val="00BE111B"/>
    <w:rsid w:val="00BE374E"/>
    <w:rsid w:val="00BE4E94"/>
    <w:rsid w:val="00BE63D7"/>
    <w:rsid w:val="00BE7991"/>
    <w:rsid w:val="00BF002E"/>
    <w:rsid w:val="00BF09B2"/>
    <w:rsid w:val="00BF0FDA"/>
    <w:rsid w:val="00BF5162"/>
    <w:rsid w:val="00BF5C5B"/>
    <w:rsid w:val="00C02CC6"/>
    <w:rsid w:val="00C05680"/>
    <w:rsid w:val="00C057E7"/>
    <w:rsid w:val="00C0663F"/>
    <w:rsid w:val="00C11CA5"/>
    <w:rsid w:val="00C131F7"/>
    <w:rsid w:val="00C16B43"/>
    <w:rsid w:val="00C17710"/>
    <w:rsid w:val="00C21A15"/>
    <w:rsid w:val="00C22EF9"/>
    <w:rsid w:val="00C242F2"/>
    <w:rsid w:val="00C263F5"/>
    <w:rsid w:val="00C31AA5"/>
    <w:rsid w:val="00C364B4"/>
    <w:rsid w:val="00C402E0"/>
    <w:rsid w:val="00C42064"/>
    <w:rsid w:val="00C429CB"/>
    <w:rsid w:val="00C43689"/>
    <w:rsid w:val="00C44553"/>
    <w:rsid w:val="00C51A3A"/>
    <w:rsid w:val="00C57AF6"/>
    <w:rsid w:val="00C61839"/>
    <w:rsid w:val="00C62DAA"/>
    <w:rsid w:val="00C62E69"/>
    <w:rsid w:val="00C63E10"/>
    <w:rsid w:val="00C63E9A"/>
    <w:rsid w:val="00C63EC0"/>
    <w:rsid w:val="00C65193"/>
    <w:rsid w:val="00C70807"/>
    <w:rsid w:val="00C71A34"/>
    <w:rsid w:val="00C724CC"/>
    <w:rsid w:val="00C754F3"/>
    <w:rsid w:val="00C7592F"/>
    <w:rsid w:val="00C77BA2"/>
    <w:rsid w:val="00C8068C"/>
    <w:rsid w:val="00C80772"/>
    <w:rsid w:val="00C823E8"/>
    <w:rsid w:val="00C85499"/>
    <w:rsid w:val="00C85774"/>
    <w:rsid w:val="00C8693E"/>
    <w:rsid w:val="00C90FC7"/>
    <w:rsid w:val="00C9354C"/>
    <w:rsid w:val="00C97410"/>
    <w:rsid w:val="00CA0D03"/>
    <w:rsid w:val="00CA6C10"/>
    <w:rsid w:val="00CA770F"/>
    <w:rsid w:val="00CB0B73"/>
    <w:rsid w:val="00CB14EF"/>
    <w:rsid w:val="00CB42CF"/>
    <w:rsid w:val="00CB4639"/>
    <w:rsid w:val="00CB5B4C"/>
    <w:rsid w:val="00CC034E"/>
    <w:rsid w:val="00CC2BAF"/>
    <w:rsid w:val="00CC30BE"/>
    <w:rsid w:val="00CC3DA0"/>
    <w:rsid w:val="00CC5AE6"/>
    <w:rsid w:val="00CC5DDF"/>
    <w:rsid w:val="00CC70D8"/>
    <w:rsid w:val="00CD35D9"/>
    <w:rsid w:val="00CD3D4D"/>
    <w:rsid w:val="00CD427B"/>
    <w:rsid w:val="00CD437D"/>
    <w:rsid w:val="00CD671D"/>
    <w:rsid w:val="00CD71A2"/>
    <w:rsid w:val="00CE00B7"/>
    <w:rsid w:val="00CE1A17"/>
    <w:rsid w:val="00CE1CE2"/>
    <w:rsid w:val="00CE42C6"/>
    <w:rsid w:val="00CE5B56"/>
    <w:rsid w:val="00CE5D6A"/>
    <w:rsid w:val="00CE729D"/>
    <w:rsid w:val="00CF4BFB"/>
    <w:rsid w:val="00CF4F3A"/>
    <w:rsid w:val="00CF5F55"/>
    <w:rsid w:val="00CF6D80"/>
    <w:rsid w:val="00CF76A7"/>
    <w:rsid w:val="00D04D05"/>
    <w:rsid w:val="00D054CE"/>
    <w:rsid w:val="00D05EFB"/>
    <w:rsid w:val="00D06E52"/>
    <w:rsid w:val="00D102B9"/>
    <w:rsid w:val="00D119A4"/>
    <w:rsid w:val="00D130D7"/>
    <w:rsid w:val="00D13247"/>
    <w:rsid w:val="00D1520F"/>
    <w:rsid w:val="00D16F7D"/>
    <w:rsid w:val="00D21F36"/>
    <w:rsid w:val="00D23EAB"/>
    <w:rsid w:val="00D243C1"/>
    <w:rsid w:val="00D24421"/>
    <w:rsid w:val="00D24BE5"/>
    <w:rsid w:val="00D30FA0"/>
    <w:rsid w:val="00D314D0"/>
    <w:rsid w:val="00D31616"/>
    <w:rsid w:val="00D34BA8"/>
    <w:rsid w:val="00D35786"/>
    <w:rsid w:val="00D3745F"/>
    <w:rsid w:val="00D40F73"/>
    <w:rsid w:val="00D4124A"/>
    <w:rsid w:val="00D44291"/>
    <w:rsid w:val="00D44399"/>
    <w:rsid w:val="00D447FA"/>
    <w:rsid w:val="00D4491E"/>
    <w:rsid w:val="00D470BE"/>
    <w:rsid w:val="00D4732C"/>
    <w:rsid w:val="00D476D0"/>
    <w:rsid w:val="00D5042B"/>
    <w:rsid w:val="00D54C4E"/>
    <w:rsid w:val="00D57166"/>
    <w:rsid w:val="00D5797F"/>
    <w:rsid w:val="00D57FC4"/>
    <w:rsid w:val="00D619D3"/>
    <w:rsid w:val="00D61D62"/>
    <w:rsid w:val="00D627F9"/>
    <w:rsid w:val="00D62AD1"/>
    <w:rsid w:val="00D6340E"/>
    <w:rsid w:val="00D646AF"/>
    <w:rsid w:val="00D64CE2"/>
    <w:rsid w:val="00D64D3D"/>
    <w:rsid w:val="00D65C76"/>
    <w:rsid w:val="00D661DF"/>
    <w:rsid w:val="00D74FFB"/>
    <w:rsid w:val="00D76247"/>
    <w:rsid w:val="00D77497"/>
    <w:rsid w:val="00D801B0"/>
    <w:rsid w:val="00D80421"/>
    <w:rsid w:val="00D82EB9"/>
    <w:rsid w:val="00D82FF0"/>
    <w:rsid w:val="00D8361E"/>
    <w:rsid w:val="00D8547F"/>
    <w:rsid w:val="00D91E2F"/>
    <w:rsid w:val="00D936D9"/>
    <w:rsid w:val="00D94531"/>
    <w:rsid w:val="00D9471D"/>
    <w:rsid w:val="00D95E4E"/>
    <w:rsid w:val="00D96895"/>
    <w:rsid w:val="00D96B28"/>
    <w:rsid w:val="00D96EB9"/>
    <w:rsid w:val="00D974D9"/>
    <w:rsid w:val="00DA0062"/>
    <w:rsid w:val="00DA03F1"/>
    <w:rsid w:val="00DA153C"/>
    <w:rsid w:val="00DA25AC"/>
    <w:rsid w:val="00DA25D4"/>
    <w:rsid w:val="00DA3061"/>
    <w:rsid w:val="00DA338A"/>
    <w:rsid w:val="00DA3D0D"/>
    <w:rsid w:val="00DA7F3E"/>
    <w:rsid w:val="00DC0C77"/>
    <w:rsid w:val="00DC1828"/>
    <w:rsid w:val="00DC2B60"/>
    <w:rsid w:val="00DC335C"/>
    <w:rsid w:val="00DC3BC0"/>
    <w:rsid w:val="00DC741A"/>
    <w:rsid w:val="00DC746B"/>
    <w:rsid w:val="00DC7D5F"/>
    <w:rsid w:val="00DD00B8"/>
    <w:rsid w:val="00DD4842"/>
    <w:rsid w:val="00DD499C"/>
    <w:rsid w:val="00DD5757"/>
    <w:rsid w:val="00DE09D4"/>
    <w:rsid w:val="00DE2494"/>
    <w:rsid w:val="00DE5C6F"/>
    <w:rsid w:val="00DE737C"/>
    <w:rsid w:val="00DF30B7"/>
    <w:rsid w:val="00DF3886"/>
    <w:rsid w:val="00DF4DB2"/>
    <w:rsid w:val="00DF5979"/>
    <w:rsid w:val="00DF5C6E"/>
    <w:rsid w:val="00DF627F"/>
    <w:rsid w:val="00DF6FE7"/>
    <w:rsid w:val="00DF75D4"/>
    <w:rsid w:val="00E03E72"/>
    <w:rsid w:val="00E05CB9"/>
    <w:rsid w:val="00E064BC"/>
    <w:rsid w:val="00E06624"/>
    <w:rsid w:val="00E06DAC"/>
    <w:rsid w:val="00E07EDA"/>
    <w:rsid w:val="00E11B84"/>
    <w:rsid w:val="00E1383B"/>
    <w:rsid w:val="00E1404F"/>
    <w:rsid w:val="00E14280"/>
    <w:rsid w:val="00E15350"/>
    <w:rsid w:val="00E15E34"/>
    <w:rsid w:val="00E17D40"/>
    <w:rsid w:val="00E25FAD"/>
    <w:rsid w:val="00E27EA6"/>
    <w:rsid w:val="00E30CE2"/>
    <w:rsid w:val="00E34FE5"/>
    <w:rsid w:val="00E3691A"/>
    <w:rsid w:val="00E37102"/>
    <w:rsid w:val="00E43170"/>
    <w:rsid w:val="00E5335E"/>
    <w:rsid w:val="00E561A9"/>
    <w:rsid w:val="00E672B3"/>
    <w:rsid w:val="00E71597"/>
    <w:rsid w:val="00E71FC9"/>
    <w:rsid w:val="00E73CC4"/>
    <w:rsid w:val="00E7424C"/>
    <w:rsid w:val="00E76D2E"/>
    <w:rsid w:val="00E779F9"/>
    <w:rsid w:val="00E821AC"/>
    <w:rsid w:val="00E86A25"/>
    <w:rsid w:val="00E9252B"/>
    <w:rsid w:val="00E92C96"/>
    <w:rsid w:val="00E936F0"/>
    <w:rsid w:val="00E9390E"/>
    <w:rsid w:val="00EA211A"/>
    <w:rsid w:val="00EA55F3"/>
    <w:rsid w:val="00EB0EA7"/>
    <w:rsid w:val="00EB1D54"/>
    <w:rsid w:val="00EB3323"/>
    <w:rsid w:val="00EB3F91"/>
    <w:rsid w:val="00EB5834"/>
    <w:rsid w:val="00EB62D8"/>
    <w:rsid w:val="00EC05B1"/>
    <w:rsid w:val="00EC0B65"/>
    <w:rsid w:val="00EC0EB0"/>
    <w:rsid w:val="00EC2050"/>
    <w:rsid w:val="00EC558B"/>
    <w:rsid w:val="00EC566B"/>
    <w:rsid w:val="00EC57DF"/>
    <w:rsid w:val="00EC6BD7"/>
    <w:rsid w:val="00ED1B02"/>
    <w:rsid w:val="00ED33FB"/>
    <w:rsid w:val="00ED4D3D"/>
    <w:rsid w:val="00ED651B"/>
    <w:rsid w:val="00EE0FA7"/>
    <w:rsid w:val="00EE1AD1"/>
    <w:rsid w:val="00EE1F31"/>
    <w:rsid w:val="00EE27EE"/>
    <w:rsid w:val="00EE45C9"/>
    <w:rsid w:val="00EF213B"/>
    <w:rsid w:val="00EF579E"/>
    <w:rsid w:val="00EF58B2"/>
    <w:rsid w:val="00EF774D"/>
    <w:rsid w:val="00F0128F"/>
    <w:rsid w:val="00F012AD"/>
    <w:rsid w:val="00F035BA"/>
    <w:rsid w:val="00F122D9"/>
    <w:rsid w:val="00F12C74"/>
    <w:rsid w:val="00F15BA3"/>
    <w:rsid w:val="00F17565"/>
    <w:rsid w:val="00F20FC2"/>
    <w:rsid w:val="00F232F2"/>
    <w:rsid w:val="00F25C8A"/>
    <w:rsid w:val="00F2635D"/>
    <w:rsid w:val="00F265E7"/>
    <w:rsid w:val="00F26B3A"/>
    <w:rsid w:val="00F30EDA"/>
    <w:rsid w:val="00F34CC4"/>
    <w:rsid w:val="00F4081A"/>
    <w:rsid w:val="00F413CB"/>
    <w:rsid w:val="00F41D51"/>
    <w:rsid w:val="00F44486"/>
    <w:rsid w:val="00F50332"/>
    <w:rsid w:val="00F5577B"/>
    <w:rsid w:val="00F61EDF"/>
    <w:rsid w:val="00F62ED4"/>
    <w:rsid w:val="00F63B2B"/>
    <w:rsid w:val="00F709D4"/>
    <w:rsid w:val="00F70B1F"/>
    <w:rsid w:val="00F713A2"/>
    <w:rsid w:val="00F73ABF"/>
    <w:rsid w:val="00F73B7E"/>
    <w:rsid w:val="00F7474A"/>
    <w:rsid w:val="00F76918"/>
    <w:rsid w:val="00F81150"/>
    <w:rsid w:val="00F940CE"/>
    <w:rsid w:val="00F94F17"/>
    <w:rsid w:val="00F96F6A"/>
    <w:rsid w:val="00F978D3"/>
    <w:rsid w:val="00FA1251"/>
    <w:rsid w:val="00FA29EC"/>
    <w:rsid w:val="00FA3E69"/>
    <w:rsid w:val="00FA5F1D"/>
    <w:rsid w:val="00FA6653"/>
    <w:rsid w:val="00FA7ADA"/>
    <w:rsid w:val="00FA7B7D"/>
    <w:rsid w:val="00FB3A52"/>
    <w:rsid w:val="00FB41ED"/>
    <w:rsid w:val="00FB5BE7"/>
    <w:rsid w:val="00FC1CE4"/>
    <w:rsid w:val="00FD27D9"/>
    <w:rsid w:val="00FD6351"/>
    <w:rsid w:val="00FD7694"/>
    <w:rsid w:val="00FD7C4F"/>
    <w:rsid w:val="00FE37E8"/>
    <w:rsid w:val="00FE3C8C"/>
    <w:rsid w:val="00FE4F6A"/>
    <w:rsid w:val="00FF00C2"/>
    <w:rsid w:val="00FF2E48"/>
    <w:rsid w:val="00FF2E7C"/>
    <w:rsid w:val="00FF4814"/>
    <w:rsid w:val="00FF53A5"/>
    <w:rsid w:val="00FF6C99"/>
    <w:rsid w:val="00FF7A6C"/>
    <w:rsid w:val="00FF7D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44D9A"/>
  <w15:chartTrackingRefBased/>
  <w15:docId w15:val="{1D0893DF-BB89-4DBB-9404-FBEB5750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66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862C4D"/>
    <w:pPr>
      <w:numPr>
        <w:numId w:val="1"/>
      </w:numPr>
      <w:spacing w:before="100" w:beforeAutospacing="1" w:after="100" w:afterAutospacing="1"/>
      <w:outlineLvl w:val="0"/>
    </w:pPr>
    <w:rPr>
      <w:b/>
      <w:bCs/>
      <w:kern w:val="36"/>
      <w:sz w:val="36"/>
      <w:szCs w:val="36"/>
    </w:rPr>
  </w:style>
  <w:style w:type="paragraph" w:styleId="Heading2">
    <w:name w:val="heading 2"/>
    <w:basedOn w:val="Normal"/>
    <w:link w:val="Heading2Char"/>
    <w:qFormat/>
    <w:rsid w:val="00862C4D"/>
    <w:pPr>
      <w:numPr>
        <w:ilvl w:val="1"/>
        <w:numId w:val="1"/>
      </w:numPr>
      <w:spacing w:before="100" w:beforeAutospacing="1" w:after="100" w:afterAutospacing="1"/>
      <w:outlineLvl w:val="1"/>
    </w:pPr>
    <w:rPr>
      <w:b/>
      <w:bCs/>
      <w:sz w:val="28"/>
      <w:szCs w:val="28"/>
    </w:rPr>
  </w:style>
  <w:style w:type="paragraph" w:styleId="Heading3">
    <w:name w:val="heading 3"/>
    <w:basedOn w:val="Normal"/>
    <w:link w:val="Heading3Char"/>
    <w:qFormat/>
    <w:rsid w:val="00862C4D"/>
    <w:pPr>
      <w:numPr>
        <w:ilvl w:val="2"/>
        <w:numId w:val="1"/>
      </w:numPr>
      <w:spacing w:before="100" w:beforeAutospacing="1" w:after="100" w:afterAutospacing="1"/>
      <w:outlineLvl w:val="2"/>
    </w:pPr>
    <w:rPr>
      <w:b/>
      <w:bCs/>
    </w:rPr>
  </w:style>
  <w:style w:type="paragraph" w:styleId="Heading4">
    <w:name w:val="heading 4"/>
    <w:basedOn w:val="Normal"/>
    <w:link w:val="Heading4Char"/>
    <w:qFormat/>
    <w:rsid w:val="00862C4D"/>
    <w:pPr>
      <w:numPr>
        <w:ilvl w:val="3"/>
        <w:numId w:val="1"/>
      </w:numPr>
      <w:spacing w:before="100" w:beforeAutospacing="1" w:after="100" w:afterAutospacing="1"/>
      <w:outlineLvl w:val="3"/>
    </w:pPr>
    <w:rPr>
      <w:b/>
      <w:bCs/>
      <w:sz w:val="20"/>
      <w:szCs w:val="20"/>
    </w:rPr>
  </w:style>
  <w:style w:type="paragraph" w:styleId="Heading5">
    <w:name w:val="heading 5"/>
    <w:basedOn w:val="Normal"/>
    <w:link w:val="Heading5Char"/>
    <w:qFormat/>
    <w:rsid w:val="00862C4D"/>
    <w:pPr>
      <w:numPr>
        <w:ilvl w:val="4"/>
        <w:numId w:val="1"/>
      </w:numPr>
      <w:spacing w:before="100" w:beforeAutospacing="1" w:after="100" w:afterAutospacing="1"/>
      <w:outlineLvl w:val="4"/>
    </w:pPr>
    <w:rPr>
      <w:b/>
      <w:bCs/>
      <w:sz w:val="16"/>
      <w:szCs w:val="16"/>
    </w:rPr>
  </w:style>
  <w:style w:type="paragraph" w:styleId="Heading6">
    <w:name w:val="heading 6"/>
    <w:basedOn w:val="Normal"/>
    <w:link w:val="Heading6Char"/>
    <w:qFormat/>
    <w:rsid w:val="00862C4D"/>
    <w:pPr>
      <w:numPr>
        <w:ilvl w:val="5"/>
        <w:numId w:val="1"/>
      </w:numPr>
      <w:spacing w:before="100" w:beforeAutospacing="1" w:after="100" w:afterAutospacing="1"/>
      <w:outlineLvl w:val="5"/>
    </w:pPr>
    <w:rPr>
      <w:b/>
      <w:bCs/>
      <w:sz w:val="16"/>
      <w:szCs w:val="16"/>
    </w:rPr>
  </w:style>
  <w:style w:type="paragraph" w:styleId="Heading7">
    <w:name w:val="heading 7"/>
    <w:basedOn w:val="Normal"/>
    <w:next w:val="Normal"/>
    <w:link w:val="Heading7Char"/>
    <w:qFormat/>
    <w:rsid w:val="00862C4D"/>
    <w:pPr>
      <w:numPr>
        <w:ilvl w:val="6"/>
        <w:numId w:val="1"/>
      </w:numPr>
      <w:spacing w:before="240" w:after="60"/>
      <w:outlineLvl w:val="6"/>
    </w:pPr>
    <w:rPr>
      <w:rFonts w:ascii="Calibri" w:hAnsi="Calibri"/>
    </w:rPr>
  </w:style>
  <w:style w:type="paragraph" w:styleId="Heading8">
    <w:name w:val="heading 8"/>
    <w:basedOn w:val="Normal"/>
    <w:next w:val="Normal"/>
    <w:link w:val="Heading8Char"/>
    <w:qFormat/>
    <w:rsid w:val="00862C4D"/>
    <w:pPr>
      <w:numPr>
        <w:ilvl w:val="7"/>
        <w:numId w:val="1"/>
      </w:numPr>
      <w:spacing w:before="240" w:after="60"/>
      <w:outlineLvl w:val="7"/>
    </w:pPr>
    <w:rPr>
      <w:rFonts w:ascii="Calibri" w:hAnsi="Calibri"/>
      <w:i/>
      <w:iCs/>
    </w:rPr>
  </w:style>
  <w:style w:type="paragraph" w:styleId="Heading9">
    <w:name w:val="heading 9"/>
    <w:basedOn w:val="Normal"/>
    <w:next w:val="Normal"/>
    <w:link w:val="Heading9Char"/>
    <w:qFormat/>
    <w:rsid w:val="00862C4D"/>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C4D"/>
    <w:rPr>
      <w:rFonts w:ascii="Times New Roman" w:eastAsia="Times New Roman" w:hAnsi="Times New Roman" w:cs="Times New Roman"/>
      <w:b/>
      <w:bCs/>
      <w:kern w:val="36"/>
      <w:sz w:val="36"/>
      <w:szCs w:val="36"/>
      <w:lang w:eastAsia="en-GB"/>
    </w:rPr>
  </w:style>
  <w:style w:type="character" w:customStyle="1" w:styleId="Heading2Char">
    <w:name w:val="Heading 2 Char"/>
    <w:basedOn w:val="DefaultParagraphFont"/>
    <w:link w:val="Heading2"/>
    <w:rsid w:val="00862C4D"/>
    <w:rPr>
      <w:rFonts w:ascii="Times New Roman" w:eastAsia="Times New Roman" w:hAnsi="Times New Roman" w:cs="Times New Roman"/>
      <w:b/>
      <w:bCs/>
      <w:sz w:val="28"/>
      <w:szCs w:val="28"/>
      <w:lang w:eastAsia="en-GB"/>
    </w:rPr>
  </w:style>
  <w:style w:type="character" w:customStyle="1" w:styleId="Heading3Char">
    <w:name w:val="Heading 3 Char"/>
    <w:basedOn w:val="DefaultParagraphFont"/>
    <w:link w:val="Heading3"/>
    <w:rsid w:val="00862C4D"/>
    <w:rPr>
      <w:rFonts w:ascii="Times New Roman" w:eastAsia="Times New Roman" w:hAnsi="Times New Roman" w:cs="Times New Roman"/>
      <w:b/>
      <w:bCs/>
      <w:sz w:val="24"/>
      <w:szCs w:val="24"/>
      <w:lang w:eastAsia="en-GB"/>
    </w:rPr>
  </w:style>
  <w:style w:type="character" w:customStyle="1" w:styleId="Heading4Char">
    <w:name w:val="Heading 4 Char"/>
    <w:basedOn w:val="DefaultParagraphFont"/>
    <w:link w:val="Heading4"/>
    <w:rsid w:val="00862C4D"/>
    <w:rPr>
      <w:rFonts w:ascii="Times New Roman" w:eastAsia="Times New Roman" w:hAnsi="Times New Roman" w:cs="Times New Roman"/>
      <w:b/>
      <w:bCs/>
      <w:sz w:val="20"/>
      <w:szCs w:val="20"/>
      <w:lang w:eastAsia="en-GB"/>
    </w:rPr>
  </w:style>
  <w:style w:type="character" w:customStyle="1" w:styleId="Heading5Char">
    <w:name w:val="Heading 5 Char"/>
    <w:basedOn w:val="DefaultParagraphFont"/>
    <w:link w:val="Heading5"/>
    <w:rsid w:val="00862C4D"/>
    <w:rPr>
      <w:rFonts w:ascii="Times New Roman" w:eastAsia="Times New Roman" w:hAnsi="Times New Roman" w:cs="Times New Roman"/>
      <w:b/>
      <w:bCs/>
      <w:sz w:val="16"/>
      <w:szCs w:val="16"/>
      <w:lang w:eastAsia="en-GB"/>
    </w:rPr>
  </w:style>
  <w:style w:type="character" w:customStyle="1" w:styleId="Heading6Char">
    <w:name w:val="Heading 6 Char"/>
    <w:basedOn w:val="DefaultParagraphFont"/>
    <w:link w:val="Heading6"/>
    <w:rsid w:val="00862C4D"/>
    <w:rPr>
      <w:rFonts w:ascii="Times New Roman" w:eastAsia="Times New Roman" w:hAnsi="Times New Roman" w:cs="Times New Roman"/>
      <w:b/>
      <w:bCs/>
      <w:sz w:val="16"/>
      <w:szCs w:val="16"/>
      <w:lang w:eastAsia="en-GB"/>
    </w:rPr>
  </w:style>
  <w:style w:type="character" w:customStyle="1" w:styleId="Heading7Char">
    <w:name w:val="Heading 7 Char"/>
    <w:basedOn w:val="DefaultParagraphFont"/>
    <w:link w:val="Heading7"/>
    <w:rsid w:val="00862C4D"/>
    <w:rPr>
      <w:rFonts w:ascii="Calibri" w:eastAsia="Times New Roman" w:hAnsi="Calibri" w:cs="Times New Roman"/>
      <w:sz w:val="24"/>
      <w:szCs w:val="24"/>
      <w:lang w:eastAsia="en-GB"/>
    </w:rPr>
  </w:style>
  <w:style w:type="character" w:customStyle="1" w:styleId="Heading8Char">
    <w:name w:val="Heading 8 Char"/>
    <w:basedOn w:val="DefaultParagraphFont"/>
    <w:link w:val="Heading8"/>
    <w:rsid w:val="00862C4D"/>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rsid w:val="00862C4D"/>
    <w:rPr>
      <w:rFonts w:ascii="Cambria" w:eastAsia="Times New Roman" w:hAnsi="Cambria" w:cs="Times New Roman"/>
      <w:lang w:eastAsia="en-GB"/>
    </w:rPr>
  </w:style>
  <w:style w:type="paragraph" w:styleId="FootnoteText">
    <w:name w:val="footnote text"/>
    <w:basedOn w:val="Normal"/>
    <w:link w:val="FootnoteTextChar"/>
    <w:rsid w:val="00862C4D"/>
    <w:rPr>
      <w:sz w:val="20"/>
      <w:szCs w:val="20"/>
    </w:rPr>
  </w:style>
  <w:style w:type="character" w:customStyle="1" w:styleId="FootnoteTextChar">
    <w:name w:val="Footnote Text Char"/>
    <w:basedOn w:val="DefaultParagraphFont"/>
    <w:link w:val="FootnoteText"/>
    <w:rsid w:val="00862C4D"/>
    <w:rPr>
      <w:rFonts w:ascii="Times New Roman" w:eastAsia="Times New Roman" w:hAnsi="Times New Roman" w:cs="Times New Roman"/>
      <w:sz w:val="20"/>
      <w:szCs w:val="20"/>
      <w:lang w:eastAsia="en-GB"/>
    </w:rPr>
  </w:style>
  <w:style w:type="character" w:styleId="FootnoteReference">
    <w:name w:val="footnote reference"/>
    <w:rsid w:val="00862C4D"/>
    <w:rPr>
      <w:vertAlign w:val="superscript"/>
    </w:rPr>
  </w:style>
  <w:style w:type="character" w:styleId="Hyperlink">
    <w:name w:val="Hyperlink"/>
    <w:uiPriority w:val="99"/>
    <w:rsid w:val="00862C4D"/>
    <w:rPr>
      <w:color w:val="0000FF"/>
      <w:u w:val="single"/>
    </w:rPr>
  </w:style>
  <w:style w:type="paragraph" w:styleId="BodyText2">
    <w:name w:val="Body Text 2"/>
    <w:basedOn w:val="Normal"/>
    <w:link w:val="BodyText2Char"/>
    <w:rsid w:val="00862C4D"/>
    <w:pPr>
      <w:jc w:val="both"/>
    </w:pPr>
    <w:rPr>
      <w:rFonts w:eastAsia="MS Mincho"/>
      <w:lang w:val="en-US" w:eastAsia="en-US"/>
    </w:rPr>
  </w:style>
  <w:style w:type="character" w:customStyle="1" w:styleId="BodyText2Char">
    <w:name w:val="Body Text 2 Char"/>
    <w:basedOn w:val="DefaultParagraphFont"/>
    <w:link w:val="BodyText2"/>
    <w:rsid w:val="00862C4D"/>
    <w:rPr>
      <w:rFonts w:ascii="Times New Roman" w:eastAsia="MS Mincho" w:hAnsi="Times New Roman" w:cs="Times New Roman"/>
      <w:sz w:val="24"/>
      <w:szCs w:val="24"/>
      <w:lang w:val="en-US"/>
    </w:rPr>
  </w:style>
  <w:style w:type="paragraph" w:styleId="Caption">
    <w:name w:val="caption"/>
    <w:basedOn w:val="Normal"/>
    <w:next w:val="Normal"/>
    <w:uiPriority w:val="35"/>
    <w:qFormat/>
    <w:rsid w:val="00862C4D"/>
    <w:rPr>
      <w:b/>
      <w:bCs/>
      <w:sz w:val="20"/>
      <w:szCs w:val="20"/>
    </w:rPr>
  </w:style>
  <w:style w:type="table" w:styleId="TableGrid">
    <w:name w:val="Table Grid"/>
    <w:basedOn w:val="TableNormal"/>
    <w:uiPriority w:val="59"/>
    <w:rsid w:val="00862C4D"/>
    <w:pPr>
      <w:spacing w:after="0" w:line="240" w:lineRule="auto"/>
    </w:pPr>
    <w:rPr>
      <w:rFonts w:ascii="Arial" w:eastAsia="SimSu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C2FB3"/>
    <w:pPr>
      <w:spacing w:after="0" w:line="240" w:lineRule="auto"/>
    </w:pPr>
    <w:rPr>
      <w:rFonts w:eastAsiaTheme="minorEastAsia"/>
      <w:lang w:val="en-US"/>
    </w:rPr>
    <w:tblPr>
      <w:tblCellMar>
        <w:top w:w="0" w:type="dxa"/>
        <w:left w:w="0" w:type="dxa"/>
        <w:bottom w:w="0" w:type="dxa"/>
        <w:right w:w="0" w:type="dxa"/>
      </w:tblCellMar>
    </w:tblPr>
  </w:style>
  <w:style w:type="paragraph" w:styleId="Bibliography">
    <w:name w:val="Bibliography"/>
    <w:basedOn w:val="Normal"/>
    <w:next w:val="Normal"/>
    <w:uiPriority w:val="37"/>
    <w:unhideWhenUsed/>
    <w:rsid w:val="0039102F"/>
  </w:style>
  <w:style w:type="paragraph" w:styleId="BalloonText">
    <w:name w:val="Balloon Text"/>
    <w:basedOn w:val="Normal"/>
    <w:link w:val="BalloonTextChar"/>
    <w:uiPriority w:val="99"/>
    <w:semiHidden/>
    <w:unhideWhenUsed/>
    <w:rsid w:val="001250FA"/>
    <w:rPr>
      <w:sz w:val="18"/>
      <w:szCs w:val="18"/>
    </w:rPr>
  </w:style>
  <w:style w:type="character" w:customStyle="1" w:styleId="BalloonTextChar">
    <w:name w:val="Balloon Text Char"/>
    <w:basedOn w:val="DefaultParagraphFont"/>
    <w:link w:val="BalloonText"/>
    <w:uiPriority w:val="99"/>
    <w:semiHidden/>
    <w:rsid w:val="001250FA"/>
    <w:rPr>
      <w:rFonts w:ascii="Times New Roman" w:eastAsia="Times New Roman" w:hAnsi="Times New Roman" w:cs="Times New Roman"/>
      <w:sz w:val="18"/>
      <w:szCs w:val="18"/>
      <w:lang w:eastAsia="en-GB"/>
    </w:rPr>
  </w:style>
  <w:style w:type="paragraph" w:styleId="NormalWeb">
    <w:name w:val="Normal (Web)"/>
    <w:basedOn w:val="Normal"/>
    <w:uiPriority w:val="99"/>
    <w:unhideWhenUsed/>
    <w:rsid w:val="007C68DB"/>
    <w:pPr>
      <w:spacing w:before="100" w:beforeAutospacing="1" w:after="100" w:afterAutospacing="1"/>
    </w:pPr>
  </w:style>
  <w:style w:type="paragraph" w:styleId="EndnoteText">
    <w:name w:val="endnote text"/>
    <w:basedOn w:val="Normal"/>
    <w:link w:val="EndnoteTextChar"/>
    <w:uiPriority w:val="99"/>
    <w:semiHidden/>
    <w:unhideWhenUsed/>
    <w:rsid w:val="00A74822"/>
    <w:rPr>
      <w:sz w:val="20"/>
      <w:szCs w:val="20"/>
    </w:rPr>
  </w:style>
  <w:style w:type="character" w:customStyle="1" w:styleId="EndnoteTextChar">
    <w:name w:val="Endnote Text Char"/>
    <w:basedOn w:val="DefaultParagraphFont"/>
    <w:link w:val="EndnoteText"/>
    <w:uiPriority w:val="99"/>
    <w:semiHidden/>
    <w:rsid w:val="00A7482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A74822"/>
    <w:rPr>
      <w:vertAlign w:val="superscript"/>
    </w:rPr>
  </w:style>
  <w:style w:type="character" w:customStyle="1" w:styleId="expander-button">
    <w:name w:val="expander-button"/>
    <w:basedOn w:val="DefaultParagraphFont"/>
    <w:rsid w:val="00A72E26"/>
  </w:style>
  <w:style w:type="paragraph" w:styleId="BodyText">
    <w:name w:val="Body Text"/>
    <w:basedOn w:val="Normal"/>
    <w:link w:val="BodyTextChar"/>
    <w:uiPriority w:val="99"/>
    <w:semiHidden/>
    <w:unhideWhenUsed/>
    <w:rsid w:val="00A35AB6"/>
    <w:pPr>
      <w:spacing w:after="120"/>
    </w:pPr>
  </w:style>
  <w:style w:type="character" w:customStyle="1" w:styleId="BodyTextChar">
    <w:name w:val="Body Text Char"/>
    <w:basedOn w:val="DefaultParagraphFont"/>
    <w:link w:val="BodyText"/>
    <w:uiPriority w:val="99"/>
    <w:semiHidden/>
    <w:rsid w:val="00A35AB6"/>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A12D58"/>
    <w:rPr>
      <w:color w:val="808080"/>
    </w:rPr>
  </w:style>
  <w:style w:type="paragraph" w:customStyle="1" w:styleId="newsround-story-bodytext">
    <w:name w:val="newsround-story-body__text"/>
    <w:basedOn w:val="Normal"/>
    <w:rsid w:val="00AD6FDE"/>
    <w:pPr>
      <w:spacing w:before="100" w:beforeAutospacing="1" w:after="100" w:afterAutospacing="1"/>
    </w:pPr>
  </w:style>
  <w:style w:type="paragraph" w:styleId="Footer">
    <w:name w:val="footer"/>
    <w:basedOn w:val="Normal"/>
    <w:link w:val="FooterChar"/>
    <w:uiPriority w:val="99"/>
    <w:unhideWhenUsed/>
    <w:rsid w:val="002571BF"/>
    <w:pPr>
      <w:tabs>
        <w:tab w:val="center" w:pos="4513"/>
        <w:tab w:val="right" w:pos="9026"/>
      </w:tabs>
    </w:pPr>
  </w:style>
  <w:style w:type="character" w:customStyle="1" w:styleId="FooterChar">
    <w:name w:val="Footer Char"/>
    <w:basedOn w:val="DefaultParagraphFont"/>
    <w:link w:val="Footer"/>
    <w:uiPriority w:val="99"/>
    <w:rsid w:val="002571BF"/>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2571BF"/>
  </w:style>
  <w:style w:type="paragraph" w:styleId="Header">
    <w:name w:val="header"/>
    <w:basedOn w:val="Normal"/>
    <w:link w:val="HeaderChar"/>
    <w:uiPriority w:val="99"/>
    <w:unhideWhenUsed/>
    <w:rsid w:val="002571BF"/>
    <w:pPr>
      <w:tabs>
        <w:tab w:val="center" w:pos="4513"/>
        <w:tab w:val="right" w:pos="9026"/>
      </w:tabs>
    </w:pPr>
  </w:style>
  <w:style w:type="character" w:customStyle="1" w:styleId="HeaderChar">
    <w:name w:val="Header Char"/>
    <w:basedOn w:val="DefaultParagraphFont"/>
    <w:link w:val="Header"/>
    <w:uiPriority w:val="99"/>
    <w:rsid w:val="002571BF"/>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rsid w:val="00175ACD"/>
    <w:rPr>
      <w:sz w:val="16"/>
      <w:szCs w:val="16"/>
    </w:rPr>
  </w:style>
  <w:style w:type="paragraph" w:styleId="CommentText">
    <w:name w:val="annotation text"/>
    <w:basedOn w:val="Normal"/>
    <w:link w:val="CommentTextChar"/>
    <w:uiPriority w:val="99"/>
    <w:rsid w:val="00175ACD"/>
    <w:rPr>
      <w:sz w:val="20"/>
      <w:szCs w:val="20"/>
    </w:rPr>
  </w:style>
  <w:style w:type="character" w:customStyle="1" w:styleId="CommentTextChar">
    <w:name w:val="Comment Text Char"/>
    <w:basedOn w:val="DefaultParagraphFont"/>
    <w:link w:val="CommentText"/>
    <w:uiPriority w:val="99"/>
    <w:rsid w:val="00175AC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58F0"/>
    <w:rPr>
      <w:b/>
      <w:bCs/>
    </w:rPr>
  </w:style>
  <w:style w:type="character" w:customStyle="1" w:styleId="CommentSubjectChar">
    <w:name w:val="Comment Subject Char"/>
    <w:basedOn w:val="CommentTextChar"/>
    <w:link w:val="CommentSubject"/>
    <w:uiPriority w:val="99"/>
    <w:semiHidden/>
    <w:rsid w:val="009458F0"/>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unhideWhenUsed/>
    <w:rsid w:val="00CB4639"/>
    <w:rPr>
      <w:color w:val="605E5C"/>
      <w:shd w:val="clear" w:color="auto" w:fill="E1DFDD"/>
    </w:rPr>
  </w:style>
  <w:style w:type="paragraph" w:customStyle="1" w:styleId="footnotedescription">
    <w:name w:val="footnote description"/>
    <w:next w:val="Normal"/>
    <w:link w:val="footnotedescriptionChar"/>
    <w:hidden/>
    <w:rsid w:val="00AE164A"/>
    <w:pPr>
      <w:spacing w:after="0" w:line="265" w:lineRule="auto"/>
      <w:ind w:left="4" w:right="1"/>
      <w:jc w:val="both"/>
    </w:pPr>
    <w:rPr>
      <w:rFonts w:ascii="Times New Roman" w:eastAsia="Times New Roman" w:hAnsi="Times New Roman" w:cs="Times New Roman"/>
      <w:color w:val="000000"/>
      <w:sz w:val="16"/>
      <w:lang w:eastAsia="en-GB"/>
    </w:rPr>
  </w:style>
  <w:style w:type="character" w:customStyle="1" w:styleId="footnotedescriptionChar">
    <w:name w:val="footnote description Char"/>
    <w:link w:val="footnotedescription"/>
    <w:rsid w:val="00AE164A"/>
    <w:rPr>
      <w:rFonts w:ascii="Times New Roman" w:eastAsia="Times New Roman" w:hAnsi="Times New Roman" w:cs="Times New Roman"/>
      <w:color w:val="000000"/>
      <w:sz w:val="16"/>
      <w:lang w:eastAsia="en-GB"/>
    </w:rPr>
  </w:style>
  <w:style w:type="character" w:customStyle="1" w:styleId="footnotemark">
    <w:name w:val="footnote mark"/>
    <w:hidden/>
    <w:rsid w:val="00AE164A"/>
    <w:rPr>
      <w:rFonts w:ascii="Times New Roman" w:eastAsia="Times New Roman" w:hAnsi="Times New Roman" w:cs="Times New Roman"/>
      <w:color w:val="000000"/>
      <w:sz w:val="16"/>
      <w:vertAlign w:val="superscript"/>
    </w:rPr>
  </w:style>
  <w:style w:type="paragraph" w:styleId="ListParagraph">
    <w:name w:val="List Paragraph"/>
    <w:basedOn w:val="Normal"/>
    <w:uiPriority w:val="34"/>
    <w:qFormat/>
    <w:rsid w:val="00946C09"/>
    <w:pPr>
      <w:spacing w:after="160" w:line="256" w:lineRule="auto"/>
      <w:ind w:left="720"/>
      <w:contextualSpacing/>
    </w:pPr>
    <w:rPr>
      <w:rFonts w:asciiTheme="minorHAnsi" w:eastAsiaTheme="minorEastAsia" w:hAnsiTheme="minorHAnsi" w:cstheme="minorBidi"/>
      <w:sz w:val="22"/>
      <w:szCs w:val="22"/>
      <w:lang w:val="en-US" w:eastAsia="ko-KR"/>
    </w:rPr>
  </w:style>
  <w:style w:type="paragraph" w:customStyle="1" w:styleId="TableParagraph">
    <w:name w:val="Table Paragraph"/>
    <w:basedOn w:val="Normal"/>
    <w:uiPriority w:val="1"/>
    <w:qFormat/>
    <w:rsid w:val="00991FBA"/>
    <w:pPr>
      <w:widowControl w:val="0"/>
      <w:autoSpaceDE w:val="0"/>
      <w:autoSpaceDN w:val="0"/>
      <w:spacing w:line="213" w:lineRule="exact"/>
      <w:ind w:left="111"/>
      <w:jc w:val="center"/>
    </w:pPr>
    <w:rPr>
      <w:sz w:val="22"/>
      <w:szCs w:val="22"/>
      <w:lang w:val="en-US" w:eastAsia="en-US"/>
    </w:rPr>
  </w:style>
  <w:style w:type="character" w:customStyle="1" w:styleId="fontstyle01">
    <w:name w:val="fontstyle01"/>
    <w:basedOn w:val="DefaultParagraphFont"/>
    <w:rsid w:val="00F26B3A"/>
    <w:rPr>
      <w:rFonts w:ascii="AdvOT863180fb" w:hAnsi="AdvOT863180fb" w:hint="default"/>
      <w:b w:val="0"/>
      <w:bCs w:val="0"/>
      <w:i w:val="0"/>
      <w:iCs w:val="0"/>
      <w:color w:val="242021"/>
      <w:sz w:val="16"/>
      <w:szCs w:val="16"/>
    </w:rPr>
  </w:style>
  <w:style w:type="character" w:customStyle="1" w:styleId="contentpasted0">
    <w:name w:val="contentpasted0"/>
    <w:basedOn w:val="DefaultParagraphFont"/>
    <w:rsid w:val="00C22EF9"/>
  </w:style>
  <w:style w:type="character" w:customStyle="1" w:styleId="markedcontent">
    <w:name w:val="markedcontent"/>
    <w:basedOn w:val="DefaultParagraphFont"/>
    <w:rsid w:val="00416A04"/>
  </w:style>
  <w:style w:type="paragraph" w:customStyle="1" w:styleId="Newparagraph">
    <w:name w:val="New paragraph"/>
    <w:basedOn w:val="Normal"/>
    <w:qFormat/>
    <w:rsid w:val="008C1DE4"/>
    <w:pPr>
      <w:spacing w:line="480" w:lineRule="auto"/>
      <w:ind w:firstLine="720"/>
    </w:pPr>
  </w:style>
  <w:style w:type="paragraph" w:styleId="Revision">
    <w:name w:val="Revision"/>
    <w:hidden/>
    <w:uiPriority w:val="99"/>
    <w:semiHidden/>
    <w:rsid w:val="0026438C"/>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5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482">
      <w:bodyDiv w:val="1"/>
      <w:marLeft w:val="0"/>
      <w:marRight w:val="0"/>
      <w:marTop w:val="0"/>
      <w:marBottom w:val="0"/>
      <w:divBdr>
        <w:top w:val="none" w:sz="0" w:space="0" w:color="auto"/>
        <w:left w:val="none" w:sz="0" w:space="0" w:color="auto"/>
        <w:bottom w:val="none" w:sz="0" w:space="0" w:color="auto"/>
        <w:right w:val="none" w:sz="0" w:space="0" w:color="auto"/>
      </w:divBdr>
    </w:div>
    <w:div w:id="11886703">
      <w:bodyDiv w:val="1"/>
      <w:marLeft w:val="0"/>
      <w:marRight w:val="0"/>
      <w:marTop w:val="0"/>
      <w:marBottom w:val="0"/>
      <w:divBdr>
        <w:top w:val="none" w:sz="0" w:space="0" w:color="auto"/>
        <w:left w:val="none" w:sz="0" w:space="0" w:color="auto"/>
        <w:bottom w:val="none" w:sz="0" w:space="0" w:color="auto"/>
        <w:right w:val="none" w:sz="0" w:space="0" w:color="auto"/>
      </w:divBdr>
      <w:divsChild>
        <w:div w:id="192577258">
          <w:marLeft w:val="0"/>
          <w:marRight w:val="0"/>
          <w:marTop w:val="0"/>
          <w:marBottom w:val="0"/>
          <w:divBdr>
            <w:top w:val="none" w:sz="0" w:space="0" w:color="auto"/>
            <w:left w:val="none" w:sz="0" w:space="0" w:color="auto"/>
            <w:bottom w:val="none" w:sz="0" w:space="0" w:color="auto"/>
            <w:right w:val="none" w:sz="0" w:space="0" w:color="auto"/>
          </w:divBdr>
          <w:divsChild>
            <w:div w:id="1480416680">
              <w:marLeft w:val="0"/>
              <w:marRight w:val="0"/>
              <w:marTop w:val="0"/>
              <w:marBottom w:val="0"/>
              <w:divBdr>
                <w:top w:val="none" w:sz="0" w:space="0" w:color="auto"/>
                <w:left w:val="none" w:sz="0" w:space="0" w:color="auto"/>
                <w:bottom w:val="none" w:sz="0" w:space="0" w:color="auto"/>
                <w:right w:val="none" w:sz="0" w:space="0" w:color="auto"/>
              </w:divBdr>
              <w:divsChild>
                <w:div w:id="1975911767">
                  <w:marLeft w:val="0"/>
                  <w:marRight w:val="0"/>
                  <w:marTop w:val="0"/>
                  <w:marBottom w:val="0"/>
                  <w:divBdr>
                    <w:top w:val="none" w:sz="0" w:space="0" w:color="auto"/>
                    <w:left w:val="none" w:sz="0" w:space="0" w:color="auto"/>
                    <w:bottom w:val="none" w:sz="0" w:space="0" w:color="auto"/>
                    <w:right w:val="none" w:sz="0" w:space="0" w:color="auto"/>
                  </w:divBdr>
                  <w:divsChild>
                    <w:div w:id="1230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5541">
      <w:bodyDiv w:val="1"/>
      <w:marLeft w:val="0"/>
      <w:marRight w:val="0"/>
      <w:marTop w:val="0"/>
      <w:marBottom w:val="0"/>
      <w:divBdr>
        <w:top w:val="none" w:sz="0" w:space="0" w:color="auto"/>
        <w:left w:val="none" w:sz="0" w:space="0" w:color="auto"/>
        <w:bottom w:val="none" w:sz="0" w:space="0" w:color="auto"/>
        <w:right w:val="none" w:sz="0" w:space="0" w:color="auto"/>
      </w:divBdr>
    </w:div>
    <w:div w:id="37321918">
      <w:bodyDiv w:val="1"/>
      <w:marLeft w:val="0"/>
      <w:marRight w:val="0"/>
      <w:marTop w:val="0"/>
      <w:marBottom w:val="0"/>
      <w:divBdr>
        <w:top w:val="none" w:sz="0" w:space="0" w:color="auto"/>
        <w:left w:val="none" w:sz="0" w:space="0" w:color="auto"/>
        <w:bottom w:val="none" w:sz="0" w:space="0" w:color="auto"/>
        <w:right w:val="none" w:sz="0" w:space="0" w:color="auto"/>
      </w:divBdr>
    </w:div>
    <w:div w:id="38895184">
      <w:bodyDiv w:val="1"/>
      <w:marLeft w:val="0"/>
      <w:marRight w:val="0"/>
      <w:marTop w:val="0"/>
      <w:marBottom w:val="0"/>
      <w:divBdr>
        <w:top w:val="none" w:sz="0" w:space="0" w:color="auto"/>
        <w:left w:val="none" w:sz="0" w:space="0" w:color="auto"/>
        <w:bottom w:val="none" w:sz="0" w:space="0" w:color="auto"/>
        <w:right w:val="none" w:sz="0" w:space="0" w:color="auto"/>
      </w:divBdr>
    </w:div>
    <w:div w:id="50345460">
      <w:bodyDiv w:val="1"/>
      <w:marLeft w:val="0"/>
      <w:marRight w:val="0"/>
      <w:marTop w:val="0"/>
      <w:marBottom w:val="0"/>
      <w:divBdr>
        <w:top w:val="none" w:sz="0" w:space="0" w:color="auto"/>
        <w:left w:val="none" w:sz="0" w:space="0" w:color="auto"/>
        <w:bottom w:val="none" w:sz="0" w:space="0" w:color="auto"/>
        <w:right w:val="none" w:sz="0" w:space="0" w:color="auto"/>
      </w:divBdr>
    </w:div>
    <w:div w:id="57555344">
      <w:bodyDiv w:val="1"/>
      <w:marLeft w:val="0"/>
      <w:marRight w:val="0"/>
      <w:marTop w:val="0"/>
      <w:marBottom w:val="0"/>
      <w:divBdr>
        <w:top w:val="none" w:sz="0" w:space="0" w:color="auto"/>
        <w:left w:val="none" w:sz="0" w:space="0" w:color="auto"/>
        <w:bottom w:val="none" w:sz="0" w:space="0" w:color="auto"/>
        <w:right w:val="none" w:sz="0" w:space="0" w:color="auto"/>
      </w:divBdr>
    </w:div>
    <w:div w:id="82841840">
      <w:bodyDiv w:val="1"/>
      <w:marLeft w:val="0"/>
      <w:marRight w:val="0"/>
      <w:marTop w:val="0"/>
      <w:marBottom w:val="0"/>
      <w:divBdr>
        <w:top w:val="none" w:sz="0" w:space="0" w:color="auto"/>
        <w:left w:val="none" w:sz="0" w:space="0" w:color="auto"/>
        <w:bottom w:val="none" w:sz="0" w:space="0" w:color="auto"/>
        <w:right w:val="none" w:sz="0" w:space="0" w:color="auto"/>
      </w:divBdr>
    </w:div>
    <w:div w:id="83500865">
      <w:bodyDiv w:val="1"/>
      <w:marLeft w:val="0"/>
      <w:marRight w:val="0"/>
      <w:marTop w:val="0"/>
      <w:marBottom w:val="0"/>
      <w:divBdr>
        <w:top w:val="none" w:sz="0" w:space="0" w:color="auto"/>
        <w:left w:val="none" w:sz="0" w:space="0" w:color="auto"/>
        <w:bottom w:val="none" w:sz="0" w:space="0" w:color="auto"/>
        <w:right w:val="none" w:sz="0" w:space="0" w:color="auto"/>
      </w:divBdr>
    </w:div>
    <w:div w:id="87895483">
      <w:bodyDiv w:val="1"/>
      <w:marLeft w:val="0"/>
      <w:marRight w:val="0"/>
      <w:marTop w:val="0"/>
      <w:marBottom w:val="0"/>
      <w:divBdr>
        <w:top w:val="none" w:sz="0" w:space="0" w:color="auto"/>
        <w:left w:val="none" w:sz="0" w:space="0" w:color="auto"/>
        <w:bottom w:val="none" w:sz="0" w:space="0" w:color="auto"/>
        <w:right w:val="none" w:sz="0" w:space="0" w:color="auto"/>
      </w:divBdr>
    </w:div>
    <w:div w:id="88090929">
      <w:bodyDiv w:val="1"/>
      <w:marLeft w:val="0"/>
      <w:marRight w:val="0"/>
      <w:marTop w:val="0"/>
      <w:marBottom w:val="0"/>
      <w:divBdr>
        <w:top w:val="none" w:sz="0" w:space="0" w:color="auto"/>
        <w:left w:val="none" w:sz="0" w:space="0" w:color="auto"/>
        <w:bottom w:val="none" w:sz="0" w:space="0" w:color="auto"/>
        <w:right w:val="none" w:sz="0" w:space="0" w:color="auto"/>
      </w:divBdr>
    </w:div>
    <w:div w:id="97795764">
      <w:bodyDiv w:val="1"/>
      <w:marLeft w:val="0"/>
      <w:marRight w:val="0"/>
      <w:marTop w:val="0"/>
      <w:marBottom w:val="0"/>
      <w:divBdr>
        <w:top w:val="none" w:sz="0" w:space="0" w:color="auto"/>
        <w:left w:val="none" w:sz="0" w:space="0" w:color="auto"/>
        <w:bottom w:val="none" w:sz="0" w:space="0" w:color="auto"/>
        <w:right w:val="none" w:sz="0" w:space="0" w:color="auto"/>
      </w:divBdr>
    </w:div>
    <w:div w:id="100952608">
      <w:bodyDiv w:val="1"/>
      <w:marLeft w:val="0"/>
      <w:marRight w:val="0"/>
      <w:marTop w:val="0"/>
      <w:marBottom w:val="0"/>
      <w:divBdr>
        <w:top w:val="none" w:sz="0" w:space="0" w:color="auto"/>
        <w:left w:val="none" w:sz="0" w:space="0" w:color="auto"/>
        <w:bottom w:val="none" w:sz="0" w:space="0" w:color="auto"/>
        <w:right w:val="none" w:sz="0" w:space="0" w:color="auto"/>
      </w:divBdr>
    </w:div>
    <w:div w:id="103309824">
      <w:bodyDiv w:val="1"/>
      <w:marLeft w:val="0"/>
      <w:marRight w:val="0"/>
      <w:marTop w:val="0"/>
      <w:marBottom w:val="0"/>
      <w:divBdr>
        <w:top w:val="none" w:sz="0" w:space="0" w:color="auto"/>
        <w:left w:val="none" w:sz="0" w:space="0" w:color="auto"/>
        <w:bottom w:val="none" w:sz="0" w:space="0" w:color="auto"/>
        <w:right w:val="none" w:sz="0" w:space="0" w:color="auto"/>
      </w:divBdr>
      <w:divsChild>
        <w:div w:id="2019692545">
          <w:marLeft w:val="0"/>
          <w:marRight w:val="0"/>
          <w:marTop w:val="0"/>
          <w:marBottom w:val="0"/>
          <w:divBdr>
            <w:top w:val="none" w:sz="0" w:space="0" w:color="auto"/>
            <w:left w:val="none" w:sz="0" w:space="0" w:color="auto"/>
            <w:bottom w:val="none" w:sz="0" w:space="0" w:color="auto"/>
            <w:right w:val="none" w:sz="0" w:space="0" w:color="auto"/>
          </w:divBdr>
        </w:div>
      </w:divsChild>
    </w:div>
    <w:div w:id="111287482">
      <w:bodyDiv w:val="1"/>
      <w:marLeft w:val="0"/>
      <w:marRight w:val="0"/>
      <w:marTop w:val="0"/>
      <w:marBottom w:val="0"/>
      <w:divBdr>
        <w:top w:val="none" w:sz="0" w:space="0" w:color="auto"/>
        <w:left w:val="none" w:sz="0" w:space="0" w:color="auto"/>
        <w:bottom w:val="none" w:sz="0" w:space="0" w:color="auto"/>
        <w:right w:val="none" w:sz="0" w:space="0" w:color="auto"/>
      </w:divBdr>
      <w:divsChild>
        <w:div w:id="1150487273">
          <w:marLeft w:val="0"/>
          <w:marRight w:val="0"/>
          <w:marTop w:val="0"/>
          <w:marBottom w:val="0"/>
          <w:divBdr>
            <w:top w:val="none" w:sz="0" w:space="0" w:color="auto"/>
            <w:left w:val="none" w:sz="0" w:space="0" w:color="auto"/>
            <w:bottom w:val="none" w:sz="0" w:space="0" w:color="auto"/>
            <w:right w:val="none" w:sz="0" w:space="0" w:color="auto"/>
          </w:divBdr>
          <w:divsChild>
            <w:div w:id="1075322407">
              <w:marLeft w:val="0"/>
              <w:marRight w:val="0"/>
              <w:marTop w:val="0"/>
              <w:marBottom w:val="0"/>
              <w:divBdr>
                <w:top w:val="none" w:sz="0" w:space="0" w:color="auto"/>
                <w:left w:val="none" w:sz="0" w:space="0" w:color="auto"/>
                <w:bottom w:val="none" w:sz="0" w:space="0" w:color="auto"/>
                <w:right w:val="none" w:sz="0" w:space="0" w:color="auto"/>
              </w:divBdr>
              <w:divsChild>
                <w:div w:id="10413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8965">
      <w:bodyDiv w:val="1"/>
      <w:marLeft w:val="0"/>
      <w:marRight w:val="0"/>
      <w:marTop w:val="0"/>
      <w:marBottom w:val="0"/>
      <w:divBdr>
        <w:top w:val="none" w:sz="0" w:space="0" w:color="auto"/>
        <w:left w:val="none" w:sz="0" w:space="0" w:color="auto"/>
        <w:bottom w:val="none" w:sz="0" w:space="0" w:color="auto"/>
        <w:right w:val="none" w:sz="0" w:space="0" w:color="auto"/>
      </w:divBdr>
    </w:div>
    <w:div w:id="150175701">
      <w:bodyDiv w:val="1"/>
      <w:marLeft w:val="0"/>
      <w:marRight w:val="0"/>
      <w:marTop w:val="0"/>
      <w:marBottom w:val="0"/>
      <w:divBdr>
        <w:top w:val="none" w:sz="0" w:space="0" w:color="auto"/>
        <w:left w:val="none" w:sz="0" w:space="0" w:color="auto"/>
        <w:bottom w:val="none" w:sz="0" w:space="0" w:color="auto"/>
        <w:right w:val="none" w:sz="0" w:space="0" w:color="auto"/>
      </w:divBdr>
      <w:divsChild>
        <w:div w:id="709765677">
          <w:marLeft w:val="0"/>
          <w:marRight w:val="0"/>
          <w:marTop w:val="0"/>
          <w:marBottom w:val="0"/>
          <w:divBdr>
            <w:top w:val="none" w:sz="0" w:space="0" w:color="auto"/>
            <w:left w:val="none" w:sz="0" w:space="0" w:color="auto"/>
            <w:bottom w:val="none" w:sz="0" w:space="0" w:color="auto"/>
            <w:right w:val="none" w:sz="0" w:space="0" w:color="auto"/>
          </w:divBdr>
          <w:divsChild>
            <w:div w:id="1213226465">
              <w:marLeft w:val="0"/>
              <w:marRight w:val="0"/>
              <w:marTop w:val="0"/>
              <w:marBottom w:val="0"/>
              <w:divBdr>
                <w:top w:val="none" w:sz="0" w:space="0" w:color="auto"/>
                <w:left w:val="none" w:sz="0" w:space="0" w:color="auto"/>
                <w:bottom w:val="none" w:sz="0" w:space="0" w:color="auto"/>
                <w:right w:val="none" w:sz="0" w:space="0" w:color="auto"/>
              </w:divBdr>
              <w:divsChild>
                <w:div w:id="19020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0916">
      <w:bodyDiv w:val="1"/>
      <w:marLeft w:val="0"/>
      <w:marRight w:val="0"/>
      <w:marTop w:val="0"/>
      <w:marBottom w:val="0"/>
      <w:divBdr>
        <w:top w:val="none" w:sz="0" w:space="0" w:color="auto"/>
        <w:left w:val="none" w:sz="0" w:space="0" w:color="auto"/>
        <w:bottom w:val="none" w:sz="0" w:space="0" w:color="auto"/>
        <w:right w:val="none" w:sz="0" w:space="0" w:color="auto"/>
      </w:divBdr>
    </w:div>
    <w:div w:id="168451329">
      <w:bodyDiv w:val="1"/>
      <w:marLeft w:val="0"/>
      <w:marRight w:val="0"/>
      <w:marTop w:val="0"/>
      <w:marBottom w:val="0"/>
      <w:divBdr>
        <w:top w:val="none" w:sz="0" w:space="0" w:color="auto"/>
        <w:left w:val="none" w:sz="0" w:space="0" w:color="auto"/>
        <w:bottom w:val="none" w:sz="0" w:space="0" w:color="auto"/>
        <w:right w:val="none" w:sz="0" w:space="0" w:color="auto"/>
      </w:divBdr>
    </w:div>
    <w:div w:id="177231862">
      <w:bodyDiv w:val="1"/>
      <w:marLeft w:val="0"/>
      <w:marRight w:val="0"/>
      <w:marTop w:val="0"/>
      <w:marBottom w:val="0"/>
      <w:divBdr>
        <w:top w:val="none" w:sz="0" w:space="0" w:color="auto"/>
        <w:left w:val="none" w:sz="0" w:space="0" w:color="auto"/>
        <w:bottom w:val="none" w:sz="0" w:space="0" w:color="auto"/>
        <w:right w:val="none" w:sz="0" w:space="0" w:color="auto"/>
      </w:divBdr>
    </w:div>
    <w:div w:id="182407171">
      <w:bodyDiv w:val="1"/>
      <w:marLeft w:val="0"/>
      <w:marRight w:val="0"/>
      <w:marTop w:val="0"/>
      <w:marBottom w:val="0"/>
      <w:divBdr>
        <w:top w:val="none" w:sz="0" w:space="0" w:color="auto"/>
        <w:left w:val="none" w:sz="0" w:space="0" w:color="auto"/>
        <w:bottom w:val="none" w:sz="0" w:space="0" w:color="auto"/>
        <w:right w:val="none" w:sz="0" w:space="0" w:color="auto"/>
      </w:divBdr>
    </w:div>
    <w:div w:id="187834327">
      <w:bodyDiv w:val="1"/>
      <w:marLeft w:val="0"/>
      <w:marRight w:val="0"/>
      <w:marTop w:val="0"/>
      <w:marBottom w:val="0"/>
      <w:divBdr>
        <w:top w:val="none" w:sz="0" w:space="0" w:color="auto"/>
        <w:left w:val="none" w:sz="0" w:space="0" w:color="auto"/>
        <w:bottom w:val="none" w:sz="0" w:space="0" w:color="auto"/>
        <w:right w:val="none" w:sz="0" w:space="0" w:color="auto"/>
      </w:divBdr>
    </w:div>
    <w:div w:id="216012033">
      <w:bodyDiv w:val="1"/>
      <w:marLeft w:val="0"/>
      <w:marRight w:val="0"/>
      <w:marTop w:val="0"/>
      <w:marBottom w:val="0"/>
      <w:divBdr>
        <w:top w:val="none" w:sz="0" w:space="0" w:color="auto"/>
        <w:left w:val="none" w:sz="0" w:space="0" w:color="auto"/>
        <w:bottom w:val="none" w:sz="0" w:space="0" w:color="auto"/>
        <w:right w:val="none" w:sz="0" w:space="0" w:color="auto"/>
      </w:divBdr>
      <w:divsChild>
        <w:div w:id="1310355854">
          <w:marLeft w:val="0"/>
          <w:marRight w:val="0"/>
          <w:marTop w:val="0"/>
          <w:marBottom w:val="0"/>
          <w:divBdr>
            <w:top w:val="none" w:sz="0" w:space="0" w:color="auto"/>
            <w:left w:val="none" w:sz="0" w:space="0" w:color="auto"/>
            <w:bottom w:val="none" w:sz="0" w:space="0" w:color="auto"/>
            <w:right w:val="none" w:sz="0" w:space="0" w:color="auto"/>
          </w:divBdr>
          <w:divsChild>
            <w:div w:id="1405057815">
              <w:marLeft w:val="0"/>
              <w:marRight w:val="0"/>
              <w:marTop w:val="0"/>
              <w:marBottom w:val="0"/>
              <w:divBdr>
                <w:top w:val="none" w:sz="0" w:space="0" w:color="auto"/>
                <w:left w:val="none" w:sz="0" w:space="0" w:color="auto"/>
                <w:bottom w:val="none" w:sz="0" w:space="0" w:color="auto"/>
                <w:right w:val="none" w:sz="0" w:space="0" w:color="auto"/>
              </w:divBdr>
              <w:divsChild>
                <w:div w:id="906262205">
                  <w:marLeft w:val="0"/>
                  <w:marRight w:val="0"/>
                  <w:marTop w:val="0"/>
                  <w:marBottom w:val="0"/>
                  <w:divBdr>
                    <w:top w:val="none" w:sz="0" w:space="0" w:color="auto"/>
                    <w:left w:val="none" w:sz="0" w:space="0" w:color="auto"/>
                    <w:bottom w:val="none" w:sz="0" w:space="0" w:color="auto"/>
                    <w:right w:val="none" w:sz="0" w:space="0" w:color="auto"/>
                  </w:divBdr>
                  <w:divsChild>
                    <w:div w:id="9251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1714">
      <w:bodyDiv w:val="1"/>
      <w:marLeft w:val="0"/>
      <w:marRight w:val="0"/>
      <w:marTop w:val="0"/>
      <w:marBottom w:val="0"/>
      <w:divBdr>
        <w:top w:val="none" w:sz="0" w:space="0" w:color="auto"/>
        <w:left w:val="none" w:sz="0" w:space="0" w:color="auto"/>
        <w:bottom w:val="none" w:sz="0" w:space="0" w:color="auto"/>
        <w:right w:val="none" w:sz="0" w:space="0" w:color="auto"/>
      </w:divBdr>
      <w:divsChild>
        <w:div w:id="981038886">
          <w:marLeft w:val="0"/>
          <w:marRight w:val="0"/>
          <w:marTop w:val="0"/>
          <w:marBottom w:val="0"/>
          <w:divBdr>
            <w:top w:val="none" w:sz="0" w:space="0" w:color="auto"/>
            <w:left w:val="none" w:sz="0" w:space="0" w:color="auto"/>
            <w:bottom w:val="none" w:sz="0" w:space="0" w:color="auto"/>
            <w:right w:val="none" w:sz="0" w:space="0" w:color="auto"/>
          </w:divBdr>
          <w:divsChild>
            <w:div w:id="978193450">
              <w:marLeft w:val="0"/>
              <w:marRight w:val="0"/>
              <w:marTop w:val="0"/>
              <w:marBottom w:val="0"/>
              <w:divBdr>
                <w:top w:val="none" w:sz="0" w:space="0" w:color="auto"/>
                <w:left w:val="none" w:sz="0" w:space="0" w:color="auto"/>
                <w:bottom w:val="none" w:sz="0" w:space="0" w:color="auto"/>
                <w:right w:val="none" w:sz="0" w:space="0" w:color="auto"/>
              </w:divBdr>
              <w:divsChild>
                <w:div w:id="11275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11971">
      <w:bodyDiv w:val="1"/>
      <w:marLeft w:val="0"/>
      <w:marRight w:val="0"/>
      <w:marTop w:val="0"/>
      <w:marBottom w:val="0"/>
      <w:divBdr>
        <w:top w:val="none" w:sz="0" w:space="0" w:color="auto"/>
        <w:left w:val="none" w:sz="0" w:space="0" w:color="auto"/>
        <w:bottom w:val="none" w:sz="0" w:space="0" w:color="auto"/>
        <w:right w:val="none" w:sz="0" w:space="0" w:color="auto"/>
      </w:divBdr>
    </w:div>
    <w:div w:id="236940605">
      <w:bodyDiv w:val="1"/>
      <w:marLeft w:val="0"/>
      <w:marRight w:val="0"/>
      <w:marTop w:val="0"/>
      <w:marBottom w:val="0"/>
      <w:divBdr>
        <w:top w:val="none" w:sz="0" w:space="0" w:color="auto"/>
        <w:left w:val="none" w:sz="0" w:space="0" w:color="auto"/>
        <w:bottom w:val="none" w:sz="0" w:space="0" w:color="auto"/>
        <w:right w:val="none" w:sz="0" w:space="0" w:color="auto"/>
      </w:divBdr>
      <w:divsChild>
        <w:div w:id="1438284085">
          <w:marLeft w:val="0"/>
          <w:marRight w:val="0"/>
          <w:marTop w:val="0"/>
          <w:marBottom w:val="0"/>
          <w:divBdr>
            <w:top w:val="none" w:sz="0" w:space="0" w:color="auto"/>
            <w:left w:val="none" w:sz="0" w:space="0" w:color="auto"/>
            <w:bottom w:val="none" w:sz="0" w:space="0" w:color="auto"/>
            <w:right w:val="none" w:sz="0" w:space="0" w:color="auto"/>
          </w:divBdr>
          <w:divsChild>
            <w:div w:id="1667780235">
              <w:marLeft w:val="0"/>
              <w:marRight w:val="0"/>
              <w:marTop w:val="0"/>
              <w:marBottom w:val="0"/>
              <w:divBdr>
                <w:top w:val="none" w:sz="0" w:space="0" w:color="auto"/>
                <w:left w:val="none" w:sz="0" w:space="0" w:color="auto"/>
                <w:bottom w:val="none" w:sz="0" w:space="0" w:color="auto"/>
                <w:right w:val="none" w:sz="0" w:space="0" w:color="auto"/>
              </w:divBdr>
              <w:divsChild>
                <w:div w:id="438843492">
                  <w:marLeft w:val="0"/>
                  <w:marRight w:val="0"/>
                  <w:marTop w:val="0"/>
                  <w:marBottom w:val="0"/>
                  <w:divBdr>
                    <w:top w:val="none" w:sz="0" w:space="0" w:color="auto"/>
                    <w:left w:val="none" w:sz="0" w:space="0" w:color="auto"/>
                    <w:bottom w:val="none" w:sz="0" w:space="0" w:color="auto"/>
                    <w:right w:val="none" w:sz="0" w:space="0" w:color="auto"/>
                  </w:divBdr>
                  <w:divsChild>
                    <w:div w:id="9377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82740">
      <w:bodyDiv w:val="1"/>
      <w:marLeft w:val="0"/>
      <w:marRight w:val="0"/>
      <w:marTop w:val="0"/>
      <w:marBottom w:val="0"/>
      <w:divBdr>
        <w:top w:val="none" w:sz="0" w:space="0" w:color="auto"/>
        <w:left w:val="none" w:sz="0" w:space="0" w:color="auto"/>
        <w:bottom w:val="none" w:sz="0" w:space="0" w:color="auto"/>
        <w:right w:val="none" w:sz="0" w:space="0" w:color="auto"/>
      </w:divBdr>
      <w:divsChild>
        <w:div w:id="1811510084">
          <w:marLeft w:val="0"/>
          <w:marRight w:val="0"/>
          <w:marTop w:val="0"/>
          <w:marBottom w:val="0"/>
          <w:divBdr>
            <w:top w:val="none" w:sz="0" w:space="0" w:color="auto"/>
            <w:left w:val="none" w:sz="0" w:space="0" w:color="auto"/>
            <w:bottom w:val="none" w:sz="0" w:space="0" w:color="auto"/>
            <w:right w:val="none" w:sz="0" w:space="0" w:color="auto"/>
          </w:divBdr>
          <w:divsChild>
            <w:div w:id="442654699">
              <w:marLeft w:val="0"/>
              <w:marRight w:val="0"/>
              <w:marTop w:val="0"/>
              <w:marBottom w:val="0"/>
              <w:divBdr>
                <w:top w:val="none" w:sz="0" w:space="0" w:color="auto"/>
                <w:left w:val="none" w:sz="0" w:space="0" w:color="auto"/>
                <w:bottom w:val="none" w:sz="0" w:space="0" w:color="auto"/>
                <w:right w:val="none" w:sz="0" w:space="0" w:color="auto"/>
              </w:divBdr>
              <w:divsChild>
                <w:div w:id="174575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2188">
      <w:bodyDiv w:val="1"/>
      <w:marLeft w:val="0"/>
      <w:marRight w:val="0"/>
      <w:marTop w:val="0"/>
      <w:marBottom w:val="0"/>
      <w:divBdr>
        <w:top w:val="none" w:sz="0" w:space="0" w:color="auto"/>
        <w:left w:val="none" w:sz="0" w:space="0" w:color="auto"/>
        <w:bottom w:val="none" w:sz="0" w:space="0" w:color="auto"/>
        <w:right w:val="none" w:sz="0" w:space="0" w:color="auto"/>
      </w:divBdr>
      <w:divsChild>
        <w:div w:id="260727999">
          <w:marLeft w:val="0"/>
          <w:marRight w:val="0"/>
          <w:marTop w:val="0"/>
          <w:marBottom w:val="0"/>
          <w:divBdr>
            <w:top w:val="none" w:sz="0" w:space="0" w:color="auto"/>
            <w:left w:val="none" w:sz="0" w:space="0" w:color="auto"/>
            <w:bottom w:val="none" w:sz="0" w:space="0" w:color="auto"/>
            <w:right w:val="none" w:sz="0" w:space="0" w:color="auto"/>
          </w:divBdr>
          <w:divsChild>
            <w:div w:id="1991984940">
              <w:marLeft w:val="0"/>
              <w:marRight w:val="0"/>
              <w:marTop w:val="0"/>
              <w:marBottom w:val="0"/>
              <w:divBdr>
                <w:top w:val="none" w:sz="0" w:space="0" w:color="auto"/>
                <w:left w:val="none" w:sz="0" w:space="0" w:color="auto"/>
                <w:bottom w:val="none" w:sz="0" w:space="0" w:color="auto"/>
                <w:right w:val="none" w:sz="0" w:space="0" w:color="auto"/>
              </w:divBdr>
              <w:divsChild>
                <w:div w:id="3402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3275">
      <w:bodyDiv w:val="1"/>
      <w:marLeft w:val="0"/>
      <w:marRight w:val="0"/>
      <w:marTop w:val="0"/>
      <w:marBottom w:val="0"/>
      <w:divBdr>
        <w:top w:val="none" w:sz="0" w:space="0" w:color="auto"/>
        <w:left w:val="none" w:sz="0" w:space="0" w:color="auto"/>
        <w:bottom w:val="none" w:sz="0" w:space="0" w:color="auto"/>
        <w:right w:val="none" w:sz="0" w:space="0" w:color="auto"/>
      </w:divBdr>
    </w:div>
    <w:div w:id="312031823">
      <w:bodyDiv w:val="1"/>
      <w:marLeft w:val="0"/>
      <w:marRight w:val="0"/>
      <w:marTop w:val="0"/>
      <w:marBottom w:val="0"/>
      <w:divBdr>
        <w:top w:val="none" w:sz="0" w:space="0" w:color="auto"/>
        <w:left w:val="none" w:sz="0" w:space="0" w:color="auto"/>
        <w:bottom w:val="none" w:sz="0" w:space="0" w:color="auto"/>
        <w:right w:val="none" w:sz="0" w:space="0" w:color="auto"/>
      </w:divBdr>
      <w:divsChild>
        <w:div w:id="1608539033">
          <w:marLeft w:val="0"/>
          <w:marRight w:val="0"/>
          <w:marTop w:val="0"/>
          <w:marBottom w:val="0"/>
          <w:divBdr>
            <w:top w:val="none" w:sz="0" w:space="0" w:color="auto"/>
            <w:left w:val="none" w:sz="0" w:space="0" w:color="auto"/>
            <w:bottom w:val="none" w:sz="0" w:space="0" w:color="auto"/>
            <w:right w:val="none" w:sz="0" w:space="0" w:color="auto"/>
          </w:divBdr>
          <w:divsChild>
            <w:div w:id="1551572723">
              <w:marLeft w:val="0"/>
              <w:marRight w:val="0"/>
              <w:marTop w:val="0"/>
              <w:marBottom w:val="0"/>
              <w:divBdr>
                <w:top w:val="none" w:sz="0" w:space="0" w:color="auto"/>
                <w:left w:val="none" w:sz="0" w:space="0" w:color="auto"/>
                <w:bottom w:val="none" w:sz="0" w:space="0" w:color="auto"/>
                <w:right w:val="none" w:sz="0" w:space="0" w:color="auto"/>
              </w:divBdr>
              <w:divsChild>
                <w:div w:id="7236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7569">
      <w:bodyDiv w:val="1"/>
      <w:marLeft w:val="0"/>
      <w:marRight w:val="0"/>
      <w:marTop w:val="0"/>
      <w:marBottom w:val="0"/>
      <w:divBdr>
        <w:top w:val="none" w:sz="0" w:space="0" w:color="auto"/>
        <w:left w:val="none" w:sz="0" w:space="0" w:color="auto"/>
        <w:bottom w:val="none" w:sz="0" w:space="0" w:color="auto"/>
        <w:right w:val="none" w:sz="0" w:space="0" w:color="auto"/>
      </w:divBdr>
    </w:div>
    <w:div w:id="319388704">
      <w:bodyDiv w:val="1"/>
      <w:marLeft w:val="0"/>
      <w:marRight w:val="0"/>
      <w:marTop w:val="0"/>
      <w:marBottom w:val="0"/>
      <w:divBdr>
        <w:top w:val="none" w:sz="0" w:space="0" w:color="auto"/>
        <w:left w:val="none" w:sz="0" w:space="0" w:color="auto"/>
        <w:bottom w:val="none" w:sz="0" w:space="0" w:color="auto"/>
        <w:right w:val="none" w:sz="0" w:space="0" w:color="auto"/>
      </w:divBdr>
    </w:div>
    <w:div w:id="324672644">
      <w:bodyDiv w:val="1"/>
      <w:marLeft w:val="0"/>
      <w:marRight w:val="0"/>
      <w:marTop w:val="0"/>
      <w:marBottom w:val="0"/>
      <w:divBdr>
        <w:top w:val="none" w:sz="0" w:space="0" w:color="auto"/>
        <w:left w:val="none" w:sz="0" w:space="0" w:color="auto"/>
        <w:bottom w:val="none" w:sz="0" w:space="0" w:color="auto"/>
        <w:right w:val="none" w:sz="0" w:space="0" w:color="auto"/>
      </w:divBdr>
    </w:div>
    <w:div w:id="335811222">
      <w:bodyDiv w:val="1"/>
      <w:marLeft w:val="0"/>
      <w:marRight w:val="0"/>
      <w:marTop w:val="0"/>
      <w:marBottom w:val="0"/>
      <w:divBdr>
        <w:top w:val="none" w:sz="0" w:space="0" w:color="auto"/>
        <w:left w:val="none" w:sz="0" w:space="0" w:color="auto"/>
        <w:bottom w:val="none" w:sz="0" w:space="0" w:color="auto"/>
        <w:right w:val="none" w:sz="0" w:space="0" w:color="auto"/>
      </w:divBdr>
    </w:div>
    <w:div w:id="356274449">
      <w:bodyDiv w:val="1"/>
      <w:marLeft w:val="0"/>
      <w:marRight w:val="0"/>
      <w:marTop w:val="0"/>
      <w:marBottom w:val="0"/>
      <w:divBdr>
        <w:top w:val="none" w:sz="0" w:space="0" w:color="auto"/>
        <w:left w:val="none" w:sz="0" w:space="0" w:color="auto"/>
        <w:bottom w:val="none" w:sz="0" w:space="0" w:color="auto"/>
        <w:right w:val="none" w:sz="0" w:space="0" w:color="auto"/>
      </w:divBdr>
      <w:divsChild>
        <w:div w:id="2025090743">
          <w:marLeft w:val="0"/>
          <w:marRight w:val="0"/>
          <w:marTop w:val="0"/>
          <w:marBottom w:val="0"/>
          <w:divBdr>
            <w:top w:val="none" w:sz="0" w:space="0" w:color="auto"/>
            <w:left w:val="none" w:sz="0" w:space="0" w:color="auto"/>
            <w:bottom w:val="none" w:sz="0" w:space="0" w:color="auto"/>
            <w:right w:val="none" w:sz="0" w:space="0" w:color="auto"/>
          </w:divBdr>
          <w:divsChild>
            <w:div w:id="1195508129">
              <w:marLeft w:val="0"/>
              <w:marRight w:val="0"/>
              <w:marTop w:val="0"/>
              <w:marBottom w:val="0"/>
              <w:divBdr>
                <w:top w:val="none" w:sz="0" w:space="0" w:color="auto"/>
                <w:left w:val="none" w:sz="0" w:space="0" w:color="auto"/>
                <w:bottom w:val="none" w:sz="0" w:space="0" w:color="auto"/>
                <w:right w:val="none" w:sz="0" w:space="0" w:color="auto"/>
              </w:divBdr>
              <w:divsChild>
                <w:div w:id="478310516">
                  <w:marLeft w:val="0"/>
                  <w:marRight w:val="0"/>
                  <w:marTop w:val="0"/>
                  <w:marBottom w:val="0"/>
                  <w:divBdr>
                    <w:top w:val="none" w:sz="0" w:space="0" w:color="auto"/>
                    <w:left w:val="none" w:sz="0" w:space="0" w:color="auto"/>
                    <w:bottom w:val="none" w:sz="0" w:space="0" w:color="auto"/>
                    <w:right w:val="none" w:sz="0" w:space="0" w:color="auto"/>
                  </w:divBdr>
                  <w:divsChild>
                    <w:div w:id="15046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108640">
      <w:bodyDiv w:val="1"/>
      <w:marLeft w:val="0"/>
      <w:marRight w:val="0"/>
      <w:marTop w:val="0"/>
      <w:marBottom w:val="0"/>
      <w:divBdr>
        <w:top w:val="none" w:sz="0" w:space="0" w:color="auto"/>
        <w:left w:val="none" w:sz="0" w:space="0" w:color="auto"/>
        <w:bottom w:val="none" w:sz="0" w:space="0" w:color="auto"/>
        <w:right w:val="none" w:sz="0" w:space="0" w:color="auto"/>
      </w:divBdr>
    </w:div>
    <w:div w:id="376439280">
      <w:bodyDiv w:val="1"/>
      <w:marLeft w:val="0"/>
      <w:marRight w:val="0"/>
      <w:marTop w:val="0"/>
      <w:marBottom w:val="0"/>
      <w:divBdr>
        <w:top w:val="none" w:sz="0" w:space="0" w:color="auto"/>
        <w:left w:val="none" w:sz="0" w:space="0" w:color="auto"/>
        <w:bottom w:val="none" w:sz="0" w:space="0" w:color="auto"/>
        <w:right w:val="none" w:sz="0" w:space="0" w:color="auto"/>
      </w:divBdr>
      <w:divsChild>
        <w:div w:id="1255556582">
          <w:marLeft w:val="0"/>
          <w:marRight w:val="0"/>
          <w:marTop w:val="0"/>
          <w:marBottom w:val="0"/>
          <w:divBdr>
            <w:top w:val="none" w:sz="0" w:space="0" w:color="auto"/>
            <w:left w:val="none" w:sz="0" w:space="0" w:color="auto"/>
            <w:bottom w:val="none" w:sz="0" w:space="0" w:color="auto"/>
            <w:right w:val="none" w:sz="0" w:space="0" w:color="auto"/>
          </w:divBdr>
          <w:divsChild>
            <w:div w:id="1133913456">
              <w:marLeft w:val="0"/>
              <w:marRight w:val="0"/>
              <w:marTop w:val="0"/>
              <w:marBottom w:val="0"/>
              <w:divBdr>
                <w:top w:val="none" w:sz="0" w:space="0" w:color="auto"/>
                <w:left w:val="none" w:sz="0" w:space="0" w:color="auto"/>
                <w:bottom w:val="none" w:sz="0" w:space="0" w:color="auto"/>
                <w:right w:val="none" w:sz="0" w:space="0" w:color="auto"/>
              </w:divBdr>
              <w:divsChild>
                <w:div w:id="7226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6844">
      <w:bodyDiv w:val="1"/>
      <w:marLeft w:val="0"/>
      <w:marRight w:val="0"/>
      <w:marTop w:val="0"/>
      <w:marBottom w:val="0"/>
      <w:divBdr>
        <w:top w:val="none" w:sz="0" w:space="0" w:color="auto"/>
        <w:left w:val="none" w:sz="0" w:space="0" w:color="auto"/>
        <w:bottom w:val="none" w:sz="0" w:space="0" w:color="auto"/>
        <w:right w:val="none" w:sz="0" w:space="0" w:color="auto"/>
      </w:divBdr>
      <w:divsChild>
        <w:div w:id="1088236537">
          <w:marLeft w:val="0"/>
          <w:marRight w:val="0"/>
          <w:marTop w:val="0"/>
          <w:marBottom w:val="0"/>
          <w:divBdr>
            <w:top w:val="none" w:sz="0" w:space="0" w:color="auto"/>
            <w:left w:val="none" w:sz="0" w:space="0" w:color="auto"/>
            <w:bottom w:val="none" w:sz="0" w:space="0" w:color="auto"/>
            <w:right w:val="none" w:sz="0" w:space="0" w:color="auto"/>
          </w:divBdr>
          <w:divsChild>
            <w:div w:id="1454009663">
              <w:marLeft w:val="0"/>
              <w:marRight w:val="0"/>
              <w:marTop w:val="0"/>
              <w:marBottom w:val="0"/>
              <w:divBdr>
                <w:top w:val="none" w:sz="0" w:space="0" w:color="auto"/>
                <w:left w:val="none" w:sz="0" w:space="0" w:color="auto"/>
                <w:bottom w:val="none" w:sz="0" w:space="0" w:color="auto"/>
                <w:right w:val="none" w:sz="0" w:space="0" w:color="auto"/>
              </w:divBdr>
              <w:divsChild>
                <w:div w:id="8957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14872">
      <w:bodyDiv w:val="1"/>
      <w:marLeft w:val="0"/>
      <w:marRight w:val="0"/>
      <w:marTop w:val="0"/>
      <w:marBottom w:val="0"/>
      <w:divBdr>
        <w:top w:val="none" w:sz="0" w:space="0" w:color="auto"/>
        <w:left w:val="none" w:sz="0" w:space="0" w:color="auto"/>
        <w:bottom w:val="none" w:sz="0" w:space="0" w:color="auto"/>
        <w:right w:val="none" w:sz="0" w:space="0" w:color="auto"/>
      </w:divBdr>
    </w:div>
    <w:div w:id="407774722">
      <w:bodyDiv w:val="1"/>
      <w:marLeft w:val="0"/>
      <w:marRight w:val="0"/>
      <w:marTop w:val="0"/>
      <w:marBottom w:val="0"/>
      <w:divBdr>
        <w:top w:val="none" w:sz="0" w:space="0" w:color="auto"/>
        <w:left w:val="none" w:sz="0" w:space="0" w:color="auto"/>
        <w:bottom w:val="none" w:sz="0" w:space="0" w:color="auto"/>
        <w:right w:val="none" w:sz="0" w:space="0" w:color="auto"/>
      </w:divBdr>
      <w:divsChild>
        <w:div w:id="719860233">
          <w:marLeft w:val="0"/>
          <w:marRight w:val="0"/>
          <w:marTop w:val="0"/>
          <w:marBottom w:val="0"/>
          <w:divBdr>
            <w:top w:val="none" w:sz="0" w:space="0" w:color="auto"/>
            <w:left w:val="none" w:sz="0" w:space="0" w:color="auto"/>
            <w:bottom w:val="none" w:sz="0" w:space="0" w:color="auto"/>
            <w:right w:val="none" w:sz="0" w:space="0" w:color="auto"/>
          </w:divBdr>
          <w:divsChild>
            <w:div w:id="1842037392">
              <w:marLeft w:val="0"/>
              <w:marRight w:val="0"/>
              <w:marTop w:val="0"/>
              <w:marBottom w:val="0"/>
              <w:divBdr>
                <w:top w:val="none" w:sz="0" w:space="0" w:color="auto"/>
                <w:left w:val="none" w:sz="0" w:space="0" w:color="auto"/>
                <w:bottom w:val="none" w:sz="0" w:space="0" w:color="auto"/>
                <w:right w:val="none" w:sz="0" w:space="0" w:color="auto"/>
              </w:divBdr>
              <w:divsChild>
                <w:div w:id="1465267333">
                  <w:marLeft w:val="0"/>
                  <w:marRight w:val="0"/>
                  <w:marTop w:val="0"/>
                  <w:marBottom w:val="0"/>
                  <w:divBdr>
                    <w:top w:val="none" w:sz="0" w:space="0" w:color="auto"/>
                    <w:left w:val="none" w:sz="0" w:space="0" w:color="auto"/>
                    <w:bottom w:val="none" w:sz="0" w:space="0" w:color="auto"/>
                    <w:right w:val="none" w:sz="0" w:space="0" w:color="auto"/>
                  </w:divBdr>
                  <w:divsChild>
                    <w:div w:id="3950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050815">
      <w:bodyDiv w:val="1"/>
      <w:marLeft w:val="0"/>
      <w:marRight w:val="0"/>
      <w:marTop w:val="0"/>
      <w:marBottom w:val="0"/>
      <w:divBdr>
        <w:top w:val="none" w:sz="0" w:space="0" w:color="auto"/>
        <w:left w:val="none" w:sz="0" w:space="0" w:color="auto"/>
        <w:bottom w:val="none" w:sz="0" w:space="0" w:color="auto"/>
        <w:right w:val="none" w:sz="0" w:space="0" w:color="auto"/>
      </w:divBdr>
    </w:div>
    <w:div w:id="455567376">
      <w:bodyDiv w:val="1"/>
      <w:marLeft w:val="0"/>
      <w:marRight w:val="0"/>
      <w:marTop w:val="0"/>
      <w:marBottom w:val="0"/>
      <w:divBdr>
        <w:top w:val="none" w:sz="0" w:space="0" w:color="auto"/>
        <w:left w:val="none" w:sz="0" w:space="0" w:color="auto"/>
        <w:bottom w:val="none" w:sz="0" w:space="0" w:color="auto"/>
        <w:right w:val="none" w:sz="0" w:space="0" w:color="auto"/>
      </w:divBdr>
      <w:divsChild>
        <w:div w:id="1111247151">
          <w:marLeft w:val="0"/>
          <w:marRight w:val="0"/>
          <w:marTop w:val="0"/>
          <w:marBottom w:val="0"/>
          <w:divBdr>
            <w:top w:val="none" w:sz="0" w:space="0" w:color="auto"/>
            <w:left w:val="none" w:sz="0" w:space="0" w:color="auto"/>
            <w:bottom w:val="none" w:sz="0" w:space="0" w:color="auto"/>
            <w:right w:val="none" w:sz="0" w:space="0" w:color="auto"/>
          </w:divBdr>
          <w:divsChild>
            <w:div w:id="737286217">
              <w:marLeft w:val="0"/>
              <w:marRight w:val="0"/>
              <w:marTop w:val="0"/>
              <w:marBottom w:val="0"/>
              <w:divBdr>
                <w:top w:val="none" w:sz="0" w:space="0" w:color="auto"/>
                <w:left w:val="none" w:sz="0" w:space="0" w:color="auto"/>
                <w:bottom w:val="none" w:sz="0" w:space="0" w:color="auto"/>
                <w:right w:val="none" w:sz="0" w:space="0" w:color="auto"/>
              </w:divBdr>
              <w:divsChild>
                <w:div w:id="1413506623">
                  <w:marLeft w:val="0"/>
                  <w:marRight w:val="0"/>
                  <w:marTop w:val="0"/>
                  <w:marBottom w:val="0"/>
                  <w:divBdr>
                    <w:top w:val="none" w:sz="0" w:space="0" w:color="auto"/>
                    <w:left w:val="none" w:sz="0" w:space="0" w:color="auto"/>
                    <w:bottom w:val="none" w:sz="0" w:space="0" w:color="auto"/>
                    <w:right w:val="none" w:sz="0" w:space="0" w:color="auto"/>
                  </w:divBdr>
                  <w:divsChild>
                    <w:div w:id="11480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92281">
      <w:bodyDiv w:val="1"/>
      <w:marLeft w:val="0"/>
      <w:marRight w:val="0"/>
      <w:marTop w:val="0"/>
      <w:marBottom w:val="0"/>
      <w:divBdr>
        <w:top w:val="none" w:sz="0" w:space="0" w:color="auto"/>
        <w:left w:val="none" w:sz="0" w:space="0" w:color="auto"/>
        <w:bottom w:val="none" w:sz="0" w:space="0" w:color="auto"/>
        <w:right w:val="none" w:sz="0" w:space="0" w:color="auto"/>
      </w:divBdr>
    </w:div>
    <w:div w:id="486289970">
      <w:bodyDiv w:val="1"/>
      <w:marLeft w:val="0"/>
      <w:marRight w:val="0"/>
      <w:marTop w:val="0"/>
      <w:marBottom w:val="0"/>
      <w:divBdr>
        <w:top w:val="none" w:sz="0" w:space="0" w:color="auto"/>
        <w:left w:val="none" w:sz="0" w:space="0" w:color="auto"/>
        <w:bottom w:val="none" w:sz="0" w:space="0" w:color="auto"/>
        <w:right w:val="none" w:sz="0" w:space="0" w:color="auto"/>
      </w:divBdr>
      <w:divsChild>
        <w:div w:id="564144859">
          <w:marLeft w:val="0"/>
          <w:marRight w:val="0"/>
          <w:marTop w:val="0"/>
          <w:marBottom w:val="0"/>
          <w:divBdr>
            <w:top w:val="none" w:sz="0" w:space="0" w:color="auto"/>
            <w:left w:val="none" w:sz="0" w:space="0" w:color="auto"/>
            <w:bottom w:val="none" w:sz="0" w:space="0" w:color="auto"/>
            <w:right w:val="none" w:sz="0" w:space="0" w:color="auto"/>
          </w:divBdr>
          <w:divsChild>
            <w:div w:id="859242970">
              <w:marLeft w:val="0"/>
              <w:marRight w:val="0"/>
              <w:marTop w:val="0"/>
              <w:marBottom w:val="0"/>
              <w:divBdr>
                <w:top w:val="none" w:sz="0" w:space="0" w:color="auto"/>
                <w:left w:val="none" w:sz="0" w:space="0" w:color="auto"/>
                <w:bottom w:val="none" w:sz="0" w:space="0" w:color="auto"/>
                <w:right w:val="none" w:sz="0" w:space="0" w:color="auto"/>
              </w:divBdr>
              <w:divsChild>
                <w:div w:id="11973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516621">
      <w:bodyDiv w:val="1"/>
      <w:marLeft w:val="0"/>
      <w:marRight w:val="0"/>
      <w:marTop w:val="0"/>
      <w:marBottom w:val="0"/>
      <w:divBdr>
        <w:top w:val="none" w:sz="0" w:space="0" w:color="auto"/>
        <w:left w:val="none" w:sz="0" w:space="0" w:color="auto"/>
        <w:bottom w:val="none" w:sz="0" w:space="0" w:color="auto"/>
        <w:right w:val="none" w:sz="0" w:space="0" w:color="auto"/>
      </w:divBdr>
    </w:div>
    <w:div w:id="491529877">
      <w:bodyDiv w:val="1"/>
      <w:marLeft w:val="0"/>
      <w:marRight w:val="0"/>
      <w:marTop w:val="0"/>
      <w:marBottom w:val="0"/>
      <w:divBdr>
        <w:top w:val="none" w:sz="0" w:space="0" w:color="auto"/>
        <w:left w:val="none" w:sz="0" w:space="0" w:color="auto"/>
        <w:bottom w:val="none" w:sz="0" w:space="0" w:color="auto"/>
        <w:right w:val="none" w:sz="0" w:space="0" w:color="auto"/>
      </w:divBdr>
    </w:div>
    <w:div w:id="494683507">
      <w:bodyDiv w:val="1"/>
      <w:marLeft w:val="0"/>
      <w:marRight w:val="0"/>
      <w:marTop w:val="0"/>
      <w:marBottom w:val="0"/>
      <w:divBdr>
        <w:top w:val="none" w:sz="0" w:space="0" w:color="auto"/>
        <w:left w:val="none" w:sz="0" w:space="0" w:color="auto"/>
        <w:bottom w:val="none" w:sz="0" w:space="0" w:color="auto"/>
        <w:right w:val="none" w:sz="0" w:space="0" w:color="auto"/>
      </w:divBdr>
    </w:div>
    <w:div w:id="495343116">
      <w:bodyDiv w:val="1"/>
      <w:marLeft w:val="0"/>
      <w:marRight w:val="0"/>
      <w:marTop w:val="0"/>
      <w:marBottom w:val="0"/>
      <w:divBdr>
        <w:top w:val="none" w:sz="0" w:space="0" w:color="auto"/>
        <w:left w:val="none" w:sz="0" w:space="0" w:color="auto"/>
        <w:bottom w:val="none" w:sz="0" w:space="0" w:color="auto"/>
        <w:right w:val="none" w:sz="0" w:space="0" w:color="auto"/>
      </w:divBdr>
    </w:div>
    <w:div w:id="534201148">
      <w:bodyDiv w:val="1"/>
      <w:marLeft w:val="0"/>
      <w:marRight w:val="0"/>
      <w:marTop w:val="0"/>
      <w:marBottom w:val="0"/>
      <w:divBdr>
        <w:top w:val="none" w:sz="0" w:space="0" w:color="auto"/>
        <w:left w:val="none" w:sz="0" w:space="0" w:color="auto"/>
        <w:bottom w:val="none" w:sz="0" w:space="0" w:color="auto"/>
        <w:right w:val="none" w:sz="0" w:space="0" w:color="auto"/>
      </w:divBdr>
      <w:divsChild>
        <w:div w:id="876313903">
          <w:marLeft w:val="0"/>
          <w:marRight w:val="0"/>
          <w:marTop w:val="0"/>
          <w:marBottom w:val="0"/>
          <w:divBdr>
            <w:top w:val="none" w:sz="0" w:space="0" w:color="auto"/>
            <w:left w:val="none" w:sz="0" w:space="0" w:color="auto"/>
            <w:bottom w:val="none" w:sz="0" w:space="0" w:color="auto"/>
            <w:right w:val="none" w:sz="0" w:space="0" w:color="auto"/>
          </w:divBdr>
          <w:divsChild>
            <w:div w:id="1653564391">
              <w:marLeft w:val="0"/>
              <w:marRight w:val="0"/>
              <w:marTop w:val="0"/>
              <w:marBottom w:val="0"/>
              <w:divBdr>
                <w:top w:val="none" w:sz="0" w:space="0" w:color="auto"/>
                <w:left w:val="none" w:sz="0" w:space="0" w:color="auto"/>
                <w:bottom w:val="none" w:sz="0" w:space="0" w:color="auto"/>
                <w:right w:val="none" w:sz="0" w:space="0" w:color="auto"/>
              </w:divBdr>
              <w:divsChild>
                <w:div w:id="310137124">
                  <w:marLeft w:val="0"/>
                  <w:marRight w:val="0"/>
                  <w:marTop w:val="0"/>
                  <w:marBottom w:val="0"/>
                  <w:divBdr>
                    <w:top w:val="none" w:sz="0" w:space="0" w:color="auto"/>
                    <w:left w:val="none" w:sz="0" w:space="0" w:color="auto"/>
                    <w:bottom w:val="none" w:sz="0" w:space="0" w:color="auto"/>
                    <w:right w:val="none" w:sz="0" w:space="0" w:color="auto"/>
                  </w:divBdr>
                  <w:divsChild>
                    <w:div w:id="55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967505">
      <w:bodyDiv w:val="1"/>
      <w:marLeft w:val="0"/>
      <w:marRight w:val="0"/>
      <w:marTop w:val="0"/>
      <w:marBottom w:val="0"/>
      <w:divBdr>
        <w:top w:val="none" w:sz="0" w:space="0" w:color="auto"/>
        <w:left w:val="none" w:sz="0" w:space="0" w:color="auto"/>
        <w:bottom w:val="none" w:sz="0" w:space="0" w:color="auto"/>
        <w:right w:val="none" w:sz="0" w:space="0" w:color="auto"/>
      </w:divBdr>
    </w:div>
    <w:div w:id="538706334">
      <w:bodyDiv w:val="1"/>
      <w:marLeft w:val="0"/>
      <w:marRight w:val="0"/>
      <w:marTop w:val="0"/>
      <w:marBottom w:val="0"/>
      <w:divBdr>
        <w:top w:val="none" w:sz="0" w:space="0" w:color="auto"/>
        <w:left w:val="none" w:sz="0" w:space="0" w:color="auto"/>
        <w:bottom w:val="none" w:sz="0" w:space="0" w:color="auto"/>
        <w:right w:val="none" w:sz="0" w:space="0" w:color="auto"/>
      </w:divBdr>
    </w:div>
    <w:div w:id="555510088">
      <w:bodyDiv w:val="1"/>
      <w:marLeft w:val="0"/>
      <w:marRight w:val="0"/>
      <w:marTop w:val="0"/>
      <w:marBottom w:val="0"/>
      <w:divBdr>
        <w:top w:val="none" w:sz="0" w:space="0" w:color="auto"/>
        <w:left w:val="none" w:sz="0" w:space="0" w:color="auto"/>
        <w:bottom w:val="none" w:sz="0" w:space="0" w:color="auto"/>
        <w:right w:val="none" w:sz="0" w:space="0" w:color="auto"/>
      </w:divBdr>
    </w:div>
    <w:div w:id="558981280">
      <w:bodyDiv w:val="1"/>
      <w:marLeft w:val="0"/>
      <w:marRight w:val="0"/>
      <w:marTop w:val="0"/>
      <w:marBottom w:val="0"/>
      <w:divBdr>
        <w:top w:val="none" w:sz="0" w:space="0" w:color="auto"/>
        <w:left w:val="none" w:sz="0" w:space="0" w:color="auto"/>
        <w:bottom w:val="none" w:sz="0" w:space="0" w:color="auto"/>
        <w:right w:val="none" w:sz="0" w:space="0" w:color="auto"/>
      </w:divBdr>
    </w:div>
    <w:div w:id="560948871">
      <w:bodyDiv w:val="1"/>
      <w:marLeft w:val="0"/>
      <w:marRight w:val="0"/>
      <w:marTop w:val="0"/>
      <w:marBottom w:val="0"/>
      <w:divBdr>
        <w:top w:val="none" w:sz="0" w:space="0" w:color="auto"/>
        <w:left w:val="none" w:sz="0" w:space="0" w:color="auto"/>
        <w:bottom w:val="none" w:sz="0" w:space="0" w:color="auto"/>
        <w:right w:val="none" w:sz="0" w:space="0" w:color="auto"/>
      </w:divBdr>
      <w:divsChild>
        <w:div w:id="1073548723">
          <w:marLeft w:val="0"/>
          <w:marRight w:val="0"/>
          <w:marTop w:val="0"/>
          <w:marBottom w:val="0"/>
          <w:divBdr>
            <w:top w:val="none" w:sz="0" w:space="0" w:color="auto"/>
            <w:left w:val="none" w:sz="0" w:space="0" w:color="auto"/>
            <w:bottom w:val="none" w:sz="0" w:space="0" w:color="auto"/>
            <w:right w:val="none" w:sz="0" w:space="0" w:color="auto"/>
          </w:divBdr>
          <w:divsChild>
            <w:div w:id="2111657138">
              <w:marLeft w:val="0"/>
              <w:marRight w:val="0"/>
              <w:marTop w:val="0"/>
              <w:marBottom w:val="0"/>
              <w:divBdr>
                <w:top w:val="none" w:sz="0" w:space="0" w:color="auto"/>
                <w:left w:val="none" w:sz="0" w:space="0" w:color="auto"/>
                <w:bottom w:val="none" w:sz="0" w:space="0" w:color="auto"/>
                <w:right w:val="none" w:sz="0" w:space="0" w:color="auto"/>
              </w:divBdr>
              <w:divsChild>
                <w:div w:id="19658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12139">
      <w:bodyDiv w:val="1"/>
      <w:marLeft w:val="0"/>
      <w:marRight w:val="0"/>
      <w:marTop w:val="0"/>
      <w:marBottom w:val="0"/>
      <w:divBdr>
        <w:top w:val="none" w:sz="0" w:space="0" w:color="auto"/>
        <w:left w:val="none" w:sz="0" w:space="0" w:color="auto"/>
        <w:bottom w:val="none" w:sz="0" w:space="0" w:color="auto"/>
        <w:right w:val="none" w:sz="0" w:space="0" w:color="auto"/>
      </w:divBdr>
    </w:div>
    <w:div w:id="571815996">
      <w:bodyDiv w:val="1"/>
      <w:marLeft w:val="0"/>
      <w:marRight w:val="0"/>
      <w:marTop w:val="0"/>
      <w:marBottom w:val="0"/>
      <w:divBdr>
        <w:top w:val="none" w:sz="0" w:space="0" w:color="auto"/>
        <w:left w:val="none" w:sz="0" w:space="0" w:color="auto"/>
        <w:bottom w:val="none" w:sz="0" w:space="0" w:color="auto"/>
        <w:right w:val="none" w:sz="0" w:space="0" w:color="auto"/>
      </w:divBdr>
    </w:div>
    <w:div w:id="574316337">
      <w:bodyDiv w:val="1"/>
      <w:marLeft w:val="0"/>
      <w:marRight w:val="0"/>
      <w:marTop w:val="0"/>
      <w:marBottom w:val="0"/>
      <w:divBdr>
        <w:top w:val="none" w:sz="0" w:space="0" w:color="auto"/>
        <w:left w:val="none" w:sz="0" w:space="0" w:color="auto"/>
        <w:bottom w:val="none" w:sz="0" w:space="0" w:color="auto"/>
        <w:right w:val="none" w:sz="0" w:space="0" w:color="auto"/>
      </w:divBdr>
    </w:div>
    <w:div w:id="577399328">
      <w:bodyDiv w:val="1"/>
      <w:marLeft w:val="0"/>
      <w:marRight w:val="0"/>
      <w:marTop w:val="0"/>
      <w:marBottom w:val="0"/>
      <w:divBdr>
        <w:top w:val="none" w:sz="0" w:space="0" w:color="auto"/>
        <w:left w:val="none" w:sz="0" w:space="0" w:color="auto"/>
        <w:bottom w:val="none" w:sz="0" w:space="0" w:color="auto"/>
        <w:right w:val="none" w:sz="0" w:space="0" w:color="auto"/>
      </w:divBdr>
    </w:div>
    <w:div w:id="579755107">
      <w:bodyDiv w:val="1"/>
      <w:marLeft w:val="0"/>
      <w:marRight w:val="0"/>
      <w:marTop w:val="0"/>
      <w:marBottom w:val="0"/>
      <w:divBdr>
        <w:top w:val="none" w:sz="0" w:space="0" w:color="auto"/>
        <w:left w:val="none" w:sz="0" w:space="0" w:color="auto"/>
        <w:bottom w:val="none" w:sz="0" w:space="0" w:color="auto"/>
        <w:right w:val="none" w:sz="0" w:space="0" w:color="auto"/>
      </w:divBdr>
    </w:div>
    <w:div w:id="580677181">
      <w:bodyDiv w:val="1"/>
      <w:marLeft w:val="0"/>
      <w:marRight w:val="0"/>
      <w:marTop w:val="0"/>
      <w:marBottom w:val="0"/>
      <w:divBdr>
        <w:top w:val="none" w:sz="0" w:space="0" w:color="auto"/>
        <w:left w:val="none" w:sz="0" w:space="0" w:color="auto"/>
        <w:bottom w:val="none" w:sz="0" w:space="0" w:color="auto"/>
        <w:right w:val="none" w:sz="0" w:space="0" w:color="auto"/>
      </w:divBdr>
    </w:div>
    <w:div w:id="601766632">
      <w:bodyDiv w:val="1"/>
      <w:marLeft w:val="0"/>
      <w:marRight w:val="0"/>
      <w:marTop w:val="0"/>
      <w:marBottom w:val="0"/>
      <w:divBdr>
        <w:top w:val="none" w:sz="0" w:space="0" w:color="auto"/>
        <w:left w:val="none" w:sz="0" w:space="0" w:color="auto"/>
        <w:bottom w:val="none" w:sz="0" w:space="0" w:color="auto"/>
        <w:right w:val="none" w:sz="0" w:space="0" w:color="auto"/>
      </w:divBdr>
    </w:div>
    <w:div w:id="602884954">
      <w:bodyDiv w:val="1"/>
      <w:marLeft w:val="0"/>
      <w:marRight w:val="0"/>
      <w:marTop w:val="0"/>
      <w:marBottom w:val="0"/>
      <w:divBdr>
        <w:top w:val="none" w:sz="0" w:space="0" w:color="auto"/>
        <w:left w:val="none" w:sz="0" w:space="0" w:color="auto"/>
        <w:bottom w:val="none" w:sz="0" w:space="0" w:color="auto"/>
        <w:right w:val="none" w:sz="0" w:space="0" w:color="auto"/>
      </w:divBdr>
    </w:div>
    <w:div w:id="622542303">
      <w:bodyDiv w:val="1"/>
      <w:marLeft w:val="0"/>
      <w:marRight w:val="0"/>
      <w:marTop w:val="0"/>
      <w:marBottom w:val="0"/>
      <w:divBdr>
        <w:top w:val="none" w:sz="0" w:space="0" w:color="auto"/>
        <w:left w:val="none" w:sz="0" w:space="0" w:color="auto"/>
        <w:bottom w:val="none" w:sz="0" w:space="0" w:color="auto"/>
        <w:right w:val="none" w:sz="0" w:space="0" w:color="auto"/>
      </w:divBdr>
      <w:divsChild>
        <w:div w:id="1469712098">
          <w:marLeft w:val="0"/>
          <w:marRight w:val="0"/>
          <w:marTop w:val="0"/>
          <w:marBottom w:val="0"/>
          <w:divBdr>
            <w:top w:val="none" w:sz="0" w:space="0" w:color="auto"/>
            <w:left w:val="none" w:sz="0" w:space="0" w:color="auto"/>
            <w:bottom w:val="none" w:sz="0" w:space="0" w:color="auto"/>
            <w:right w:val="none" w:sz="0" w:space="0" w:color="auto"/>
          </w:divBdr>
          <w:divsChild>
            <w:div w:id="1443718931">
              <w:marLeft w:val="0"/>
              <w:marRight w:val="0"/>
              <w:marTop w:val="0"/>
              <w:marBottom w:val="0"/>
              <w:divBdr>
                <w:top w:val="none" w:sz="0" w:space="0" w:color="auto"/>
                <w:left w:val="none" w:sz="0" w:space="0" w:color="auto"/>
                <w:bottom w:val="none" w:sz="0" w:space="0" w:color="auto"/>
                <w:right w:val="none" w:sz="0" w:space="0" w:color="auto"/>
              </w:divBdr>
              <w:divsChild>
                <w:div w:id="6526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84417">
      <w:bodyDiv w:val="1"/>
      <w:marLeft w:val="0"/>
      <w:marRight w:val="0"/>
      <w:marTop w:val="0"/>
      <w:marBottom w:val="0"/>
      <w:divBdr>
        <w:top w:val="none" w:sz="0" w:space="0" w:color="auto"/>
        <w:left w:val="none" w:sz="0" w:space="0" w:color="auto"/>
        <w:bottom w:val="none" w:sz="0" w:space="0" w:color="auto"/>
        <w:right w:val="none" w:sz="0" w:space="0" w:color="auto"/>
      </w:divBdr>
    </w:div>
    <w:div w:id="658578415">
      <w:bodyDiv w:val="1"/>
      <w:marLeft w:val="0"/>
      <w:marRight w:val="0"/>
      <w:marTop w:val="0"/>
      <w:marBottom w:val="0"/>
      <w:divBdr>
        <w:top w:val="none" w:sz="0" w:space="0" w:color="auto"/>
        <w:left w:val="none" w:sz="0" w:space="0" w:color="auto"/>
        <w:bottom w:val="none" w:sz="0" w:space="0" w:color="auto"/>
        <w:right w:val="none" w:sz="0" w:space="0" w:color="auto"/>
      </w:divBdr>
    </w:div>
    <w:div w:id="663625896">
      <w:bodyDiv w:val="1"/>
      <w:marLeft w:val="0"/>
      <w:marRight w:val="0"/>
      <w:marTop w:val="0"/>
      <w:marBottom w:val="0"/>
      <w:divBdr>
        <w:top w:val="none" w:sz="0" w:space="0" w:color="auto"/>
        <w:left w:val="none" w:sz="0" w:space="0" w:color="auto"/>
        <w:bottom w:val="none" w:sz="0" w:space="0" w:color="auto"/>
        <w:right w:val="none" w:sz="0" w:space="0" w:color="auto"/>
      </w:divBdr>
    </w:div>
    <w:div w:id="670838413">
      <w:bodyDiv w:val="1"/>
      <w:marLeft w:val="0"/>
      <w:marRight w:val="0"/>
      <w:marTop w:val="0"/>
      <w:marBottom w:val="0"/>
      <w:divBdr>
        <w:top w:val="none" w:sz="0" w:space="0" w:color="auto"/>
        <w:left w:val="none" w:sz="0" w:space="0" w:color="auto"/>
        <w:bottom w:val="none" w:sz="0" w:space="0" w:color="auto"/>
        <w:right w:val="none" w:sz="0" w:space="0" w:color="auto"/>
      </w:divBdr>
    </w:div>
    <w:div w:id="673994835">
      <w:bodyDiv w:val="1"/>
      <w:marLeft w:val="0"/>
      <w:marRight w:val="0"/>
      <w:marTop w:val="0"/>
      <w:marBottom w:val="0"/>
      <w:divBdr>
        <w:top w:val="none" w:sz="0" w:space="0" w:color="auto"/>
        <w:left w:val="none" w:sz="0" w:space="0" w:color="auto"/>
        <w:bottom w:val="none" w:sz="0" w:space="0" w:color="auto"/>
        <w:right w:val="none" w:sz="0" w:space="0" w:color="auto"/>
      </w:divBdr>
      <w:divsChild>
        <w:div w:id="1708677928">
          <w:marLeft w:val="0"/>
          <w:marRight w:val="0"/>
          <w:marTop w:val="0"/>
          <w:marBottom w:val="0"/>
          <w:divBdr>
            <w:top w:val="none" w:sz="0" w:space="0" w:color="auto"/>
            <w:left w:val="none" w:sz="0" w:space="0" w:color="auto"/>
            <w:bottom w:val="none" w:sz="0" w:space="0" w:color="auto"/>
            <w:right w:val="none" w:sz="0" w:space="0" w:color="auto"/>
          </w:divBdr>
          <w:divsChild>
            <w:div w:id="396129097">
              <w:marLeft w:val="0"/>
              <w:marRight w:val="0"/>
              <w:marTop w:val="0"/>
              <w:marBottom w:val="0"/>
              <w:divBdr>
                <w:top w:val="none" w:sz="0" w:space="0" w:color="auto"/>
                <w:left w:val="none" w:sz="0" w:space="0" w:color="auto"/>
                <w:bottom w:val="none" w:sz="0" w:space="0" w:color="auto"/>
                <w:right w:val="none" w:sz="0" w:space="0" w:color="auto"/>
              </w:divBdr>
              <w:divsChild>
                <w:div w:id="666397554">
                  <w:marLeft w:val="0"/>
                  <w:marRight w:val="0"/>
                  <w:marTop w:val="0"/>
                  <w:marBottom w:val="0"/>
                  <w:divBdr>
                    <w:top w:val="none" w:sz="0" w:space="0" w:color="auto"/>
                    <w:left w:val="none" w:sz="0" w:space="0" w:color="auto"/>
                    <w:bottom w:val="none" w:sz="0" w:space="0" w:color="auto"/>
                    <w:right w:val="none" w:sz="0" w:space="0" w:color="auto"/>
                  </w:divBdr>
                  <w:divsChild>
                    <w:div w:id="7979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78748">
      <w:bodyDiv w:val="1"/>
      <w:marLeft w:val="0"/>
      <w:marRight w:val="0"/>
      <w:marTop w:val="0"/>
      <w:marBottom w:val="0"/>
      <w:divBdr>
        <w:top w:val="none" w:sz="0" w:space="0" w:color="auto"/>
        <w:left w:val="none" w:sz="0" w:space="0" w:color="auto"/>
        <w:bottom w:val="none" w:sz="0" w:space="0" w:color="auto"/>
        <w:right w:val="none" w:sz="0" w:space="0" w:color="auto"/>
      </w:divBdr>
    </w:div>
    <w:div w:id="684670956">
      <w:bodyDiv w:val="1"/>
      <w:marLeft w:val="0"/>
      <w:marRight w:val="0"/>
      <w:marTop w:val="0"/>
      <w:marBottom w:val="0"/>
      <w:divBdr>
        <w:top w:val="none" w:sz="0" w:space="0" w:color="auto"/>
        <w:left w:val="none" w:sz="0" w:space="0" w:color="auto"/>
        <w:bottom w:val="none" w:sz="0" w:space="0" w:color="auto"/>
        <w:right w:val="none" w:sz="0" w:space="0" w:color="auto"/>
      </w:divBdr>
      <w:divsChild>
        <w:div w:id="302465603">
          <w:marLeft w:val="0"/>
          <w:marRight w:val="0"/>
          <w:marTop w:val="0"/>
          <w:marBottom w:val="0"/>
          <w:divBdr>
            <w:top w:val="none" w:sz="0" w:space="0" w:color="auto"/>
            <w:left w:val="none" w:sz="0" w:space="0" w:color="auto"/>
            <w:bottom w:val="none" w:sz="0" w:space="0" w:color="auto"/>
            <w:right w:val="none" w:sz="0" w:space="0" w:color="auto"/>
          </w:divBdr>
          <w:divsChild>
            <w:div w:id="1532382374">
              <w:marLeft w:val="0"/>
              <w:marRight w:val="0"/>
              <w:marTop w:val="0"/>
              <w:marBottom w:val="0"/>
              <w:divBdr>
                <w:top w:val="none" w:sz="0" w:space="0" w:color="auto"/>
                <w:left w:val="none" w:sz="0" w:space="0" w:color="auto"/>
                <w:bottom w:val="none" w:sz="0" w:space="0" w:color="auto"/>
                <w:right w:val="none" w:sz="0" w:space="0" w:color="auto"/>
              </w:divBdr>
              <w:divsChild>
                <w:div w:id="20137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4995">
      <w:bodyDiv w:val="1"/>
      <w:marLeft w:val="0"/>
      <w:marRight w:val="0"/>
      <w:marTop w:val="0"/>
      <w:marBottom w:val="0"/>
      <w:divBdr>
        <w:top w:val="none" w:sz="0" w:space="0" w:color="auto"/>
        <w:left w:val="none" w:sz="0" w:space="0" w:color="auto"/>
        <w:bottom w:val="none" w:sz="0" w:space="0" w:color="auto"/>
        <w:right w:val="none" w:sz="0" w:space="0" w:color="auto"/>
      </w:divBdr>
    </w:div>
    <w:div w:id="699890827">
      <w:bodyDiv w:val="1"/>
      <w:marLeft w:val="0"/>
      <w:marRight w:val="0"/>
      <w:marTop w:val="0"/>
      <w:marBottom w:val="0"/>
      <w:divBdr>
        <w:top w:val="none" w:sz="0" w:space="0" w:color="auto"/>
        <w:left w:val="none" w:sz="0" w:space="0" w:color="auto"/>
        <w:bottom w:val="none" w:sz="0" w:space="0" w:color="auto"/>
        <w:right w:val="none" w:sz="0" w:space="0" w:color="auto"/>
      </w:divBdr>
    </w:div>
    <w:div w:id="718017661">
      <w:bodyDiv w:val="1"/>
      <w:marLeft w:val="0"/>
      <w:marRight w:val="0"/>
      <w:marTop w:val="0"/>
      <w:marBottom w:val="0"/>
      <w:divBdr>
        <w:top w:val="none" w:sz="0" w:space="0" w:color="auto"/>
        <w:left w:val="none" w:sz="0" w:space="0" w:color="auto"/>
        <w:bottom w:val="none" w:sz="0" w:space="0" w:color="auto"/>
        <w:right w:val="none" w:sz="0" w:space="0" w:color="auto"/>
      </w:divBdr>
    </w:div>
    <w:div w:id="719287169">
      <w:bodyDiv w:val="1"/>
      <w:marLeft w:val="0"/>
      <w:marRight w:val="0"/>
      <w:marTop w:val="0"/>
      <w:marBottom w:val="0"/>
      <w:divBdr>
        <w:top w:val="none" w:sz="0" w:space="0" w:color="auto"/>
        <w:left w:val="none" w:sz="0" w:space="0" w:color="auto"/>
        <w:bottom w:val="none" w:sz="0" w:space="0" w:color="auto"/>
        <w:right w:val="none" w:sz="0" w:space="0" w:color="auto"/>
      </w:divBdr>
    </w:div>
    <w:div w:id="732388843">
      <w:bodyDiv w:val="1"/>
      <w:marLeft w:val="0"/>
      <w:marRight w:val="0"/>
      <w:marTop w:val="0"/>
      <w:marBottom w:val="0"/>
      <w:divBdr>
        <w:top w:val="none" w:sz="0" w:space="0" w:color="auto"/>
        <w:left w:val="none" w:sz="0" w:space="0" w:color="auto"/>
        <w:bottom w:val="none" w:sz="0" w:space="0" w:color="auto"/>
        <w:right w:val="none" w:sz="0" w:space="0" w:color="auto"/>
      </w:divBdr>
    </w:div>
    <w:div w:id="738015065">
      <w:bodyDiv w:val="1"/>
      <w:marLeft w:val="0"/>
      <w:marRight w:val="0"/>
      <w:marTop w:val="0"/>
      <w:marBottom w:val="0"/>
      <w:divBdr>
        <w:top w:val="none" w:sz="0" w:space="0" w:color="auto"/>
        <w:left w:val="none" w:sz="0" w:space="0" w:color="auto"/>
        <w:bottom w:val="none" w:sz="0" w:space="0" w:color="auto"/>
        <w:right w:val="none" w:sz="0" w:space="0" w:color="auto"/>
      </w:divBdr>
    </w:div>
    <w:div w:id="741871936">
      <w:bodyDiv w:val="1"/>
      <w:marLeft w:val="0"/>
      <w:marRight w:val="0"/>
      <w:marTop w:val="0"/>
      <w:marBottom w:val="0"/>
      <w:divBdr>
        <w:top w:val="none" w:sz="0" w:space="0" w:color="auto"/>
        <w:left w:val="none" w:sz="0" w:space="0" w:color="auto"/>
        <w:bottom w:val="none" w:sz="0" w:space="0" w:color="auto"/>
        <w:right w:val="none" w:sz="0" w:space="0" w:color="auto"/>
      </w:divBdr>
    </w:div>
    <w:div w:id="743262828">
      <w:bodyDiv w:val="1"/>
      <w:marLeft w:val="0"/>
      <w:marRight w:val="0"/>
      <w:marTop w:val="0"/>
      <w:marBottom w:val="0"/>
      <w:divBdr>
        <w:top w:val="none" w:sz="0" w:space="0" w:color="auto"/>
        <w:left w:val="none" w:sz="0" w:space="0" w:color="auto"/>
        <w:bottom w:val="none" w:sz="0" w:space="0" w:color="auto"/>
        <w:right w:val="none" w:sz="0" w:space="0" w:color="auto"/>
      </w:divBdr>
    </w:div>
    <w:div w:id="747118012">
      <w:bodyDiv w:val="1"/>
      <w:marLeft w:val="0"/>
      <w:marRight w:val="0"/>
      <w:marTop w:val="0"/>
      <w:marBottom w:val="0"/>
      <w:divBdr>
        <w:top w:val="none" w:sz="0" w:space="0" w:color="auto"/>
        <w:left w:val="none" w:sz="0" w:space="0" w:color="auto"/>
        <w:bottom w:val="none" w:sz="0" w:space="0" w:color="auto"/>
        <w:right w:val="none" w:sz="0" w:space="0" w:color="auto"/>
      </w:divBdr>
    </w:div>
    <w:div w:id="749808585">
      <w:bodyDiv w:val="1"/>
      <w:marLeft w:val="0"/>
      <w:marRight w:val="0"/>
      <w:marTop w:val="0"/>
      <w:marBottom w:val="0"/>
      <w:divBdr>
        <w:top w:val="none" w:sz="0" w:space="0" w:color="auto"/>
        <w:left w:val="none" w:sz="0" w:space="0" w:color="auto"/>
        <w:bottom w:val="none" w:sz="0" w:space="0" w:color="auto"/>
        <w:right w:val="none" w:sz="0" w:space="0" w:color="auto"/>
      </w:divBdr>
      <w:divsChild>
        <w:div w:id="1963606202">
          <w:marLeft w:val="0"/>
          <w:marRight w:val="0"/>
          <w:marTop w:val="0"/>
          <w:marBottom w:val="0"/>
          <w:divBdr>
            <w:top w:val="none" w:sz="0" w:space="0" w:color="auto"/>
            <w:left w:val="none" w:sz="0" w:space="0" w:color="auto"/>
            <w:bottom w:val="none" w:sz="0" w:space="0" w:color="auto"/>
            <w:right w:val="none" w:sz="0" w:space="0" w:color="auto"/>
          </w:divBdr>
          <w:divsChild>
            <w:div w:id="1683623837">
              <w:marLeft w:val="0"/>
              <w:marRight w:val="0"/>
              <w:marTop w:val="0"/>
              <w:marBottom w:val="0"/>
              <w:divBdr>
                <w:top w:val="none" w:sz="0" w:space="0" w:color="auto"/>
                <w:left w:val="none" w:sz="0" w:space="0" w:color="auto"/>
                <w:bottom w:val="none" w:sz="0" w:space="0" w:color="auto"/>
                <w:right w:val="none" w:sz="0" w:space="0" w:color="auto"/>
              </w:divBdr>
              <w:divsChild>
                <w:div w:id="7662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9558">
      <w:bodyDiv w:val="1"/>
      <w:marLeft w:val="0"/>
      <w:marRight w:val="0"/>
      <w:marTop w:val="0"/>
      <w:marBottom w:val="0"/>
      <w:divBdr>
        <w:top w:val="none" w:sz="0" w:space="0" w:color="auto"/>
        <w:left w:val="none" w:sz="0" w:space="0" w:color="auto"/>
        <w:bottom w:val="none" w:sz="0" w:space="0" w:color="auto"/>
        <w:right w:val="none" w:sz="0" w:space="0" w:color="auto"/>
      </w:divBdr>
    </w:div>
    <w:div w:id="772213120">
      <w:bodyDiv w:val="1"/>
      <w:marLeft w:val="0"/>
      <w:marRight w:val="0"/>
      <w:marTop w:val="0"/>
      <w:marBottom w:val="0"/>
      <w:divBdr>
        <w:top w:val="none" w:sz="0" w:space="0" w:color="auto"/>
        <w:left w:val="none" w:sz="0" w:space="0" w:color="auto"/>
        <w:bottom w:val="none" w:sz="0" w:space="0" w:color="auto"/>
        <w:right w:val="none" w:sz="0" w:space="0" w:color="auto"/>
      </w:divBdr>
    </w:div>
    <w:div w:id="793602410">
      <w:bodyDiv w:val="1"/>
      <w:marLeft w:val="0"/>
      <w:marRight w:val="0"/>
      <w:marTop w:val="0"/>
      <w:marBottom w:val="0"/>
      <w:divBdr>
        <w:top w:val="none" w:sz="0" w:space="0" w:color="auto"/>
        <w:left w:val="none" w:sz="0" w:space="0" w:color="auto"/>
        <w:bottom w:val="none" w:sz="0" w:space="0" w:color="auto"/>
        <w:right w:val="none" w:sz="0" w:space="0" w:color="auto"/>
      </w:divBdr>
    </w:div>
    <w:div w:id="821771689">
      <w:bodyDiv w:val="1"/>
      <w:marLeft w:val="0"/>
      <w:marRight w:val="0"/>
      <w:marTop w:val="0"/>
      <w:marBottom w:val="0"/>
      <w:divBdr>
        <w:top w:val="none" w:sz="0" w:space="0" w:color="auto"/>
        <w:left w:val="none" w:sz="0" w:space="0" w:color="auto"/>
        <w:bottom w:val="none" w:sz="0" w:space="0" w:color="auto"/>
        <w:right w:val="none" w:sz="0" w:space="0" w:color="auto"/>
      </w:divBdr>
    </w:div>
    <w:div w:id="837424159">
      <w:bodyDiv w:val="1"/>
      <w:marLeft w:val="0"/>
      <w:marRight w:val="0"/>
      <w:marTop w:val="0"/>
      <w:marBottom w:val="0"/>
      <w:divBdr>
        <w:top w:val="none" w:sz="0" w:space="0" w:color="auto"/>
        <w:left w:val="none" w:sz="0" w:space="0" w:color="auto"/>
        <w:bottom w:val="none" w:sz="0" w:space="0" w:color="auto"/>
        <w:right w:val="none" w:sz="0" w:space="0" w:color="auto"/>
      </w:divBdr>
      <w:divsChild>
        <w:div w:id="384838770">
          <w:marLeft w:val="0"/>
          <w:marRight w:val="0"/>
          <w:marTop w:val="0"/>
          <w:marBottom w:val="0"/>
          <w:divBdr>
            <w:top w:val="none" w:sz="0" w:space="0" w:color="auto"/>
            <w:left w:val="none" w:sz="0" w:space="0" w:color="auto"/>
            <w:bottom w:val="none" w:sz="0" w:space="0" w:color="auto"/>
            <w:right w:val="none" w:sz="0" w:space="0" w:color="auto"/>
          </w:divBdr>
          <w:divsChild>
            <w:div w:id="1299996109">
              <w:marLeft w:val="0"/>
              <w:marRight w:val="0"/>
              <w:marTop w:val="0"/>
              <w:marBottom w:val="0"/>
              <w:divBdr>
                <w:top w:val="none" w:sz="0" w:space="0" w:color="auto"/>
                <w:left w:val="none" w:sz="0" w:space="0" w:color="auto"/>
                <w:bottom w:val="none" w:sz="0" w:space="0" w:color="auto"/>
                <w:right w:val="none" w:sz="0" w:space="0" w:color="auto"/>
              </w:divBdr>
              <w:divsChild>
                <w:div w:id="706105945">
                  <w:marLeft w:val="0"/>
                  <w:marRight w:val="0"/>
                  <w:marTop w:val="0"/>
                  <w:marBottom w:val="0"/>
                  <w:divBdr>
                    <w:top w:val="none" w:sz="0" w:space="0" w:color="auto"/>
                    <w:left w:val="none" w:sz="0" w:space="0" w:color="auto"/>
                    <w:bottom w:val="none" w:sz="0" w:space="0" w:color="auto"/>
                    <w:right w:val="none" w:sz="0" w:space="0" w:color="auto"/>
                  </w:divBdr>
                  <w:divsChild>
                    <w:div w:id="11552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73827">
      <w:bodyDiv w:val="1"/>
      <w:marLeft w:val="0"/>
      <w:marRight w:val="0"/>
      <w:marTop w:val="0"/>
      <w:marBottom w:val="0"/>
      <w:divBdr>
        <w:top w:val="none" w:sz="0" w:space="0" w:color="auto"/>
        <w:left w:val="none" w:sz="0" w:space="0" w:color="auto"/>
        <w:bottom w:val="none" w:sz="0" w:space="0" w:color="auto"/>
        <w:right w:val="none" w:sz="0" w:space="0" w:color="auto"/>
      </w:divBdr>
    </w:div>
    <w:div w:id="837958693">
      <w:bodyDiv w:val="1"/>
      <w:marLeft w:val="0"/>
      <w:marRight w:val="0"/>
      <w:marTop w:val="0"/>
      <w:marBottom w:val="0"/>
      <w:divBdr>
        <w:top w:val="none" w:sz="0" w:space="0" w:color="auto"/>
        <w:left w:val="none" w:sz="0" w:space="0" w:color="auto"/>
        <w:bottom w:val="none" w:sz="0" w:space="0" w:color="auto"/>
        <w:right w:val="none" w:sz="0" w:space="0" w:color="auto"/>
      </w:divBdr>
      <w:divsChild>
        <w:div w:id="428739039">
          <w:marLeft w:val="0"/>
          <w:marRight w:val="0"/>
          <w:marTop w:val="0"/>
          <w:marBottom w:val="0"/>
          <w:divBdr>
            <w:top w:val="none" w:sz="0" w:space="0" w:color="auto"/>
            <w:left w:val="none" w:sz="0" w:space="0" w:color="auto"/>
            <w:bottom w:val="none" w:sz="0" w:space="0" w:color="auto"/>
            <w:right w:val="none" w:sz="0" w:space="0" w:color="auto"/>
          </w:divBdr>
          <w:divsChild>
            <w:div w:id="640966780">
              <w:marLeft w:val="0"/>
              <w:marRight w:val="0"/>
              <w:marTop w:val="0"/>
              <w:marBottom w:val="0"/>
              <w:divBdr>
                <w:top w:val="none" w:sz="0" w:space="0" w:color="auto"/>
                <w:left w:val="none" w:sz="0" w:space="0" w:color="auto"/>
                <w:bottom w:val="none" w:sz="0" w:space="0" w:color="auto"/>
                <w:right w:val="none" w:sz="0" w:space="0" w:color="auto"/>
              </w:divBdr>
              <w:divsChild>
                <w:div w:id="16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91289">
      <w:bodyDiv w:val="1"/>
      <w:marLeft w:val="0"/>
      <w:marRight w:val="0"/>
      <w:marTop w:val="0"/>
      <w:marBottom w:val="0"/>
      <w:divBdr>
        <w:top w:val="none" w:sz="0" w:space="0" w:color="auto"/>
        <w:left w:val="none" w:sz="0" w:space="0" w:color="auto"/>
        <w:bottom w:val="none" w:sz="0" w:space="0" w:color="auto"/>
        <w:right w:val="none" w:sz="0" w:space="0" w:color="auto"/>
      </w:divBdr>
    </w:div>
    <w:div w:id="840894413">
      <w:bodyDiv w:val="1"/>
      <w:marLeft w:val="0"/>
      <w:marRight w:val="0"/>
      <w:marTop w:val="0"/>
      <w:marBottom w:val="0"/>
      <w:divBdr>
        <w:top w:val="none" w:sz="0" w:space="0" w:color="auto"/>
        <w:left w:val="none" w:sz="0" w:space="0" w:color="auto"/>
        <w:bottom w:val="none" w:sz="0" w:space="0" w:color="auto"/>
        <w:right w:val="none" w:sz="0" w:space="0" w:color="auto"/>
      </w:divBdr>
    </w:div>
    <w:div w:id="842012471">
      <w:bodyDiv w:val="1"/>
      <w:marLeft w:val="0"/>
      <w:marRight w:val="0"/>
      <w:marTop w:val="0"/>
      <w:marBottom w:val="0"/>
      <w:divBdr>
        <w:top w:val="none" w:sz="0" w:space="0" w:color="auto"/>
        <w:left w:val="none" w:sz="0" w:space="0" w:color="auto"/>
        <w:bottom w:val="none" w:sz="0" w:space="0" w:color="auto"/>
        <w:right w:val="none" w:sz="0" w:space="0" w:color="auto"/>
      </w:divBdr>
    </w:div>
    <w:div w:id="843322965">
      <w:bodyDiv w:val="1"/>
      <w:marLeft w:val="0"/>
      <w:marRight w:val="0"/>
      <w:marTop w:val="0"/>
      <w:marBottom w:val="0"/>
      <w:divBdr>
        <w:top w:val="none" w:sz="0" w:space="0" w:color="auto"/>
        <w:left w:val="none" w:sz="0" w:space="0" w:color="auto"/>
        <w:bottom w:val="none" w:sz="0" w:space="0" w:color="auto"/>
        <w:right w:val="none" w:sz="0" w:space="0" w:color="auto"/>
      </w:divBdr>
    </w:div>
    <w:div w:id="847603036">
      <w:bodyDiv w:val="1"/>
      <w:marLeft w:val="0"/>
      <w:marRight w:val="0"/>
      <w:marTop w:val="0"/>
      <w:marBottom w:val="0"/>
      <w:divBdr>
        <w:top w:val="none" w:sz="0" w:space="0" w:color="auto"/>
        <w:left w:val="none" w:sz="0" w:space="0" w:color="auto"/>
        <w:bottom w:val="none" w:sz="0" w:space="0" w:color="auto"/>
        <w:right w:val="none" w:sz="0" w:space="0" w:color="auto"/>
      </w:divBdr>
    </w:div>
    <w:div w:id="861895740">
      <w:bodyDiv w:val="1"/>
      <w:marLeft w:val="0"/>
      <w:marRight w:val="0"/>
      <w:marTop w:val="0"/>
      <w:marBottom w:val="0"/>
      <w:divBdr>
        <w:top w:val="none" w:sz="0" w:space="0" w:color="auto"/>
        <w:left w:val="none" w:sz="0" w:space="0" w:color="auto"/>
        <w:bottom w:val="none" w:sz="0" w:space="0" w:color="auto"/>
        <w:right w:val="none" w:sz="0" w:space="0" w:color="auto"/>
      </w:divBdr>
    </w:div>
    <w:div w:id="865218149">
      <w:bodyDiv w:val="1"/>
      <w:marLeft w:val="0"/>
      <w:marRight w:val="0"/>
      <w:marTop w:val="0"/>
      <w:marBottom w:val="0"/>
      <w:divBdr>
        <w:top w:val="none" w:sz="0" w:space="0" w:color="auto"/>
        <w:left w:val="none" w:sz="0" w:space="0" w:color="auto"/>
        <w:bottom w:val="none" w:sz="0" w:space="0" w:color="auto"/>
        <w:right w:val="none" w:sz="0" w:space="0" w:color="auto"/>
      </w:divBdr>
      <w:divsChild>
        <w:div w:id="313684354">
          <w:marLeft w:val="0"/>
          <w:marRight w:val="0"/>
          <w:marTop w:val="0"/>
          <w:marBottom w:val="0"/>
          <w:divBdr>
            <w:top w:val="none" w:sz="0" w:space="0" w:color="auto"/>
            <w:left w:val="none" w:sz="0" w:space="0" w:color="auto"/>
            <w:bottom w:val="none" w:sz="0" w:space="0" w:color="auto"/>
            <w:right w:val="none" w:sz="0" w:space="0" w:color="auto"/>
          </w:divBdr>
          <w:divsChild>
            <w:div w:id="2003122354">
              <w:marLeft w:val="0"/>
              <w:marRight w:val="0"/>
              <w:marTop w:val="0"/>
              <w:marBottom w:val="0"/>
              <w:divBdr>
                <w:top w:val="none" w:sz="0" w:space="0" w:color="auto"/>
                <w:left w:val="none" w:sz="0" w:space="0" w:color="auto"/>
                <w:bottom w:val="none" w:sz="0" w:space="0" w:color="auto"/>
                <w:right w:val="none" w:sz="0" w:space="0" w:color="auto"/>
              </w:divBdr>
              <w:divsChild>
                <w:div w:id="2046900585">
                  <w:marLeft w:val="0"/>
                  <w:marRight w:val="0"/>
                  <w:marTop w:val="0"/>
                  <w:marBottom w:val="0"/>
                  <w:divBdr>
                    <w:top w:val="none" w:sz="0" w:space="0" w:color="auto"/>
                    <w:left w:val="none" w:sz="0" w:space="0" w:color="auto"/>
                    <w:bottom w:val="none" w:sz="0" w:space="0" w:color="auto"/>
                    <w:right w:val="none" w:sz="0" w:space="0" w:color="auto"/>
                  </w:divBdr>
                  <w:divsChild>
                    <w:div w:id="119191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075909">
      <w:bodyDiv w:val="1"/>
      <w:marLeft w:val="0"/>
      <w:marRight w:val="0"/>
      <w:marTop w:val="0"/>
      <w:marBottom w:val="0"/>
      <w:divBdr>
        <w:top w:val="none" w:sz="0" w:space="0" w:color="auto"/>
        <w:left w:val="none" w:sz="0" w:space="0" w:color="auto"/>
        <w:bottom w:val="none" w:sz="0" w:space="0" w:color="auto"/>
        <w:right w:val="none" w:sz="0" w:space="0" w:color="auto"/>
      </w:divBdr>
    </w:div>
    <w:div w:id="888764737">
      <w:bodyDiv w:val="1"/>
      <w:marLeft w:val="0"/>
      <w:marRight w:val="0"/>
      <w:marTop w:val="0"/>
      <w:marBottom w:val="0"/>
      <w:divBdr>
        <w:top w:val="none" w:sz="0" w:space="0" w:color="auto"/>
        <w:left w:val="none" w:sz="0" w:space="0" w:color="auto"/>
        <w:bottom w:val="none" w:sz="0" w:space="0" w:color="auto"/>
        <w:right w:val="none" w:sz="0" w:space="0" w:color="auto"/>
      </w:divBdr>
      <w:divsChild>
        <w:div w:id="1433472439">
          <w:marLeft w:val="0"/>
          <w:marRight w:val="0"/>
          <w:marTop w:val="0"/>
          <w:marBottom w:val="0"/>
          <w:divBdr>
            <w:top w:val="none" w:sz="0" w:space="0" w:color="auto"/>
            <w:left w:val="none" w:sz="0" w:space="0" w:color="auto"/>
            <w:bottom w:val="none" w:sz="0" w:space="0" w:color="auto"/>
            <w:right w:val="none" w:sz="0" w:space="0" w:color="auto"/>
          </w:divBdr>
          <w:divsChild>
            <w:div w:id="762871465">
              <w:marLeft w:val="0"/>
              <w:marRight w:val="0"/>
              <w:marTop w:val="0"/>
              <w:marBottom w:val="0"/>
              <w:divBdr>
                <w:top w:val="none" w:sz="0" w:space="0" w:color="auto"/>
                <w:left w:val="none" w:sz="0" w:space="0" w:color="auto"/>
                <w:bottom w:val="none" w:sz="0" w:space="0" w:color="auto"/>
                <w:right w:val="none" w:sz="0" w:space="0" w:color="auto"/>
              </w:divBdr>
              <w:divsChild>
                <w:div w:id="5768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0471">
      <w:bodyDiv w:val="1"/>
      <w:marLeft w:val="0"/>
      <w:marRight w:val="0"/>
      <w:marTop w:val="0"/>
      <w:marBottom w:val="0"/>
      <w:divBdr>
        <w:top w:val="none" w:sz="0" w:space="0" w:color="auto"/>
        <w:left w:val="none" w:sz="0" w:space="0" w:color="auto"/>
        <w:bottom w:val="none" w:sz="0" w:space="0" w:color="auto"/>
        <w:right w:val="none" w:sz="0" w:space="0" w:color="auto"/>
      </w:divBdr>
    </w:div>
    <w:div w:id="908535814">
      <w:bodyDiv w:val="1"/>
      <w:marLeft w:val="0"/>
      <w:marRight w:val="0"/>
      <w:marTop w:val="0"/>
      <w:marBottom w:val="0"/>
      <w:divBdr>
        <w:top w:val="none" w:sz="0" w:space="0" w:color="auto"/>
        <w:left w:val="none" w:sz="0" w:space="0" w:color="auto"/>
        <w:bottom w:val="none" w:sz="0" w:space="0" w:color="auto"/>
        <w:right w:val="none" w:sz="0" w:space="0" w:color="auto"/>
      </w:divBdr>
    </w:div>
    <w:div w:id="910428801">
      <w:bodyDiv w:val="1"/>
      <w:marLeft w:val="0"/>
      <w:marRight w:val="0"/>
      <w:marTop w:val="0"/>
      <w:marBottom w:val="0"/>
      <w:divBdr>
        <w:top w:val="none" w:sz="0" w:space="0" w:color="auto"/>
        <w:left w:val="none" w:sz="0" w:space="0" w:color="auto"/>
        <w:bottom w:val="none" w:sz="0" w:space="0" w:color="auto"/>
        <w:right w:val="none" w:sz="0" w:space="0" w:color="auto"/>
      </w:divBdr>
    </w:div>
    <w:div w:id="913396863">
      <w:bodyDiv w:val="1"/>
      <w:marLeft w:val="0"/>
      <w:marRight w:val="0"/>
      <w:marTop w:val="0"/>
      <w:marBottom w:val="0"/>
      <w:divBdr>
        <w:top w:val="none" w:sz="0" w:space="0" w:color="auto"/>
        <w:left w:val="none" w:sz="0" w:space="0" w:color="auto"/>
        <w:bottom w:val="none" w:sz="0" w:space="0" w:color="auto"/>
        <w:right w:val="none" w:sz="0" w:space="0" w:color="auto"/>
      </w:divBdr>
      <w:divsChild>
        <w:div w:id="967706733">
          <w:marLeft w:val="0"/>
          <w:marRight w:val="0"/>
          <w:marTop w:val="0"/>
          <w:marBottom w:val="0"/>
          <w:divBdr>
            <w:top w:val="none" w:sz="0" w:space="0" w:color="auto"/>
            <w:left w:val="none" w:sz="0" w:space="0" w:color="auto"/>
            <w:bottom w:val="none" w:sz="0" w:space="0" w:color="auto"/>
            <w:right w:val="none" w:sz="0" w:space="0" w:color="auto"/>
          </w:divBdr>
          <w:divsChild>
            <w:div w:id="1669209091">
              <w:marLeft w:val="0"/>
              <w:marRight w:val="0"/>
              <w:marTop w:val="0"/>
              <w:marBottom w:val="0"/>
              <w:divBdr>
                <w:top w:val="none" w:sz="0" w:space="0" w:color="auto"/>
                <w:left w:val="none" w:sz="0" w:space="0" w:color="auto"/>
                <w:bottom w:val="none" w:sz="0" w:space="0" w:color="auto"/>
                <w:right w:val="none" w:sz="0" w:space="0" w:color="auto"/>
              </w:divBdr>
              <w:divsChild>
                <w:div w:id="14349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21080">
      <w:bodyDiv w:val="1"/>
      <w:marLeft w:val="0"/>
      <w:marRight w:val="0"/>
      <w:marTop w:val="0"/>
      <w:marBottom w:val="0"/>
      <w:divBdr>
        <w:top w:val="none" w:sz="0" w:space="0" w:color="auto"/>
        <w:left w:val="none" w:sz="0" w:space="0" w:color="auto"/>
        <w:bottom w:val="none" w:sz="0" w:space="0" w:color="auto"/>
        <w:right w:val="none" w:sz="0" w:space="0" w:color="auto"/>
      </w:divBdr>
    </w:div>
    <w:div w:id="937983682">
      <w:bodyDiv w:val="1"/>
      <w:marLeft w:val="0"/>
      <w:marRight w:val="0"/>
      <w:marTop w:val="0"/>
      <w:marBottom w:val="0"/>
      <w:divBdr>
        <w:top w:val="none" w:sz="0" w:space="0" w:color="auto"/>
        <w:left w:val="none" w:sz="0" w:space="0" w:color="auto"/>
        <w:bottom w:val="none" w:sz="0" w:space="0" w:color="auto"/>
        <w:right w:val="none" w:sz="0" w:space="0" w:color="auto"/>
      </w:divBdr>
      <w:divsChild>
        <w:div w:id="1114711858">
          <w:marLeft w:val="0"/>
          <w:marRight w:val="0"/>
          <w:marTop w:val="0"/>
          <w:marBottom w:val="0"/>
          <w:divBdr>
            <w:top w:val="none" w:sz="0" w:space="0" w:color="auto"/>
            <w:left w:val="none" w:sz="0" w:space="0" w:color="auto"/>
            <w:bottom w:val="none" w:sz="0" w:space="0" w:color="auto"/>
            <w:right w:val="none" w:sz="0" w:space="0" w:color="auto"/>
          </w:divBdr>
          <w:divsChild>
            <w:div w:id="1821919579">
              <w:marLeft w:val="0"/>
              <w:marRight w:val="0"/>
              <w:marTop w:val="0"/>
              <w:marBottom w:val="0"/>
              <w:divBdr>
                <w:top w:val="none" w:sz="0" w:space="0" w:color="auto"/>
                <w:left w:val="none" w:sz="0" w:space="0" w:color="auto"/>
                <w:bottom w:val="none" w:sz="0" w:space="0" w:color="auto"/>
                <w:right w:val="none" w:sz="0" w:space="0" w:color="auto"/>
              </w:divBdr>
              <w:divsChild>
                <w:div w:id="3563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34287">
      <w:bodyDiv w:val="1"/>
      <w:marLeft w:val="0"/>
      <w:marRight w:val="0"/>
      <w:marTop w:val="0"/>
      <w:marBottom w:val="0"/>
      <w:divBdr>
        <w:top w:val="none" w:sz="0" w:space="0" w:color="auto"/>
        <w:left w:val="none" w:sz="0" w:space="0" w:color="auto"/>
        <w:bottom w:val="none" w:sz="0" w:space="0" w:color="auto"/>
        <w:right w:val="none" w:sz="0" w:space="0" w:color="auto"/>
      </w:divBdr>
    </w:div>
    <w:div w:id="969096074">
      <w:bodyDiv w:val="1"/>
      <w:marLeft w:val="0"/>
      <w:marRight w:val="0"/>
      <w:marTop w:val="0"/>
      <w:marBottom w:val="0"/>
      <w:divBdr>
        <w:top w:val="none" w:sz="0" w:space="0" w:color="auto"/>
        <w:left w:val="none" w:sz="0" w:space="0" w:color="auto"/>
        <w:bottom w:val="none" w:sz="0" w:space="0" w:color="auto"/>
        <w:right w:val="none" w:sz="0" w:space="0" w:color="auto"/>
      </w:divBdr>
    </w:div>
    <w:div w:id="976228305">
      <w:bodyDiv w:val="1"/>
      <w:marLeft w:val="0"/>
      <w:marRight w:val="0"/>
      <w:marTop w:val="0"/>
      <w:marBottom w:val="0"/>
      <w:divBdr>
        <w:top w:val="none" w:sz="0" w:space="0" w:color="auto"/>
        <w:left w:val="none" w:sz="0" w:space="0" w:color="auto"/>
        <w:bottom w:val="none" w:sz="0" w:space="0" w:color="auto"/>
        <w:right w:val="none" w:sz="0" w:space="0" w:color="auto"/>
      </w:divBdr>
    </w:div>
    <w:div w:id="982661041">
      <w:bodyDiv w:val="1"/>
      <w:marLeft w:val="0"/>
      <w:marRight w:val="0"/>
      <w:marTop w:val="0"/>
      <w:marBottom w:val="0"/>
      <w:divBdr>
        <w:top w:val="none" w:sz="0" w:space="0" w:color="auto"/>
        <w:left w:val="none" w:sz="0" w:space="0" w:color="auto"/>
        <w:bottom w:val="none" w:sz="0" w:space="0" w:color="auto"/>
        <w:right w:val="none" w:sz="0" w:space="0" w:color="auto"/>
      </w:divBdr>
      <w:divsChild>
        <w:div w:id="1498960413">
          <w:marLeft w:val="0"/>
          <w:marRight w:val="0"/>
          <w:marTop w:val="0"/>
          <w:marBottom w:val="0"/>
          <w:divBdr>
            <w:top w:val="none" w:sz="0" w:space="0" w:color="auto"/>
            <w:left w:val="none" w:sz="0" w:space="0" w:color="auto"/>
            <w:bottom w:val="none" w:sz="0" w:space="0" w:color="auto"/>
            <w:right w:val="none" w:sz="0" w:space="0" w:color="auto"/>
          </w:divBdr>
          <w:divsChild>
            <w:div w:id="1673871377">
              <w:marLeft w:val="0"/>
              <w:marRight w:val="0"/>
              <w:marTop w:val="0"/>
              <w:marBottom w:val="0"/>
              <w:divBdr>
                <w:top w:val="none" w:sz="0" w:space="0" w:color="auto"/>
                <w:left w:val="none" w:sz="0" w:space="0" w:color="auto"/>
                <w:bottom w:val="none" w:sz="0" w:space="0" w:color="auto"/>
                <w:right w:val="none" w:sz="0" w:space="0" w:color="auto"/>
              </w:divBdr>
              <w:divsChild>
                <w:div w:id="1292832455">
                  <w:marLeft w:val="0"/>
                  <w:marRight w:val="0"/>
                  <w:marTop w:val="0"/>
                  <w:marBottom w:val="0"/>
                  <w:divBdr>
                    <w:top w:val="none" w:sz="0" w:space="0" w:color="auto"/>
                    <w:left w:val="none" w:sz="0" w:space="0" w:color="auto"/>
                    <w:bottom w:val="none" w:sz="0" w:space="0" w:color="auto"/>
                    <w:right w:val="none" w:sz="0" w:space="0" w:color="auto"/>
                  </w:divBdr>
                  <w:divsChild>
                    <w:div w:id="5432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3435">
      <w:bodyDiv w:val="1"/>
      <w:marLeft w:val="0"/>
      <w:marRight w:val="0"/>
      <w:marTop w:val="0"/>
      <w:marBottom w:val="0"/>
      <w:divBdr>
        <w:top w:val="none" w:sz="0" w:space="0" w:color="auto"/>
        <w:left w:val="none" w:sz="0" w:space="0" w:color="auto"/>
        <w:bottom w:val="none" w:sz="0" w:space="0" w:color="auto"/>
        <w:right w:val="none" w:sz="0" w:space="0" w:color="auto"/>
      </w:divBdr>
      <w:divsChild>
        <w:div w:id="620840603">
          <w:marLeft w:val="0"/>
          <w:marRight w:val="0"/>
          <w:marTop w:val="0"/>
          <w:marBottom w:val="0"/>
          <w:divBdr>
            <w:top w:val="none" w:sz="0" w:space="0" w:color="auto"/>
            <w:left w:val="none" w:sz="0" w:space="0" w:color="auto"/>
            <w:bottom w:val="none" w:sz="0" w:space="0" w:color="auto"/>
            <w:right w:val="none" w:sz="0" w:space="0" w:color="auto"/>
          </w:divBdr>
          <w:divsChild>
            <w:div w:id="839586621">
              <w:marLeft w:val="0"/>
              <w:marRight w:val="0"/>
              <w:marTop w:val="0"/>
              <w:marBottom w:val="0"/>
              <w:divBdr>
                <w:top w:val="none" w:sz="0" w:space="0" w:color="auto"/>
                <w:left w:val="none" w:sz="0" w:space="0" w:color="auto"/>
                <w:bottom w:val="none" w:sz="0" w:space="0" w:color="auto"/>
                <w:right w:val="none" w:sz="0" w:space="0" w:color="auto"/>
              </w:divBdr>
              <w:divsChild>
                <w:div w:id="4180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1780">
      <w:bodyDiv w:val="1"/>
      <w:marLeft w:val="0"/>
      <w:marRight w:val="0"/>
      <w:marTop w:val="0"/>
      <w:marBottom w:val="0"/>
      <w:divBdr>
        <w:top w:val="none" w:sz="0" w:space="0" w:color="auto"/>
        <w:left w:val="none" w:sz="0" w:space="0" w:color="auto"/>
        <w:bottom w:val="none" w:sz="0" w:space="0" w:color="auto"/>
        <w:right w:val="none" w:sz="0" w:space="0" w:color="auto"/>
      </w:divBdr>
    </w:div>
    <w:div w:id="995643923">
      <w:bodyDiv w:val="1"/>
      <w:marLeft w:val="0"/>
      <w:marRight w:val="0"/>
      <w:marTop w:val="0"/>
      <w:marBottom w:val="0"/>
      <w:divBdr>
        <w:top w:val="none" w:sz="0" w:space="0" w:color="auto"/>
        <w:left w:val="none" w:sz="0" w:space="0" w:color="auto"/>
        <w:bottom w:val="none" w:sz="0" w:space="0" w:color="auto"/>
        <w:right w:val="none" w:sz="0" w:space="0" w:color="auto"/>
      </w:divBdr>
    </w:div>
    <w:div w:id="1009452375">
      <w:bodyDiv w:val="1"/>
      <w:marLeft w:val="0"/>
      <w:marRight w:val="0"/>
      <w:marTop w:val="0"/>
      <w:marBottom w:val="0"/>
      <w:divBdr>
        <w:top w:val="none" w:sz="0" w:space="0" w:color="auto"/>
        <w:left w:val="none" w:sz="0" w:space="0" w:color="auto"/>
        <w:bottom w:val="none" w:sz="0" w:space="0" w:color="auto"/>
        <w:right w:val="none" w:sz="0" w:space="0" w:color="auto"/>
      </w:divBdr>
      <w:divsChild>
        <w:div w:id="1653172193">
          <w:marLeft w:val="0"/>
          <w:marRight w:val="0"/>
          <w:marTop w:val="0"/>
          <w:marBottom w:val="0"/>
          <w:divBdr>
            <w:top w:val="none" w:sz="0" w:space="0" w:color="auto"/>
            <w:left w:val="none" w:sz="0" w:space="0" w:color="auto"/>
            <w:bottom w:val="none" w:sz="0" w:space="0" w:color="auto"/>
            <w:right w:val="none" w:sz="0" w:space="0" w:color="auto"/>
          </w:divBdr>
          <w:divsChild>
            <w:div w:id="1924489115">
              <w:marLeft w:val="0"/>
              <w:marRight w:val="0"/>
              <w:marTop w:val="0"/>
              <w:marBottom w:val="0"/>
              <w:divBdr>
                <w:top w:val="none" w:sz="0" w:space="0" w:color="auto"/>
                <w:left w:val="none" w:sz="0" w:space="0" w:color="auto"/>
                <w:bottom w:val="none" w:sz="0" w:space="0" w:color="auto"/>
                <w:right w:val="none" w:sz="0" w:space="0" w:color="auto"/>
              </w:divBdr>
              <w:divsChild>
                <w:div w:id="1011682938">
                  <w:marLeft w:val="0"/>
                  <w:marRight w:val="0"/>
                  <w:marTop w:val="0"/>
                  <w:marBottom w:val="0"/>
                  <w:divBdr>
                    <w:top w:val="none" w:sz="0" w:space="0" w:color="auto"/>
                    <w:left w:val="none" w:sz="0" w:space="0" w:color="auto"/>
                    <w:bottom w:val="none" w:sz="0" w:space="0" w:color="auto"/>
                    <w:right w:val="none" w:sz="0" w:space="0" w:color="auto"/>
                  </w:divBdr>
                  <w:divsChild>
                    <w:div w:id="54739003">
                      <w:marLeft w:val="0"/>
                      <w:marRight w:val="0"/>
                      <w:marTop w:val="0"/>
                      <w:marBottom w:val="0"/>
                      <w:divBdr>
                        <w:top w:val="none" w:sz="0" w:space="0" w:color="auto"/>
                        <w:left w:val="none" w:sz="0" w:space="0" w:color="auto"/>
                        <w:bottom w:val="none" w:sz="0" w:space="0" w:color="auto"/>
                        <w:right w:val="none" w:sz="0" w:space="0" w:color="auto"/>
                      </w:divBdr>
                      <w:divsChild>
                        <w:div w:id="906722556">
                          <w:marLeft w:val="0"/>
                          <w:marRight w:val="0"/>
                          <w:marTop w:val="0"/>
                          <w:marBottom w:val="0"/>
                          <w:divBdr>
                            <w:top w:val="none" w:sz="0" w:space="0" w:color="auto"/>
                            <w:left w:val="none" w:sz="0" w:space="0" w:color="auto"/>
                            <w:bottom w:val="none" w:sz="0" w:space="0" w:color="auto"/>
                            <w:right w:val="none" w:sz="0" w:space="0" w:color="auto"/>
                          </w:divBdr>
                          <w:divsChild>
                            <w:div w:id="10970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14552">
      <w:bodyDiv w:val="1"/>
      <w:marLeft w:val="0"/>
      <w:marRight w:val="0"/>
      <w:marTop w:val="0"/>
      <w:marBottom w:val="0"/>
      <w:divBdr>
        <w:top w:val="none" w:sz="0" w:space="0" w:color="auto"/>
        <w:left w:val="none" w:sz="0" w:space="0" w:color="auto"/>
        <w:bottom w:val="none" w:sz="0" w:space="0" w:color="auto"/>
        <w:right w:val="none" w:sz="0" w:space="0" w:color="auto"/>
      </w:divBdr>
      <w:divsChild>
        <w:div w:id="1944216554">
          <w:marLeft w:val="0"/>
          <w:marRight w:val="0"/>
          <w:marTop w:val="0"/>
          <w:marBottom w:val="0"/>
          <w:divBdr>
            <w:top w:val="none" w:sz="0" w:space="0" w:color="auto"/>
            <w:left w:val="none" w:sz="0" w:space="0" w:color="auto"/>
            <w:bottom w:val="none" w:sz="0" w:space="0" w:color="auto"/>
            <w:right w:val="none" w:sz="0" w:space="0" w:color="auto"/>
          </w:divBdr>
          <w:divsChild>
            <w:div w:id="2138522922">
              <w:marLeft w:val="0"/>
              <w:marRight w:val="0"/>
              <w:marTop w:val="0"/>
              <w:marBottom w:val="0"/>
              <w:divBdr>
                <w:top w:val="none" w:sz="0" w:space="0" w:color="auto"/>
                <w:left w:val="none" w:sz="0" w:space="0" w:color="auto"/>
                <w:bottom w:val="none" w:sz="0" w:space="0" w:color="auto"/>
                <w:right w:val="none" w:sz="0" w:space="0" w:color="auto"/>
              </w:divBdr>
              <w:divsChild>
                <w:div w:id="1835484982">
                  <w:marLeft w:val="0"/>
                  <w:marRight w:val="0"/>
                  <w:marTop w:val="0"/>
                  <w:marBottom w:val="0"/>
                  <w:divBdr>
                    <w:top w:val="none" w:sz="0" w:space="0" w:color="auto"/>
                    <w:left w:val="none" w:sz="0" w:space="0" w:color="auto"/>
                    <w:bottom w:val="none" w:sz="0" w:space="0" w:color="auto"/>
                    <w:right w:val="none" w:sz="0" w:space="0" w:color="auto"/>
                  </w:divBdr>
                  <w:divsChild>
                    <w:div w:id="9487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9652">
      <w:bodyDiv w:val="1"/>
      <w:marLeft w:val="0"/>
      <w:marRight w:val="0"/>
      <w:marTop w:val="0"/>
      <w:marBottom w:val="0"/>
      <w:divBdr>
        <w:top w:val="none" w:sz="0" w:space="0" w:color="auto"/>
        <w:left w:val="none" w:sz="0" w:space="0" w:color="auto"/>
        <w:bottom w:val="none" w:sz="0" w:space="0" w:color="auto"/>
        <w:right w:val="none" w:sz="0" w:space="0" w:color="auto"/>
      </w:divBdr>
    </w:div>
    <w:div w:id="1067849275">
      <w:bodyDiv w:val="1"/>
      <w:marLeft w:val="0"/>
      <w:marRight w:val="0"/>
      <w:marTop w:val="0"/>
      <w:marBottom w:val="0"/>
      <w:divBdr>
        <w:top w:val="none" w:sz="0" w:space="0" w:color="auto"/>
        <w:left w:val="none" w:sz="0" w:space="0" w:color="auto"/>
        <w:bottom w:val="none" w:sz="0" w:space="0" w:color="auto"/>
        <w:right w:val="none" w:sz="0" w:space="0" w:color="auto"/>
      </w:divBdr>
      <w:divsChild>
        <w:div w:id="2118214464">
          <w:marLeft w:val="0"/>
          <w:marRight w:val="0"/>
          <w:marTop w:val="0"/>
          <w:marBottom w:val="0"/>
          <w:divBdr>
            <w:top w:val="none" w:sz="0" w:space="0" w:color="auto"/>
            <w:left w:val="none" w:sz="0" w:space="0" w:color="auto"/>
            <w:bottom w:val="none" w:sz="0" w:space="0" w:color="auto"/>
            <w:right w:val="none" w:sz="0" w:space="0" w:color="auto"/>
          </w:divBdr>
          <w:divsChild>
            <w:div w:id="904922152">
              <w:marLeft w:val="0"/>
              <w:marRight w:val="0"/>
              <w:marTop w:val="0"/>
              <w:marBottom w:val="0"/>
              <w:divBdr>
                <w:top w:val="none" w:sz="0" w:space="0" w:color="auto"/>
                <w:left w:val="none" w:sz="0" w:space="0" w:color="auto"/>
                <w:bottom w:val="none" w:sz="0" w:space="0" w:color="auto"/>
                <w:right w:val="none" w:sz="0" w:space="0" w:color="auto"/>
              </w:divBdr>
              <w:divsChild>
                <w:div w:id="19657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2137">
      <w:bodyDiv w:val="1"/>
      <w:marLeft w:val="0"/>
      <w:marRight w:val="0"/>
      <w:marTop w:val="0"/>
      <w:marBottom w:val="0"/>
      <w:divBdr>
        <w:top w:val="none" w:sz="0" w:space="0" w:color="auto"/>
        <w:left w:val="none" w:sz="0" w:space="0" w:color="auto"/>
        <w:bottom w:val="none" w:sz="0" w:space="0" w:color="auto"/>
        <w:right w:val="none" w:sz="0" w:space="0" w:color="auto"/>
      </w:divBdr>
      <w:divsChild>
        <w:div w:id="1856113386">
          <w:marLeft w:val="0"/>
          <w:marRight w:val="0"/>
          <w:marTop w:val="0"/>
          <w:marBottom w:val="0"/>
          <w:divBdr>
            <w:top w:val="none" w:sz="0" w:space="0" w:color="auto"/>
            <w:left w:val="none" w:sz="0" w:space="0" w:color="auto"/>
            <w:bottom w:val="none" w:sz="0" w:space="0" w:color="auto"/>
            <w:right w:val="none" w:sz="0" w:space="0" w:color="auto"/>
          </w:divBdr>
          <w:divsChild>
            <w:div w:id="490290580">
              <w:marLeft w:val="0"/>
              <w:marRight w:val="0"/>
              <w:marTop w:val="0"/>
              <w:marBottom w:val="0"/>
              <w:divBdr>
                <w:top w:val="none" w:sz="0" w:space="0" w:color="auto"/>
                <w:left w:val="none" w:sz="0" w:space="0" w:color="auto"/>
                <w:bottom w:val="none" w:sz="0" w:space="0" w:color="auto"/>
                <w:right w:val="none" w:sz="0" w:space="0" w:color="auto"/>
              </w:divBdr>
              <w:divsChild>
                <w:div w:id="4653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1098">
      <w:bodyDiv w:val="1"/>
      <w:marLeft w:val="0"/>
      <w:marRight w:val="0"/>
      <w:marTop w:val="0"/>
      <w:marBottom w:val="0"/>
      <w:divBdr>
        <w:top w:val="none" w:sz="0" w:space="0" w:color="auto"/>
        <w:left w:val="none" w:sz="0" w:space="0" w:color="auto"/>
        <w:bottom w:val="none" w:sz="0" w:space="0" w:color="auto"/>
        <w:right w:val="none" w:sz="0" w:space="0" w:color="auto"/>
      </w:divBdr>
    </w:div>
    <w:div w:id="1076711203">
      <w:bodyDiv w:val="1"/>
      <w:marLeft w:val="0"/>
      <w:marRight w:val="0"/>
      <w:marTop w:val="0"/>
      <w:marBottom w:val="0"/>
      <w:divBdr>
        <w:top w:val="none" w:sz="0" w:space="0" w:color="auto"/>
        <w:left w:val="none" w:sz="0" w:space="0" w:color="auto"/>
        <w:bottom w:val="none" w:sz="0" w:space="0" w:color="auto"/>
        <w:right w:val="none" w:sz="0" w:space="0" w:color="auto"/>
      </w:divBdr>
    </w:div>
    <w:div w:id="1077822064">
      <w:bodyDiv w:val="1"/>
      <w:marLeft w:val="0"/>
      <w:marRight w:val="0"/>
      <w:marTop w:val="0"/>
      <w:marBottom w:val="0"/>
      <w:divBdr>
        <w:top w:val="none" w:sz="0" w:space="0" w:color="auto"/>
        <w:left w:val="none" w:sz="0" w:space="0" w:color="auto"/>
        <w:bottom w:val="none" w:sz="0" w:space="0" w:color="auto"/>
        <w:right w:val="none" w:sz="0" w:space="0" w:color="auto"/>
      </w:divBdr>
    </w:div>
    <w:div w:id="1089961953">
      <w:bodyDiv w:val="1"/>
      <w:marLeft w:val="0"/>
      <w:marRight w:val="0"/>
      <w:marTop w:val="0"/>
      <w:marBottom w:val="0"/>
      <w:divBdr>
        <w:top w:val="none" w:sz="0" w:space="0" w:color="auto"/>
        <w:left w:val="none" w:sz="0" w:space="0" w:color="auto"/>
        <w:bottom w:val="none" w:sz="0" w:space="0" w:color="auto"/>
        <w:right w:val="none" w:sz="0" w:space="0" w:color="auto"/>
      </w:divBdr>
    </w:div>
    <w:div w:id="1094471609">
      <w:bodyDiv w:val="1"/>
      <w:marLeft w:val="0"/>
      <w:marRight w:val="0"/>
      <w:marTop w:val="0"/>
      <w:marBottom w:val="0"/>
      <w:divBdr>
        <w:top w:val="none" w:sz="0" w:space="0" w:color="auto"/>
        <w:left w:val="none" w:sz="0" w:space="0" w:color="auto"/>
        <w:bottom w:val="none" w:sz="0" w:space="0" w:color="auto"/>
        <w:right w:val="none" w:sz="0" w:space="0" w:color="auto"/>
      </w:divBdr>
    </w:div>
    <w:div w:id="1096169959">
      <w:bodyDiv w:val="1"/>
      <w:marLeft w:val="0"/>
      <w:marRight w:val="0"/>
      <w:marTop w:val="0"/>
      <w:marBottom w:val="0"/>
      <w:divBdr>
        <w:top w:val="none" w:sz="0" w:space="0" w:color="auto"/>
        <w:left w:val="none" w:sz="0" w:space="0" w:color="auto"/>
        <w:bottom w:val="none" w:sz="0" w:space="0" w:color="auto"/>
        <w:right w:val="none" w:sz="0" w:space="0" w:color="auto"/>
      </w:divBdr>
      <w:divsChild>
        <w:div w:id="1570461724">
          <w:marLeft w:val="0"/>
          <w:marRight w:val="0"/>
          <w:marTop w:val="0"/>
          <w:marBottom w:val="0"/>
          <w:divBdr>
            <w:top w:val="none" w:sz="0" w:space="0" w:color="auto"/>
            <w:left w:val="none" w:sz="0" w:space="0" w:color="auto"/>
            <w:bottom w:val="none" w:sz="0" w:space="0" w:color="auto"/>
            <w:right w:val="none" w:sz="0" w:space="0" w:color="auto"/>
          </w:divBdr>
          <w:divsChild>
            <w:div w:id="2017343104">
              <w:marLeft w:val="0"/>
              <w:marRight w:val="0"/>
              <w:marTop w:val="0"/>
              <w:marBottom w:val="0"/>
              <w:divBdr>
                <w:top w:val="none" w:sz="0" w:space="0" w:color="auto"/>
                <w:left w:val="none" w:sz="0" w:space="0" w:color="auto"/>
                <w:bottom w:val="none" w:sz="0" w:space="0" w:color="auto"/>
                <w:right w:val="none" w:sz="0" w:space="0" w:color="auto"/>
              </w:divBdr>
              <w:divsChild>
                <w:div w:id="9878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5686">
      <w:bodyDiv w:val="1"/>
      <w:marLeft w:val="0"/>
      <w:marRight w:val="0"/>
      <w:marTop w:val="0"/>
      <w:marBottom w:val="0"/>
      <w:divBdr>
        <w:top w:val="none" w:sz="0" w:space="0" w:color="auto"/>
        <w:left w:val="none" w:sz="0" w:space="0" w:color="auto"/>
        <w:bottom w:val="none" w:sz="0" w:space="0" w:color="auto"/>
        <w:right w:val="none" w:sz="0" w:space="0" w:color="auto"/>
      </w:divBdr>
    </w:div>
    <w:div w:id="1122768985">
      <w:bodyDiv w:val="1"/>
      <w:marLeft w:val="0"/>
      <w:marRight w:val="0"/>
      <w:marTop w:val="0"/>
      <w:marBottom w:val="0"/>
      <w:divBdr>
        <w:top w:val="none" w:sz="0" w:space="0" w:color="auto"/>
        <w:left w:val="none" w:sz="0" w:space="0" w:color="auto"/>
        <w:bottom w:val="none" w:sz="0" w:space="0" w:color="auto"/>
        <w:right w:val="none" w:sz="0" w:space="0" w:color="auto"/>
      </w:divBdr>
    </w:div>
    <w:div w:id="1127816949">
      <w:bodyDiv w:val="1"/>
      <w:marLeft w:val="0"/>
      <w:marRight w:val="0"/>
      <w:marTop w:val="0"/>
      <w:marBottom w:val="0"/>
      <w:divBdr>
        <w:top w:val="none" w:sz="0" w:space="0" w:color="auto"/>
        <w:left w:val="none" w:sz="0" w:space="0" w:color="auto"/>
        <w:bottom w:val="none" w:sz="0" w:space="0" w:color="auto"/>
        <w:right w:val="none" w:sz="0" w:space="0" w:color="auto"/>
      </w:divBdr>
    </w:div>
    <w:div w:id="1133671773">
      <w:bodyDiv w:val="1"/>
      <w:marLeft w:val="0"/>
      <w:marRight w:val="0"/>
      <w:marTop w:val="0"/>
      <w:marBottom w:val="0"/>
      <w:divBdr>
        <w:top w:val="none" w:sz="0" w:space="0" w:color="auto"/>
        <w:left w:val="none" w:sz="0" w:space="0" w:color="auto"/>
        <w:bottom w:val="none" w:sz="0" w:space="0" w:color="auto"/>
        <w:right w:val="none" w:sz="0" w:space="0" w:color="auto"/>
      </w:divBdr>
      <w:divsChild>
        <w:div w:id="349380929">
          <w:marLeft w:val="0"/>
          <w:marRight w:val="0"/>
          <w:marTop w:val="0"/>
          <w:marBottom w:val="0"/>
          <w:divBdr>
            <w:top w:val="none" w:sz="0" w:space="0" w:color="auto"/>
            <w:left w:val="none" w:sz="0" w:space="0" w:color="auto"/>
            <w:bottom w:val="none" w:sz="0" w:space="0" w:color="auto"/>
            <w:right w:val="none" w:sz="0" w:space="0" w:color="auto"/>
          </w:divBdr>
          <w:divsChild>
            <w:div w:id="1382288012">
              <w:marLeft w:val="0"/>
              <w:marRight w:val="0"/>
              <w:marTop w:val="0"/>
              <w:marBottom w:val="0"/>
              <w:divBdr>
                <w:top w:val="none" w:sz="0" w:space="0" w:color="auto"/>
                <w:left w:val="none" w:sz="0" w:space="0" w:color="auto"/>
                <w:bottom w:val="none" w:sz="0" w:space="0" w:color="auto"/>
                <w:right w:val="none" w:sz="0" w:space="0" w:color="auto"/>
              </w:divBdr>
              <w:divsChild>
                <w:div w:id="2898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72804">
      <w:bodyDiv w:val="1"/>
      <w:marLeft w:val="0"/>
      <w:marRight w:val="0"/>
      <w:marTop w:val="0"/>
      <w:marBottom w:val="0"/>
      <w:divBdr>
        <w:top w:val="none" w:sz="0" w:space="0" w:color="auto"/>
        <w:left w:val="none" w:sz="0" w:space="0" w:color="auto"/>
        <w:bottom w:val="none" w:sz="0" w:space="0" w:color="auto"/>
        <w:right w:val="none" w:sz="0" w:space="0" w:color="auto"/>
      </w:divBdr>
      <w:divsChild>
        <w:div w:id="1606041683">
          <w:marLeft w:val="0"/>
          <w:marRight w:val="0"/>
          <w:marTop w:val="0"/>
          <w:marBottom w:val="0"/>
          <w:divBdr>
            <w:top w:val="none" w:sz="0" w:space="0" w:color="auto"/>
            <w:left w:val="none" w:sz="0" w:space="0" w:color="auto"/>
            <w:bottom w:val="none" w:sz="0" w:space="0" w:color="auto"/>
            <w:right w:val="none" w:sz="0" w:space="0" w:color="auto"/>
          </w:divBdr>
          <w:divsChild>
            <w:div w:id="947739690">
              <w:marLeft w:val="0"/>
              <w:marRight w:val="0"/>
              <w:marTop w:val="0"/>
              <w:marBottom w:val="0"/>
              <w:divBdr>
                <w:top w:val="none" w:sz="0" w:space="0" w:color="auto"/>
                <w:left w:val="none" w:sz="0" w:space="0" w:color="auto"/>
                <w:bottom w:val="none" w:sz="0" w:space="0" w:color="auto"/>
                <w:right w:val="none" w:sz="0" w:space="0" w:color="auto"/>
              </w:divBdr>
              <w:divsChild>
                <w:div w:id="2028553906">
                  <w:marLeft w:val="0"/>
                  <w:marRight w:val="0"/>
                  <w:marTop w:val="0"/>
                  <w:marBottom w:val="0"/>
                  <w:divBdr>
                    <w:top w:val="none" w:sz="0" w:space="0" w:color="auto"/>
                    <w:left w:val="none" w:sz="0" w:space="0" w:color="auto"/>
                    <w:bottom w:val="none" w:sz="0" w:space="0" w:color="auto"/>
                    <w:right w:val="none" w:sz="0" w:space="0" w:color="auto"/>
                  </w:divBdr>
                  <w:divsChild>
                    <w:div w:id="1172989458">
                      <w:marLeft w:val="0"/>
                      <w:marRight w:val="0"/>
                      <w:marTop w:val="0"/>
                      <w:marBottom w:val="0"/>
                      <w:divBdr>
                        <w:top w:val="none" w:sz="0" w:space="0" w:color="auto"/>
                        <w:left w:val="none" w:sz="0" w:space="0" w:color="auto"/>
                        <w:bottom w:val="none" w:sz="0" w:space="0" w:color="auto"/>
                        <w:right w:val="none" w:sz="0" w:space="0" w:color="auto"/>
                      </w:divBdr>
                      <w:divsChild>
                        <w:div w:id="1353652638">
                          <w:marLeft w:val="0"/>
                          <w:marRight w:val="0"/>
                          <w:marTop w:val="0"/>
                          <w:marBottom w:val="0"/>
                          <w:divBdr>
                            <w:top w:val="none" w:sz="0" w:space="0" w:color="auto"/>
                            <w:left w:val="none" w:sz="0" w:space="0" w:color="auto"/>
                            <w:bottom w:val="none" w:sz="0" w:space="0" w:color="auto"/>
                            <w:right w:val="none" w:sz="0" w:space="0" w:color="auto"/>
                          </w:divBdr>
                          <w:divsChild>
                            <w:div w:id="584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121948">
      <w:bodyDiv w:val="1"/>
      <w:marLeft w:val="0"/>
      <w:marRight w:val="0"/>
      <w:marTop w:val="0"/>
      <w:marBottom w:val="0"/>
      <w:divBdr>
        <w:top w:val="none" w:sz="0" w:space="0" w:color="auto"/>
        <w:left w:val="none" w:sz="0" w:space="0" w:color="auto"/>
        <w:bottom w:val="none" w:sz="0" w:space="0" w:color="auto"/>
        <w:right w:val="none" w:sz="0" w:space="0" w:color="auto"/>
      </w:divBdr>
    </w:div>
    <w:div w:id="1145392468">
      <w:bodyDiv w:val="1"/>
      <w:marLeft w:val="0"/>
      <w:marRight w:val="0"/>
      <w:marTop w:val="0"/>
      <w:marBottom w:val="0"/>
      <w:divBdr>
        <w:top w:val="none" w:sz="0" w:space="0" w:color="auto"/>
        <w:left w:val="none" w:sz="0" w:space="0" w:color="auto"/>
        <w:bottom w:val="none" w:sz="0" w:space="0" w:color="auto"/>
        <w:right w:val="none" w:sz="0" w:space="0" w:color="auto"/>
      </w:divBdr>
    </w:div>
    <w:div w:id="1147623915">
      <w:bodyDiv w:val="1"/>
      <w:marLeft w:val="0"/>
      <w:marRight w:val="0"/>
      <w:marTop w:val="0"/>
      <w:marBottom w:val="0"/>
      <w:divBdr>
        <w:top w:val="none" w:sz="0" w:space="0" w:color="auto"/>
        <w:left w:val="none" w:sz="0" w:space="0" w:color="auto"/>
        <w:bottom w:val="none" w:sz="0" w:space="0" w:color="auto"/>
        <w:right w:val="none" w:sz="0" w:space="0" w:color="auto"/>
      </w:divBdr>
    </w:div>
    <w:div w:id="1150638204">
      <w:bodyDiv w:val="1"/>
      <w:marLeft w:val="0"/>
      <w:marRight w:val="0"/>
      <w:marTop w:val="0"/>
      <w:marBottom w:val="0"/>
      <w:divBdr>
        <w:top w:val="none" w:sz="0" w:space="0" w:color="auto"/>
        <w:left w:val="none" w:sz="0" w:space="0" w:color="auto"/>
        <w:bottom w:val="none" w:sz="0" w:space="0" w:color="auto"/>
        <w:right w:val="none" w:sz="0" w:space="0" w:color="auto"/>
      </w:divBdr>
      <w:divsChild>
        <w:div w:id="1597708658">
          <w:marLeft w:val="0"/>
          <w:marRight w:val="0"/>
          <w:marTop w:val="0"/>
          <w:marBottom w:val="0"/>
          <w:divBdr>
            <w:top w:val="none" w:sz="0" w:space="0" w:color="auto"/>
            <w:left w:val="none" w:sz="0" w:space="0" w:color="auto"/>
            <w:bottom w:val="none" w:sz="0" w:space="0" w:color="auto"/>
            <w:right w:val="none" w:sz="0" w:space="0" w:color="auto"/>
          </w:divBdr>
          <w:divsChild>
            <w:div w:id="78910728">
              <w:marLeft w:val="0"/>
              <w:marRight w:val="0"/>
              <w:marTop w:val="0"/>
              <w:marBottom w:val="0"/>
              <w:divBdr>
                <w:top w:val="none" w:sz="0" w:space="0" w:color="auto"/>
                <w:left w:val="none" w:sz="0" w:space="0" w:color="auto"/>
                <w:bottom w:val="none" w:sz="0" w:space="0" w:color="auto"/>
                <w:right w:val="none" w:sz="0" w:space="0" w:color="auto"/>
              </w:divBdr>
              <w:divsChild>
                <w:div w:id="435635405">
                  <w:marLeft w:val="0"/>
                  <w:marRight w:val="0"/>
                  <w:marTop w:val="0"/>
                  <w:marBottom w:val="0"/>
                  <w:divBdr>
                    <w:top w:val="none" w:sz="0" w:space="0" w:color="auto"/>
                    <w:left w:val="none" w:sz="0" w:space="0" w:color="auto"/>
                    <w:bottom w:val="none" w:sz="0" w:space="0" w:color="auto"/>
                    <w:right w:val="none" w:sz="0" w:space="0" w:color="auto"/>
                  </w:divBdr>
                  <w:divsChild>
                    <w:div w:id="7605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75851">
      <w:bodyDiv w:val="1"/>
      <w:marLeft w:val="0"/>
      <w:marRight w:val="0"/>
      <w:marTop w:val="0"/>
      <w:marBottom w:val="0"/>
      <w:divBdr>
        <w:top w:val="none" w:sz="0" w:space="0" w:color="auto"/>
        <w:left w:val="none" w:sz="0" w:space="0" w:color="auto"/>
        <w:bottom w:val="none" w:sz="0" w:space="0" w:color="auto"/>
        <w:right w:val="none" w:sz="0" w:space="0" w:color="auto"/>
      </w:divBdr>
    </w:div>
    <w:div w:id="1165366140">
      <w:bodyDiv w:val="1"/>
      <w:marLeft w:val="0"/>
      <w:marRight w:val="0"/>
      <w:marTop w:val="0"/>
      <w:marBottom w:val="0"/>
      <w:divBdr>
        <w:top w:val="none" w:sz="0" w:space="0" w:color="auto"/>
        <w:left w:val="none" w:sz="0" w:space="0" w:color="auto"/>
        <w:bottom w:val="none" w:sz="0" w:space="0" w:color="auto"/>
        <w:right w:val="none" w:sz="0" w:space="0" w:color="auto"/>
      </w:divBdr>
    </w:div>
    <w:div w:id="1175997563">
      <w:bodyDiv w:val="1"/>
      <w:marLeft w:val="0"/>
      <w:marRight w:val="0"/>
      <w:marTop w:val="0"/>
      <w:marBottom w:val="0"/>
      <w:divBdr>
        <w:top w:val="none" w:sz="0" w:space="0" w:color="auto"/>
        <w:left w:val="none" w:sz="0" w:space="0" w:color="auto"/>
        <w:bottom w:val="none" w:sz="0" w:space="0" w:color="auto"/>
        <w:right w:val="none" w:sz="0" w:space="0" w:color="auto"/>
      </w:divBdr>
    </w:div>
    <w:div w:id="1182208798">
      <w:bodyDiv w:val="1"/>
      <w:marLeft w:val="0"/>
      <w:marRight w:val="0"/>
      <w:marTop w:val="0"/>
      <w:marBottom w:val="0"/>
      <w:divBdr>
        <w:top w:val="none" w:sz="0" w:space="0" w:color="auto"/>
        <w:left w:val="none" w:sz="0" w:space="0" w:color="auto"/>
        <w:bottom w:val="none" w:sz="0" w:space="0" w:color="auto"/>
        <w:right w:val="none" w:sz="0" w:space="0" w:color="auto"/>
      </w:divBdr>
      <w:divsChild>
        <w:div w:id="113796525">
          <w:marLeft w:val="0"/>
          <w:marRight w:val="0"/>
          <w:marTop w:val="0"/>
          <w:marBottom w:val="0"/>
          <w:divBdr>
            <w:top w:val="none" w:sz="0" w:space="0" w:color="auto"/>
            <w:left w:val="none" w:sz="0" w:space="0" w:color="auto"/>
            <w:bottom w:val="none" w:sz="0" w:space="0" w:color="auto"/>
            <w:right w:val="none" w:sz="0" w:space="0" w:color="auto"/>
          </w:divBdr>
          <w:divsChild>
            <w:div w:id="1208418891">
              <w:marLeft w:val="0"/>
              <w:marRight w:val="0"/>
              <w:marTop w:val="0"/>
              <w:marBottom w:val="0"/>
              <w:divBdr>
                <w:top w:val="none" w:sz="0" w:space="0" w:color="auto"/>
                <w:left w:val="none" w:sz="0" w:space="0" w:color="auto"/>
                <w:bottom w:val="none" w:sz="0" w:space="0" w:color="auto"/>
                <w:right w:val="none" w:sz="0" w:space="0" w:color="auto"/>
              </w:divBdr>
              <w:divsChild>
                <w:div w:id="6080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3941">
      <w:bodyDiv w:val="1"/>
      <w:marLeft w:val="0"/>
      <w:marRight w:val="0"/>
      <w:marTop w:val="0"/>
      <w:marBottom w:val="0"/>
      <w:divBdr>
        <w:top w:val="none" w:sz="0" w:space="0" w:color="auto"/>
        <w:left w:val="none" w:sz="0" w:space="0" w:color="auto"/>
        <w:bottom w:val="none" w:sz="0" w:space="0" w:color="auto"/>
        <w:right w:val="none" w:sz="0" w:space="0" w:color="auto"/>
      </w:divBdr>
    </w:div>
    <w:div w:id="1196578035">
      <w:bodyDiv w:val="1"/>
      <w:marLeft w:val="0"/>
      <w:marRight w:val="0"/>
      <w:marTop w:val="0"/>
      <w:marBottom w:val="0"/>
      <w:divBdr>
        <w:top w:val="none" w:sz="0" w:space="0" w:color="auto"/>
        <w:left w:val="none" w:sz="0" w:space="0" w:color="auto"/>
        <w:bottom w:val="none" w:sz="0" w:space="0" w:color="auto"/>
        <w:right w:val="none" w:sz="0" w:space="0" w:color="auto"/>
      </w:divBdr>
      <w:divsChild>
        <w:div w:id="652563030">
          <w:marLeft w:val="0"/>
          <w:marRight w:val="0"/>
          <w:marTop w:val="0"/>
          <w:marBottom w:val="0"/>
          <w:divBdr>
            <w:top w:val="none" w:sz="0" w:space="0" w:color="auto"/>
            <w:left w:val="none" w:sz="0" w:space="0" w:color="auto"/>
            <w:bottom w:val="none" w:sz="0" w:space="0" w:color="auto"/>
            <w:right w:val="none" w:sz="0" w:space="0" w:color="auto"/>
          </w:divBdr>
          <w:divsChild>
            <w:div w:id="634411335">
              <w:marLeft w:val="0"/>
              <w:marRight w:val="0"/>
              <w:marTop w:val="0"/>
              <w:marBottom w:val="0"/>
              <w:divBdr>
                <w:top w:val="none" w:sz="0" w:space="0" w:color="auto"/>
                <w:left w:val="none" w:sz="0" w:space="0" w:color="auto"/>
                <w:bottom w:val="none" w:sz="0" w:space="0" w:color="auto"/>
                <w:right w:val="none" w:sz="0" w:space="0" w:color="auto"/>
              </w:divBdr>
              <w:divsChild>
                <w:div w:id="135610910">
                  <w:marLeft w:val="0"/>
                  <w:marRight w:val="0"/>
                  <w:marTop w:val="0"/>
                  <w:marBottom w:val="0"/>
                  <w:divBdr>
                    <w:top w:val="none" w:sz="0" w:space="0" w:color="auto"/>
                    <w:left w:val="none" w:sz="0" w:space="0" w:color="auto"/>
                    <w:bottom w:val="none" w:sz="0" w:space="0" w:color="auto"/>
                    <w:right w:val="none" w:sz="0" w:space="0" w:color="auto"/>
                  </w:divBdr>
                  <w:divsChild>
                    <w:div w:id="15669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5788">
      <w:bodyDiv w:val="1"/>
      <w:marLeft w:val="0"/>
      <w:marRight w:val="0"/>
      <w:marTop w:val="0"/>
      <w:marBottom w:val="0"/>
      <w:divBdr>
        <w:top w:val="none" w:sz="0" w:space="0" w:color="auto"/>
        <w:left w:val="none" w:sz="0" w:space="0" w:color="auto"/>
        <w:bottom w:val="none" w:sz="0" w:space="0" w:color="auto"/>
        <w:right w:val="none" w:sz="0" w:space="0" w:color="auto"/>
      </w:divBdr>
    </w:div>
    <w:div w:id="1200360921">
      <w:bodyDiv w:val="1"/>
      <w:marLeft w:val="0"/>
      <w:marRight w:val="0"/>
      <w:marTop w:val="0"/>
      <w:marBottom w:val="0"/>
      <w:divBdr>
        <w:top w:val="none" w:sz="0" w:space="0" w:color="auto"/>
        <w:left w:val="none" w:sz="0" w:space="0" w:color="auto"/>
        <w:bottom w:val="none" w:sz="0" w:space="0" w:color="auto"/>
        <w:right w:val="none" w:sz="0" w:space="0" w:color="auto"/>
      </w:divBdr>
      <w:divsChild>
        <w:div w:id="1003318468">
          <w:marLeft w:val="0"/>
          <w:marRight w:val="0"/>
          <w:marTop w:val="0"/>
          <w:marBottom w:val="0"/>
          <w:divBdr>
            <w:top w:val="none" w:sz="0" w:space="0" w:color="auto"/>
            <w:left w:val="none" w:sz="0" w:space="0" w:color="auto"/>
            <w:bottom w:val="none" w:sz="0" w:space="0" w:color="auto"/>
            <w:right w:val="none" w:sz="0" w:space="0" w:color="auto"/>
          </w:divBdr>
          <w:divsChild>
            <w:div w:id="360789708">
              <w:marLeft w:val="0"/>
              <w:marRight w:val="0"/>
              <w:marTop w:val="0"/>
              <w:marBottom w:val="0"/>
              <w:divBdr>
                <w:top w:val="none" w:sz="0" w:space="0" w:color="auto"/>
                <w:left w:val="none" w:sz="0" w:space="0" w:color="auto"/>
                <w:bottom w:val="none" w:sz="0" w:space="0" w:color="auto"/>
                <w:right w:val="none" w:sz="0" w:space="0" w:color="auto"/>
              </w:divBdr>
              <w:divsChild>
                <w:div w:id="141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81451">
      <w:bodyDiv w:val="1"/>
      <w:marLeft w:val="0"/>
      <w:marRight w:val="0"/>
      <w:marTop w:val="0"/>
      <w:marBottom w:val="0"/>
      <w:divBdr>
        <w:top w:val="none" w:sz="0" w:space="0" w:color="auto"/>
        <w:left w:val="none" w:sz="0" w:space="0" w:color="auto"/>
        <w:bottom w:val="none" w:sz="0" w:space="0" w:color="auto"/>
        <w:right w:val="none" w:sz="0" w:space="0" w:color="auto"/>
      </w:divBdr>
    </w:div>
    <w:div w:id="1230070770">
      <w:bodyDiv w:val="1"/>
      <w:marLeft w:val="0"/>
      <w:marRight w:val="0"/>
      <w:marTop w:val="0"/>
      <w:marBottom w:val="0"/>
      <w:divBdr>
        <w:top w:val="none" w:sz="0" w:space="0" w:color="auto"/>
        <w:left w:val="none" w:sz="0" w:space="0" w:color="auto"/>
        <w:bottom w:val="none" w:sz="0" w:space="0" w:color="auto"/>
        <w:right w:val="none" w:sz="0" w:space="0" w:color="auto"/>
      </w:divBdr>
    </w:div>
    <w:div w:id="1234387306">
      <w:bodyDiv w:val="1"/>
      <w:marLeft w:val="0"/>
      <w:marRight w:val="0"/>
      <w:marTop w:val="0"/>
      <w:marBottom w:val="0"/>
      <w:divBdr>
        <w:top w:val="none" w:sz="0" w:space="0" w:color="auto"/>
        <w:left w:val="none" w:sz="0" w:space="0" w:color="auto"/>
        <w:bottom w:val="none" w:sz="0" w:space="0" w:color="auto"/>
        <w:right w:val="none" w:sz="0" w:space="0" w:color="auto"/>
      </w:divBdr>
    </w:div>
    <w:div w:id="1244486025">
      <w:bodyDiv w:val="1"/>
      <w:marLeft w:val="0"/>
      <w:marRight w:val="0"/>
      <w:marTop w:val="0"/>
      <w:marBottom w:val="0"/>
      <w:divBdr>
        <w:top w:val="none" w:sz="0" w:space="0" w:color="auto"/>
        <w:left w:val="none" w:sz="0" w:space="0" w:color="auto"/>
        <w:bottom w:val="none" w:sz="0" w:space="0" w:color="auto"/>
        <w:right w:val="none" w:sz="0" w:space="0" w:color="auto"/>
      </w:divBdr>
    </w:div>
    <w:div w:id="1295478329">
      <w:bodyDiv w:val="1"/>
      <w:marLeft w:val="0"/>
      <w:marRight w:val="0"/>
      <w:marTop w:val="0"/>
      <w:marBottom w:val="0"/>
      <w:divBdr>
        <w:top w:val="none" w:sz="0" w:space="0" w:color="auto"/>
        <w:left w:val="none" w:sz="0" w:space="0" w:color="auto"/>
        <w:bottom w:val="none" w:sz="0" w:space="0" w:color="auto"/>
        <w:right w:val="none" w:sz="0" w:space="0" w:color="auto"/>
      </w:divBdr>
    </w:div>
    <w:div w:id="1296108564">
      <w:bodyDiv w:val="1"/>
      <w:marLeft w:val="0"/>
      <w:marRight w:val="0"/>
      <w:marTop w:val="0"/>
      <w:marBottom w:val="0"/>
      <w:divBdr>
        <w:top w:val="none" w:sz="0" w:space="0" w:color="auto"/>
        <w:left w:val="none" w:sz="0" w:space="0" w:color="auto"/>
        <w:bottom w:val="none" w:sz="0" w:space="0" w:color="auto"/>
        <w:right w:val="none" w:sz="0" w:space="0" w:color="auto"/>
      </w:divBdr>
    </w:div>
    <w:div w:id="1298756307">
      <w:bodyDiv w:val="1"/>
      <w:marLeft w:val="0"/>
      <w:marRight w:val="0"/>
      <w:marTop w:val="0"/>
      <w:marBottom w:val="0"/>
      <w:divBdr>
        <w:top w:val="none" w:sz="0" w:space="0" w:color="auto"/>
        <w:left w:val="none" w:sz="0" w:space="0" w:color="auto"/>
        <w:bottom w:val="none" w:sz="0" w:space="0" w:color="auto"/>
        <w:right w:val="none" w:sz="0" w:space="0" w:color="auto"/>
      </w:divBdr>
    </w:div>
    <w:div w:id="1319532091">
      <w:bodyDiv w:val="1"/>
      <w:marLeft w:val="0"/>
      <w:marRight w:val="0"/>
      <w:marTop w:val="0"/>
      <w:marBottom w:val="0"/>
      <w:divBdr>
        <w:top w:val="none" w:sz="0" w:space="0" w:color="auto"/>
        <w:left w:val="none" w:sz="0" w:space="0" w:color="auto"/>
        <w:bottom w:val="none" w:sz="0" w:space="0" w:color="auto"/>
        <w:right w:val="none" w:sz="0" w:space="0" w:color="auto"/>
      </w:divBdr>
      <w:divsChild>
        <w:div w:id="1373771086">
          <w:marLeft w:val="0"/>
          <w:marRight w:val="0"/>
          <w:marTop w:val="0"/>
          <w:marBottom w:val="0"/>
          <w:divBdr>
            <w:top w:val="none" w:sz="0" w:space="0" w:color="auto"/>
            <w:left w:val="none" w:sz="0" w:space="0" w:color="auto"/>
            <w:bottom w:val="none" w:sz="0" w:space="0" w:color="auto"/>
            <w:right w:val="none" w:sz="0" w:space="0" w:color="auto"/>
          </w:divBdr>
          <w:divsChild>
            <w:div w:id="652217363">
              <w:marLeft w:val="0"/>
              <w:marRight w:val="0"/>
              <w:marTop w:val="0"/>
              <w:marBottom w:val="0"/>
              <w:divBdr>
                <w:top w:val="none" w:sz="0" w:space="0" w:color="auto"/>
                <w:left w:val="none" w:sz="0" w:space="0" w:color="auto"/>
                <w:bottom w:val="none" w:sz="0" w:space="0" w:color="auto"/>
                <w:right w:val="none" w:sz="0" w:space="0" w:color="auto"/>
              </w:divBdr>
              <w:divsChild>
                <w:div w:id="132292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0164">
      <w:bodyDiv w:val="1"/>
      <w:marLeft w:val="0"/>
      <w:marRight w:val="0"/>
      <w:marTop w:val="0"/>
      <w:marBottom w:val="0"/>
      <w:divBdr>
        <w:top w:val="none" w:sz="0" w:space="0" w:color="auto"/>
        <w:left w:val="none" w:sz="0" w:space="0" w:color="auto"/>
        <w:bottom w:val="none" w:sz="0" w:space="0" w:color="auto"/>
        <w:right w:val="none" w:sz="0" w:space="0" w:color="auto"/>
      </w:divBdr>
    </w:div>
    <w:div w:id="1332835048">
      <w:bodyDiv w:val="1"/>
      <w:marLeft w:val="0"/>
      <w:marRight w:val="0"/>
      <w:marTop w:val="0"/>
      <w:marBottom w:val="0"/>
      <w:divBdr>
        <w:top w:val="none" w:sz="0" w:space="0" w:color="auto"/>
        <w:left w:val="none" w:sz="0" w:space="0" w:color="auto"/>
        <w:bottom w:val="none" w:sz="0" w:space="0" w:color="auto"/>
        <w:right w:val="none" w:sz="0" w:space="0" w:color="auto"/>
      </w:divBdr>
      <w:divsChild>
        <w:div w:id="688413100">
          <w:marLeft w:val="0"/>
          <w:marRight w:val="0"/>
          <w:marTop w:val="0"/>
          <w:marBottom w:val="0"/>
          <w:divBdr>
            <w:top w:val="none" w:sz="0" w:space="0" w:color="auto"/>
            <w:left w:val="none" w:sz="0" w:space="0" w:color="auto"/>
            <w:bottom w:val="none" w:sz="0" w:space="0" w:color="auto"/>
            <w:right w:val="none" w:sz="0" w:space="0" w:color="auto"/>
          </w:divBdr>
          <w:divsChild>
            <w:div w:id="297537441">
              <w:marLeft w:val="0"/>
              <w:marRight w:val="0"/>
              <w:marTop w:val="0"/>
              <w:marBottom w:val="0"/>
              <w:divBdr>
                <w:top w:val="none" w:sz="0" w:space="0" w:color="auto"/>
                <w:left w:val="none" w:sz="0" w:space="0" w:color="auto"/>
                <w:bottom w:val="none" w:sz="0" w:space="0" w:color="auto"/>
                <w:right w:val="none" w:sz="0" w:space="0" w:color="auto"/>
              </w:divBdr>
              <w:divsChild>
                <w:div w:id="14294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24019">
      <w:bodyDiv w:val="1"/>
      <w:marLeft w:val="0"/>
      <w:marRight w:val="0"/>
      <w:marTop w:val="0"/>
      <w:marBottom w:val="0"/>
      <w:divBdr>
        <w:top w:val="none" w:sz="0" w:space="0" w:color="auto"/>
        <w:left w:val="none" w:sz="0" w:space="0" w:color="auto"/>
        <w:bottom w:val="none" w:sz="0" w:space="0" w:color="auto"/>
        <w:right w:val="none" w:sz="0" w:space="0" w:color="auto"/>
      </w:divBdr>
    </w:div>
    <w:div w:id="1337028606">
      <w:bodyDiv w:val="1"/>
      <w:marLeft w:val="0"/>
      <w:marRight w:val="0"/>
      <w:marTop w:val="0"/>
      <w:marBottom w:val="0"/>
      <w:divBdr>
        <w:top w:val="none" w:sz="0" w:space="0" w:color="auto"/>
        <w:left w:val="none" w:sz="0" w:space="0" w:color="auto"/>
        <w:bottom w:val="none" w:sz="0" w:space="0" w:color="auto"/>
        <w:right w:val="none" w:sz="0" w:space="0" w:color="auto"/>
      </w:divBdr>
      <w:divsChild>
        <w:div w:id="970130995">
          <w:marLeft w:val="0"/>
          <w:marRight w:val="0"/>
          <w:marTop w:val="0"/>
          <w:marBottom w:val="0"/>
          <w:divBdr>
            <w:top w:val="none" w:sz="0" w:space="0" w:color="auto"/>
            <w:left w:val="none" w:sz="0" w:space="0" w:color="auto"/>
            <w:bottom w:val="none" w:sz="0" w:space="0" w:color="auto"/>
            <w:right w:val="none" w:sz="0" w:space="0" w:color="auto"/>
          </w:divBdr>
          <w:divsChild>
            <w:div w:id="1994871892">
              <w:marLeft w:val="0"/>
              <w:marRight w:val="0"/>
              <w:marTop w:val="0"/>
              <w:marBottom w:val="0"/>
              <w:divBdr>
                <w:top w:val="none" w:sz="0" w:space="0" w:color="auto"/>
                <w:left w:val="none" w:sz="0" w:space="0" w:color="auto"/>
                <w:bottom w:val="none" w:sz="0" w:space="0" w:color="auto"/>
                <w:right w:val="none" w:sz="0" w:space="0" w:color="auto"/>
              </w:divBdr>
              <w:divsChild>
                <w:div w:id="21096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6833">
      <w:bodyDiv w:val="1"/>
      <w:marLeft w:val="0"/>
      <w:marRight w:val="0"/>
      <w:marTop w:val="0"/>
      <w:marBottom w:val="0"/>
      <w:divBdr>
        <w:top w:val="none" w:sz="0" w:space="0" w:color="auto"/>
        <w:left w:val="none" w:sz="0" w:space="0" w:color="auto"/>
        <w:bottom w:val="none" w:sz="0" w:space="0" w:color="auto"/>
        <w:right w:val="none" w:sz="0" w:space="0" w:color="auto"/>
      </w:divBdr>
    </w:div>
    <w:div w:id="1354453118">
      <w:bodyDiv w:val="1"/>
      <w:marLeft w:val="0"/>
      <w:marRight w:val="0"/>
      <w:marTop w:val="0"/>
      <w:marBottom w:val="0"/>
      <w:divBdr>
        <w:top w:val="none" w:sz="0" w:space="0" w:color="auto"/>
        <w:left w:val="none" w:sz="0" w:space="0" w:color="auto"/>
        <w:bottom w:val="none" w:sz="0" w:space="0" w:color="auto"/>
        <w:right w:val="none" w:sz="0" w:space="0" w:color="auto"/>
      </w:divBdr>
      <w:divsChild>
        <w:div w:id="531454768">
          <w:marLeft w:val="0"/>
          <w:marRight w:val="0"/>
          <w:marTop w:val="0"/>
          <w:marBottom w:val="0"/>
          <w:divBdr>
            <w:top w:val="none" w:sz="0" w:space="0" w:color="auto"/>
            <w:left w:val="none" w:sz="0" w:space="0" w:color="auto"/>
            <w:bottom w:val="none" w:sz="0" w:space="0" w:color="auto"/>
            <w:right w:val="none" w:sz="0" w:space="0" w:color="auto"/>
          </w:divBdr>
          <w:divsChild>
            <w:div w:id="103499608">
              <w:marLeft w:val="0"/>
              <w:marRight w:val="0"/>
              <w:marTop w:val="0"/>
              <w:marBottom w:val="0"/>
              <w:divBdr>
                <w:top w:val="none" w:sz="0" w:space="0" w:color="auto"/>
                <w:left w:val="none" w:sz="0" w:space="0" w:color="auto"/>
                <w:bottom w:val="none" w:sz="0" w:space="0" w:color="auto"/>
                <w:right w:val="none" w:sz="0" w:space="0" w:color="auto"/>
              </w:divBdr>
              <w:divsChild>
                <w:div w:id="11346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6790">
      <w:bodyDiv w:val="1"/>
      <w:marLeft w:val="0"/>
      <w:marRight w:val="0"/>
      <w:marTop w:val="0"/>
      <w:marBottom w:val="0"/>
      <w:divBdr>
        <w:top w:val="none" w:sz="0" w:space="0" w:color="auto"/>
        <w:left w:val="none" w:sz="0" w:space="0" w:color="auto"/>
        <w:bottom w:val="none" w:sz="0" w:space="0" w:color="auto"/>
        <w:right w:val="none" w:sz="0" w:space="0" w:color="auto"/>
      </w:divBdr>
    </w:div>
    <w:div w:id="1363021300">
      <w:bodyDiv w:val="1"/>
      <w:marLeft w:val="0"/>
      <w:marRight w:val="0"/>
      <w:marTop w:val="0"/>
      <w:marBottom w:val="0"/>
      <w:divBdr>
        <w:top w:val="none" w:sz="0" w:space="0" w:color="auto"/>
        <w:left w:val="none" w:sz="0" w:space="0" w:color="auto"/>
        <w:bottom w:val="none" w:sz="0" w:space="0" w:color="auto"/>
        <w:right w:val="none" w:sz="0" w:space="0" w:color="auto"/>
      </w:divBdr>
    </w:div>
    <w:div w:id="1367214727">
      <w:bodyDiv w:val="1"/>
      <w:marLeft w:val="0"/>
      <w:marRight w:val="0"/>
      <w:marTop w:val="0"/>
      <w:marBottom w:val="0"/>
      <w:divBdr>
        <w:top w:val="none" w:sz="0" w:space="0" w:color="auto"/>
        <w:left w:val="none" w:sz="0" w:space="0" w:color="auto"/>
        <w:bottom w:val="none" w:sz="0" w:space="0" w:color="auto"/>
        <w:right w:val="none" w:sz="0" w:space="0" w:color="auto"/>
      </w:divBdr>
    </w:div>
    <w:div w:id="1380083304">
      <w:bodyDiv w:val="1"/>
      <w:marLeft w:val="0"/>
      <w:marRight w:val="0"/>
      <w:marTop w:val="0"/>
      <w:marBottom w:val="0"/>
      <w:divBdr>
        <w:top w:val="none" w:sz="0" w:space="0" w:color="auto"/>
        <w:left w:val="none" w:sz="0" w:space="0" w:color="auto"/>
        <w:bottom w:val="none" w:sz="0" w:space="0" w:color="auto"/>
        <w:right w:val="none" w:sz="0" w:space="0" w:color="auto"/>
      </w:divBdr>
    </w:div>
    <w:div w:id="1386568524">
      <w:bodyDiv w:val="1"/>
      <w:marLeft w:val="0"/>
      <w:marRight w:val="0"/>
      <w:marTop w:val="0"/>
      <w:marBottom w:val="0"/>
      <w:divBdr>
        <w:top w:val="none" w:sz="0" w:space="0" w:color="auto"/>
        <w:left w:val="none" w:sz="0" w:space="0" w:color="auto"/>
        <w:bottom w:val="none" w:sz="0" w:space="0" w:color="auto"/>
        <w:right w:val="none" w:sz="0" w:space="0" w:color="auto"/>
      </w:divBdr>
    </w:div>
    <w:div w:id="1389917358">
      <w:bodyDiv w:val="1"/>
      <w:marLeft w:val="0"/>
      <w:marRight w:val="0"/>
      <w:marTop w:val="0"/>
      <w:marBottom w:val="0"/>
      <w:divBdr>
        <w:top w:val="none" w:sz="0" w:space="0" w:color="auto"/>
        <w:left w:val="none" w:sz="0" w:space="0" w:color="auto"/>
        <w:bottom w:val="none" w:sz="0" w:space="0" w:color="auto"/>
        <w:right w:val="none" w:sz="0" w:space="0" w:color="auto"/>
      </w:divBdr>
    </w:div>
    <w:div w:id="1391491828">
      <w:bodyDiv w:val="1"/>
      <w:marLeft w:val="0"/>
      <w:marRight w:val="0"/>
      <w:marTop w:val="0"/>
      <w:marBottom w:val="0"/>
      <w:divBdr>
        <w:top w:val="none" w:sz="0" w:space="0" w:color="auto"/>
        <w:left w:val="none" w:sz="0" w:space="0" w:color="auto"/>
        <w:bottom w:val="none" w:sz="0" w:space="0" w:color="auto"/>
        <w:right w:val="none" w:sz="0" w:space="0" w:color="auto"/>
      </w:divBdr>
    </w:div>
    <w:div w:id="1398626232">
      <w:bodyDiv w:val="1"/>
      <w:marLeft w:val="0"/>
      <w:marRight w:val="0"/>
      <w:marTop w:val="0"/>
      <w:marBottom w:val="0"/>
      <w:divBdr>
        <w:top w:val="none" w:sz="0" w:space="0" w:color="auto"/>
        <w:left w:val="none" w:sz="0" w:space="0" w:color="auto"/>
        <w:bottom w:val="none" w:sz="0" w:space="0" w:color="auto"/>
        <w:right w:val="none" w:sz="0" w:space="0" w:color="auto"/>
      </w:divBdr>
    </w:div>
    <w:div w:id="1404062505">
      <w:bodyDiv w:val="1"/>
      <w:marLeft w:val="0"/>
      <w:marRight w:val="0"/>
      <w:marTop w:val="0"/>
      <w:marBottom w:val="0"/>
      <w:divBdr>
        <w:top w:val="none" w:sz="0" w:space="0" w:color="auto"/>
        <w:left w:val="none" w:sz="0" w:space="0" w:color="auto"/>
        <w:bottom w:val="none" w:sz="0" w:space="0" w:color="auto"/>
        <w:right w:val="none" w:sz="0" w:space="0" w:color="auto"/>
      </w:divBdr>
      <w:divsChild>
        <w:div w:id="1249196011">
          <w:marLeft w:val="0"/>
          <w:marRight w:val="0"/>
          <w:marTop w:val="0"/>
          <w:marBottom w:val="0"/>
          <w:divBdr>
            <w:top w:val="none" w:sz="0" w:space="0" w:color="auto"/>
            <w:left w:val="none" w:sz="0" w:space="0" w:color="auto"/>
            <w:bottom w:val="none" w:sz="0" w:space="0" w:color="auto"/>
            <w:right w:val="none" w:sz="0" w:space="0" w:color="auto"/>
          </w:divBdr>
          <w:divsChild>
            <w:div w:id="334840839">
              <w:marLeft w:val="0"/>
              <w:marRight w:val="0"/>
              <w:marTop w:val="0"/>
              <w:marBottom w:val="0"/>
              <w:divBdr>
                <w:top w:val="none" w:sz="0" w:space="0" w:color="auto"/>
                <w:left w:val="none" w:sz="0" w:space="0" w:color="auto"/>
                <w:bottom w:val="none" w:sz="0" w:space="0" w:color="auto"/>
                <w:right w:val="none" w:sz="0" w:space="0" w:color="auto"/>
              </w:divBdr>
              <w:divsChild>
                <w:div w:id="1386683324">
                  <w:marLeft w:val="0"/>
                  <w:marRight w:val="0"/>
                  <w:marTop w:val="0"/>
                  <w:marBottom w:val="0"/>
                  <w:divBdr>
                    <w:top w:val="none" w:sz="0" w:space="0" w:color="auto"/>
                    <w:left w:val="none" w:sz="0" w:space="0" w:color="auto"/>
                    <w:bottom w:val="none" w:sz="0" w:space="0" w:color="auto"/>
                    <w:right w:val="none" w:sz="0" w:space="0" w:color="auto"/>
                  </w:divBdr>
                  <w:divsChild>
                    <w:div w:id="9345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09939">
      <w:bodyDiv w:val="1"/>
      <w:marLeft w:val="0"/>
      <w:marRight w:val="0"/>
      <w:marTop w:val="0"/>
      <w:marBottom w:val="0"/>
      <w:divBdr>
        <w:top w:val="none" w:sz="0" w:space="0" w:color="auto"/>
        <w:left w:val="none" w:sz="0" w:space="0" w:color="auto"/>
        <w:bottom w:val="none" w:sz="0" w:space="0" w:color="auto"/>
        <w:right w:val="none" w:sz="0" w:space="0" w:color="auto"/>
      </w:divBdr>
      <w:divsChild>
        <w:div w:id="139883947">
          <w:marLeft w:val="0"/>
          <w:marRight w:val="0"/>
          <w:marTop w:val="0"/>
          <w:marBottom w:val="0"/>
          <w:divBdr>
            <w:top w:val="none" w:sz="0" w:space="0" w:color="auto"/>
            <w:left w:val="none" w:sz="0" w:space="0" w:color="auto"/>
            <w:bottom w:val="none" w:sz="0" w:space="0" w:color="auto"/>
            <w:right w:val="none" w:sz="0" w:space="0" w:color="auto"/>
          </w:divBdr>
          <w:divsChild>
            <w:div w:id="30963617">
              <w:marLeft w:val="0"/>
              <w:marRight w:val="0"/>
              <w:marTop w:val="0"/>
              <w:marBottom w:val="0"/>
              <w:divBdr>
                <w:top w:val="none" w:sz="0" w:space="0" w:color="auto"/>
                <w:left w:val="none" w:sz="0" w:space="0" w:color="auto"/>
                <w:bottom w:val="none" w:sz="0" w:space="0" w:color="auto"/>
                <w:right w:val="none" w:sz="0" w:space="0" w:color="auto"/>
              </w:divBdr>
              <w:divsChild>
                <w:div w:id="12376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8927">
      <w:bodyDiv w:val="1"/>
      <w:marLeft w:val="0"/>
      <w:marRight w:val="0"/>
      <w:marTop w:val="0"/>
      <w:marBottom w:val="0"/>
      <w:divBdr>
        <w:top w:val="none" w:sz="0" w:space="0" w:color="auto"/>
        <w:left w:val="none" w:sz="0" w:space="0" w:color="auto"/>
        <w:bottom w:val="none" w:sz="0" w:space="0" w:color="auto"/>
        <w:right w:val="none" w:sz="0" w:space="0" w:color="auto"/>
      </w:divBdr>
    </w:div>
    <w:div w:id="1438674637">
      <w:bodyDiv w:val="1"/>
      <w:marLeft w:val="0"/>
      <w:marRight w:val="0"/>
      <w:marTop w:val="0"/>
      <w:marBottom w:val="0"/>
      <w:divBdr>
        <w:top w:val="none" w:sz="0" w:space="0" w:color="auto"/>
        <w:left w:val="none" w:sz="0" w:space="0" w:color="auto"/>
        <w:bottom w:val="none" w:sz="0" w:space="0" w:color="auto"/>
        <w:right w:val="none" w:sz="0" w:space="0" w:color="auto"/>
      </w:divBdr>
      <w:divsChild>
        <w:div w:id="1562864403">
          <w:marLeft w:val="0"/>
          <w:marRight w:val="0"/>
          <w:marTop w:val="0"/>
          <w:marBottom w:val="0"/>
          <w:divBdr>
            <w:top w:val="none" w:sz="0" w:space="0" w:color="auto"/>
            <w:left w:val="none" w:sz="0" w:space="0" w:color="auto"/>
            <w:bottom w:val="none" w:sz="0" w:space="0" w:color="auto"/>
            <w:right w:val="none" w:sz="0" w:space="0" w:color="auto"/>
          </w:divBdr>
          <w:divsChild>
            <w:div w:id="1416199329">
              <w:marLeft w:val="0"/>
              <w:marRight w:val="0"/>
              <w:marTop w:val="0"/>
              <w:marBottom w:val="0"/>
              <w:divBdr>
                <w:top w:val="none" w:sz="0" w:space="0" w:color="auto"/>
                <w:left w:val="none" w:sz="0" w:space="0" w:color="auto"/>
                <w:bottom w:val="none" w:sz="0" w:space="0" w:color="auto"/>
                <w:right w:val="none" w:sz="0" w:space="0" w:color="auto"/>
              </w:divBdr>
              <w:divsChild>
                <w:div w:id="3618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41070">
      <w:bodyDiv w:val="1"/>
      <w:marLeft w:val="0"/>
      <w:marRight w:val="0"/>
      <w:marTop w:val="0"/>
      <w:marBottom w:val="0"/>
      <w:divBdr>
        <w:top w:val="none" w:sz="0" w:space="0" w:color="auto"/>
        <w:left w:val="none" w:sz="0" w:space="0" w:color="auto"/>
        <w:bottom w:val="none" w:sz="0" w:space="0" w:color="auto"/>
        <w:right w:val="none" w:sz="0" w:space="0" w:color="auto"/>
      </w:divBdr>
    </w:div>
    <w:div w:id="1461728241">
      <w:bodyDiv w:val="1"/>
      <w:marLeft w:val="0"/>
      <w:marRight w:val="0"/>
      <w:marTop w:val="0"/>
      <w:marBottom w:val="0"/>
      <w:divBdr>
        <w:top w:val="none" w:sz="0" w:space="0" w:color="auto"/>
        <w:left w:val="none" w:sz="0" w:space="0" w:color="auto"/>
        <w:bottom w:val="none" w:sz="0" w:space="0" w:color="auto"/>
        <w:right w:val="none" w:sz="0" w:space="0" w:color="auto"/>
      </w:divBdr>
      <w:divsChild>
        <w:div w:id="363867919">
          <w:marLeft w:val="0"/>
          <w:marRight w:val="0"/>
          <w:marTop w:val="0"/>
          <w:marBottom w:val="0"/>
          <w:divBdr>
            <w:top w:val="none" w:sz="0" w:space="0" w:color="auto"/>
            <w:left w:val="none" w:sz="0" w:space="0" w:color="auto"/>
            <w:bottom w:val="none" w:sz="0" w:space="0" w:color="auto"/>
            <w:right w:val="none" w:sz="0" w:space="0" w:color="auto"/>
          </w:divBdr>
          <w:divsChild>
            <w:div w:id="1573009182">
              <w:marLeft w:val="0"/>
              <w:marRight w:val="0"/>
              <w:marTop w:val="0"/>
              <w:marBottom w:val="0"/>
              <w:divBdr>
                <w:top w:val="none" w:sz="0" w:space="0" w:color="auto"/>
                <w:left w:val="none" w:sz="0" w:space="0" w:color="auto"/>
                <w:bottom w:val="none" w:sz="0" w:space="0" w:color="auto"/>
                <w:right w:val="none" w:sz="0" w:space="0" w:color="auto"/>
              </w:divBdr>
              <w:divsChild>
                <w:div w:id="879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98411">
      <w:bodyDiv w:val="1"/>
      <w:marLeft w:val="0"/>
      <w:marRight w:val="0"/>
      <w:marTop w:val="0"/>
      <w:marBottom w:val="0"/>
      <w:divBdr>
        <w:top w:val="none" w:sz="0" w:space="0" w:color="auto"/>
        <w:left w:val="none" w:sz="0" w:space="0" w:color="auto"/>
        <w:bottom w:val="none" w:sz="0" w:space="0" w:color="auto"/>
        <w:right w:val="none" w:sz="0" w:space="0" w:color="auto"/>
      </w:divBdr>
    </w:div>
    <w:div w:id="1476488798">
      <w:bodyDiv w:val="1"/>
      <w:marLeft w:val="0"/>
      <w:marRight w:val="0"/>
      <w:marTop w:val="0"/>
      <w:marBottom w:val="0"/>
      <w:divBdr>
        <w:top w:val="none" w:sz="0" w:space="0" w:color="auto"/>
        <w:left w:val="none" w:sz="0" w:space="0" w:color="auto"/>
        <w:bottom w:val="none" w:sz="0" w:space="0" w:color="auto"/>
        <w:right w:val="none" w:sz="0" w:space="0" w:color="auto"/>
      </w:divBdr>
    </w:div>
    <w:div w:id="1498425901">
      <w:bodyDiv w:val="1"/>
      <w:marLeft w:val="0"/>
      <w:marRight w:val="0"/>
      <w:marTop w:val="0"/>
      <w:marBottom w:val="0"/>
      <w:divBdr>
        <w:top w:val="none" w:sz="0" w:space="0" w:color="auto"/>
        <w:left w:val="none" w:sz="0" w:space="0" w:color="auto"/>
        <w:bottom w:val="none" w:sz="0" w:space="0" w:color="auto"/>
        <w:right w:val="none" w:sz="0" w:space="0" w:color="auto"/>
      </w:divBdr>
    </w:div>
    <w:div w:id="1517228835">
      <w:bodyDiv w:val="1"/>
      <w:marLeft w:val="0"/>
      <w:marRight w:val="0"/>
      <w:marTop w:val="0"/>
      <w:marBottom w:val="0"/>
      <w:divBdr>
        <w:top w:val="none" w:sz="0" w:space="0" w:color="auto"/>
        <w:left w:val="none" w:sz="0" w:space="0" w:color="auto"/>
        <w:bottom w:val="none" w:sz="0" w:space="0" w:color="auto"/>
        <w:right w:val="none" w:sz="0" w:space="0" w:color="auto"/>
      </w:divBdr>
      <w:divsChild>
        <w:div w:id="1509516274">
          <w:marLeft w:val="0"/>
          <w:marRight w:val="0"/>
          <w:marTop w:val="0"/>
          <w:marBottom w:val="0"/>
          <w:divBdr>
            <w:top w:val="none" w:sz="0" w:space="0" w:color="auto"/>
            <w:left w:val="none" w:sz="0" w:space="0" w:color="auto"/>
            <w:bottom w:val="none" w:sz="0" w:space="0" w:color="auto"/>
            <w:right w:val="none" w:sz="0" w:space="0" w:color="auto"/>
          </w:divBdr>
          <w:divsChild>
            <w:div w:id="339891802">
              <w:marLeft w:val="0"/>
              <w:marRight w:val="0"/>
              <w:marTop w:val="0"/>
              <w:marBottom w:val="0"/>
              <w:divBdr>
                <w:top w:val="none" w:sz="0" w:space="0" w:color="auto"/>
                <w:left w:val="none" w:sz="0" w:space="0" w:color="auto"/>
                <w:bottom w:val="none" w:sz="0" w:space="0" w:color="auto"/>
                <w:right w:val="none" w:sz="0" w:space="0" w:color="auto"/>
              </w:divBdr>
              <w:divsChild>
                <w:div w:id="998196926">
                  <w:marLeft w:val="0"/>
                  <w:marRight w:val="0"/>
                  <w:marTop w:val="0"/>
                  <w:marBottom w:val="0"/>
                  <w:divBdr>
                    <w:top w:val="none" w:sz="0" w:space="0" w:color="auto"/>
                    <w:left w:val="none" w:sz="0" w:space="0" w:color="auto"/>
                    <w:bottom w:val="none" w:sz="0" w:space="0" w:color="auto"/>
                    <w:right w:val="none" w:sz="0" w:space="0" w:color="auto"/>
                  </w:divBdr>
                  <w:divsChild>
                    <w:div w:id="101384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362327">
      <w:bodyDiv w:val="1"/>
      <w:marLeft w:val="0"/>
      <w:marRight w:val="0"/>
      <w:marTop w:val="0"/>
      <w:marBottom w:val="0"/>
      <w:divBdr>
        <w:top w:val="none" w:sz="0" w:space="0" w:color="auto"/>
        <w:left w:val="none" w:sz="0" w:space="0" w:color="auto"/>
        <w:bottom w:val="none" w:sz="0" w:space="0" w:color="auto"/>
        <w:right w:val="none" w:sz="0" w:space="0" w:color="auto"/>
      </w:divBdr>
    </w:div>
    <w:div w:id="1541476972">
      <w:bodyDiv w:val="1"/>
      <w:marLeft w:val="0"/>
      <w:marRight w:val="0"/>
      <w:marTop w:val="0"/>
      <w:marBottom w:val="0"/>
      <w:divBdr>
        <w:top w:val="none" w:sz="0" w:space="0" w:color="auto"/>
        <w:left w:val="none" w:sz="0" w:space="0" w:color="auto"/>
        <w:bottom w:val="none" w:sz="0" w:space="0" w:color="auto"/>
        <w:right w:val="none" w:sz="0" w:space="0" w:color="auto"/>
      </w:divBdr>
    </w:div>
    <w:div w:id="1543403858">
      <w:bodyDiv w:val="1"/>
      <w:marLeft w:val="0"/>
      <w:marRight w:val="0"/>
      <w:marTop w:val="0"/>
      <w:marBottom w:val="0"/>
      <w:divBdr>
        <w:top w:val="none" w:sz="0" w:space="0" w:color="auto"/>
        <w:left w:val="none" w:sz="0" w:space="0" w:color="auto"/>
        <w:bottom w:val="none" w:sz="0" w:space="0" w:color="auto"/>
        <w:right w:val="none" w:sz="0" w:space="0" w:color="auto"/>
      </w:divBdr>
      <w:divsChild>
        <w:div w:id="1822885861">
          <w:marLeft w:val="0"/>
          <w:marRight w:val="0"/>
          <w:marTop w:val="0"/>
          <w:marBottom w:val="0"/>
          <w:divBdr>
            <w:top w:val="none" w:sz="0" w:space="0" w:color="auto"/>
            <w:left w:val="none" w:sz="0" w:space="0" w:color="auto"/>
            <w:bottom w:val="none" w:sz="0" w:space="0" w:color="auto"/>
            <w:right w:val="none" w:sz="0" w:space="0" w:color="auto"/>
          </w:divBdr>
          <w:divsChild>
            <w:div w:id="1259942088">
              <w:marLeft w:val="0"/>
              <w:marRight w:val="0"/>
              <w:marTop w:val="0"/>
              <w:marBottom w:val="0"/>
              <w:divBdr>
                <w:top w:val="none" w:sz="0" w:space="0" w:color="auto"/>
                <w:left w:val="none" w:sz="0" w:space="0" w:color="auto"/>
                <w:bottom w:val="none" w:sz="0" w:space="0" w:color="auto"/>
                <w:right w:val="none" w:sz="0" w:space="0" w:color="auto"/>
              </w:divBdr>
              <w:divsChild>
                <w:div w:id="1155535949">
                  <w:marLeft w:val="0"/>
                  <w:marRight w:val="0"/>
                  <w:marTop w:val="0"/>
                  <w:marBottom w:val="0"/>
                  <w:divBdr>
                    <w:top w:val="none" w:sz="0" w:space="0" w:color="auto"/>
                    <w:left w:val="none" w:sz="0" w:space="0" w:color="auto"/>
                    <w:bottom w:val="none" w:sz="0" w:space="0" w:color="auto"/>
                    <w:right w:val="none" w:sz="0" w:space="0" w:color="auto"/>
                  </w:divBdr>
                  <w:divsChild>
                    <w:div w:id="2358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903611">
      <w:bodyDiv w:val="1"/>
      <w:marLeft w:val="0"/>
      <w:marRight w:val="0"/>
      <w:marTop w:val="0"/>
      <w:marBottom w:val="0"/>
      <w:divBdr>
        <w:top w:val="none" w:sz="0" w:space="0" w:color="auto"/>
        <w:left w:val="none" w:sz="0" w:space="0" w:color="auto"/>
        <w:bottom w:val="none" w:sz="0" w:space="0" w:color="auto"/>
        <w:right w:val="none" w:sz="0" w:space="0" w:color="auto"/>
      </w:divBdr>
    </w:div>
    <w:div w:id="1579822392">
      <w:bodyDiv w:val="1"/>
      <w:marLeft w:val="0"/>
      <w:marRight w:val="0"/>
      <w:marTop w:val="0"/>
      <w:marBottom w:val="0"/>
      <w:divBdr>
        <w:top w:val="none" w:sz="0" w:space="0" w:color="auto"/>
        <w:left w:val="none" w:sz="0" w:space="0" w:color="auto"/>
        <w:bottom w:val="none" w:sz="0" w:space="0" w:color="auto"/>
        <w:right w:val="none" w:sz="0" w:space="0" w:color="auto"/>
      </w:divBdr>
      <w:divsChild>
        <w:div w:id="2026400731">
          <w:marLeft w:val="0"/>
          <w:marRight w:val="0"/>
          <w:marTop w:val="0"/>
          <w:marBottom w:val="0"/>
          <w:divBdr>
            <w:top w:val="none" w:sz="0" w:space="0" w:color="auto"/>
            <w:left w:val="none" w:sz="0" w:space="0" w:color="auto"/>
            <w:bottom w:val="none" w:sz="0" w:space="0" w:color="auto"/>
            <w:right w:val="none" w:sz="0" w:space="0" w:color="auto"/>
          </w:divBdr>
          <w:divsChild>
            <w:div w:id="456802912">
              <w:marLeft w:val="0"/>
              <w:marRight w:val="0"/>
              <w:marTop w:val="0"/>
              <w:marBottom w:val="0"/>
              <w:divBdr>
                <w:top w:val="none" w:sz="0" w:space="0" w:color="auto"/>
                <w:left w:val="none" w:sz="0" w:space="0" w:color="auto"/>
                <w:bottom w:val="none" w:sz="0" w:space="0" w:color="auto"/>
                <w:right w:val="none" w:sz="0" w:space="0" w:color="auto"/>
              </w:divBdr>
              <w:divsChild>
                <w:div w:id="18684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3312">
      <w:bodyDiv w:val="1"/>
      <w:marLeft w:val="0"/>
      <w:marRight w:val="0"/>
      <w:marTop w:val="0"/>
      <w:marBottom w:val="0"/>
      <w:divBdr>
        <w:top w:val="none" w:sz="0" w:space="0" w:color="auto"/>
        <w:left w:val="none" w:sz="0" w:space="0" w:color="auto"/>
        <w:bottom w:val="none" w:sz="0" w:space="0" w:color="auto"/>
        <w:right w:val="none" w:sz="0" w:space="0" w:color="auto"/>
      </w:divBdr>
      <w:divsChild>
        <w:div w:id="649019936">
          <w:marLeft w:val="0"/>
          <w:marRight w:val="0"/>
          <w:marTop w:val="0"/>
          <w:marBottom w:val="0"/>
          <w:divBdr>
            <w:top w:val="none" w:sz="0" w:space="0" w:color="auto"/>
            <w:left w:val="none" w:sz="0" w:space="0" w:color="auto"/>
            <w:bottom w:val="none" w:sz="0" w:space="0" w:color="auto"/>
            <w:right w:val="none" w:sz="0" w:space="0" w:color="auto"/>
          </w:divBdr>
          <w:divsChild>
            <w:div w:id="148599397">
              <w:marLeft w:val="0"/>
              <w:marRight w:val="0"/>
              <w:marTop w:val="0"/>
              <w:marBottom w:val="0"/>
              <w:divBdr>
                <w:top w:val="none" w:sz="0" w:space="0" w:color="auto"/>
                <w:left w:val="none" w:sz="0" w:space="0" w:color="auto"/>
                <w:bottom w:val="none" w:sz="0" w:space="0" w:color="auto"/>
                <w:right w:val="none" w:sz="0" w:space="0" w:color="auto"/>
              </w:divBdr>
              <w:divsChild>
                <w:div w:id="302926840">
                  <w:marLeft w:val="0"/>
                  <w:marRight w:val="0"/>
                  <w:marTop w:val="0"/>
                  <w:marBottom w:val="0"/>
                  <w:divBdr>
                    <w:top w:val="none" w:sz="0" w:space="0" w:color="auto"/>
                    <w:left w:val="none" w:sz="0" w:space="0" w:color="auto"/>
                    <w:bottom w:val="none" w:sz="0" w:space="0" w:color="auto"/>
                    <w:right w:val="none" w:sz="0" w:space="0" w:color="auto"/>
                  </w:divBdr>
                  <w:divsChild>
                    <w:div w:id="19645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02581">
      <w:bodyDiv w:val="1"/>
      <w:marLeft w:val="0"/>
      <w:marRight w:val="0"/>
      <w:marTop w:val="0"/>
      <w:marBottom w:val="0"/>
      <w:divBdr>
        <w:top w:val="none" w:sz="0" w:space="0" w:color="auto"/>
        <w:left w:val="none" w:sz="0" w:space="0" w:color="auto"/>
        <w:bottom w:val="none" w:sz="0" w:space="0" w:color="auto"/>
        <w:right w:val="none" w:sz="0" w:space="0" w:color="auto"/>
      </w:divBdr>
    </w:div>
    <w:div w:id="1595095481">
      <w:bodyDiv w:val="1"/>
      <w:marLeft w:val="0"/>
      <w:marRight w:val="0"/>
      <w:marTop w:val="0"/>
      <w:marBottom w:val="0"/>
      <w:divBdr>
        <w:top w:val="none" w:sz="0" w:space="0" w:color="auto"/>
        <w:left w:val="none" w:sz="0" w:space="0" w:color="auto"/>
        <w:bottom w:val="none" w:sz="0" w:space="0" w:color="auto"/>
        <w:right w:val="none" w:sz="0" w:space="0" w:color="auto"/>
      </w:divBdr>
      <w:divsChild>
        <w:div w:id="1085767331">
          <w:marLeft w:val="0"/>
          <w:marRight w:val="0"/>
          <w:marTop w:val="0"/>
          <w:marBottom w:val="0"/>
          <w:divBdr>
            <w:top w:val="none" w:sz="0" w:space="0" w:color="auto"/>
            <w:left w:val="none" w:sz="0" w:space="0" w:color="auto"/>
            <w:bottom w:val="none" w:sz="0" w:space="0" w:color="auto"/>
            <w:right w:val="none" w:sz="0" w:space="0" w:color="auto"/>
          </w:divBdr>
          <w:divsChild>
            <w:div w:id="1161654835">
              <w:marLeft w:val="0"/>
              <w:marRight w:val="0"/>
              <w:marTop w:val="0"/>
              <w:marBottom w:val="0"/>
              <w:divBdr>
                <w:top w:val="none" w:sz="0" w:space="0" w:color="auto"/>
                <w:left w:val="none" w:sz="0" w:space="0" w:color="auto"/>
                <w:bottom w:val="none" w:sz="0" w:space="0" w:color="auto"/>
                <w:right w:val="none" w:sz="0" w:space="0" w:color="auto"/>
              </w:divBdr>
              <w:divsChild>
                <w:div w:id="3674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55963">
      <w:bodyDiv w:val="1"/>
      <w:marLeft w:val="0"/>
      <w:marRight w:val="0"/>
      <w:marTop w:val="0"/>
      <w:marBottom w:val="0"/>
      <w:divBdr>
        <w:top w:val="none" w:sz="0" w:space="0" w:color="auto"/>
        <w:left w:val="none" w:sz="0" w:space="0" w:color="auto"/>
        <w:bottom w:val="none" w:sz="0" w:space="0" w:color="auto"/>
        <w:right w:val="none" w:sz="0" w:space="0" w:color="auto"/>
      </w:divBdr>
      <w:divsChild>
        <w:div w:id="150678263">
          <w:marLeft w:val="0"/>
          <w:marRight w:val="0"/>
          <w:marTop w:val="0"/>
          <w:marBottom w:val="0"/>
          <w:divBdr>
            <w:top w:val="none" w:sz="0" w:space="0" w:color="auto"/>
            <w:left w:val="none" w:sz="0" w:space="0" w:color="auto"/>
            <w:bottom w:val="none" w:sz="0" w:space="0" w:color="auto"/>
            <w:right w:val="none" w:sz="0" w:space="0" w:color="auto"/>
          </w:divBdr>
          <w:divsChild>
            <w:div w:id="147985500">
              <w:marLeft w:val="0"/>
              <w:marRight w:val="0"/>
              <w:marTop w:val="0"/>
              <w:marBottom w:val="0"/>
              <w:divBdr>
                <w:top w:val="none" w:sz="0" w:space="0" w:color="auto"/>
                <w:left w:val="none" w:sz="0" w:space="0" w:color="auto"/>
                <w:bottom w:val="none" w:sz="0" w:space="0" w:color="auto"/>
                <w:right w:val="none" w:sz="0" w:space="0" w:color="auto"/>
              </w:divBdr>
              <w:divsChild>
                <w:div w:id="2856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56731">
      <w:bodyDiv w:val="1"/>
      <w:marLeft w:val="0"/>
      <w:marRight w:val="0"/>
      <w:marTop w:val="0"/>
      <w:marBottom w:val="0"/>
      <w:divBdr>
        <w:top w:val="none" w:sz="0" w:space="0" w:color="auto"/>
        <w:left w:val="none" w:sz="0" w:space="0" w:color="auto"/>
        <w:bottom w:val="none" w:sz="0" w:space="0" w:color="auto"/>
        <w:right w:val="none" w:sz="0" w:space="0" w:color="auto"/>
      </w:divBdr>
    </w:div>
    <w:div w:id="1632245063">
      <w:bodyDiv w:val="1"/>
      <w:marLeft w:val="0"/>
      <w:marRight w:val="0"/>
      <w:marTop w:val="0"/>
      <w:marBottom w:val="0"/>
      <w:divBdr>
        <w:top w:val="none" w:sz="0" w:space="0" w:color="auto"/>
        <w:left w:val="none" w:sz="0" w:space="0" w:color="auto"/>
        <w:bottom w:val="none" w:sz="0" w:space="0" w:color="auto"/>
        <w:right w:val="none" w:sz="0" w:space="0" w:color="auto"/>
      </w:divBdr>
      <w:divsChild>
        <w:div w:id="182012035">
          <w:marLeft w:val="0"/>
          <w:marRight w:val="0"/>
          <w:marTop w:val="0"/>
          <w:marBottom w:val="0"/>
          <w:divBdr>
            <w:top w:val="none" w:sz="0" w:space="0" w:color="auto"/>
            <w:left w:val="none" w:sz="0" w:space="0" w:color="auto"/>
            <w:bottom w:val="none" w:sz="0" w:space="0" w:color="auto"/>
            <w:right w:val="none" w:sz="0" w:space="0" w:color="auto"/>
          </w:divBdr>
          <w:divsChild>
            <w:div w:id="1275750007">
              <w:marLeft w:val="0"/>
              <w:marRight w:val="0"/>
              <w:marTop w:val="0"/>
              <w:marBottom w:val="0"/>
              <w:divBdr>
                <w:top w:val="none" w:sz="0" w:space="0" w:color="auto"/>
                <w:left w:val="none" w:sz="0" w:space="0" w:color="auto"/>
                <w:bottom w:val="none" w:sz="0" w:space="0" w:color="auto"/>
                <w:right w:val="none" w:sz="0" w:space="0" w:color="auto"/>
              </w:divBdr>
              <w:divsChild>
                <w:div w:id="328482152">
                  <w:marLeft w:val="0"/>
                  <w:marRight w:val="0"/>
                  <w:marTop w:val="0"/>
                  <w:marBottom w:val="0"/>
                  <w:divBdr>
                    <w:top w:val="none" w:sz="0" w:space="0" w:color="auto"/>
                    <w:left w:val="none" w:sz="0" w:space="0" w:color="auto"/>
                    <w:bottom w:val="none" w:sz="0" w:space="0" w:color="auto"/>
                    <w:right w:val="none" w:sz="0" w:space="0" w:color="auto"/>
                  </w:divBdr>
                  <w:divsChild>
                    <w:div w:id="4068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138203">
      <w:bodyDiv w:val="1"/>
      <w:marLeft w:val="0"/>
      <w:marRight w:val="0"/>
      <w:marTop w:val="0"/>
      <w:marBottom w:val="0"/>
      <w:divBdr>
        <w:top w:val="none" w:sz="0" w:space="0" w:color="auto"/>
        <w:left w:val="none" w:sz="0" w:space="0" w:color="auto"/>
        <w:bottom w:val="none" w:sz="0" w:space="0" w:color="auto"/>
        <w:right w:val="none" w:sz="0" w:space="0" w:color="auto"/>
      </w:divBdr>
      <w:divsChild>
        <w:div w:id="484905294">
          <w:marLeft w:val="0"/>
          <w:marRight w:val="0"/>
          <w:marTop w:val="0"/>
          <w:marBottom w:val="0"/>
          <w:divBdr>
            <w:top w:val="none" w:sz="0" w:space="0" w:color="auto"/>
            <w:left w:val="none" w:sz="0" w:space="0" w:color="auto"/>
            <w:bottom w:val="none" w:sz="0" w:space="0" w:color="auto"/>
            <w:right w:val="none" w:sz="0" w:space="0" w:color="auto"/>
          </w:divBdr>
          <w:divsChild>
            <w:div w:id="940069414">
              <w:marLeft w:val="0"/>
              <w:marRight w:val="0"/>
              <w:marTop w:val="0"/>
              <w:marBottom w:val="0"/>
              <w:divBdr>
                <w:top w:val="none" w:sz="0" w:space="0" w:color="auto"/>
                <w:left w:val="none" w:sz="0" w:space="0" w:color="auto"/>
                <w:bottom w:val="none" w:sz="0" w:space="0" w:color="auto"/>
                <w:right w:val="none" w:sz="0" w:space="0" w:color="auto"/>
              </w:divBdr>
              <w:divsChild>
                <w:div w:id="17850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6608">
      <w:bodyDiv w:val="1"/>
      <w:marLeft w:val="0"/>
      <w:marRight w:val="0"/>
      <w:marTop w:val="0"/>
      <w:marBottom w:val="0"/>
      <w:divBdr>
        <w:top w:val="none" w:sz="0" w:space="0" w:color="auto"/>
        <w:left w:val="none" w:sz="0" w:space="0" w:color="auto"/>
        <w:bottom w:val="none" w:sz="0" w:space="0" w:color="auto"/>
        <w:right w:val="none" w:sz="0" w:space="0" w:color="auto"/>
      </w:divBdr>
    </w:div>
    <w:div w:id="1643464128">
      <w:bodyDiv w:val="1"/>
      <w:marLeft w:val="0"/>
      <w:marRight w:val="0"/>
      <w:marTop w:val="0"/>
      <w:marBottom w:val="0"/>
      <w:divBdr>
        <w:top w:val="none" w:sz="0" w:space="0" w:color="auto"/>
        <w:left w:val="none" w:sz="0" w:space="0" w:color="auto"/>
        <w:bottom w:val="none" w:sz="0" w:space="0" w:color="auto"/>
        <w:right w:val="none" w:sz="0" w:space="0" w:color="auto"/>
      </w:divBdr>
      <w:divsChild>
        <w:div w:id="124199727">
          <w:marLeft w:val="0"/>
          <w:marRight w:val="0"/>
          <w:marTop w:val="0"/>
          <w:marBottom w:val="0"/>
          <w:divBdr>
            <w:top w:val="none" w:sz="0" w:space="0" w:color="auto"/>
            <w:left w:val="none" w:sz="0" w:space="0" w:color="auto"/>
            <w:bottom w:val="none" w:sz="0" w:space="0" w:color="auto"/>
            <w:right w:val="none" w:sz="0" w:space="0" w:color="auto"/>
          </w:divBdr>
          <w:divsChild>
            <w:div w:id="330332909">
              <w:marLeft w:val="0"/>
              <w:marRight w:val="0"/>
              <w:marTop w:val="0"/>
              <w:marBottom w:val="0"/>
              <w:divBdr>
                <w:top w:val="none" w:sz="0" w:space="0" w:color="auto"/>
                <w:left w:val="none" w:sz="0" w:space="0" w:color="auto"/>
                <w:bottom w:val="none" w:sz="0" w:space="0" w:color="auto"/>
                <w:right w:val="none" w:sz="0" w:space="0" w:color="auto"/>
              </w:divBdr>
              <w:divsChild>
                <w:div w:id="1536193117">
                  <w:marLeft w:val="0"/>
                  <w:marRight w:val="0"/>
                  <w:marTop w:val="0"/>
                  <w:marBottom w:val="0"/>
                  <w:divBdr>
                    <w:top w:val="none" w:sz="0" w:space="0" w:color="auto"/>
                    <w:left w:val="none" w:sz="0" w:space="0" w:color="auto"/>
                    <w:bottom w:val="none" w:sz="0" w:space="0" w:color="auto"/>
                    <w:right w:val="none" w:sz="0" w:space="0" w:color="auto"/>
                  </w:divBdr>
                  <w:divsChild>
                    <w:div w:id="190285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09773">
      <w:bodyDiv w:val="1"/>
      <w:marLeft w:val="0"/>
      <w:marRight w:val="0"/>
      <w:marTop w:val="0"/>
      <w:marBottom w:val="0"/>
      <w:divBdr>
        <w:top w:val="none" w:sz="0" w:space="0" w:color="auto"/>
        <w:left w:val="none" w:sz="0" w:space="0" w:color="auto"/>
        <w:bottom w:val="none" w:sz="0" w:space="0" w:color="auto"/>
        <w:right w:val="none" w:sz="0" w:space="0" w:color="auto"/>
      </w:divBdr>
    </w:div>
    <w:div w:id="1658916115">
      <w:bodyDiv w:val="1"/>
      <w:marLeft w:val="0"/>
      <w:marRight w:val="0"/>
      <w:marTop w:val="0"/>
      <w:marBottom w:val="0"/>
      <w:divBdr>
        <w:top w:val="none" w:sz="0" w:space="0" w:color="auto"/>
        <w:left w:val="none" w:sz="0" w:space="0" w:color="auto"/>
        <w:bottom w:val="none" w:sz="0" w:space="0" w:color="auto"/>
        <w:right w:val="none" w:sz="0" w:space="0" w:color="auto"/>
      </w:divBdr>
    </w:div>
    <w:div w:id="1666278198">
      <w:bodyDiv w:val="1"/>
      <w:marLeft w:val="0"/>
      <w:marRight w:val="0"/>
      <w:marTop w:val="0"/>
      <w:marBottom w:val="0"/>
      <w:divBdr>
        <w:top w:val="none" w:sz="0" w:space="0" w:color="auto"/>
        <w:left w:val="none" w:sz="0" w:space="0" w:color="auto"/>
        <w:bottom w:val="none" w:sz="0" w:space="0" w:color="auto"/>
        <w:right w:val="none" w:sz="0" w:space="0" w:color="auto"/>
      </w:divBdr>
    </w:div>
    <w:div w:id="1672635873">
      <w:bodyDiv w:val="1"/>
      <w:marLeft w:val="0"/>
      <w:marRight w:val="0"/>
      <w:marTop w:val="0"/>
      <w:marBottom w:val="0"/>
      <w:divBdr>
        <w:top w:val="none" w:sz="0" w:space="0" w:color="auto"/>
        <w:left w:val="none" w:sz="0" w:space="0" w:color="auto"/>
        <w:bottom w:val="none" w:sz="0" w:space="0" w:color="auto"/>
        <w:right w:val="none" w:sz="0" w:space="0" w:color="auto"/>
      </w:divBdr>
      <w:divsChild>
        <w:div w:id="1828397705">
          <w:marLeft w:val="0"/>
          <w:marRight w:val="0"/>
          <w:marTop w:val="0"/>
          <w:marBottom w:val="0"/>
          <w:divBdr>
            <w:top w:val="none" w:sz="0" w:space="0" w:color="auto"/>
            <w:left w:val="none" w:sz="0" w:space="0" w:color="auto"/>
            <w:bottom w:val="none" w:sz="0" w:space="0" w:color="auto"/>
            <w:right w:val="none" w:sz="0" w:space="0" w:color="auto"/>
          </w:divBdr>
          <w:divsChild>
            <w:div w:id="1576042121">
              <w:marLeft w:val="0"/>
              <w:marRight w:val="0"/>
              <w:marTop w:val="0"/>
              <w:marBottom w:val="0"/>
              <w:divBdr>
                <w:top w:val="none" w:sz="0" w:space="0" w:color="auto"/>
                <w:left w:val="none" w:sz="0" w:space="0" w:color="auto"/>
                <w:bottom w:val="none" w:sz="0" w:space="0" w:color="auto"/>
                <w:right w:val="none" w:sz="0" w:space="0" w:color="auto"/>
              </w:divBdr>
              <w:divsChild>
                <w:div w:id="778063419">
                  <w:marLeft w:val="0"/>
                  <w:marRight w:val="0"/>
                  <w:marTop w:val="0"/>
                  <w:marBottom w:val="0"/>
                  <w:divBdr>
                    <w:top w:val="none" w:sz="0" w:space="0" w:color="auto"/>
                    <w:left w:val="none" w:sz="0" w:space="0" w:color="auto"/>
                    <w:bottom w:val="none" w:sz="0" w:space="0" w:color="auto"/>
                    <w:right w:val="none" w:sz="0" w:space="0" w:color="auto"/>
                  </w:divBdr>
                  <w:divsChild>
                    <w:div w:id="10213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78851">
      <w:bodyDiv w:val="1"/>
      <w:marLeft w:val="0"/>
      <w:marRight w:val="0"/>
      <w:marTop w:val="0"/>
      <w:marBottom w:val="0"/>
      <w:divBdr>
        <w:top w:val="none" w:sz="0" w:space="0" w:color="auto"/>
        <w:left w:val="none" w:sz="0" w:space="0" w:color="auto"/>
        <w:bottom w:val="none" w:sz="0" w:space="0" w:color="auto"/>
        <w:right w:val="none" w:sz="0" w:space="0" w:color="auto"/>
      </w:divBdr>
    </w:div>
    <w:div w:id="1699501189">
      <w:bodyDiv w:val="1"/>
      <w:marLeft w:val="0"/>
      <w:marRight w:val="0"/>
      <w:marTop w:val="0"/>
      <w:marBottom w:val="0"/>
      <w:divBdr>
        <w:top w:val="none" w:sz="0" w:space="0" w:color="auto"/>
        <w:left w:val="none" w:sz="0" w:space="0" w:color="auto"/>
        <w:bottom w:val="none" w:sz="0" w:space="0" w:color="auto"/>
        <w:right w:val="none" w:sz="0" w:space="0" w:color="auto"/>
      </w:divBdr>
      <w:divsChild>
        <w:div w:id="1566911524">
          <w:marLeft w:val="0"/>
          <w:marRight w:val="0"/>
          <w:marTop w:val="0"/>
          <w:marBottom w:val="0"/>
          <w:divBdr>
            <w:top w:val="none" w:sz="0" w:space="0" w:color="auto"/>
            <w:left w:val="none" w:sz="0" w:space="0" w:color="auto"/>
            <w:bottom w:val="none" w:sz="0" w:space="0" w:color="auto"/>
            <w:right w:val="none" w:sz="0" w:space="0" w:color="auto"/>
          </w:divBdr>
          <w:divsChild>
            <w:div w:id="30620632">
              <w:marLeft w:val="0"/>
              <w:marRight w:val="0"/>
              <w:marTop w:val="0"/>
              <w:marBottom w:val="0"/>
              <w:divBdr>
                <w:top w:val="none" w:sz="0" w:space="0" w:color="auto"/>
                <w:left w:val="none" w:sz="0" w:space="0" w:color="auto"/>
                <w:bottom w:val="none" w:sz="0" w:space="0" w:color="auto"/>
                <w:right w:val="none" w:sz="0" w:space="0" w:color="auto"/>
              </w:divBdr>
              <w:divsChild>
                <w:div w:id="1955014322">
                  <w:marLeft w:val="0"/>
                  <w:marRight w:val="0"/>
                  <w:marTop w:val="0"/>
                  <w:marBottom w:val="0"/>
                  <w:divBdr>
                    <w:top w:val="none" w:sz="0" w:space="0" w:color="auto"/>
                    <w:left w:val="none" w:sz="0" w:space="0" w:color="auto"/>
                    <w:bottom w:val="none" w:sz="0" w:space="0" w:color="auto"/>
                    <w:right w:val="none" w:sz="0" w:space="0" w:color="auto"/>
                  </w:divBdr>
                  <w:divsChild>
                    <w:div w:id="20797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62881">
      <w:bodyDiv w:val="1"/>
      <w:marLeft w:val="0"/>
      <w:marRight w:val="0"/>
      <w:marTop w:val="0"/>
      <w:marBottom w:val="0"/>
      <w:divBdr>
        <w:top w:val="none" w:sz="0" w:space="0" w:color="auto"/>
        <w:left w:val="none" w:sz="0" w:space="0" w:color="auto"/>
        <w:bottom w:val="none" w:sz="0" w:space="0" w:color="auto"/>
        <w:right w:val="none" w:sz="0" w:space="0" w:color="auto"/>
      </w:divBdr>
      <w:divsChild>
        <w:div w:id="1269197931">
          <w:marLeft w:val="0"/>
          <w:marRight w:val="0"/>
          <w:marTop w:val="0"/>
          <w:marBottom w:val="0"/>
          <w:divBdr>
            <w:top w:val="none" w:sz="0" w:space="0" w:color="auto"/>
            <w:left w:val="none" w:sz="0" w:space="0" w:color="auto"/>
            <w:bottom w:val="none" w:sz="0" w:space="0" w:color="auto"/>
            <w:right w:val="none" w:sz="0" w:space="0" w:color="auto"/>
          </w:divBdr>
        </w:div>
      </w:divsChild>
    </w:div>
    <w:div w:id="1710641211">
      <w:bodyDiv w:val="1"/>
      <w:marLeft w:val="0"/>
      <w:marRight w:val="0"/>
      <w:marTop w:val="0"/>
      <w:marBottom w:val="0"/>
      <w:divBdr>
        <w:top w:val="none" w:sz="0" w:space="0" w:color="auto"/>
        <w:left w:val="none" w:sz="0" w:space="0" w:color="auto"/>
        <w:bottom w:val="none" w:sz="0" w:space="0" w:color="auto"/>
        <w:right w:val="none" w:sz="0" w:space="0" w:color="auto"/>
      </w:divBdr>
      <w:divsChild>
        <w:div w:id="926426371">
          <w:marLeft w:val="0"/>
          <w:marRight w:val="0"/>
          <w:marTop w:val="0"/>
          <w:marBottom w:val="0"/>
          <w:divBdr>
            <w:top w:val="none" w:sz="0" w:space="0" w:color="auto"/>
            <w:left w:val="none" w:sz="0" w:space="0" w:color="auto"/>
            <w:bottom w:val="none" w:sz="0" w:space="0" w:color="auto"/>
            <w:right w:val="none" w:sz="0" w:space="0" w:color="auto"/>
          </w:divBdr>
          <w:divsChild>
            <w:div w:id="1432316039">
              <w:marLeft w:val="0"/>
              <w:marRight w:val="0"/>
              <w:marTop w:val="0"/>
              <w:marBottom w:val="0"/>
              <w:divBdr>
                <w:top w:val="none" w:sz="0" w:space="0" w:color="auto"/>
                <w:left w:val="none" w:sz="0" w:space="0" w:color="auto"/>
                <w:bottom w:val="none" w:sz="0" w:space="0" w:color="auto"/>
                <w:right w:val="none" w:sz="0" w:space="0" w:color="auto"/>
              </w:divBdr>
              <w:divsChild>
                <w:div w:id="20718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24800">
      <w:bodyDiv w:val="1"/>
      <w:marLeft w:val="0"/>
      <w:marRight w:val="0"/>
      <w:marTop w:val="0"/>
      <w:marBottom w:val="0"/>
      <w:divBdr>
        <w:top w:val="none" w:sz="0" w:space="0" w:color="auto"/>
        <w:left w:val="none" w:sz="0" w:space="0" w:color="auto"/>
        <w:bottom w:val="none" w:sz="0" w:space="0" w:color="auto"/>
        <w:right w:val="none" w:sz="0" w:space="0" w:color="auto"/>
      </w:divBdr>
    </w:div>
    <w:div w:id="1720663901">
      <w:bodyDiv w:val="1"/>
      <w:marLeft w:val="0"/>
      <w:marRight w:val="0"/>
      <w:marTop w:val="0"/>
      <w:marBottom w:val="0"/>
      <w:divBdr>
        <w:top w:val="none" w:sz="0" w:space="0" w:color="auto"/>
        <w:left w:val="none" w:sz="0" w:space="0" w:color="auto"/>
        <w:bottom w:val="none" w:sz="0" w:space="0" w:color="auto"/>
        <w:right w:val="none" w:sz="0" w:space="0" w:color="auto"/>
      </w:divBdr>
    </w:div>
    <w:div w:id="1730614373">
      <w:bodyDiv w:val="1"/>
      <w:marLeft w:val="0"/>
      <w:marRight w:val="0"/>
      <w:marTop w:val="0"/>
      <w:marBottom w:val="0"/>
      <w:divBdr>
        <w:top w:val="none" w:sz="0" w:space="0" w:color="auto"/>
        <w:left w:val="none" w:sz="0" w:space="0" w:color="auto"/>
        <w:bottom w:val="none" w:sz="0" w:space="0" w:color="auto"/>
        <w:right w:val="none" w:sz="0" w:space="0" w:color="auto"/>
      </w:divBdr>
    </w:div>
    <w:div w:id="1740983540">
      <w:bodyDiv w:val="1"/>
      <w:marLeft w:val="0"/>
      <w:marRight w:val="0"/>
      <w:marTop w:val="0"/>
      <w:marBottom w:val="0"/>
      <w:divBdr>
        <w:top w:val="none" w:sz="0" w:space="0" w:color="auto"/>
        <w:left w:val="none" w:sz="0" w:space="0" w:color="auto"/>
        <w:bottom w:val="none" w:sz="0" w:space="0" w:color="auto"/>
        <w:right w:val="none" w:sz="0" w:space="0" w:color="auto"/>
      </w:divBdr>
      <w:divsChild>
        <w:div w:id="500239714">
          <w:marLeft w:val="0"/>
          <w:marRight w:val="0"/>
          <w:marTop w:val="0"/>
          <w:marBottom w:val="0"/>
          <w:divBdr>
            <w:top w:val="none" w:sz="0" w:space="0" w:color="auto"/>
            <w:left w:val="none" w:sz="0" w:space="0" w:color="auto"/>
            <w:bottom w:val="none" w:sz="0" w:space="0" w:color="auto"/>
            <w:right w:val="none" w:sz="0" w:space="0" w:color="auto"/>
          </w:divBdr>
        </w:div>
      </w:divsChild>
    </w:div>
    <w:div w:id="1763408829">
      <w:bodyDiv w:val="1"/>
      <w:marLeft w:val="0"/>
      <w:marRight w:val="0"/>
      <w:marTop w:val="0"/>
      <w:marBottom w:val="0"/>
      <w:divBdr>
        <w:top w:val="none" w:sz="0" w:space="0" w:color="auto"/>
        <w:left w:val="none" w:sz="0" w:space="0" w:color="auto"/>
        <w:bottom w:val="none" w:sz="0" w:space="0" w:color="auto"/>
        <w:right w:val="none" w:sz="0" w:space="0" w:color="auto"/>
      </w:divBdr>
    </w:div>
    <w:div w:id="1769539727">
      <w:bodyDiv w:val="1"/>
      <w:marLeft w:val="0"/>
      <w:marRight w:val="0"/>
      <w:marTop w:val="0"/>
      <w:marBottom w:val="0"/>
      <w:divBdr>
        <w:top w:val="none" w:sz="0" w:space="0" w:color="auto"/>
        <w:left w:val="none" w:sz="0" w:space="0" w:color="auto"/>
        <w:bottom w:val="none" w:sz="0" w:space="0" w:color="auto"/>
        <w:right w:val="none" w:sz="0" w:space="0" w:color="auto"/>
      </w:divBdr>
      <w:divsChild>
        <w:div w:id="2105957592">
          <w:marLeft w:val="0"/>
          <w:marRight w:val="0"/>
          <w:marTop w:val="0"/>
          <w:marBottom w:val="0"/>
          <w:divBdr>
            <w:top w:val="none" w:sz="0" w:space="0" w:color="auto"/>
            <w:left w:val="none" w:sz="0" w:space="0" w:color="auto"/>
            <w:bottom w:val="none" w:sz="0" w:space="0" w:color="auto"/>
            <w:right w:val="none" w:sz="0" w:space="0" w:color="auto"/>
          </w:divBdr>
          <w:divsChild>
            <w:div w:id="1462963958">
              <w:marLeft w:val="0"/>
              <w:marRight w:val="0"/>
              <w:marTop w:val="0"/>
              <w:marBottom w:val="0"/>
              <w:divBdr>
                <w:top w:val="none" w:sz="0" w:space="0" w:color="auto"/>
                <w:left w:val="none" w:sz="0" w:space="0" w:color="auto"/>
                <w:bottom w:val="none" w:sz="0" w:space="0" w:color="auto"/>
                <w:right w:val="none" w:sz="0" w:space="0" w:color="auto"/>
              </w:divBdr>
              <w:divsChild>
                <w:div w:id="6871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13043">
      <w:bodyDiv w:val="1"/>
      <w:marLeft w:val="0"/>
      <w:marRight w:val="0"/>
      <w:marTop w:val="0"/>
      <w:marBottom w:val="0"/>
      <w:divBdr>
        <w:top w:val="none" w:sz="0" w:space="0" w:color="auto"/>
        <w:left w:val="none" w:sz="0" w:space="0" w:color="auto"/>
        <w:bottom w:val="none" w:sz="0" w:space="0" w:color="auto"/>
        <w:right w:val="none" w:sz="0" w:space="0" w:color="auto"/>
      </w:divBdr>
    </w:div>
    <w:div w:id="1774087590">
      <w:bodyDiv w:val="1"/>
      <w:marLeft w:val="0"/>
      <w:marRight w:val="0"/>
      <w:marTop w:val="0"/>
      <w:marBottom w:val="0"/>
      <w:divBdr>
        <w:top w:val="none" w:sz="0" w:space="0" w:color="auto"/>
        <w:left w:val="none" w:sz="0" w:space="0" w:color="auto"/>
        <w:bottom w:val="none" w:sz="0" w:space="0" w:color="auto"/>
        <w:right w:val="none" w:sz="0" w:space="0" w:color="auto"/>
      </w:divBdr>
    </w:div>
    <w:div w:id="1779522050">
      <w:bodyDiv w:val="1"/>
      <w:marLeft w:val="0"/>
      <w:marRight w:val="0"/>
      <w:marTop w:val="0"/>
      <w:marBottom w:val="0"/>
      <w:divBdr>
        <w:top w:val="none" w:sz="0" w:space="0" w:color="auto"/>
        <w:left w:val="none" w:sz="0" w:space="0" w:color="auto"/>
        <w:bottom w:val="none" w:sz="0" w:space="0" w:color="auto"/>
        <w:right w:val="none" w:sz="0" w:space="0" w:color="auto"/>
      </w:divBdr>
    </w:div>
    <w:div w:id="1802141057">
      <w:bodyDiv w:val="1"/>
      <w:marLeft w:val="0"/>
      <w:marRight w:val="0"/>
      <w:marTop w:val="0"/>
      <w:marBottom w:val="0"/>
      <w:divBdr>
        <w:top w:val="none" w:sz="0" w:space="0" w:color="auto"/>
        <w:left w:val="none" w:sz="0" w:space="0" w:color="auto"/>
        <w:bottom w:val="none" w:sz="0" w:space="0" w:color="auto"/>
        <w:right w:val="none" w:sz="0" w:space="0" w:color="auto"/>
      </w:divBdr>
    </w:div>
    <w:div w:id="1802840502">
      <w:bodyDiv w:val="1"/>
      <w:marLeft w:val="0"/>
      <w:marRight w:val="0"/>
      <w:marTop w:val="0"/>
      <w:marBottom w:val="0"/>
      <w:divBdr>
        <w:top w:val="none" w:sz="0" w:space="0" w:color="auto"/>
        <w:left w:val="none" w:sz="0" w:space="0" w:color="auto"/>
        <w:bottom w:val="none" w:sz="0" w:space="0" w:color="auto"/>
        <w:right w:val="none" w:sz="0" w:space="0" w:color="auto"/>
      </w:divBdr>
      <w:divsChild>
        <w:div w:id="1248535964">
          <w:marLeft w:val="0"/>
          <w:marRight w:val="0"/>
          <w:marTop w:val="0"/>
          <w:marBottom w:val="0"/>
          <w:divBdr>
            <w:top w:val="none" w:sz="0" w:space="0" w:color="auto"/>
            <w:left w:val="none" w:sz="0" w:space="0" w:color="auto"/>
            <w:bottom w:val="none" w:sz="0" w:space="0" w:color="auto"/>
            <w:right w:val="none" w:sz="0" w:space="0" w:color="auto"/>
          </w:divBdr>
          <w:divsChild>
            <w:div w:id="1053776968">
              <w:marLeft w:val="0"/>
              <w:marRight w:val="0"/>
              <w:marTop w:val="0"/>
              <w:marBottom w:val="0"/>
              <w:divBdr>
                <w:top w:val="none" w:sz="0" w:space="0" w:color="auto"/>
                <w:left w:val="none" w:sz="0" w:space="0" w:color="auto"/>
                <w:bottom w:val="none" w:sz="0" w:space="0" w:color="auto"/>
                <w:right w:val="none" w:sz="0" w:space="0" w:color="auto"/>
              </w:divBdr>
              <w:divsChild>
                <w:div w:id="11689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7164">
      <w:bodyDiv w:val="1"/>
      <w:marLeft w:val="0"/>
      <w:marRight w:val="0"/>
      <w:marTop w:val="0"/>
      <w:marBottom w:val="0"/>
      <w:divBdr>
        <w:top w:val="none" w:sz="0" w:space="0" w:color="auto"/>
        <w:left w:val="none" w:sz="0" w:space="0" w:color="auto"/>
        <w:bottom w:val="none" w:sz="0" w:space="0" w:color="auto"/>
        <w:right w:val="none" w:sz="0" w:space="0" w:color="auto"/>
      </w:divBdr>
      <w:divsChild>
        <w:div w:id="1015234013">
          <w:marLeft w:val="0"/>
          <w:marRight w:val="0"/>
          <w:marTop w:val="0"/>
          <w:marBottom w:val="0"/>
          <w:divBdr>
            <w:top w:val="none" w:sz="0" w:space="0" w:color="auto"/>
            <w:left w:val="none" w:sz="0" w:space="0" w:color="auto"/>
            <w:bottom w:val="none" w:sz="0" w:space="0" w:color="auto"/>
            <w:right w:val="none" w:sz="0" w:space="0" w:color="auto"/>
          </w:divBdr>
          <w:divsChild>
            <w:div w:id="1288972926">
              <w:marLeft w:val="0"/>
              <w:marRight w:val="0"/>
              <w:marTop w:val="0"/>
              <w:marBottom w:val="0"/>
              <w:divBdr>
                <w:top w:val="none" w:sz="0" w:space="0" w:color="auto"/>
                <w:left w:val="none" w:sz="0" w:space="0" w:color="auto"/>
                <w:bottom w:val="none" w:sz="0" w:space="0" w:color="auto"/>
                <w:right w:val="none" w:sz="0" w:space="0" w:color="auto"/>
              </w:divBdr>
              <w:divsChild>
                <w:div w:id="2082168644">
                  <w:marLeft w:val="0"/>
                  <w:marRight w:val="0"/>
                  <w:marTop w:val="0"/>
                  <w:marBottom w:val="0"/>
                  <w:divBdr>
                    <w:top w:val="none" w:sz="0" w:space="0" w:color="auto"/>
                    <w:left w:val="none" w:sz="0" w:space="0" w:color="auto"/>
                    <w:bottom w:val="none" w:sz="0" w:space="0" w:color="auto"/>
                    <w:right w:val="none" w:sz="0" w:space="0" w:color="auto"/>
                  </w:divBdr>
                  <w:divsChild>
                    <w:div w:id="11135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99245">
      <w:bodyDiv w:val="1"/>
      <w:marLeft w:val="0"/>
      <w:marRight w:val="0"/>
      <w:marTop w:val="0"/>
      <w:marBottom w:val="0"/>
      <w:divBdr>
        <w:top w:val="none" w:sz="0" w:space="0" w:color="auto"/>
        <w:left w:val="none" w:sz="0" w:space="0" w:color="auto"/>
        <w:bottom w:val="none" w:sz="0" w:space="0" w:color="auto"/>
        <w:right w:val="none" w:sz="0" w:space="0" w:color="auto"/>
      </w:divBdr>
      <w:divsChild>
        <w:div w:id="958344018">
          <w:marLeft w:val="0"/>
          <w:marRight w:val="0"/>
          <w:marTop w:val="0"/>
          <w:marBottom w:val="0"/>
          <w:divBdr>
            <w:top w:val="none" w:sz="0" w:space="0" w:color="auto"/>
            <w:left w:val="none" w:sz="0" w:space="0" w:color="auto"/>
            <w:bottom w:val="none" w:sz="0" w:space="0" w:color="auto"/>
            <w:right w:val="none" w:sz="0" w:space="0" w:color="auto"/>
          </w:divBdr>
          <w:divsChild>
            <w:div w:id="147602034">
              <w:marLeft w:val="0"/>
              <w:marRight w:val="0"/>
              <w:marTop w:val="0"/>
              <w:marBottom w:val="0"/>
              <w:divBdr>
                <w:top w:val="none" w:sz="0" w:space="0" w:color="auto"/>
                <w:left w:val="none" w:sz="0" w:space="0" w:color="auto"/>
                <w:bottom w:val="none" w:sz="0" w:space="0" w:color="auto"/>
                <w:right w:val="none" w:sz="0" w:space="0" w:color="auto"/>
              </w:divBdr>
              <w:divsChild>
                <w:div w:id="12345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4972">
      <w:bodyDiv w:val="1"/>
      <w:marLeft w:val="0"/>
      <w:marRight w:val="0"/>
      <w:marTop w:val="0"/>
      <w:marBottom w:val="0"/>
      <w:divBdr>
        <w:top w:val="none" w:sz="0" w:space="0" w:color="auto"/>
        <w:left w:val="none" w:sz="0" w:space="0" w:color="auto"/>
        <w:bottom w:val="none" w:sz="0" w:space="0" w:color="auto"/>
        <w:right w:val="none" w:sz="0" w:space="0" w:color="auto"/>
      </w:divBdr>
      <w:divsChild>
        <w:div w:id="1865363429">
          <w:marLeft w:val="0"/>
          <w:marRight w:val="0"/>
          <w:marTop w:val="0"/>
          <w:marBottom w:val="0"/>
          <w:divBdr>
            <w:top w:val="none" w:sz="0" w:space="0" w:color="auto"/>
            <w:left w:val="none" w:sz="0" w:space="0" w:color="auto"/>
            <w:bottom w:val="none" w:sz="0" w:space="0" w:color="auto"/>
            <w:right w:val="none" w:sz="0" w:space="0" w:color="auto"/>
          </w:divBdr>
          <w:divsChild>
            <w:div w:id="409428892">
              <w:marLeft w:val="0"/>
              <w:marRight w:val="0"/>
              <w:marTop w:val="0"/>
              <w:marBottom w:val="0"/>
              <w:divBdr>
                <w:top w:val="none" w:sz="0" w:space="0" w:color="auto"/>
                <w:left w:val="none" w:sz="0" w:space="0" w:color="auto"/>
                <w:bottom w:val="none" w:sz="0" w:space="0" w:color="auto"/>
                <w:right w:val="none" w:sz="0" w:space="0" w:color="auto"/>
              </w:divBdr>
              <w:divsChild>
                <w:div w:id="11018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99248">
      <w:bodyDiv w:val="1"/>
      <w:marLeft w:val="0"/>
      <w:marRight w:val="0"/>
      <w:marTop w:val="0"/>
      <w:marBottom w:val="0"/>
      <w:divBdr>
        <w:top w:val="none" w:sz="0" w:space="0" w:color="auto"/>
        <w:left w:val="none" w:sz="0" w:space="0" w:color="auto"/>
        <w:bottom w:val="none" w:sz="0" w:space="0" w:color="auto"/>
        <w:right w:val="none" w:sz="0" w:space="0" w:color="auto"/>
      </w:divBdr>
    </w:div>
    <w:div w:id="1846900076">
      <w:bodyDiv w:val="1"/>
      <w:marLeft w:val="0"/>
      <w:marRight w:val="0"/>
      <w:marTop w:val="0"/>
      <w:marBottom w:val="0"/>
      <w:divBdr>
        <w:top w:val="none" w:sz="0" w:space="0" w:color="auto"/>
        <w:left w:val="none" w:sz="0" w:space="0" w:color="auto"/>
        <w:bottom w:val="none" w:sz="0" w:space="0" w:color="auto"/>
        <w:right w:val="none" w:sz="0" w:space="0" w:color="auto"/>
      </w:divBdr>
    </w:div>
    <w:div w:id="1850899795">
      <w:bodyDiv w:val="1"/>
      <w:marLeft w:val="0"/>
      <w:marRight w:val="0"/>
      <w:marTop w:val="0"/>
      <w:marBottom w:val="0"/>
      <w:divBdr>
        <w:top w:val="none" w:sz="0" w:space="0" w:color="auto"/>
        <w:left w:val="none" w:sz="0" w:space="0" w:color="auto"/>
        <w:bottom w:val="none" w:sz="0" w:space="0" w:color="auto"/>
        <w:right w:val="none" w:sz="0" w:space="0" w:color="auto"/>
      </w:divBdr>
    </w:div>
    <w:div w:id="1856767235">
      <w:bodyDiv w:val="1"/>
      <w:marLeft w:val="0"/>
      <w:marRight w:val="0"/>
      <w:marTop w:val="0"/>
      <w:marBottom w:val="0"/>
      <w:divBdr>
        <w:top w:val="none" w:sz="0" w:space="0" w:color="auto"/>
        <w:left w:val="none" w:sz="0" w:space="0" w:color="auto"/>
        <w:bottom w:val="none" w:sz="0" w:space="0" w:color="auto"/>
        <w:right w:val="none" w:sz="0" w:space="0" w:color="auto"/>
      </w:divBdr>
    </w:div>
    <w:div w:id="1866670504">
      <w:bodyDiv w:val="1"/>
      <w:marLeft w:val="0"/>
      <w:marRight w:val="0"/>
      <w:marTop w:val="0"/>
      <w:marBottom w:val="0"/>
      <w:divBdr>
        <w:top w:val="none" w:sz="0" w:space="0" w:color="auto"/>
        <w:left w:val="none" w:sz="0" w:space="0" w:color="auto"/>
        <w:bottom w:val="none" w:sz="0" w:space="0" w:color="auto"/>
        <w:right w:val="none" w:sz="0" w:space="0" w:color="auto"/>
      </w:divBdr>
      <w:divsChild>
        <w:div w:id="1477061925">
          <w:marLeft w:val="0"/>
          <w:marRight w:val="0"/>
          <w:marTop w:val="0"/>
          <w:marBottom w:val="0"/>
          <w:divBdr>
            <w:top w:val="none" w:sz="0" w:space="0" w:color="auto"/>
            <w:left w:val="none" w:sz="0" w:space="0" w:color="auto"/>
            <w:bottom w:val="none" w:sz="0" w:space="0" w:color="auto"/>
            <w:right w:val="none" w:sz="0" w:space="0" w:color="auto"/>
          </w:divBdr>
          <w:divsChild>
            <w:div w:id="1185899492">
              <w:marLeft w:val="0"/>
              <w:marRight w:val="0"/>
              <w:marTop w:val="0"/>
              <w:marBottom w:val="0"/>
              <w:divBdr>
                <w:top w:val="none" w:sz="0" w:space="0" w:color="auto"/>
                <w:left w:val="none" w:sz="0" w:space="0" w:color="auto"/>
                <w:bottom w:val="none" w:sz="0" w:space="0" w:color="auto"/>
                <w:right w:val="none" w:sz="0" w:space="0" w:color="auto"/>
              </w:divBdr>
              <w:divsChild>
                <w:div w:id="1430083919">
                  <w:marLeft w:val="0"/>
                  <w:marRight w:val="0"/>
                  <w:marTop w:val="0"/>
                  <w:marBottom w:val="0"/>
                  <w:divBdr>
                    <w:top w:val="none" w:sz="0" w:space="0" w:color="auto"/>
                    <w:left w:val="none" w:sz="0" w:space="0" w:color="auto"/>
                    <w:bottom w:val="none" w:sz="0" w:space="0" w:color="auto"/>
                    <w:right w:val="none" w:sz="0" w:space="0" w:color="auto"/>
                  </w:divBdr>
                  <w:divsChild>
                    <w:div w:id="17035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83019">
      <w:bodyDiv w:val="1"/>
      <w:marLeft w:val="0"/>
      <w:marRight w:val="0"/>
      <w:marTop w:val="0"/>
      <w:marBottom w:val="0"/>
      <w:divBdr>
        <w:top w:val="none" w:sz="0" w:space="0" w:color="auto"/>
        <w:left w:val="none" w:sz="0" w:space="0" w:color="auto"/>
        <w:bottom w:val="none" w:sz="0" w:space="0" w:color="auto"/>
        <w:right w:val="none" w:sz="0" w:space="0" w:color="auto"/>
      </w:divBdr>
    </w:div>
    <w:div w:id="1888642232">
      <w:bodyDiv w:val="1"/>
      <w:marLeft w:val="0"/>
      <w:marRight w:val="0"/>
      <w:marTop w:val="0"/>
      <w:marBottom w:val="0"/>
      <w:divBdr>
        <w:top w:val="none" w:sz="0" w:space="0" w:color="auto"/>
        <w:left w:val="none" w:sz="0" w:space="0" w:color="auto"/>
        <w:bottom w:val="none" w:sz="0" w:space="0" w:color="auto"/>
        <w:right w:val="none" w:sz="0" w:space="0" w:color="auto"/>
      </w:divBdr>
    </w:div>
    <w:div w:id="1900094636">
      <w:bodyDiv w:val="1"/>
      <w:marLeft w:val="0"/>
      <w:marRight w:val="0"/>
      <w:marTop w:val="0"/>
      <w:marBottom w:val="0"/>
      <w:divBdr>
        <w:top w:val="none" w:sz="0" w:space="0" w:color="auto"/>
        <w:left w:val="none" w:sz="0" w:space="0" w:color="auto"/>
        <w:bottom w:val="none" w:sz="0" w:space="0" w:color="auto"/>
        <w:right w:val="none" w:sz="0" w:space="0" w:color="auto"/>
      </w:divBdr>
    </w:div>
    <w:div w:id="1900898601">
      <w:bodyDiv w:val="1"/>
      <w:marLeft w:val="0"/>
      <w:marRight w:val="0"/>
      <w:marTop w:val="0"/>
      <w:marBottom w:val="0"/>
      <w:divBdr>
        <w:top w:val="none" w:sz="0" w:space="0" w:color="auto"/>
        <w:left w:val="none" w:sz="0" w:space="0" w:color="auto"/>
        <w:bottom w:val="none" w:sz="0" w:space="0" w:color="auto"/>
        <w:right w:val="none" w:sz="0" w:space="0" w:color="auto"/>
      </w:divBdr>
    </w:div>
    <w:div w:id="1905483167">
      <w:bodyDiv w:val="1"/>
      <w:marLeft w:val="0"/>
      <w:marRight w:val="0"/>
      <w:marTop w:val="0"/>
      <w:marBottom w:val="0"/>
      <w:divBdr>
        <w:top w:val="none" w:sz="0" w:space="0" w:color="auto"/>
        <w:left w:val="none" w:sz="0" w:space="0" w:color="auto"/>
        <w:bottom w:val="none" w:sz="0" w:space="0" w:color="auto"/>
        <w:right w:val="none" w:sz="0" w:space="0" w:color="auto"/>
      </w:divBdr>
    </w:div>
    <w:div w:id="1909487884">
      <w:bodyDiv w:val="1"/>
      <w:marLeft w:val="0"/>
      <w:marRight w:val="0"/>
      <w:marTop w:val="0"/>
      <w:marBottom w:val="0"/>
      <w:divBdr>
        <w:top w:val="none" w:sz="0" w:space="0" w:color="auto"/>
        <w:left w:val="none" w:sz="0" w:space="0" w:color="auto"/>
        <w:bottom w:val="none" w:sz="0" w:space="0" w:color="auto"/>
        <w:right w:val="none" w:sz="0" w:space="0" w:color="auto"/>
      </w:divBdr>
    </w:div>
    <w:div w:id="1933857388">
      <w:bodyDiv w:val="1"/>
      <w:marLeft w:val="0"/>
      <w:marRight w:val="0"/>
      <w:marTop w:val="0"/>
      <w:marBottom w:val="0"/>
      <w:divBdr>
        <w:top w:val="none" w:sz="0" w:space="0" w:color="auto"/>
        <w:left w:val="none" w:sz="0" w:space="0" w:color="auto"/>
        <w:bottom w:val="none" w:sz="0" w:space="0" w:color="auto"/>
        <w:right w:val="none" w:sz="0" w:space="0" w:color="auto"/>
      </w:divBdr>
    </w:div>
    <w:div w:id="1942758829">
      <w:bodyDiv w:val="1"/>
      <w:marLeft w:val="0"/>
      <w:marRight w:val="0"/>
      <w:marTop w:val="0"/>
      <w:marBottom w:val="0"/>
      <w:divBdr>
        <w:top w:val="none" w:sz="0" w:space="0" w:color="auto"/>
        <w:left w:val="none" w:sz="0" w:space="0" w:color="auto"/>
        <w:bottom w:val="none" w:sz="0" w:space="0" w:color="auto"/>
        <w:right w:val="none" w:sz="0" w:space="0" w:color="auto"/>
      </w:divBdr>
    </w:div>
    <w:div w:id="1956129858">
      <w:bodyDiv w:val="1"/>
      <w:marLeft w:val="0"/>
      <w:marRight w:val="0"/>
      <w:marTop w:val="0"/>
      <w:marBottom w:val="0"/>
      <w:divBdr>
        <w:top w:val="none" w:sz="0" w:space="0" w:color="auto"/>
        <w:left w:val="none" w:sz="0" w:space="0" w:color="auto"/>
        <w:bottom w:val="none" w:sz="0" w:space="0" w:color="auto"/>
        <w:right w:val="none" w:sz="0" w:space="0" w:color="auto"/>
      </w:divBdr>
    </w:div>
    <w:div w:id="1975788306">
      <w:bodyDiv w:val="1"/>
      <w:marLeft w:val="0"/>
      <w:marRight w:val="0"/>
      <w:marTop w:val="0"/>
      <w:marBottom w:val="0"/>
      <w:divBdr>
        <w:top w:val="none" w:sz="0" w:space="0" w:color="auto"/>
        <w:left w:val="none" w:sz="0" w:space="0" w:color="auto"/>
        <w:bottom w:val="none" w:sz="0" w:space="0" w:color="auto"/>
        <w:right w:val="none" w:sz="0" w:space="0" w:color="auto"/>
      </w:divBdr>
    </w:div>
    <w:div w:id="1988394270">
      <w:bodyDiv w:val="1"/>
      <w:marLeft w:val="0"/>
      <w:marRight w:val="0"/>
      <w:marTop w:val="0"/>
      <w:marBottom w:val="0"/>
      <w:divBdr>
        <w:top w:val="none" w:sz="0" w:space="0" w:color="auto"/>
        <w:left w:val="none" w:sz="0" w:space="0" w:color="auto"/>
        <w:bottom w:val="none" w:sz="0" w:space="0" w:color="auto"/>
        <w:right w:val="none" w:sz="0" w:space="0" w:color="auto"/>
      </w:divBdr>
      <w:divsChild>
        <w:div w:id="1002244240">
          <w:marLeft w:val="0"/>
          <w:marRight w:val="0"/>
          <w:marTop w:val="0"/>
          <w:marBottom w:val="0"/>
          <w:divBdr>
            <w:top w:val="none" w:sz="0" w:space="0" w:color="auto"/>
            <w:left w:val="none" w:sz="0" w:space="0" w:color="auto"/>
            <w:bottom w:val="none" w:sz="0" w:space="0" w:color="auto"/>
            <w:right w:val="none" w:sz="0" w:space="0" w:color="auto"/>
          </w:divBdr>
          <w:divsChild>
            <w:div w:id="1550845730">
              <w:marLeft w:val="0"/>
              <w:marRight w:val="0"/>
              <w:marTop w:val="0"/>
              <w:marBottom w:val="0"/>
              <w:divBdr>
                <w:top w:val="none" w:sz="0" w:space="0" w:color="auto"/>
                <w:left w:val="none" w:sz="0" w:space="0" w:color="auto"/>
                <w:bottom w:val="none" w:sz="0" w:space="0" w:color="auto"/>
                <w:right w:val="none" w:sz="0" w:space="0" w:color="auto"/>
              </w:divBdr>
              <w:divsChild>
                <w:div w:id="1342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3222">
      <w:bodyDiv w:val="1"/>
      <w:marLeft w:val="0"/>
      <w:marRight w:val="0"/>
      <w:marTop w:val="0"/>
      <w:marBottom w:val="0"/>
      <w:divBdr>
        <w:top w:val="none" w:sz="0" w:space="0" w:color="auto"/>
        <w:left w:val="none" w:sz="0" w:space="0" w:color="auto"/>
        <w:bottom w:val="none" w:sz="0" w:space="0" w:color="auto"/>
        <w:right w:val="none" w:sz="0" w:space="0" w:color="auto"/>
      </w:divBdr>
      <w:divsChild>
        <w:div w:id="1529559140">
          <w:marLeft w:val="0"/>
          <w:marRight w:val="0"/>
          <w:marTop w:val="0"/>
          <w:marBottom w:val="0"/>
          <w:divBdr>
            <w:top w:val="none" w:sz="0" w:space="0" w:color="auto"/>
            <w:left w:val="none" w:sz="0" w:space="0" w:color="auto"/>
            <w:bottom w:val="none" w:sz="0" w:space="0" w:color="auto"/>
            <w:right w:val="none" w:sz="0" w:space="0" w:color="auto"/>
          </w:divBdr>
          <w:divsChild>
            <w:div w:id="795224559">
              <w:marLeft w:val="0"/>
              <w:marRight w:val="0"/>
              <w:marTop w:val="0"/>
              <w:marBottom w:val="0"/>
              <w:divBdr>
                <w:top w:val="none" w:sz="0" w:space="0" w:color="auto"/>
                <w:left w:val="none" w:sz="0" w:space="0" w:color="auto"/>
                <w:bottom w:val="none" w:sz="0" w:space="0" w:color="auto"/>
                <w:right w:val="none" w:sz="0" w:space="0" w:color="auto"/>
              </w:divBdr>
              <w:divsChild>
                <w:div w:id="7592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957520">
      <w:bodyDiv w:val="1"/>
      <w:marLeft w:val="0"/>
      <w:marRight w:val="0"/>
      <w:marTop w:val="0"/>
      <w:marBottom w:val="0"/>
      <w:divBdr>
        <w:top w:val="none" w:sz="0" w:space="0" w:color="auto"/>
        <w:left w:val="none" w:sz="0" w:space="0" w:color="auto"/>
        <w:bottom w:val="none" w:sz="0" w:space="0" w:color="auto"/>
        <w:right w:val="none" w:sz="0" w:space="0" w:color="auto"/>
      </w:divBdr>
    </w:div>
    <w:div w:id="1999991593">
      <w:bodyDiv w:val="1"/>
      <w:marLeft w:val="0"/>
      <w:marRight w:val="0"/>
      <w:marTop w:val="0"/>
      <w:marBottom w:val="0"/>
      <w:divBdr>
        <w:top w:val="none" w:sz="0" w:space="0" w:color="auto"/>
        <w:left w:val="none" w:sz="0" w:space="0" w:color="auto"/>
        <w:bottom w:val="none" w:sz="0" w:space="0" w:color="auto"/>
        <w:right w:val="none" w:sz="0" w:space="0" w:color="auto"/>
      </w:divBdr>
      <w:divsChild>
        <w:div w:id="1038239208">
          <w:marLeft w:val="0"/>
          <w:marRight w:val="0"/>
          <w:marTop w:val="0"/>
          <w:marBottom w:val="0"/>
          <w:divBdr>
            <w:top w:val="none" w:sz="0" w:space="0" w:color="auto"/>
            <w:left w:val="none" w:sz="0" w:space="0" w:color="auto"/>
            <w:bottom w:val="none" w:sz="0" w:space="0" w:color="auto"/>
            <w:right w:val="none" w:sz="0" w:space="0" w:color="auto"/>
          </w:divBdr>
          <w:divsChild>
            <w:div w:id="947082561">
              <w:marLeft w:val="0"/>
              <w:marRight w:val="0"/>
              <w:marTop w:val="0"/>
              <w:marBottom w:val="0"/>
              <w:divBdr>
                <w:top w:val="none" w:sz="0" w:space="0" w:color="auto"/>
                <w:left w:val="none" w:sz="0" w:space="0" w:color="auto"/>
                <w:bottom w:val="none" w:sz="0" w:space="0" w:color="auto"/>
                <w:right w:val="none" w:sz="0" w:space="0" w:color="auto"/>
              </w:divBdr>
              <w:divsChild>
                <w:div w:id="19664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22290">
      <w:bodyDiv w:val="1"/>
      <w:marLeft w:val="0"/>
      <w:marRight w:val="0"/>
      <w:marTop w:val="0"/>
      <w:marBottom w:val="0"/>
      <w:divBdr>
        <w:top w:val="none" w:sz="0" w:space="0" w:color="auto"/>
        <w:left w:val="none" w:sz="0" w:space="0" w:color="auto"/>
        <w:bottom w:val="none" w:sz="0" w:space="0" w:color="auto"/>
        <w:right w:val="none" w:sz="0" w:space="0" w:color="auto"/>
      </w:divBdr>
    </w:div>
    <w:div w:id="2015449907">
      <w:bodyDiv w:val="1"/>
      <w:marLeft w:val="0"/>
      <w:marRight w:val="0"/>
      <w:marTop w:val="0"/>
      <w:marBottom w:val="0"/>
      <w:divBdr>
        <w:top w:val="none" w:sz="0" w:space="0" w:color="auto"/>
        <w:left w:val="none" w:sz="0" w:space="0" w:color="auto"/>
        <w:bottom w:val="none" w:sz="0" w:space="0" w:color="auto"/>
        <w:right w:val="none" w:sz="0" w:space="0" w:color="auto"/>
      </w:divBdr>
    </w:div>
    <w:div w:id="2016958718">
      <w:bodyDiv w:val="1"/>
      <w:marLeft w:val="0"/>
      <w:marRight w:val="0"/>
      <w:marTop w:val="0"/>
      <w:marBottom w:val="0"/>
      <w:divBdr>
        <w:top w:val="none" w:sz="0" w:space="0" w:color="auto"/>
        <w:left w:val="none" w:sz="0" w:space="0" w:color="auto"/>
        <w:bottom w:val="none" w:sz="0" w:space="0" w:color="auto"/>
        <w:right w:val="none" w:sz="0" w:space="0" w:color="auto"/>
      </w:divBdr>
    </w:div>
    <w:div w:id="2024161466">
      <w:bodyDiv w:val="1"/>
      <w:marLeft w:val="0"/>
      <w:marRight w:val="0"/>
      <w:marTop w:val="0"/>
      <w:marBottom w:val="0"/>
      <w:divBdr>
        <w:top w:val="none" w:sz="0" w:space="0" w:color="auto"/>
        <w:left w:val="none" w:sz="0" w:space="0" w:color="auto"/>
        <w:bottom w:val="none" w:sz="0" w:space="0" w:color="auto"/>
        <w:right w:val="none" w:sz="0" w:space="0" w:color="auto"/>
      </w:divBdr>
    </w:div>
    <w:div w:id="2034458986">
      <w:bodyDiv w:val="1"/>
      <w:marLeft w:val="0"/>
      <w:marRight w:val="0"/>
      <w:marTop w:val="0"/>
      <w:marBottom w:val="0"/>
      <w:divBdr>
        <w:top w:val="none" w:sz="0" w:space="0" w:color="auto"/>
        <w:left w:val="none" w:sz="0" w:space="0" w:color="auto"/>
        <w:bottom w:val="none" w:sz="0" w:space="0" w:color="auto"/>
        <w:right w:val="none" w:sz="0" w:space="0" w:color="auto"/>
      </w:divBdr>
      <w:divsChild>
        <w:div w:id="316617771">
          <w:marLeft w:val="0"/>
          <w:marRight w:val="0"/>
          <w:marTop w:val="0"/>
          <w:marBottom w:val="0"/>
          <w:divBdr>
            <w:top w:val="none" w:sz="0" w:space="0" w:color="auto"/>
            <w:left w:val="none" w:sz="0" w:space="0" w:color="auto"/>
            <w:bottom w:val="none" w:sz="0" w:space="0" w:color="auto"/>
            <w:right w:val="none" w:sz="0" w:space="0" w:color="auto"/>
          </w:divBdr>
          <w:divsChild>
            <w:div w:id="1559630846">
              <w:marLeft w:val="0"/>
              <w:marRight w:val="0"/>
              <w:marTop w:val="0"/>
              <w:marBottom w:val="0"/>
              <w:divBdr>
                <w:top w:val="none" w:sz="0" w:space="0" w:color="auto"/>
                <w:left w:val="none" w:sz="0" w:space="0" w:color="auto"/>
                <w:bottom w:val="none" w:sz="0" w:space="0" w:color="auto"/>
                <w:right w:val="none" w:sz="0" w:space="0" w:color="auto"/>
              </w:divBdr>
              <w:divsChild>
                <w:div w:id="16295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4387">
      <w:bodyDiv w:val="1"/>
      <w:marLeft w:val="0"/>
      <w:marRight w:val="0"/>
      <w:marTop w:val="0"/>
      <w:marBottom w:val="0"/>
      <w:divBdr>
        <w:top w:val="none" w:sz="0" w:space="0" w:color="auto"/>
        <w:left w:val="none" w:sz="0" w:space="0" w:color="auto"/>
        <w:bottom w:val="none" w:sz="0" w:space="0" w:color="auto"/>
        <w:right w:val="none" w:sz="0" w:space="0" w:color="auto"/>
      </w:divBdr>
      <w:divsChild>
        <w:div w:id="1691566688">
          <w:marLeft w:val="0"/>
          <w:marRight w:val="0"/>
          <w:marTop w:val="0"/>
          <w:marBottom w:val="0"/>
          <w:divBdr>
            <w:top w:val="none" w:sz="0" w:space="0" w:color="auto"/>
            <w:left w:val="none" w:sz="0" w:space="0" w:color="auto"/>
            <w:bottom w:val="none" w:sz="0" w:space="0" w:color="auto"/>
            <w:right w:val="none" w:sz="0" w:space="0" w:color="auto"/>
          </w:divBdr>
          <w:divsChild>
            <w:div w:id="211891603">
              <w:marLeft w:val="0"/>
              <w:marRight w:val="0"/>
              <w:marTop w:val="0"/>
              <w:marBottom w:val="0"/>
              <w:divBdr>
                <w:top w:val="none" w:sz="0" w:space="0" w:color="auto"/>
                <w:left w:val="none" w:sz="0" w:space="0" w:color="auto"/>
                <w:bottom w:val="none" w:sz="0" w:space="0" w:color="auto"/>
                <w:right w:val="none" w:sz="0" w:space="0" w:color="auto"/>
              </w:divBdr>
              <w:divsChild>
                <w:div w:id="1203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51380">
      <w:bodyDiv w:val="1"/>
      <w:marLeft w:val="0"/>
      <w:marRight w:val="0"/>
      <w:marTop w:val="0"/>
      <w:marBottom w:val="0"/>
      <w:divBdr>
        <w:top w:val="none" w:sz="0" w:space="0" w:color="auto"/>
        <w:left w:val="none" w:sz="0" w:space="0" w:color="auto"/>
        <w:bottom w:val="none" w:sz="0" w:space="0" w:color="auto"/>
        <w:right w:val="none" w:sz="0" w:space="0" w:color="auto"/>
      </w:divBdr>
      <w:divsChild>
        <w:div w:id="23335153">
          <w:marLeft w:val="0"/>
          <w:marRight w:val="0"/>
          <w:marTop w:val="0"/>
          <w:marBottom w:val="0"/>
          <w:divBdr>
            <w:top w:val="none" w:sz="0" w:space="0" w:color="auto"/>
            <w:left w:val="none" w:sz="0" w:space="0" w:color="auto"/>
            <w:bottom w:val="none" w:sz="0" w:space="0" w:color="auto"/>
            <w:right w:val="none" w:sz="0" w:space="0" w:color="auto"/>
          </w:divBdr>
          <w:divsChild>
            <w:div w:id="331953139">
              <w:marLeft w:val="0"/>
              <w:marRight w:val="0"/>
              <w:marTop w:val="0"/>
              <w:marBottom w:val="0"/>
              <w:divBdr>
                <w:top w:val="none" w:sz="0" w:space="0" w:color="auto"/>
                <w:left w:val="none" w:sz="0" w:space="0" w:color="auto"/>
                <w:bottom w:val="none" w:sz="0" w:space="0" w:color="auto"/>
                <w:right w:val="none" w:sz="0" w:space="0" w:color="auto"/>
              </w:divBdr>
              <w:divsChild>
                <w:div w:id="9452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72376">
      <w:bodyDiv w:val="1"/>
      <w:marLeft w:val="0"/>
      <w:marRight w:val="0"/>
      <w:marTop w:val="0"/>
      <w:marBottom w:val="0"/>
      <w:divBdr>
        <w:top w:val="none" w:sz="0" w:space="0" w:color="auto"/>
        <w:left w:val="none" w:sz="0" w:space="0" w:color="auto"/>
        <w:bottom w:val="none" w:sz="0" w:space="0" w:color="auto"/>
        <w:right w:val="none" w:sz="0" w:space="0" w:color="auto"/>
      </w:divBdr>
    </w:div>
    <w:div w:id="2063097489">
      <w:bodyDiv w:val="1"/>
      <w:marLeft w:val="0"/>
      <w:marRight w:val="0"/>
      <w:marTop w:val="0"/>
      <w:marBottom w:val="0"/>
      <w:divBdr>
        <w:top w:val="none" w:sz="0" w:space="0" w:color="auto"/>
        <w:left w:val="none" w:sz="0" w:space="0" w:color="auto"/>
        <w:bottom w:val="none" w:sz="0" w:space="0" w:color="auto"/>
        <w:right w:val="none" w:sz="0" w:space="0" w:color="auto"/>
      </w:divBdr>
      <w:divsChild>
        <w:div w:id="1790583650">
          <w:marLeft w:val="0"/>
          <w:marRight w:val="0"/>
          <w:marTop w:val="0"/>
          <w:marBottom w:val="0"/>
          <w:divBdr>
            <w:top w:val="none" w:sz="0" w:space="0" w:color="auto"/>
            <w:left w:val="none" w:sz="0" w:space="0" w:color="auto"/>
            <w:bottom w:val="none" w:sz="0" w:space="0" w:color="auto"/>
            <w:right w:val="none" w:sz="0" w:space="0" w:color="auto"/>
          </w:divBdr>
          <w:divsChild>
            <w:div w:id="680085271">
              <w:marLeft w:val="0"/>
              <w:marRight w:val="0"/>
              <w:marTop w:val="0"/>
              <w:marBottom w:val="0"/>
              <w:divBdr>
                <w:top w:val="none" w:sz="0" w:space="0" w:color="auto"/>
                <w:left w:val="none" w:sz="0" w:space="0" w:color="auto"/>
                <w:bottom w:val="none" w:sz="0" w:space="0" w:color="auto"/>
                <w:right w:val="none" w:sz="0" w:space="0" w:color="auto"/>
              </w:divBdr>
              <w:divsChild>
                <w:div w:id="9803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9155">
      <w:bodyDiv w:val="1"/>
      <w:marLeft w:val="0"/>
      <w:marRight w:val="0"/>
      <w:marTop w:val="0"/>
      <w:marBottom w:val="0"/>
      <w:divBdr>
        <w:top w:val="none" w:sz="0" w:space="0" w:color="auto"/>
        <w:left w:val="none" w:sz="0" w:space="0" w:color="auto"/>
        <w:bottom w:val="none" w:sz="0" w:space="0" w:color="auto"/>
        <w:right w:val="none" w:sz="0" w:space="0" w:color="auto"/>
      </w:divBdr>
      <w:divsChild>
        <w:div w:id="2027291691">
          <w:marLeft w:val="0"/>
          <w:marRight w:val="0"/>
          <w:marTop w:val="0"/>
          <w:marBottom w:val="0"/>
          <w:divBdr>
            <w:top w:val="none" w:sz="0" w:space="0" w:color="auto"/>
            <w:left w:val="none" w:sz="0" w:space="0" w:color="auto"/>
            <w:bottom w:val="none" w:sz="0" w:space="0" w:color="auto"/>
            <w:right w:val="none" w:sz="0" w:space="0" w:color="auto"/>
          </w:divBdr>
        </w:div>
      </w:divsChild>
    </w:div>
    <w:div w:id="2096781500">
      <w:bodyDiv w:val="1"/>
      <w:marLeft w:val="0"/>
      <w:marRight w:val="0"/>
      <w:marTop w:val="0"/>
      <w:marBottom w:val="0"/>
      <w:divBdr>
        <w:top w:val="none" w:sz="0" w:space="0" w:color="auto"/>
        <w:left w:val="none" w:sz="0" w:space="0" w:color="auto"/>
        <w:bottom w:val="none" w:sz="0" w:space="0" w:color="auto"/>
        <w:right w:val="none" w:sz="0" w:space="0" w:color="auto"/>
      </w:divBdr>
    </w:div>
    <w:div w:id="2101097967">
      <w:bodyDiv w:val="1"/>
      <w:marLeft w:val="0"/>
      <w:marRight w:val="0"/>
      <w:marTop w:val="0"/>
      <w:marBottom w:val="0"/>
      <w:divBdr>
        <w:top w:val="none" w:sz="0" w:space="0" w:color="auto"/>
        <w:left w:val="none" w:sz="0" w:space="0" w:color="auto"/>
        <w:bottom w:val="none" w:sz="0" w:space="0" w:color="auto"/>
        <w:right w:val="none" w:sz="0" w:space="0" w:color="auto"/>
      </w:divBdr>
    </w:div>
    <w:div w:id="2102099754">
      <w:bodyDiv w:val="1"/>
      <w:marLeft w:val="0"/>
      <w:marRight w:val="0"/>
      <w:marTop w:val="0"/>
      <w:marBottom w:val="0"/>
      <w:divBdr>
        <w:top w:val="none" w:sz="0" w:space="0" w:color="auto"/>
        <w:left w:val="none" w:sz="0" w:space="0" w:color="auto"/>
        <w:bottom w:val="none" w:sz="0" w:space="0" w:color="auto"/>
        <w:right w:val="none" w:sz="0" w:space="0" w:color="auto"/>
      </w:divBdr>
      <w:divsChild>
        <w:div w:id="1771581857">
          <w:marLeft w:val="0"/>
          <w:marRight w:val="0"/>
          <w:marTop w:val="0"/>
          <w:marBottom w:val="0"/>
          <w:divBdr>
            <w:top w:val="none" w:sz="0" w:space="0" w:color="auto"/>
            <w:left w:val="none" w:sz="0" w:space="0" w:color="auto"/>
            <w:bottom w:val="none" w:sz="0" w:space="0" w:color="auto"/>
            <w:right w:val="none" w:sz="0" w:space="0" w:color="auto"/>
          </w:divBdr>
          <w:divsChild>
            <w:div w:id="26417423">
              <w:marLeft w:val="0"/>
              <w:marRight w:val="0"/>
              <w:marTop w:val="0"/>
              <w:marBottom w:val="0"/>
              <w:divBdr>
                <w:top w:val="none" w:sz="0" w:space="0" w:color="auto"/>
                <w:left w:val="none" w:sz="0" w:space="0" w:color="auto"/>
                <w:bottom w:val="none" w:sz="0" w:space="0" w:color="auto"/>
                <w:right w:val="none" w:sz="0" w:space="0" w:color="auto"/>
              </w:divBdr>
              <w:divsChild>
                <w:div w:id="2064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3826">
      <w:bodyDiv w:val="1"/>
      <w:marLeft w:val="0"/>
      <w:marRight w:val="0"/>
      <w:marTop w:val="0"/>
      <w:marBottom w:val="0"/>
      <w:divBdr>
        <w:top w:val="none" w:sz="0" w:space="0" w:color="auto"/>
        <w:left w:val="none" w:sz="0" w:space="0" w:color="auto"/>
        <w:bottom w:val="none" w:sz="0" w:space="0" w:color="auto"/>
        <w:right w:val="none" w:sz="0" w:space="0" w:color="auto"/>
      </w:divBdr>
      <w:divsChild>
        <w:div w:id="264459810">
          <w:marLeft w:val="0"/>
          <w:marRight w:val="0"/>
          <w:marTop w:val="0"/>
          <w:marBottom w:val="0"/>
          <w:divBdr>
            <w:top w:val="none" w:sz="0" w:space="0" w:color="auto"/>
            <w:left w:val="none" w:sz="0" w:space="0" w:color="auto"/>
            <w:bottom w:val="none" w:sz="0" w:space="0" w:color="auto"/>
            <w:right w:val="none" w:sz="0" w:space="0" w:color="auto"/>
          </w:divBdr>
          <w:divsChild>
            <w:div w:id="719519954">
              <w:marLeft w:val="0"/>
              <w:marRight w:val="0"/>
              <w:marTop w:val="0"/>
              <w:marBottom w:val="0"/>
              <w:divBdr>
                <w:top w:val="none" w:sz="0" w:space="0" w:color="auto"/>
                <w:left w:val="none" w:sz="0" w:space="0" w:color="auto"/>
                <w:bottom w:val="none" w:sz="0" w:space="0" w:color="auto"/>
                <w:right w:val="none" w:sz="0" w:space="0" w:color="auto"/>
              </w:divBdr>
              <w:divsChild>
                <w:div w:id="19671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7950">
      <w:bodyDiv w:val="1"/>
      <w:marLeft w:val="0"/>
      <w:marRight w:val="0"/>
      <w:marTop w:val="0"/>
      <w:marBottom w:val="0"/>
      <w:divBdr>
        <w:top w:val="none" w:sz="0" w:space="0" w:color="auto"/>
        <w:left w:val="none" w:sz="0" w:space="0" w:color="auto"/>
        <w:bottom w:val="none" w:sz="0" w:space="0" w:color="auto"/>
        <w:right w:val="none" w:sz="0" w:space="0" w:color="auto"/>
      </w:divBdr>
    </w:div>
    <w:div w:id="2123647466">
      <w:bodyDiv w:val="1"/>
      <w:marLeft w:val="0"/>
      <w:marRight w:val="0"/>
      <w:marTop w:val="0"/>
      <w:marBottom w:val="0"/>
      <w:divBdr>
        <w:top w:val="none" w:sz="0" w:space="0" w:color="auto"/>
        <w:left w:val="none" w:sz="0" w:space="0" w:color="auto"/>
        <w:bottom w:val="none" w:sz="0" w:space="0" w:color="auto"/>
        <w:right w:val="none" w:sz="0" w:space="0" w:color="auto"/>
      </w:divBdr>
      <w:divsChild>
        <w:div w:id="1333605520">
          <w:marLeft w:val="0"/>
          <w:marRight w:val="0"/>
          <w:marTop w:val="0"/>
          <w:marBottom w:val="0"/>
          <w:divBdr>
            <w:top w:val="none" w:sz="0" w:space="0" w:color="auto"/>
            <w:left w:val="none" w:sz="0" w:space="0" w:color="auto"/>
            <w:bottom w:val="none" w:sz="0" w:space="0" w:color="auto"/>
            <w:right w:val="none" w:sz="0" w:space="0" w:color="auto"/>
          </w:divBdr>
          <w:divsChild>
            <w:div w:id="2064788168">
              <w:marLeft w:val="0"/>
              <w:marRight w:val="0"/>
              <w:marTop w:val="0"/>
              <w:marBottom w:val="0"/>
              <w:divBdr>
                <w:top w:val="none" w:sz="0" w:space="0" w:color="auto"/>
                <w:left w:val="none" w:sz="0" w:space="0" w:color="auto"/>
                <w:bottom w:val="none" w:sz="0" w:space="0" w:color="auto"/>
                <w:right w:val="none" w:sz="0" w:space="0" w:color="auto"/>
              </w:divBdr>
              <w:divsChild>
                <w:div w:id="14784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72171">
      <w:bodyDiv w:val="1"/>
      <w:marLeft w:val="0"/>
      <w:marRight w:val="0"/>
      <w:marTop w:val="0"/>
      <w:marBottom w:val="0"/>
      <w:divBdr>
        <w:top w:val="none" w:sz="0" w:space="0" w:color="auto"/>
        <w:left w:val="none" w:sz="0" w:space="0" w:color="auto"/>
        <w:bottom w:val="none" w:sz="0" w:space="0" w:color="auto"/>
        <w:right w:val="none" w:sz="0" w:space="0" w:color="auto"/>
      </w:divBdr>
    </w:div>
    <w:div w:id="2130733237">
      <w:bodyDiv w:val="1"/>
      <w:marLeft w:val="0"/>
      <w:marRight w:val="0"/>
      <w:marTop w:val="0"/>
      <w:marBottom w:val="0"/>
      <w:divBdr>
        <w:top w:val="none" w:sz="0" w:space="0" w:color="auto"/>
        <w:left w:val="none" w:sz="0" w:space="0" w:color="auto"/>
        <w:bottom w:val="none" w:sz="0" w:space="0" w:color="auto"/>
        <w:right w:val="none" w:sz="0" w:space="0" w:color="auto"/>
      </w:divBdr>
    </w:div>
    <w:div w:id="2136747491">
      <w:bodyDiv w:val="1"/>
      <w:marLeft w:val="0"/>
      <w:marRight w:val="0"/>
      <w:marTop w:val="0"/>
      <w:marBottom w:val="0"/>
      <w:divBdr>
        <w:top w:val="none" w:sz="0" w:space="0" w:color="auto"/>
        <w:left w:val="none" w:sz="0" w:space="0" w:color="auto"/>
        <w:bottom w:val="none" w:sz="0" w:space="0" w:color="auto"/>
        <w:right w:val="none" w:sz="0" w:space="0" w:color="auto"/>
      </w:divBdr>
    </w:div>
    <w:div w:id="214192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lectionlab.mit.edu/data" TargetMode="External"/><Relationship Id="rId1" Type="http://schemas.openxmlformats.org/officeDocument/2006/relationships/hyperlink" Target="https://www.fdi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Kut12</b:Tag>
    <b:SourceType>JournalArticle</b:SourceType>
    <b:Guid>{CA37DC58-D98F-494B-B03D-5EA2B17EFE68}</b:Guid>
    <b:Author>
      <b:Author>
        <b:NameList>
          <b:Person>
            <b:Last>Kutlu</b:Last>
            <b:First>L.</b:First>
          </b:Person>
        </b:NameList>
      </b:Author>
    </b:Author>
    <b:Title>US banking efficiency, 1984–1995</b:Title>
    <b:JournalName>Economics Letters</b:JournalName>
    <b:Year>2012</b:Year>
    <b:Pages>53-56</b:Pages>
    <b:RefOrder>1</b:RefOrder>
  </b:Source>
  <b:Source>
    <b:Tag>Ass11</b:Tag>
    <b:SourceType>JournalArticle</b:SourceType>
    <b:Guid>{3FD1832B-28C2-6B42-AECE-656DC3C5AC5C}</b:Guid>
    <b:Author>
      <b:Author>
        <b:Corporate>Assaf, A.G.; Barros, C.P.; Matousek, R.</b:Corporate>
      </b:Author>
    </b:Author>
    <b:Title>Technical efficiency in Saudi banks</b:Title>
    <b:JournalName>Expert Systems with Applications</b:JournalName>
    <b:Year>2011</b:Year>
    <b:Pages>5781-5786</b:Pages>
    <b:Volume>38</b:Volume>
    <b:RefOrder>2</b:RefOrder>
  </b:Source>
  <b:Source>
    <b:Tag>Fer90</b:Tag>
    <b:SourceType>JournalArticle</b:SourceType>
    <b:Guid>{FB05B4CB-BD56-DD46-B33E-B090B5A8C192}</b:Guid>
    <b:Author>
      <b:Author>
        <b:Corporate>Ferrier, G.D.; Lovell, K.C.A.</b:Corporate>
      </b:Author>
    </b:Author>
    <b:Title>Measuring cost efficiency in banking: Econometric and linear programing evidence</b:Title>
    <b:JournalName>Journal of Econometrics</b:JournalName>
    <b:Year>1990</b:Year>
    <b:Pages>229-245</b:Pages>
    <b:RefOrder>3</b:RefOrder>
  </b:Source>
  <b:Source>
    <b:Tag>For74</b:Tag>
    <b:SourceType>JournalArticle</b:SourceType>
    <b:Guid>{35C2C2ED-FE08-5149-86FD-51795340A83E}</b:Guid>
    <b:Title>On the measure of productive efficiency</b:Title>
    <b:Year>1974</b:Year>
    <b:Author>
      <b:Author>
        <b:Corporate>Forsund, F.R.; Hjalmarsson, L.</b:Corporate>
      </b:Author>
    </b:Author>
    <b:JournalName>Swedish Journal of Economics</b:JournalName>
    <b:Pages>141-154</b:Pages>
    <b:RefOrder>4</b:RefOrder>
  </b:Source>
  <b:Source>
    <b:Tag>Hun95</b:Tag>
    <b:SourceType>JournalArticle</b:SourceType>
    <b:Guid>{CC8A17D5-CC9C-0A4A-A093-128B7542D26A}</b:Guid>
    <b:Author>
      <b:Author>
        <b:Corporate>Hunter, W.C.; Timme, S.G.</b:Corporate>
      </b:Author>
    </b:Author>
    <b:Title>Core deposits and physical capital: A reexamination of bank scale economies and efficiency with quasi-fixed inputs</b:Title>
    <b:JournalName>Journal of Money, Credit and Banking</b:JournalName>
    <b:Year>1995</b:Year>
    <b:Pages>165-185</b:Pages>
    <b:RefOrder>5</b:RefOrder>
  </b:Source>
  <b:Source>
    <b:Tag>Sim07</b:Tag>
    <b:SourceType>JournalArticle</b:SourceType>
    <b:Guid>{44F45677-E419-5B4C-8A10-C03877A04076}</b:Guid>
    <b:Author>
      <b:Author>
        <b:Corporate>Simar, L.; Wilson, P.W.</b:Corporate>
      </b:Author>
    </b:Author>
    <b:Title>Estimation and inference in two-stage, semi-parametric models of production processes</b:Title>
    <b:JournalName>Journal of Econometrics</b:JournalName>
    <b:Year>2007</b:Year>
    <b:Pages>31-64</b:Pages>
    <b:RefOrder>6</b:RefOrder>
  </b:Source>
  <b:Source>
    <b:Tag>Akh17</b:Tag>
    <b:SourceType>JournalArticle</b:SourceType>
    <b:Guid>{356EDD1A-1005-7146-B7C2-98D38B26BE2E}</b:Guid>
    <b:Author>
      <b:Author>
        <b:Corporate>Akhigbe, A.; McNulty, J.E.; Stevenson, B.A.</b:Corporate>
      </b:Author>
    </b:Author>
    <b:Title>Does the form of ownership affect firm performance? Evidence from US bank profit efficiency before and during the financial crisis</b:Title>
    <b:JournalName>The Quarterly Review of Economics and Finance</b:JournalName>
    <b:Year>2017</b:Year>
    <b:Pages>120-129</b:Pages>
    <b:RefOrder>7</b:RefOrder>
  </b:Source>
  <b:Source>
    <b:Tag>Ban84</b:Tag>
    <b:SourceType>JournalArticle</b:SourceType>
    <b:Guid>{D428DBEB-8AA0-4448-85DE-4DFDF6858199}</b:Guid>
    <b:Author>
      <b:Author>
        <b:Corporate>Banker, R.D.; Charnes, A.; Cooper, W.W.</b:Corporate>
      </b:Author>
    </b:Author>
    <b:Title>Some models for estimating technical and scale inefficiencies in Data Envelopment Analysis</b:Title>
    <b:JournalName>Management Science</b:JournalName>
    <b:Year>1984</b:Year>
    <b:Pages>1078-1092</b:Pages>
    <b:RefOrder>8</b:RefOrder>
  </b:Source>
  <b:Source>
    <b:Tag>Bau98</b:Tag>
    <b:SourceType>JournalArticle</b:SourceType>
    <b:Guid>{C28D4E3F-CF3C-1241-8EEC-A2DEAEBC63EE}</b:Guid>
    <b:Author>
      <b:Author>
        <b:Corporate>Bauer, P.W.; Berger, A.N.; Ferrier, G.D.; Humphrey, D.B.</b:Corporate>
      </b:Author>
    </b:Author>
    <b:Title>Consistency conditions for regulatory analysis of financial institutions: A comparison of frontier efficiency methods</b:Title>
    <b:JournalName>Journal of Economics and Business</b:JournalName>
    <b:Year>1998</b:Year>
    <b:Pages>85-114.</b:Pages>
    <b:RefOrder>9</b:RefOrder>
  </b:Source>
  <b:Source>
    <b:Tag>Bou09</b:Tag>
    <b:SourceType>JournalArticle</b:SourceType>
    <b:Guid>{4D832D94-25C6-D04B-9C7E-BE005BD8C813}</b:Guid>
    <b:Author>
      <b:Author>
        <b:Corporate>Boudriga, A.; Taktak, N.; Jellouli, S.</b:Corporate>
      </b:Author>
    </b:Author>
    <b:Title>Banking supervision and nonperforming loans: a cross-country analysis</b:Title>
    <b:JournalName>Journal of Financial Economic Policy</b:JournalName>
    <b:Year>2009</b:Year>
    <b:Pages>286–318</b:Pages>
    <b:RefOrder>10</b:RefOrder>
  </b:Source>
  <b:Source>
    <b:Tag>Cha78</b:Tag>
    <b:SourceType>JournalArticle</b:SourceType>
    <b:Guid>{97DE3EDB-D419-604C-88D9-E314F4F7F211}</b:Guid>
    <b:Author>
      <b:Author>
        <b:Corporate>Charnes, A.; Cooper, W.W.; Rhodes, E.</b:Corporate>
      </b:Author>
    </b:Author>
    <b:Title>Measuring the efficiency of decision making units</b:Title>
    <b:JournalName>European Journal of Operational Research</b:JournalName>
    <b:Year>1978</b:Year>
    <b:Pages>429-444</b:Pages>
    <b:RefOrder>11</b:RefOrder>
  </b:Source>
  <b:Source>
    <b:Tag>Kha20</b:Tag>
    <b:SourceType>JournalArticle</b:SourceType>
    <b:Guid>{656D1006-57B6-4B40-8CC3-B4F78BA1A380}</b:Guid>
    <b:Author>
      <b:Author>
        <b:Corporate>Khan, A.; Hassan, M. K.; Maroney, N.; Boujlil, R.; Ozkan, B.</b:Corporate>
      </b:Author>
    </b:Author>
    <b:Title>Efficiency, diversification, and performance of US banks</b:Title>
    <b:JournalName>International Review of Economics and Finance</b:JournalName>
    <b:Year>2020</b:Year>
    <b:Pages>101-117</b:Pages>
    <b:RefOrder>12</b:RefOrder>
  </b:Source>
  <b:Source>
    <b:Tag>Koh00</b:Tag>
    <b:SourceType>JournalArticle</b:SourceType>
    <b:Guid>{55EB2B1D-997D-E944-A155-DBFFA86C1129}</b:Guid>
    <b:Author>
      <b:Author>
        <b:Corporate>Kohers, T.; Huang, M.; Kohers, N.</b:Corporate>
      </b:Author>
    </b:Author>
    <b:Title>Market perception of efficiency in bank holding company mergers: the roles of the DEA and SFA models in capturing merger potential</b:Title>
    <b:JournalName>Review of Financial Economics</b:JournalName>
    <b:Year>2000</b:Year>
    <b:Pages>101-120</b:Pages>
    <b:RefOrder>13</b:RefOrder>
  </b:Source>
  <b:Source>
    <b:Tag>Sea77</b:Tag>
    <b:SourceType>JournalArticle</b:SourceType>
    <b:Guid>{1F8787C8-9887-CF4A-8A55-1A59A4AFEA0F}</b:Guid>
    <b:Title>Inputs, outputs and a theory of production and cost at depository financial institutions</b:Title>
    <b:Year>1977</b:Year>
    <b:Author>
      <b:Author>
        <b:Corporate>Sealey, JR.C.W.; Lindley, J.T.</b:Corporate>
      </b:Author>
    </b:Author>
    <b:JournalName>The Journal of Finance</b:JournalName>
    <b:Pages>1251-1266</b:Pages>
    <b:RefOrder>14</b:RefOrder>
  </b:Source>
  <b:Source>
    <b:Tag>Wan12</b:Tag>
    <b:SourceType>JournalArticle</b:SourceType>
    <b:Guid>{AE379730-12A7-5747-8FD2-E98B3B668B68}</b:Guid>
    <b:Author>
      <b:Author>
        <b:Corporate>Wang, W.; Lu, W.; Lin, Y.</b:Corporate>
      </b:Author>
    </b:Author>
    <b:Title>Does corporate governance play an important role in BHC performance? Evidence from the U.S.</b:Title>
    <b:JournalName>Economic Modelling</b:JournalName>
    <b:Year>2012</b:Year>
    <b:Pages>751-760</b:Pages>
    <b:RefOrder>15</b:RefOrder>
  </b:Source>
  <b:Source>
    <b:Tag>Wan16</b:Tag>
    <b:SourceType>JournalArticle</b:SourceType>
    <b:Guid>{8BCE3D00-221B-5141-AE00-CDCF2A38AAAB}</b:Guid>
    <b:Author>
      <b:Author>
        <b:Corporate>Wanke, P.; Barros, C.P.; Emrouznejad, A.</b:Corporate>
      </b:Author>
    </b:Author>
    <b:Title>Assessing productive efficiency of banks using integrated Fuzzy-DEA and bootstrapping: A case of Mozambican banks</b:Title>
    <b:JournalName>European Journal of Operational Research</b:JournalName>
    <b:Year>2016</b:Year>
    <b:Pages>378-389</b:Pages>
    <b:RefOrder>16</b:RefOrder>
  </b:Source>
  <b:Source>
    <b:Tag>Sta10</b:Tag>
    <b:SourceType>JournalArticle</b:SourceType>
    <b:Guid>{5A99540F-FBF9-5747-84BF-D9EA013994F9}</b:Guid>
    <b:Author>
      <b:Author>
        <b:Corporate>Staub, R.B.; Souza, G.D.S.; Tabak, B.M.</b:Corporate>
      </b:Author>
    </b:Author>
    <b:Title>Evolution of bank efficiency in Brazil: A DEA approach</b:Title>
    <b:JournalName>European Journal of Operational Research</b:JournalName>
    <b:Year>2010</b:Year>
    <b:Pages>204-213</b:Pages>
    <b:Volume>202</b:Volume>
    <b:RefOrder>17</b:RefOrder>
  </b:Source>
  <b:Source>
    <b:Tag>Fio11</b:Tag>
    <b:SourceType>JournalArticle</b:SourceType>
    <b:Guid>{F1889C84-B4C1-A941-A4E5-31CCD94EA887}</b:Guid>
    <b:Author>
      <b:Author>
        <b:Corporate>Fiordelisi, F.; Marques-Ibanez, D.; Molyneux, P.</b:Corporate>
      </b:Author>
    </b:Author>
    <b:Title>Efficiency and risk in European banking</b:Title>
    <b:JournalName>Journal of Banking &amp; Finance</b:JournalName>
    <b:Year>2011</b:Year>
    <b:Pages>1315-1326</b:Pages>
    <b:Volume>35</b:Volume>
    <b:RefOrder>18</b:RefOrder>
  </b:Source>
  <b:Source>
    <b:Tag>Bar13</b:Tag>
    <b:SourceType>JournalArticle</b:SourceType>
    <b:Guid>{678CD4E2-FB5D-074A-B982-C86B3A970830}</b:Guid>
    <b:Author>
      <b:Author>
        <b:Corporate>Barth, J.R.; Lin, C.; Ma, Y.; Seade, J.; Song, F.M.</b:Corporate>
      </b:Author>
    </b:Author>
    <b:Title>Do bank regulation, supervision and monitoring enhance or impede bank efficiency?</b:Title>
    <b:JournalName>Journal of Banking &amp; Finance</b:JournalName>
    <b:Year>2013</b:Year>
    <b:Pages>2879-2892</b:Pages>
    <b:Volume>37</b:Volume>
    <b:RefOrder>19</b:RefOrder>
  </b:Source>
  <b:Source>
    <b:Tag>Ber97</b:Tag>
    <b:SourceType>JournalArticle</b:SourceType>
    <b:Guid>{D7372373-07DD-2F4A-A6FD-26AF08B177FB}</b:Guid>
    <b:Author>
      <b:Author>
        <b:Corporate>Berger, A.N.; Mester, L.J.</b:Corporate>
      </b:Author>
    </b:Author>
    <b:Title>Inside the Black Box: What explains differences in the in the institutions?</b:Title>
    <b:Year>1997</b:Year>
    <b:JournalName>Journal of Banking &amp; Finance</b:JournalName>
    <b:Pages>895-947</b:Pages>
    <b:RefOrder>20</b:RefOrder>
  </b:Source>
  <b:Source>
    <b:Tag>Bri08</b:Tag>
    <b:SourceType>JournalArticle</b:SourceType>
    <b:Guid>{B905EFE0-5256-CD49-A270-A190F3725EBC}</b:Guid>
    <b:Author>
      <b:Author>
        <b:Corporate>Brissimis, S.N.; Delis, M.D.; Papanikolaou, N.I.</b:Corporate>
      </b:Author>
    </b:Author>
    <b:Title>Exploring the nexus between banking sector reform and performance: Evidence from newly acceded EU countries</b:Title>
    <b:JournalName>Journal of Banking &amp; Finance</b:JournalName>
    <b:Year>2008</b:Year>
    <b:Pages>2674-2683</b:Pages>
    <b:RefOrder>21</b:RefOrder>
  </b:Source>
  <b:Source>
    <b:Tag>Gro13</b:Tag>
    <b:SourceType>JournalArticle</b:SourceType>
    <b:Guid>{ADD30D26-B82C-0B46-9D5D-35072FE4AACE}</b:Guid>
    <b:Author>
      <b:Author>
        <b:Corporate>Gropper, D.M.; Jahera Jr, J.S.; Park, J.C.</b:Corporate>
      </b:Author>
    </b:Author>
    <b:Title>Does it help to have friends in high places? Bank stock performance and congressional committe chairmanships</b:Title>
    <b:JournalName>Journal of Banking &amp; Finance</b:JournalName>
    <b:Year>2013</b:Year>
    <b:Pages>1986-1999</b:Pages>
    <b:Volume>37</b:Volume>
    <b:RefOrder>22</b:RefOrder>
  </b:Source>
  <b:Source>
    <b:Tag>Gro15</b:Tag>
    <b:SourceType>JournalArticle</b:SourceType>
    <b:Guid>{0E5D576F-9490-6B48-98B4-D540B8D7791A}</b:Guid>
    <b:Author>
      <b:Author>
        <b:Corporate>Gropper, D.M.; Jahera Jr, J.S.; Park, J.C.</b:Corporate>
      </b:Author>
    </b:Author>
    <b:Title>Political power, economic freedom and Congress: Effects on bank performance</b:Title>
    <b:JournalName>Journal of Banking &amp; Finance</b:JournalName>
    <b:Year>2015</b:Year>
    <b:Pages>76-92</b:Pages>
    <b:Volume>60</b:Volume>
    <b:RefOrder>23</b:RefOrder>
  </b:Source>
  <b:Source>
    <b:Tag>Mil96</b:Tag>
    <b:SourceType>JournalArticle</b:SourceType>
    <b:Guid>{A2142E10-6BFD-8543-BE36-F180C3E6F4C0}</b:Guid>
    <b:Author>
      <b:Author>
        <b:Corporate>Miller, S.M.; Noulas, A.G.</b:Corporate>
      </b:Author>
    </b:Author>
    <b:Title>The technical efficiency of large bank production</b:Title>
    <b:JournalName>Journal of Banking &amp; Finance</b:JournalName>
    <b:Year>1996</b:Year>
    <b:Pages>495-509</b:Pages>
    <b:RefOrder>24</b:RefOrder>
  </b:Source>
  <b:Source>
    <b:Tag>Bla13</b:Tag>
    <b:SourceType>JournalArticle</b:SourceType>
    <b:Guid>{8800216E-7363-2A4C-9AB9-3B539D630744}</b:Guid>
    <b:Author>
      <b:Author>
        <b:Corporate>Blau, B.M.; Brough, T.J.; Thomas, D.W.</b:Corporate>
      </b:Author>
    </b:Author>
    <b:Title>Corporate lobbying, political connections, and the bailout of banks</b:Title>
    <b:JournalName>Journal of Banking &amp; Finance</b:JournalName>
    <b:Year>2013</b:Year>
    <b:Pages>3007-3017</b:Pages>
    <b:Volume>37</b:Volume>
    <b:RefOrder>25</b:RefOrder>
  </b:Source>
  <b:Source>
    <b:Tag>Nie70</b:Tag>
    <b:SourceType>JournalArticle</b:SourceType>
    <b:Guid>{FFE40193-C6B1-C740-8CAB-4C697B64F0BD}</b:Guid>
    <b:Author>
      <b:Author>
        <b:Corporate>Niederhoffer, V.; Gibbs, S.; Bullock, J.</b:Corporate>
      </b:Author>
    </b:Author>
    <b:Title>Presidential elections and the stock market</b:Title>
    <b:JournalName>Financial Analysts Journal</b:JournalName>
    <b:Year>1970</b:Year>
    <b:Pages>111-113</b:Pages>
    <b:Volume>26</b:Volume>
    <b:Issue>2</b:Issue>
    <b:RefOrder>26</b:RefOrder>
  </b:Source>
  <b:Source>
    <b:Tag>Rei76</b:Tag>
    <b:SourceType>JournalArticle</b:SourceType>
    <b:Guid>{24F36CA9-0B51-014A-873F-6D9ECF5B760D}</b:Guid>
    <b:Author>
      <b:Author>
        <b:Corporate>Reilly, F.; Drzycimski, E.F.</b:Corporate>
      </b:Author>
    </b:Author>
    <b:Title>Vote Republican if you want the market to rise after Election Day</b:Title>
    <b:JournalName>Barron's</b:JournalName>
    <b:Year>1976</b:Year>
    <b:RefOrder>27</b:RefOrder>
  </b:Source>
  <b:Source>
    <b:Tag>Cha85</b:Tag>
    <b:SourceType>JournalArticle</b:SourceType>
    <b:Guid>{3BEEA68E-F99D-E44E-9016-173AC81890FE}</b:Guid>
    <b:Author>
      <b:Author>
        <b:Corporate>Chappell, H.W.; Keech, W.R.</b:Corporate>
      </b:Author>
    </b:Author>
    <b:Title>A new view of political accountability for economic performance</b:Title>
    <b:JournalName>The American Political Science Review</b:JournalName>
    <b:Year>1985</b:Year>
    <b:Pages>10-27</b:Pages>
    <b:Volume>79</b:Volume>
    <b:Issue>1</b:Issue>
    <b:RefOrder>28</b:RefOrder>
  </b:Source>
  <b:Source>
    <b:Tag>Ale88</b:Tag>
    <b:SourceType>JournalArticle</b:SourceType>
    <b:Guid>{A4825305-BF64-0B49-8871-6AFE74F6F2AC}</b:Guid>
    <b:Author>
      <b:Author>
        <b:NameList>
          <b:Person>
            <b:Last>Alesina</b:Last>
            <b:First>A.</b:First>
          </b:Person>
        </b:NameList>
      </b:Author>
    </b:Author>
    <b:Title>Credibility and policy convergence in a two-party system with rational voters</b:Title>
    <b:JournalName>The American Economic Review</b:JournalName>
    <b:Year>1988</b:Year>
    <b:Pages>796-805</b:Pages>
    <b:Volume>78</b:Volume>
    <b:Issue>4</b:Issue>
    <b:RefOrder>29</b:RefOrder>
  </b:Source>
  <b:Source>
    <b:Tag>Cha86</b:Tag>
    <b:SourceType>JournalArticle</b:SourceType>
    <b:Guid>{582059E9-A47E-4244-BE73-7B196B8BDFB7}</b:Guid>
    <b:Author>
      <b:Author>
        <b:Corporate>Chappell, H.W.; Keech, W.R.</b:Corporate>
      </b:Author>
    </b:Author>
    <b:Title>Party differences in macroeconomic policies and outcomes</b:Title>
    <b:JournalName>The American Economic Review</b:JournalName>
    <b:Year>1986</b:Year>
    <b:Pages>71-74</b:Pages>
    <b:Volume>76</b:Volume>
    <b:Issue>2</b:Issue>
    <b:RefOrder>30</b:RefOrder>
  </b:Source>
  <b:Source>
    <b:Tag>Foe97</b:Tag>
    <b:SourceType>JournalArticle</b:SourceType>
    <b:Guid>{12A8A016-0A96-634C-BCC0-5448388BF412}</b:Guid>
    <b:Author>
      <b:Author>
        <b:Corporate>Foerster, S.R.; Schmitz, J.J.</b:Corporate>
      </b:Author>
    </b:Author>
    <b:Title>The transmission of U.S. election cycles to international stock returns</b:Title>
    <b:JournalName>Journal of International Business Studies</b:JournalName>
    <b:Year>1997</b:Year>
    <b:Pages>1-27</b:Pages>
    <b:Volume>28</b:Volume>
    <b:Issue>1</b:Issue>
    <b:RefOrder>31</b:RefOrder>
  </b:Source>
  <b:Source>
    <b:Tag>Kev17</b:Tag>
    <b:SourceType>JournalArticle</b:SourceType>
    <b:Guid>{93BEB083-0EE1-744E-8DB9-6E4FC1CD9A2A}</b:Guid>
    <b:Author>
      <b:Author>
        <b:Corporate>Kevork, I.S.; Pange, J.; Tzeremes, P.; Tzeremes, N.G.</b:Corporate>
      </b:Author>
    </b:Author>
    <b:Title>Estimating Malmquist productivity indexes using probabilistic directional distances: An application to the European banking sector</b:Title>
    <b:JournalName>European Journal of Operational Research</b:JournalName>
    <b:Year>2017</b:Year>
    <b:Pages>1125-1140</b:Pages>
    <b:Volume>261</b:Volume>
    <b:RefOrder>32</b:RefOrder>
  </b:Source>
  <b:Source>
    <b:Tag>Efr93</b:Tag>
    <b:SourceType>Book</b:SourceType>
    <b:Guid>{354C5EB7-0832-244C-B403-D506C6BBDAEE}</b:Guid>
    <b:Author>
      <b:Author>
        <b:Corporate>Efron, B.; Tisbhirani, R.J.</b:Corporate>
      </b:Author>
    </b:Author>
    <b:Title>An Introduction to the Bootstrap</b:Title>
    <b:Year>1993</b:Year>
    <b:City>New York</b:City>
    <b:Publisher>Chapman and Hall</b:Publisher>
    <b:RefOrder>33</b:RefOrder>
  </b:Source>
  <b:Source>
    <b:Tag>Din05</b:Tag>
    <b:SourceType>JournalArticle</b:SourceType>
    <b:Guid>{88DE7740-3B74-DE4E-B530-3C585D2C259E}</b:Guid>
    <b:Author>
      <b:Author>
        <b:NameList>
          <b:Person>
            <b:Last>Dinc</b:Last>
            <b:First>S.</b:First>
          </b:Person>
        </b:NameList>
      </b:Author>
    </b:Author>
    <b:Title>Politicians and banks: Political influences on government-owned banks in emerging markets</b:Title>
    <b:Year>2005</b:Year>
    <b:JournalName>Journal of Financial Economics</b:JournalName>
    <b:Pages>453-479</b:Pages>
    <b:Volume>77</b:Volume>
    <b:RefOrder>34</b:RefOrder>
  </b:Source>
  <b:Source>
    <b:Tag>Car12</b:Tag>
    <b:SourceType>JournalArticle</b:SourceType>
    <b:Guid>{C3CC9711-49A8-C24C-B9EC-56C77D225AF5}</b:Guid>
    <b:Author>
      <b:Author>
        <b:Corporate>Carretta, A.; Farina, V.; Gon, A.; Parisi, A.</b:Corporate>
      </b:Author>
    </b:Author>
    <b:Title>Politicians ‘on Board’: Do political connections affect banking activities in Italy?</b:Title>
    <b:JournalName>European Management Review</b:JournalName>
    <b:Year>2012</b:Year>
    <b:Pages>75-83</b:Pages>
    <b:Volume>9</b:Volume>
    <b:RefOrder>35</b:RefOrder>
  </b:Source>
  <b:Source>
    <b:Tag>Kro99</b:Tag>
    <b:SourceType>JournalArticle</b:SourceType>
    <b:Guid>{D5E8ADBD-DDF6-5540-AE3E-1AE9108C38A0}</b:Guid>
    <b:Author>
      <b:Author>
        <b:Corporate>Kroszner, R.S.; Strahan, P.E.</b:Corporate>
      </b:Author>
    </b:Author>
    <b:Title>What drives deregulation? Economics and politics of the relaxation of bank branching restrictions</b:Title>
    <b:JournalName>The Quarterly Journal of Economics</b:JournalName>
    <b:Year>1999</b:Year>
    <b:Pages>1437-1467</b:Pages>
    <b:Volume>114</b:Volume>
    <b:Issue>4</b:Issue>
    <b:RefOrder>36</b:RefOrder>
  </b:Source>
  <b:Source>
    <b:Tag>Jal18</b:Tag>
    <b:SourceType>JournalArticle</b:SourceType>
    <b:Guid>{B00D9026-D26A-044D-A3E7-87B334DFCA12}</b:Guid>
    <b:Author>
      <b:Author>
        <b:Corporate>Jalayer, M.; Shabanpour, R.; Pour-Rouholamin, M.; Golshani, N.</b:Corporate>
      </b:Author>
    </b:Author>
    <b:Title>Wrong-way driving crashes: A random-parameters ordered probit analysis of injury severity</b:Title>
    <b:JournalName>Accident Analysis and Prevention</b:JournalName>
    <b:Year>2018</b:Year>
    <b:Pages>128-135</b:Pages>
    <b:Volume>117</b:Volume>
    <b:RefOrder>37</b:RefOrder>
  </b:Source>
  <b:Source>
    <b:Tag>Gui93</b:Tag>
    <b:SourceType>JournalArticle</b:SourceType>
    <b:Guid>{0F0B96BD-2149-3D4B-988D-ECE87F246296}</b:Guid>
    <b:Author>
      <b:Author>
        <b:Corporate>Guilkey, D.K.; Murphy, J.L.</b:Corporate>
      </b:Author>
    </b:Author>
    <b:Title>Estimation and testing in the random effects probit model</b:Title>
    <b:JournalName>Journal of Econometrics</b:JournalName>
    <b:Year>1993</b:Year>
    <b:Pages>301-317</b:Pages>
    <b:Volume>59</b:Volume>
    <b:RefOrder>38</b:RefOrder>
  </b:Source>
  <b:Source>
    <b:Tag>Aki79</b:Tag>
    <b:SourceType>JournalArticle</b:SourceType>
    <b:Guid>{2912DBAC-324C-8340-A9B6-159A6BC62B8F}</b:Guid>
    <b:Author>
      <b:Author>
        <b:Corporate>Akin, J.S.; Guilkey, D.K.; Sickles, R.</b:Corporate>
      </b:Author>
    </b:Author>
    <b:Title>A random coefficient probit model with an application to a study of migration</b:Title>
    <b:JournalName>Journal of Econometrics</b:JournalName>
    <b:Year>1979</b:Year>
    <b:Pages>233-246</b:Pages>
    <b:Volume>11</b:Volume>
    <b:RefOrder>39</b:RefOrder>
  </b:Source>
  <b:Source>
    <b:Tag>Nay821</b:Tag>
    <b:SourceType>JournalArticle</b:SourceType>
    <b:Guid>{8F57328C-E284-8E42-85F6-F2F68FE2A11E}</b:Guid>
    <b:Author>
      <b:Author>
        <b:Corporate>Naylor, J.C.; Smith, A.F.M.</b:Corporate>
      </b:Author>
    </b:Author>
    <b:Title>Applications of a method for the efficient computation of posterior distributions</b:Title>
    <b:JournalName>Journal of the Royal Statistical Society</b:JournalName>
    <b:Year>1982</b:Year>
    <b:Pages>214-225</b:Pages>
    <b:Volume>31</b:Volume>
    <b:Issue>3</b:Issue>
    <b:RefOrder>40</b:RefOrder>
  </b:Source>
  <b:Source>
    <b:Tag>Akh03</b:Tag>
    <b:SourceType>JournalArticle</b:SourceType>
    <b:Guid>{CD953087-F475-8549-A295-569E609F0E06}</b:Guid>
    <b:Author>
      <b:Author>
        <b:Corporate>Akhigbe, A.; McNulty, J.E.</b:Corporate>
      </b:Author>
    </b:Author>
    <b:Title>The profit efficiency of small U.S. commercial banks</b:Title>
    <b:Year>2003</b:Year>
    <b:JournalName>Journal of Banking &amp; Finance</b:JournalName>
    <b:Pages>3017-3025</b:Pages>
    <b:RefOrder>41</b:RefOrder>
  </b:Source>
  <b:Source>
    <b:Tag>AlK20</b:Tag>
    <b:SourceType>JournalArticle</b:SourceType>
    <b:Guid>{D29B149C-5550-2D44-9CF4-9D10F70F437A}</b:Guid>
    <b:Author>
      <b:Author>
        <b:Corporate>Al-Khasawneh, J.A.; Essaddam, N.; Hussain, T.</b:Corporate>
      </b:Author>
    </b:Author>
    <b:Title>Total productivity and cost efficiency dynamics of U.S. merging banks: A non-parametric bootstrapped analysis of the fifth merger wave</b:Title>
    <b:JournalName>Journal of Banking &amp; Finance</b:JournalName>
    <b:Year>2020</b:Year>
    <b:Pages>1343-1355</b:Pages>
    <b:RefOrder>42</b:RefOrder>
  </b:Source>
  <b:Source>
    <b:Tag>Cho161</b:Tag>
    <b:SourceType>JournalArticle</b:SourceType>
    <b:Guid>{41B7EB34-F307-014D-8675-76A6A42C9D5C}</b:Guid>
    <b:Author>
      <b:Author>
        <b:Corporate>Chortareas, G.; Kapetanios, G.; Ventouri, A.</b:Corporate>
      </b:Author>
    </b:Author>
    <b:Title>Credit market freedom and cost efficiency in U.S. state banking</b:Title>
    <b:JournalName>Journal of Empirical Finance</b:JournalName>
    <b:Year>2016</b:Year>
    <b:Pages>173-185</b:Pages>
    <b:Volume>37</b:Volume>
    <b:RefOrder>43</b:RefOrder>
  </b:Source>
  <b:Source>
    <b:Tag>Tab13</b:Tag>
    <b:SourceType>JournalArticle</b:SourceType>
    <b:Guid>{6D6F6BC0-DC43-5144-B872-C853117E579B}</b:Guid>
    <b:Author>
      <b:Author>
        <b:Corporate>Tabak, B.M.; Miranda, R.B.; Fazio, D.M.</b:Corporate>
      </b:Author>
    </b:Author>
    <b:Title>A geographically weighted approach to measuring efficiency in panel data: The case of U.S. saving banks</b:Title>
    <b:JournalName>Journal of Banking &amp; Finance</b:JournalName>
    <b:Year>2013</b:Year>
    <b:Pages>3747-3756</b:Pages>
    <b:RefOrder>44</b:RefOrder>
  </b:Source>
  <b:Source>
    <b:Tag>Riv91</b:Tag>
    <b:SourceType>JournalArticle</b:SourceType>
    <b:Guid>{AC636162-1E38-7D4A-A7CC-D47D69072E4C}</b:Guid>
    <b:Author>
      <b:Author>
        <b:NameList>
          <b:Person>
            <b:Last>Rivlin</b:Last>
            <b:First>A.M.</b:First>
          </b:Person>
        </b:NameList>
      </b:Author>
    </b:Author>
    <b:Title>Distinguished lecture on economics in government: Strengthening the economy by rethinking the role of Federal and State governments</b:Title>
    <b:JournalName>Journal of Economic Perspectives</b:JournalName>
    <b:Year>1991</b:Year>
    <b:Pages>3-14</b:Pages>
    <b:Volume>5</b:Volume>
    <b:Issue>2</b:Issue>
    <b:RefOrder>45</b:RefOrder>
  </b:Source>
  <b:Source>
    <b:Tag>Pel76</b:Tag>
    <b:SourceType>JournalArticle</b:SourceType>
    <b:Guid>{8C305743-7569-40DF-8D2B-85859AD24283}</b:Guid>
    <b:Author>
      <b:Author>
        <b:NameList>
          <b:Person>
            <b:Last>Peltzman</b:Last>
            <b:First>S.</b:First>
          </b:Person>
        </b:NameList>
      </b:Author>
    </b:Author>
    <b:Title>Toward a more general theory of regulation</b:Title>
    <b:JournalName>Journal of Law and Economics</b:JournalName>
    <b:Year>1976</b:Year>
    <b:Pages>109-48</b:Pages>
    <b:Volume>19</b:Volume>
    <b:RefOrder>46</b:RefOrder>
  </b:Source>
  <b:Source>
    <b:Tag>Sti71</b:Tag>
    <b:SourceType>JournalArticle</b:SourceType>
    <b:Guid>{91B86E39-AE61-4C96-B5B6-9A1ED472FF47}</b:Guid>
    <b:Author>
      <b:Author>
        <b:NameList>
          <b:Person>
            <b:Last>Stigler</b:Last>
            <b:First>G.J.</b:First>
          </b:Person>
        </b:NameList>
      </b:Author>
    </b:Author>
    <b:Title>The theory of economic regulation</b:Title>
    <b:JournalName>Bell Journal of Economics and Management Science</b:JournalName>
    <b:Year>1971</b:Year>
    <b:Pages>3-21</b:Pages>
    <b:Volume>2</b:Volume>
    <b:RefOrder>47</b:RefOrder>
  </b:Source>
  <b:Source>
    <b:Tag>Pel89</b:Tag>
    <b:SourceType>JournalArticle</b:SourceType>
    <b:Guid>{15BE3025-4C04-40B7-B741-29252334900A}</b:Guid>
    <b:Author>
      <b:Author>
        <b:NameList>
          <b:Person>
            <b:Last>Peltzman</b:Last>
            <b:First>S.</b:First>
          </b:Person>
        </b:NameList>
      </b:Author>
    </b:Author>
    <b:Title>The economic theory of regulation after a decade of deregulation</b:Title>
    <b:JournalName>Brookings Papers: Microeconomics</b:JournalName>
    <b:Year>1989</b:Year>
    <b:Pages>1-41</b:Pages>
    <b:RefOrder>48</b:RefOrder>
  </b:Source>
  <b:Source>
    <b:Tag>Jos81</b:Tag>
    <b:SourceType>BookSection</b:SourceType>
    <b:Guid>{D04E19F6-BC5A-4538-8B7B-4D47482D43CE}</b:Guid>
    <b:Title>Regulation in theory and practice: An overview</b:Title>
    <b:Year>1981</b:Year>
    <b:Pages>1-65</b:Pages>
    <b:Author>
      <b:Author>
        <b:Corporate>Joskow, P.; Noll, R.</b:Corporate>
      </b:Author>
      <b:BookAuthor>
        <b:NameList>
          <b:Person>
            <b:Last>Fromm</b:Last>
            <b:First>G.</b:First>
          </b:Person>
        </b:NameList>
      </b:BookAuthor>
    </b:Author>
    <b:BookTitle>Studies in public regulation</b:BookTitle>
    <b:City>Cambridge</b:City>
    <b:Publisher>MA: MIT Press</b:Publisher>
    <b:RefOrder>49</b:RefOrder>
  </b:Source>
  <b:Source>
    <b:Tag>Elh12</b:Tag>
    <b:SourceType>JournalArticle</b:SourceType>
    <b:Guid>{7AE35E3B-B6C1-41C0-AB86-4365494DA3BC}</b:Guid>
    <b:Author>
      <b:Author>
        <b:NameList>
          <b:Person>
            <b:Last>Elhorst</b:Last>
            <b:First>J.P</b:First>
          </b:Person>
        </b:NameList>
      </b:Author>
    </b:Author>
    <b:Title>Dynamic spatial panels: Models, methods, and inferences</b:Title>
    <b:JournalName>Journal of Geographical Systems</b:JournalName>
    <b:Year>2012</b:Year>
    <b:Pages>5-28</b:Pages>
    <b:Volume>14</b:Volume>
    <b:Issue>1</b:Issue>
    <b:RefOrder>50</b:RefOrder>
  </b:Source>
  <b:Source>
    <b:Tag>Elh14</b:Tag>
    <b:SourceType>BookSection</b:SourceType>
    <b:Guid>{302364D5-98CB-4A99-AD87-FDEE777EBEED}</b:Guid>
    <b:Title>Spatial panel models</b:Title>
    <b:Year>2014</b:Year>
    <b:Pages>1637–1652</b:Pages>
    <b:Author>
      <b:Author>
        <b:NameList>
          <b:Person>
            <b:Last>Elhorst</b:Last>
            <b:First>J.P.</b:First>
          </b:Person>
        </b:NameList>
      </b:Author>
    </b:Author>
    <b:BookTitle>Handbook of Regional Science</b:BookTitle>
    <b:Publisher>Springer</b:Publisher>
    <b:RefOrder>51</b:RefOrder>
  </b:Source>
  <b:Source>
    <b:Tag>Lee16</b:Tag>
    <b:SourceType>JournalArticle</b:SourceType>
    <b:Guid>{80E341A6-EB7E-46E4-AD2F-E6150C159953}</b:Guid>
    <b:Title>Identification of spatial Durbin panel models</b:Title>
    <b:Year>2016</b:Year>
    <b:Pages>133-162</b:Pages>
    <b:Author>
      <b:Author>
        <b:Corporate>Lee, L. F., &amp; Yu, J.</b:Corporate>
      </b:Author>
    </b:Author>
    <b:JournalName>Journal of Applied Econometrics</b:JournalName>
    <b:Volume>31</b:Volume>
    <b:Issue>1</b:Issue>
    <b:RefOrder>52</b:RefOrder>
  </b:Source>
  <b:Source>
    <b:Tag>Dua19</b:Tag>
    <b:SourceType>JournalArticle</b:SourceType>
    <b:Guid>{7971FD49-7886-4247-B63B-F822ABD06FB0}</b:Guid>
    <b:Author>
      <b:Author>
        <b:Corporate>Duan, Y; Edwards, J.S; Dwivedi, Y.K.</b:Corporate>
      </b:Author>
    </b:Author>
    <b:Title>Artificial intelligence for decision making in the era of Big Data – evolution, challenges and research agenda</b:Title>
    <b:JournalName>International Journal of Information Management</b:JournalName>
    <b:Year>2019</b:Year>
    <b:Pages>63-71</b:Pages>
    <b:Volume>48</b:Volume>
    <b:RefOrder>53</b:RefOrder>
  </b:Source>
  <b:Source>
    <b:Tag>Man93</b:Tag>
    <b:SourceType>JournalArticle</b:SourceType>
    <b:Guid>{66E91C56-8682-4638-B4A7-69D581D38986}</b:Guid>
    <b:Author>
      <b:Author>
        <b:NameList>
          <b:Person>
            <b:Last>Manski</b:Last>
            <b:First>C.F.</b:First>
          </b:Person>
        </b:NameList>
      </b:Author>
    </b:Author>
    <b:Title>Identification of endogenous social effects: The reflection problem</b:Title>
    <b:JournalName>The Review of Economic Studies</b:JournalName>
    <b:Year>1993</b:Year>
    <b:Pages>531–542</b:Pages>
    <b:Volume>60</b:Volume>
    <b:Issue>3</b:Issue>
    <b:RefOrder>54</b:RefOrder>
  </b:Source>
  <b:Source>
    <b:Tag>Elh10</b:Tag>
    <b:SourceType>JournalArticle</b:SourceType>
    <b:Guid>{48098F3D-EC12-4390-A45B-6C07C834CF3E}</b:Guid>
    <b:Author>
      <b:Author>
        <b:NameList>
          <b:Person>
            <b:Last>Elhorst</b:Last>
            <b:First>J.P.</b:First>
          </b:Person>
        </b:NameList>
      </b:Author>
    </b:Author>
    <b:Title>Applied spatial econometrics: Raising the bar</b:Title>
    <b:JournalName>Spatial Economic Analysis</b:JournalName>
    <b:Year>2010</b:Year>
    <b:Pages>9-28</b:Pages>
    <b:Volume>5</b:Volume>
    <b:Issue>1</b:Issue>
    <b:RefOrder>55</b:RefOrder>
  </b:Source>
  <b:Source>
    <b:Tag>Fin10</b:Tag>
    <b:SourceType>BookSection</b:SourceType>
    <b:Guid>{FB923340-E271-4B7D-892E-CB202C373ACD}</b:Guid>
    <b:Title>Endogeneity in a spatial context: Properties of estimators</b:Title>
    <b:Year>2010</b:Year>
    <b:Pages>59-73</b:Pages>
    <b:Author>
      <b:Author>
        <b:Corporate>Fingleton, B., &amp; Le Gallo, J.</b:Corporate>
      </b:Author>
    </b:Author>
    <b:BookTitle>Progress in Spatial Analysis</b:BookTitle>
    <b:City>Berlin</b:City>
    <b:Publisher>Springer</b:Publisher>
    <b:RefOrder>56</b:RefOrder>
  </b:Source>
  <b:Source>
    <b:Tag>Ans08</b:Tag>
    <b:SourceType>BookSection</b:SourceType>
    <b:Guid>{CBF17B38-E580-4B71-B9EF-78387F090C8A}</b:Guid>
    <b:Author>
      <b:Author>
        <b:Corporate>Anselin, L., Le, G., Jayet, J. </b:Corporate>
      </b:Author>
    </b:Author>
    <b:Title>Hubert Spatial panel econometrics</b:Title>
    <b:BookTitle>The econometrics of panel data </b:BookTitle>
    <b:Year>2008</b:Year>
    <b:Pages>625–660</b:Pages>
    <b:Publisher>Springer</b:Publisher>
    <b:RefOrder>57</b:RefOrder>
  </b:Source>
  <b:Source>
    <b:Tag>Ans92</b:Tag>
    <b:SourceType>JournalArticle</b:SourceType>
    <b:Guid>{0EBFA617-06D5-4611-8CE6-8692AA80EC7D}</b:Guid>
    <b:Title>Spatial econometrics in practice: A review of software options</b:Title>
    <b:Year>1992</b:Year>
    <b:Author>
      <b:Author>
        <b:Corporate>Anselin, L., &amp; Hudak, S.</b:Corporate>
      </b:Author>
    </b:Author>
    <b:JournalName>Regional Science and Urban Economics</b:JournalName>
    <b:Pages>509–536</b:Pages>
    <b:Volume>22</b:Volume>
    <b:Issue>3</b:Issue>
    <b:RefOrder>58</b:RefOrder>
  </b:Source>
  <b:Source>
    <b:Tag>Lee04</b:Tag>
    <b:SourceType>JournalArticle</b:SourceType>
    <b:Guid>{6A6D0425-3BA6-455C-880C-00601152D806}</b:Guid>
    <b:Author>
      <b:Author>
        <b:NameList>
          <b:Person>
            <b:Last>Lee</b:Last>
            <b:First>L.-F.</b:First>
          </b:Person>
        </b:NameList>
      </b:Author>
    </b:Author>
    <b:Title>Asymptotic distributions of quasi-maximum likelihood estimators for spatial autoregressive models</b:Title>
    <b:JournalName>Econometrica</b:JournalName>
    <b:Year>2004</b:Year>
    <b:Pages>1899–1925</b:Pages>
    <b:Volume>72</b:Volume>
    <b:Issue>6</b:Issue>
    <b:RefOrder>59</b:RefOrder>
  </b:Source>
  <b:Source>
    <b:Tag>YuJ08</b:Tag>
    <b:SourceType>JournalArticle</b:SourceType>
    <b:Guid>{4E9BD1E5-EC0E-4A8D-98ED-EA4066B6284B}</b:Guid>
    <b:Author>
      <b:Author>
        <b:Corporate>Yu, J., De Jong, R., Lee, L.-F.</b:Corporate>
      </b:Author>
    </b:Author>
    <b:Title>Quasi-maximum likelihood estimators for spatial dynamic panel data with fixed effects when both n and T are large</b:Title>
    <b:JournalName>Journal of Econometrics</b:JournalName>
    <b:Year>2008</b:Year>
    <b:Pages>118–134</b:Pages>
    <b:Volume>146</b:Volume>
    <b:Issue>1</b:Issue>
    <b:RefOrder>60</b:RefOrder>
  </b:Source>
  <b:Source>
    <b:Tag>Elh03</b:Tag>
    <b:SourceType>JournalArticle</b:SourceType>
    <b:Guid>{450B0434-B393-48E3-9F49-315A9A29BCF8}</b:Guid>
    <b:Author>
      <b:Author>
        <b:NameList>
          <b:Person>
            <b:Last>Elhorst</b:Last>
            <b:First>J.P.</b:First>
          </b:Person>
        </b:NameList>
      </b:Author>
    </b:Author>
    <b:Title>Specification and estimation of spatial panel data models</b:Title>
    <b:JournalName>International Regional International Regional</b:JournalName>
    <b:Year>2003</b:Year>
    <b:Pages>244–268</b:Pages>
    <b:Volume>26</b:Volume>
    <b:Issue>3</b:Issue>
    <b:RefOrder>61</b:RefOrder>
  </b:Source>
  <b:Source>
    <b:Tag>Ord75</b:Tag>
    <b:SourceType>JournalArticle</b:SourceType>
    <b:Guid>{C9768870-F926-49B7-88D4-1F3ADFC5D3AF}</b:Guid>
    <b:Author>
      <b:Author>
        <b:NameList>
          <b:Person>
            <b:Last>Ord</b:Last>
            <b:First>K.</b:First>
          </b:Person>
        </b:NameList>
      </b:Author>
    </b:Author>
    <b:Title>Estimation methods for models of spatial interaction</b:Title>
    <b:JournalName>Journal of the American Statistical Association</b:JournalName>
    <b:Year>1975</b:Year>
    <b:Pages>120–126</b:Pages>
    <b:Volume>70</b:Volume>
    <b:Issue>349</b:Issue>
    <b:RefOrder>62</b:RefOrder>
  </b:Source>
  <b:Source>
    <b:Tag>Bel17</b:Tag>
    <b:SourceType>JournalArticle</b:SourceType>
    <b:Guid>{BE056B9D-E2D6-4B8C-AA59-A838368C6B1C}</b:Guid>
    <b:Author>
      <b:Author>
        <b:Corporate>Belotti, F., Hughes, G.M., Piano, A.</b:Corporate>
      </b:Author>
    </b:Author>
    <b:Title>Spatial panel-data models using Stata</b:Title>
    <b:JournalName>Stata Journal</b:JournalName>
    <b:Year>2017</b:Year>
    <b:Pages>139–180</b:Pages>
    <b:Volume>17</b:Volume>
    <b:Issue>1</b:Issue>
    <b:RefOrder>63</b:RefOrder>
  </b:Source>
  <b:Source>
    <b:Tag>Kel98</b:Tag>
    <b:SourceType>JournalArticle</b:SourceType>
    <b:Guid>{37D591F3-950D-4F5C-8B87-01E15D3DCE96}</b:Guid>
    <b:Author>
      <b:Author>
        <b:Corporate>Kelejian, H.H., &amp; Prucha, I.R.</b:Corporate>
      </b:Author>
    </b:Author>
    <b:Title>A generalized spatial two-stage least squares procedure for estimating a spatial autoregressive model with autoregressive disturbances</b:Title>
    <b:JournalName>The Journal of Real Estate Finance and Economics</b:JournalName>
    <b:Year>1998</b:Year>
    <b:Pages>99–121</b:Pages>
    <b:Volume>17</b:Volume>
    <b:Issue>1</b:Issue>
    <b:RefOrder>64</b:RefOrder>
  </b:Source>
  <b:Source>
    <b:Tag>LeS09</b:Tag>
    <b:SourceType>Book</b:SourceType>
    <b:Guid>{D769E634-C9B5-4022-B669-C5D0B82EB516}</b:Guid>
    <b:Title>Introduction to Spatial Econometrics</b:Title>
    <b:Year>2009</b:Year>
    <b:Author>
      <b:Author>
        <b:Corporate>LeSage, J.P., &amp; Kelley, R. </b:Corporate>
      </b:Author>
    </b:Author>
    <b:City>New York</b:City>
    <b:Publisher>CRC Press</b:Publisher>
    <b:RefOrder>65</b:RefOrder>
  </b:Source>
  <b:Source>
    <b:Tag>Bla92</b:Tag>
    <b:SourceType>JournalArticle</b:SourceType>
    <b:Guid>{333DBBF4-FE73-4998-BC0E-010103EB31DA}</b:Guid>
    <b:Title>Regional evolutions</b:Title>
    <b:Year>1992</b:Year>
    <b:Author>
      <b:Author>
        <b:Corporate>Blanchard, O.J., Katz, L.F., Hall, R.E., Eichengreen, B.</b:Corporate>
      </b:Author>
    </b:Author>
    <b:JournalName>Brookings Papers on Economic Activity</b:JournalName>
    <b:Pages>1–75</b:Pages>
    <b:Volume>1992</b:Volume>
    <b:Issue>1</b:Issue>
    <b:RefOrder>66</b:RefOrder>
  </b:Source>
  <b:Source>
    <b:Tag>DeG10</b:Tag>
    <b:SourceType>JournalArticle</b:SourceType>
    <b:Guid>{E3EFC8DE-8751-4F18-9637-33E78E144829}</b:Guid>
    <b:Author>
      <b:Author>
        <b:Corporate>De Groot, A.J., &amp; Elhorst, J.</b:Corporate>
      </b:Author>
    </b:Author>
    <b:Title>Labour market effects of flexicurity from a regional perspective</b:Title>
    <b:JournalName>Tijdschrift voor Economische en Sociale Geografie</b:JournalName>
    <b:Year>2010</b:Year>
    <b:Pages>392–408</b:Pages>
    <b:Volume>101</b:Volume>
    <b:Issue>4</b:Issue>
    <b:RefOrder>67</b:RefOrder>
  </b:Source>
  <b:Source>
    <b:Tag>Tao12</b:Tag>
    <b:SourceType>JournalArticle</b:SourceType>
    <b:Guid>{5F222FAC-9E15-4222-8EBD-C9C75773415B}</b:Guid>
    <b:Author>
      <b:Author>
        <b:Corporate>Tao, J., &amp; Yu, J.</b:Corporate>
      </b:Author>
    </b:Author>
    <b:Title>The spatial time lag in panel data models</b:Title>
    <b:JournalName>Economics Letters</b:JournalName>
    <b:Year>2012</b:Year>
    <b:Pages>544–547</b:Pages>
    <b:Volume>117</b:Volume>
    <b:Issue>3</b:Issue>
    <b:RefOrder>68</b:RefOrder>
  </b:Source>
  <b:Source>
    <b:Tag>Liu14</b:Tag>
    <b:SourceType>JournalArticle</b:SourceType>
    <b:Guid>{A42C69CF-46FC-DA4C-ABB4-62D544B2F5A1}</b:Guid>
    <b:Title>Elections, political competition and bank failure</b:Title>
    <b:Year>2014</b:Year>
    <b:Author>
      <b:Author>
        <b:Corporate>Liu, W.M.; Ngo, P.T.H.</b:Corporate>
      </b:Author>
    </b:Author>
    <b:JournalName>Journal of Financial Economics</b:JournalName>
    <b:Pages>251-268</b:Pages>
    <b:Volume>112</b:Volume>
    <b:RefOrder>69</b:RefOrder>
  </b:Source>
  <b:Source>
    <b:Tag>Hac17</b:Tag>
    <b:SourceType>JournalArticle</b:SourceType>
    <b:Guid>{7BE6F945-E129-1549-92E3-81D334CA2FFA}</b:Guid>
    <b:Author>
      <b:Author>
        <b:Corporate>Hachenberg, B.; Kesel, F.; Kolaric, S.; Schiereck, D.</b:Corporate>
      </b:Author>
    </b:Author>
    <b:Title>The impact of expected regulatory changes: The case of banks following the 2016 U.S. election</b:Title>
    <b:JournalName>Finance Research Letters</b:JournalName>
    <b:Year>2017</b:Year>
    <b:Pages>268-273</b:Pages>
    <b:Volume>22</b:Volume>
    <b:RefOrder>70</b:RefOrder>
  </b:Source>
  <b:Source>
    <b:Tag>Bao07</b:Tag>
    <b:SourceType>JournalArticle</b:SourceType>
    <b:Guid>{B4F88B3C-7616-483B-B75E-6285277F4157}</b:Guid>
    <b:Author>
      <b:Author>
        <b:Corporate>Bao, Y., Ullah, A.</b:Corporate>
      </b:Author>
    </b:Author>
    <b:Title>The second-order bias and mean squared error of estimators in time-series models</b:Title>
    <b:JournalName>Journal of Econometrics</b:JournalName>
    <b:Year>2007</b:Year>
    <b:Pages>650–669</b:Pages>
    <b:Volume>17</b:Volume>
    <b:Issue>1</b:Issue>
    <b:RefOrder>71</b:RefOrder>
  </b:Source>
  <b:Source>
    <b:Tag>Bre05</b:Tag>
    <b:SourceType>JournalArticle</b:SourceType>
    <b:Guid>{60317BEF-8400-4C3E-98EB-075E49A30D8E}</b:Guid>
    <b:Author>
      <b:Author>
        <b:NameList>
          <b:Person>
            <b:Last>Brewer</b:Last>
            <b:First>M.</b:First>
            <b:Middle>D.</b:Middle>
          </b:Person>
        </b:NameList>
      </b:Author>
    </b:Author>
    <b:Title>The rise of partisanship and the expansion of partisan conflict within the American electorate</b:Title>
    <b:JournalName>Political Research Quarterly</b:JournalName>
    <b:Year>2005</b:Year>
    <b:Pages>219–229</b:Pages>
    <b:Volume>58</b:Volume>
    <b:RefOrder>72</b:RefOrder>
  </b:Source>
  <b:Source>
    <b:Tag>Doh17</b:Tag>
    <b:SourceType>Report</b:SourceType>
    <b:Guid>{AFA83473-D109-4EC5-819A-8E3A40945309}</b:Guid>
    <b:Author>
      <b:Author>
        <b:NameList>
          <b:Person>
            <b:Last>Doherty</b:Last>
            <b:First>C.</b:First>
          </b:Person>
        </b:NameList>
      </b:Author>
    </b:Author>
    <b:Title>Key takeaways on Americans’ growing partisan divide over political values</b:Title>
    <b:Year>2017</b:Year>
    <b:Publisher>Pew Research Center</b:Publisher>
    <b:RefOrder>73</b:RefOrder>
  </b:Source>
  <b:Source>
    <b:Tag>Ber08</b:Tag>
    <b:SourceType>Report</b:SourceType>
    <b:Guid>{7CE00E8D-DA3C-43BE-B296-957932B4C3FC}</b:Guid>
    <b:Title>Coming apart? Cultural distances in the United States over time</b:Title>
    <b:Year>2008</b:Year>
    <b:Publisher>National Bureau of Economic Research Working paper 24771</b:Publisher>
    <b:Author>
      <b:Author>
        <b:Corporate>Bertrand, M.; Kamenica, E.</b:Corporate>
      </b:Author>
    </b:Author>
    <b:RefOrder>74</b:RefOrder>
  </b:Source>
  <b:Source>
    <b:Tag>Cah21</b:Tag>
    <b:SourceType>JournalArticle</b:SourceType>
    <b:Guid>{A87A829C-3856-4291-93E7-23A0336166CD}</b:Guid>
    <b:Author>
      <b:Author>
        <b:Corporate>Cahan, D.; Potrafke, N.</b:Corporate>
      </b:Author>
    </b:Author>
    <b:Title>The Democrat‑Republican presidential growth gap and the partisan balance of the state governments</b:Title>
    <b:JournalName>Public Choice</b:JournalName>
    <b:Year>2021</b:Year>
    <b:Pages>577-601</b:Pages>
    <b:Volume>189</b:Volume>
    <b:RefOrder>75</b:RefOrder>
  </b:Source>
  <b:Source>
    <b:Tag>Ber</b:Tag>
    <b:SourceType>JournalArticle</b:SourceType>
    <b:Guid>{089BB3AA-E19B-404C-ACBD-5E1EBB401D76}</b:Guid>
    <b:Author>
      <b:Author>
        <b:Corporate>Berger, A.N.; DeYoung, R.</b:Corporate>
      </b:Author>
    </b:Author>
    <b:Title>Problem loans and cost efficiency in commercial banks</b:Title>
    <b:JournalName>Journalof Banking&amp; Finance</b:JournalName>
    <b:Year>1997</b:Year>
    <b:Pages>849-870</b:Pages>
    <b:Volume>21</b:Volume>
    <b:RefOrder>76</b:RefOrder>
  </b:Source>
  <b:Source>
    <b:Tag>Har13</b:Tag>
    <b:SourceType>JournalArticle</b:SourceType>
    <b:Guid>{FD7BD970-2A3B-4A1A-BB80-1BD6B6B2B94F}</b:Guid>
    <b:Author>
      <b:Author>
        <b:Corporate>Harris, O.; Huerta, D.; Ngo, T.</b:Corporate>
      </b:Author>
    </b:Author>
    <b:Title>The impact of TARP on bank efficiency</b:Title>
    <b:JournalName>Journal of International Financial Markets, Institutions &amp; Money</b:JournalName>
    <b:Year>2013</b:Year>
    <b:Pages>85-104</b:Pages>
    <b:Volume>24</b:Volume>
    <b:RefOrder>77</b:RefOrder>
  </b:Source>
  <b:Source>
    <b:Tag>Ber21</b:Tag>
    <b:SourceType>JournalArticle</b:SourceType>
    <b:Guid>{49FEDAF9-CD0C-4A6E-A45B-04E84C68773A}</b:Guid>
    <b:Author>
      <b:Author>
        <b:Corporate>Berger, A.N.; Demirgüç-Kunt, A.</b:Corporate>
      </b:Author>
    </b:Author>
    <b:Title>Banking research in the time of COVID-19</b:Title>
    <b:JournalName>Journal of Financial Stability</b:JournalName>
    <b:Year>2021</b:Year>
    <b:Pages>1-20</b:Pages>
    <b:Volume>57</b:Volume>
    <b:RefOrder>78</b:RefOrder>
  </b:Source>
  <b:Source>
    <b:Tag>DuK18</b:Tag>
    <b:SourceType>JournalArticle</b:SourceType>
    <b:Guid>{39F3C171-6896-48EF-AC64-AE446A60A685}</b:Guid>
    <b:Author>
      <b:Author>
        <b:Corporate>Du K., Worthington A.C., Zelenyuk V.</b:Corporate>
      </b:Author>
    </b:Author>
    <b:Title>Data envelopment analysis, truncated regression and double-bootstrap for panel data with application to Chinese banking</b:Title>
    <b:JournalName>European Journal of Operational Research</b:JournalName>
    <b:Year>2018</b:Year>
    <b:Pages>748-764</b:Pages>
    <b:RefOrder>79</b:RefOrder>
  </b:Source>
  <b:Source>
    <b:Tag>Ala09</b:Tag>
    <b:SourceType>JournalArticle</b:SourceType>
    <b:Guid>{4241717E-1280-4C63-91B2-806EB642379C}</b:Guid>
    <b:Author>
      <b:Author>
        <b:Corporate>Alan, S.G.; Huber, G.A.</b:Corporate>
      </b:Author>
    </b:Author>
    <b:Title>Partisanship and economic behavior: Do partisan differences in economic forecasts predict real economic behavior?</b:Title>
    <b:JournalName>American Political Science Review</b:JournalName>
    <b:Year>2009</b:Year>
    <b:Pages>407-426</b:Pages>
    <b:Volume>103</b:Volume>
    <b:Issue>3</b:Issue>
    <b:RefOrder>80</b:RefOrder>
  </b:Source>
  <b:Source>
    <b:Tag>Ale</b:Tag>
    <b:SourceType>JournalArticle</b:SourceType>
    <b:Guid>{E2113031-2FEE-4D4D-8AFC-E0D6C08F5F45}</b:Guid>
    <b:Author>
      <b:Author>
        <b:Corporate>Alesina,A.; Sachs, J</b:Corporate>
      </b:Author>
    </b:Author>
    <b:Title>Political parties and the business cycle in the United States, 1948–1984</b:Title>
    <b:JournalName>Journal of Money, Credit, and Banking</b:JournalName>
    <b:Year>1988</b:Year>
    <b:Pages>63–82</b:Pages>
    <b:Volume>20</b:Volume>
    <b:Issue>1</b:Issue>
    <b:RefOrder>81</b:RefOrder>
  </b:Source>
  <b:Source>
    <b:Tag>DeY98</b:Tag>
    <b:SourceType>JournalArticle</b:SourceType>
    <b:Guid>{E528CD5E-C85E-4E46-AC7E-CDD4B42CF6B6}</b:Guid>
    <b:Author>
      <b:Author>
        <b:Corporate>DeYoung, R.; Hasan, I.</b:Corporate>
      </b:Author>
    </b:Author>
    <b:Title>The performance of de novo commercial banks: A profit efficiency approach</b:Title>
    <b:JournalName>Journal of Banking &amp; Finance</b:JournalName>
    <b:Year>1998</b:Year>
    <b:Pages>565–587</b:Pages>
    <b:Volume>22</b:Volume>
    <b:RefOrder>82</b:RefOrder>
  </b:Source>
  <b:Source>
    <b:Tag>Elh09</b:Tag>
    <b:SourceType>JournalArticle</b:SourceType>
    <b:Guid>{0A2C9A9D-0BE8-43FA-9BF3-3877DE86E089}</b:Guid>
    <b:Author>
      <b:Author>
        <b:Corporate>Elhorst, J.P., Freret, S.</b:Corporate>
      </b:Author>
    </b:Author>
    <b:Title>Evidence of political yardstick competition in France using a two-regime evidence of political yardstick competition in France using a two-regime</b:Title>
    <b:JournalName>Journal of Regional Science</b:JournalName>
    <b:Year>2009</b:Year>
    <b:Pages>931–951</b:Pages>
    <b:Volume>49</b:Volume>
    <b:Issue>5</b:Issue>
    <b:RefOrder>83</b:RefOrder>
  </b:Source>
  <b:Source>
    <b:Tag>Fer18</b:Tag>
    <b:SourceType>JournalArticle</b:SourceType>
    <b:Guid>{BBBE86C2-02C5-49C5-BEF6-F9452BDCB710}</b:Guid>
    <b:Author>
      <b:Author>
        <b:Corporate>Fernandes, F.D.S.; Stasinakis, C.; Bardarova, V.</b:Corporate>
      </b:Author>
    </b:Author>
    <b:Title>Two-stage DEA-Truncated regression: Application in banking efficiency and financial development</b:Title>
    <b:JournalName>Expert Systems With Applications</b:JournalName>
    <b:Year>2018</b:Year>
    <b:Pages>284-301</b:Pages>
    <b:Volume>96</b:Volume>
    <b:RefOrder>84</b:RefOrder>
  </b:Source>
  <b:Source>
    <b:Tag>Pap21</b:Tag>
    <b:SourceType>JournalArticle</b:SourceType>
    <b:Guid>{20935271-99F4-414E-BDEC-47EB6065EC43}</b:Guid>
    <b:Author>
      <b:Author>
        <b:Corporate>Papadimitri, P.; Pasiouras, F.; Pescetto, G; Wohlschlegel, A.</b:Corporate>
      </b:Author>
    </b:Author>
    <b:Title>Does political influence distort banking regulation? Evidence from the U.S.</b:Title>
    <b:JournalName>Journal of Financial Stability</b:JournalName>
    <b:Year>2021</b:Year>
    <b:Volume>53</b:Volume>
    <b:Pages>1-22</b:Pages>
    <b:RefOrder>85</b:RefOrder>
  </b:Source>
  <b:Source>
    <b:Tag>Skr04</b:Tag>
    <b:SourceType>Book</b:SourceType>
    <b:Guid>{5B3B1C0F-4A95-41FE-8D83-18B4A097076C}</b:Guid>
    <b:Author>
      <b:Author>
        <b:Corporate>Skrondal, A.; Rabe-Hesketh, S.</b:Corporate>
      </b:Author>
    </b:Author>
    <b:Title>Generalized latent variable modeling: Multilevel, longitudinal, and structural equation models</b:Title>
    <b:Year>2004</b:Year>
    <b:City>Boca Raton</b:City>
    <b:Publisher>Chapman &amp; Hall/CRC</b:Publisher>
    <b:RefOrder>86</b:RefOrder>
  </b:Source>
  <b:Source>
    <b:Tag>Ans88</b:Tag>
    <b:SourceType>Book</b:SourceType>
    <b:Guid>{AD11FD21-8D74-427B-9FDA-32A985D2C40B}</b:Guid>
    <b:Title>Spatial econometrics: Methods and models Vol. 4</b:Title>
    <b:Year>1988</b:Year>
    <b:City>Berlin</b:City>
    <b:Publisher>Springer Science and Business Media</b:Publisher>
    <b:Author>
      <b:Author>
        <b:NameList>
          <b:Person>
            <b:Last>Anselin</b:Last>
            <b:First>L.</b:First>
          </b:Person>
        </b:NameList>
      </b:Author>
    </b:Author>
    <b:RefOrder>87</b:RefOrder>
  </b:Source>
  <b:Source>
    <b:Tag>Hib77</b:Tag>
    <b:SourceType>JournalArticle</b:SourceType>
    <b:Guid>{61BA3177-C76D-4BCB-9D0B-94AB3288621B}</b:Guid>
    <b:Title>Political parties and macroeconomic policy</b:Title>
    <b:JournalName>American Political Science Review</b:JournalName>
    <b:Year>1977</b:Year>
    <b:Pages>1467–1487</b:Pages>
    <b:Author>
      <b:Author>
        <b:NameList>
          <b:Person>
            <b:Last>Hibbs</b:Last>
            <b:First>D.</b:First>
            <b:Middle>A., Jr</b:Middle>
          </b:Person>
        </b:NameList>
      </b:Author>
    </b:Author>
    <b:Volume>71</b:Volume>
    <b:Issue>4</b:Issue>
    <b:RefOrder>88</b:RefOrder>
  </b:Source>
  <b:Source>
    <b:Tag>Kem21</b:Tag>
    <b:SourceType>JournalArticle</b:SourceType>
    <b:Guid>{74F22BCC-B35C-4AB5-87F9-6CD457FA0642}</b:Guid>
    <b:Author>
      <b:Author>
        <b:Corporate>Kempf, E; Tsoutsoura, M.</b:Corporate>
      </b:Author>
    </b:Author>
    <b:Title>Partisan professionals: Evidence from credit rating analysts</b:Title>
    <b:JournalName>The Journal of Finance</b:JournalName>
    <b:Year>2021</b:Year>
    <b:Pages>2805-2856</b:Pages>
    <b:Volume>76</b:Volume>
    <b:Issue>6</b:Issue>
    <b:RefOrder>89</b:RefOrder>
  </b:Source>
  <b:Source>
    <b:Tag>Kor16</b:Tag>
    <b:SourceType>JournalArticle</b:SourceType>
    <b:Guid>{4BE2A8EB-362A-4248-8BE2-9493656DE1E8}</b:Guid>
    <b:Author>
      <b:Author>
        <b:Corporate>Koroglu, M., &amp; Sun, Y.</b:Corporate>
      </b:Author>
    </b:Author>
    <b:Title>Functional-coefficient spatial Durbin models with nonparametric spatial Functional-coefficient spatial Durbin models with nonparametric spatial</b:Title>
    <b:JournalName>Econometrics</b:JournalName>
    <b:Year>2016</b:Year>
    <b:Pages>1-16</b:Pages>
    <b:Volume>4</b:Volume>
    <b:Issue>1</b:Issue>
    <b:RefOrder>90</b:RefOrder>
  </b:Source>
  <b:Source>
    <b:Tag>Ril801</b:Tag>
    <b:SourceType>JournalArticle</b:SourceType>
    <b:Guid>{2936C575-A1B7-4351-A211-9EB47101B69C}</b:Guid>
    <b:Author>
      <b:Author>
        <b:Corporate>Riley W. B.; Luksetich, W. A.</b:Corporate>
      </b:Author>
    </b:Author>
    <b:Title>The market prefers republicans: Myth or reality</b:Title>
    <b:JournalName>Journal of Financial and Quantitative Analysis</b:JournalName>
    <b:Year>1980</b:Year>
    <b:Pages>541-560</b:Pages>
    <b:Volume>15</b:Volume>
    <b:Issue>3</b:Issue>
    <b:RefOrder>91</b:RefOrder>
  </b:Source>
  <b:Source>
    <b:Tag>Bli16</b:Tag>
    <b:SourceType>JournalArticle</b:SourceType>
    <b:Guid>{34BB43AB-346A-496F-977D-B783C1F504EC}</b:Guid>
    <b:Author>
      <b:Author>
        <b:Corporate>Blinder, A.S.; Watson, M.W.</b:Corporate>
      </b:Author>
    </b:Author>
    <b:Title>Presidents and the U.S. economy: An econometric exploration</b:Title>
    <b:JournalName>American Economic Review</b:JournalName>
    <b:Year>2016</b:Year>
    <b:Pages>1015–1045</b:Pages>
    <b:Volume>106</b:Volume>
    <b:Issue>4</b:Issue>
    <b:RefOrder>92</b:RefOrder>
  </b:Source>
  <b:Source>
    <b:Tag>Fen12</b:Tag>
    <b:SourceType>JournalArticle</b:SourceType>
    <b:Guid>{D2FBBCB3-8378-4191-8226-77800E2BB3B3}</b:Guid>
    <b:Author>
      <b:Author>
        <b:Corporate>Feng, G.; Zhang, X</b:Corporate>
      </b:Author>
    </b:Author>
    <b:Title>Productivity and efficiency at large and community banks in the U.S.: A Bayesian true random effects stochastic distance frontier analysis</b:Title>
    <b:JournalName>Journal of Banking &amp; Finance</b:JournalName>
    <b:Year>2012</b:Year>
    <b:Pages>1883-1895</b:Pages>
    <b:RefOrder>93</b:RefOrder>
  </b:Source>
  <b:Source>
    <b:Tag>Hei22</b:Tag>
    <b:SourceType>Report</b:SourceType>
    <b:Guid>{97097F2F-E4AC-4B62-9FCA-4CCFB7E15004}</b:Guid>
    <b:Author>
      <b:Author>
        <b:Corporate>Heitmann, D.; Chowdhury, M.A.F; Islam, M.S.</b:Corporate>
      </b:Author>
    </b:Author>
    <b:Title>Heterogeneous Impact of Covid-19 on the U.S. Banking Sector</b:Title>
    <b:Year>2022</b:Year>
    <b:Publisher>SSRN Working Paper</b:Publisher>
    <b:RefOrder>94</b:RefOrder>
  </b:Source>
  <b:Source>
    <b:Tag>LeM20</b:Tag>
    <b:SourceType>JournalArticle</b:SourceType>
    <b:Guid>{843597CB-420C-4348-9077-EC7B97B6D4D1}</b:Guid>
    <b:Author>
      <b:Author>
        <b:Corporate>Le, M.; Hoang, V.; Wilson, C.; Managi, S.</b:Corporate>
      </b:Author>
    </b:Author>
    <b:Title>Net stable funding ratio and profit efficiency of commercial banks in the U.S.</b:Title>
    <b:JournalName>Economic Analysis and Policy</b:JournalName>
    <b:Year>2020</b:Year>
    <b:Pages>55-66</b:Pages>
    <b:Volume>67</b:Volume>
    <b:RefOrder>95</b:RefOrder>
  </b:Source>
  <b:Source>
    <b:Tag>QuX12</b:Tag>
    <b:SourceType>JournalArticle</b:SourceType>
    <b:Guid>{FE572788-099D-4447-A905-A39231FAD7B2}</b:Guid>
    <b:Author>
      <b:Author>
        <b:Corporate>Qu, X.; Lee, L.</b:Corporate>
      </b:Author>
    </b:Author>
    <b:Title>LM tests for spatial correlation in spatial models with limited dependent variables</b:Title>
    <b:JournalName>Regional Science and Urban Economics</b:JournalName>
    <b:Year>2012</b:Year>
    <b:Pages>430-445</b:Pages>
    <b:Volume>42</b:Volume>
    <b:Issue>3</b:Issue>
    <b:RefOrder>96</b:RefOrder>
  </b:Source>
  <b:Source>
    <b:Tag>Mat08</b:Tag>
    <b:SourceType>Book</b:SourceType>
    <b:Guid>{481420A2-3997-F94A-B67C-A0256BD6CD2E}</b:Guid>
    <b:Title>The Economics of Banking</b:Title>
    <b:Year>2008</b:Year>
    <b:Author>
      <b:Author>
        <b:Corporate>Matthews, K.; Thompson, J.</b:Corporate>
      </b:Author>
    </b:Author>
    <b:City>Chichester</b:City>
    <b:Publisher>John Wiley &amp; Sons, Ltd.</b:Publisher>
    <b:RefOrder>97</b:RefOrder>
  </b:Source>
  <b:Source>
    <b:Tag>Mat16</b:Tag>
    <b:SourceType>JournalArticle</b:SourceType>
    <b:Guid>{F08FD431-E6E4-5542-9912-AFE3CA2DEF91}</b:Guid>
    <b:Author>
      <b:Author>
        <b:Corporate>Matousek, R.; Tzeremes, N.G.</b:Corporate>
      </b:Author>
    </b:Author>
    <b:Title>CEO compensation and bank efficiency: An application of conditional nonparametric frontiers</b:Title>
    <b:JournalName>European Journal of Operational Research</b:JournalName>
    <b:Year>2016</b:Year>
    <b:Pages>264-273</b:Pages>
    <b:Volume>251</b:Volume>
    <b:RefOrder>98</b:RefOrder>
  </b:Source>
  <b:Source>
    <b:Tag>Tsi18</b:Tag>
    <b:SourceType>JournalArticle</b:SourceType>
    <b:Guid>{6BDFA1E0-4371-F246-B67D-7320A6D8F41E}</b:Guid>
    <b:Author>
      <b:Author>
        <b:Corporate>Tsionas, E.G.; Malikov, E.; Kumbhakar, S.C.</b:Corporate>
      </b:Author>
    </b:Author>
    <b:Title>An internally consistent approach to the estimation of market power   and cost efficiency with an application to U.S. banking</b:Title>
    <b:JournalName>European Journal of Operational Research</b:JournalName>
    <b:Year>2018</b:Year>
    <b:Pages>747-760</b:Pages>
    <b:Volume>270</b:Volume>
    <b:RefOrder>99</b:RefOrder>
  </b:Source>
</b:Sources>
</file>

<file path=customXml/itemProps1.xml><?xml version="1.0" encoding="utf-8"?>
<ds:datastoreItem xmlns:ds="http://schemas.openxmlformats.org/officeDocument/2006/customXml" ds:itemID="{A4FF2D11-53AC-4AB1-8D6A-F4A980B9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17737</Words>
  <Characters>101104</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United Kingdom</Company>
  <LinksUpToDate>false</LinksUpToDate>
  <CharactersWithSpaces>118604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Nguyen</dc:creator>
  <cp:keywords/>
  <dc:description/>
  <cp:lastModifiedBy>Tapas Mishra</cp:lastModifiedBy>
  <cp:revision>2</cp:revision>
  <cp:lastPrinted>2023-03-16T21:02:00Z</cp:lastPrinted>
  <dcterms:created xsi:type="dcterms:W3CDTF">2026-03-23T09:33:00Z</dcterms:created>
  <dcterms:modified xsi:type="dcterms:W3CDTF">2026-03-23T09:33:00Z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54fedb44-6dd6-4e92-8a71-9dc03fd5ae68</vt:lpwstr>
  </property>
</Properties>
</file>