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54158" w14:textId="77777777" w:rsidR="00503E72" w:rsidRDefault="00503E72" w:rsidP="00503E72">
      <w:pPr>
        <w:spacing w:line="360" w:lineRule="auto"/>
        <w:jc w:val="center"/>
        <w:rPr>
          <w:rFonts w:ascii="Times New Roman" w:hAnsi="Times New Roman" w:cs="Times New Roman"/>
          <w:b/>
          <w:bCs/>
          <w:sz w:val="32"/>
          <w:szCs w:val="32"/>
          <w:lang w:val="en-GB"/>
        </w:rPr>
      </w:pPr>
      <w:r>
        <w:rPr>
          <w:rFonts w:ascii="Times New Roman" w:hAnsi="Times New Roman" w:cs="Times New Roman"/>
          <w:b/>
          <w:bCs/>
          <w:sz w:val="32"/>
          <w:szCs w:val="32"/>
        </w:rPr>
        <w:t xml:space="preserve">Cross-border bank lending under ambiguity: </w:t>
      </w:r>
    </w:p>
    <w:p w14:paraId="20A8C0BC" w14:textId="77777777" w:rsidR="00503E72" w:rsidRDefault="00503E72" w:rsidP="00503E72">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an analysis of claims and syndications</w:t>
      </w:r>
    </w:p>
    <w:p w14:paraId="04F6B834" w14:textId="77777777" w:rsidR="00503E72" w:rsidRDefault="00503E72" w:rsidP="00503E72">
      <w:pPr>
        <w:spacing w:line="360" w:lineRule="auto"/>
        <w:jc w:val="center"/>
        <w:rPr>
          <w:rFonts w:ascii="Times New Roman" w:hAnsi="Times New Roman" w:cs="Times New Roman"/>
          <w:b/>
          <w:bCs/>
          <w:sz w:val="16"/>
          <w:szCs w:val="16"/>
        </w:rPr>
      </w:pPr>
    </w:p>
    <w:p w14:paraId="08055672" w14:textId="77777777" w:rsidR="00503E72" w:rsidRDefault="00503E72" w:rsidP="00503E72">
      <w:pPr>
        <w:jc w:val="center"/>
        <w:rPr>
          <w:rFonts w:ascii="Times New Roman" w:hAnsi="Times New Roman" w:cs="Times New Roman"/>
          <w:sz w:val="25"/>
          <w:szCs w:val="25"/>
          <w:lang w:val="fr-FR"/>
        </w:rPr>
      </w:pPr>
      <w:r>
        <w:rPr>
          <w:rFonts w:ascii="Times New Roman" w:hAnsi="Times New Roman" w:cs="Times New Roman"/>
          <w:sz w:val="25"/>
          <w:szCs w:val="25"/>
          <w:lang w:val="fr-FR"/>
        </w:rPr>
        <w:t>Yun Luo</w:t>
      </w:r>
      <w:r>
        <w:rPr>
          <w:rFonts w:ascii="Times New Roman" w:hAnsi="Times New Roman" w:cs="Times New Roman"/>
          <w:sz w:val="25"/>
          <w:szCs w:val="25"/>
          <w:vertAlign w:val="superscript"/>
          <w:lang w:val="fr-FR"/>
        </w:rPr>
        <w:t>1, *</w:t>
      </w:r>
      <w:r>
        <w:rPr>
          <w:rFonts w:ascii="Times New Roman" w:hAnsi="Times New Roman" w:cs="Times New Roman"/>
          <w:b/>
          <w:sz w:val="25"/>
          <w:szCs w:val="25"/>
          <w:lang w:val="fr-FR"/>
        </w:rPr>
        <w:t>,</w:t>
      </w:r>
      <w:r>
        <w:rPr>
          <w:rFonts w:ascii="Times New Roman" w:hAnsi="Times New Roman" w:cs="Times New Roman"/>
          <w:sz w:val="25"/>
          <w:szCs w:val="25"/>
          <w:lang w:val="fr-FR"/>
        </w:rPr>
        <w:t xml:space="preserve"> Di Luo</w:t>
      </w:r>
      <w:r>
        <w:rPr>
          <w:rFonts w:ascii="Times New Roman" w:hAnsi="Times New Roman" w:cs="Times New Roman"/>
          <w:sz w:val="25"/>
          <w:szCs w:val="25"/>
          <w:vertAlign w:val="superscript"/>
          <w:lang w:val="fr-FR"/>
        </w:rPr>
        <w:t>2</w:t>
      </w:r>
      <w:r>
        <w:rPr>
          <w:rFonts w:ascii="Times New Roman" w:hAnsi="Times New Roman" w:cs="Times New Roman"/>
          <w:sz w:val="25"/>
          <w:szCs w:val="25"/>
          <w:lang w:val="fr-FR"/>
        </w:rPr>
        <w:t>, Glauco De Vita</w:t>
      </w:r>
      <w:r>
        <w:rPr>
          <w:rFonts w:ascii="Times New Roman" w:hAnsi="Times New Roman" w:cs="Times New Roman"/>
          <w:sz w:val="25"/>
          <w:szCs w:val="25"/>
          <w:vertAlign w:val="superscript"/>
          <w:lang w:val="fr-FR"/>
        </w:rPr>
        <w:t>3</w:t>
      </w:r>
    </w:p>
    <w:p w14:paraId="4FD205B1" w14:textId="77777777" w:rsidR="00503E72" w:rsidRDefault="00503E72" w:rsidP="00503E72">
      <w:pPr>
        <w:jc w:val="center"/>
        <w:rPr>
          <w:rFonts w:ascii="Times New Roman" w:hAnsi="Times New Roman" w:cs="Times New Roman"/>
          <w:bCs/>
          <w:i/>
          <w:sz w:val="22"/>
          <w:szCs w:val="22"/>
        </w:rPr>
      </w:pPr>
      <w:r>
        <w:rPr>
          <w:rFonts w:ascii="Times New Roman" w:hAnsi="Times New Roman" w:cs="Times New Roman"/>
          <w:sz w:val="22"/>
          <w:szCs w:val="22"/>
          <w:vertAlign w:val="superscript"/>
        </w:rPr>
        <w:t>1</w:t>
      </w:r>
      <w:r>
        <w:rPr>
          <w:rFonts w:ascii="Times New Roman" w:hAnsi="Times New Roman" w:cs="Times New Roman"/>
          <w:i/>
          <w:sz w:val="22"/>
          <w:szCs w:val="22"/>
        </w:rPr>
        <w:t xml:space="preserve"> Southampton Business School, University of Southampton, Highfield, Southampton SO17 1BJ, UK. E-mail: </w:t>
      </w:r>
      <w:hyperlink r:id="rId11" w:history="1">
        <w:r>
          <w:rPr>
            <w:rStyle w:val="Hyperlink"/>
            <w:rFonts w:ascii="Times New Roman" w:hAnsi="Times New Roman" w:cs="Times New Roman"/>
            <w:i/>
            <w:sz w:val="22"/>
            <w:szCs w:val="22"/>
          </w:rPr>
          <w:t>Y.Luo@soton.ac.uk</w:t>
        </w:r>
      </w:hyperlink>
      <w:r>
        <w:rPr>
          <w:rFonts w:ascii="Times New Roman" w:hAnsi="Times New Roman" w:cs="Times New Roman"/>
          <w:i/>
          <w:sz w:val="22"/>
          <w:szCs w:val="22"/>
        </w:rPr>
        <w:t xml:space="preserve">  </w:t>
      </w:r>
      <w:r>
        <w:rPr>
          <w:rFonts w:ascii="Times New Roman" w:hAnsi="Times New Roman" w:cs="Times New Roman"/>
          <w:bCs/>
          <w:i/>
          <w:sz w:val="22"/>
          <w:szCs w:val="22"/>
        </w:rPr>
        <w:t>* Corresponding author.</w:t>
      </w:r>
    </w:p>
    <w:p w14:paraId="47312C92" w14:textId="77777777" w:rsidR="00503E72" w:rsidRDefault="00503E72" w:rsidP="00503E72">
      <w:pPr>
        <w:jc w:val="center"/>
        <w:rPr>
          <w:rFonts w:ascii="Times New Roman" w:hAnsi="Times New Roman" w:cs="Times New Roman"/>
          <w:i/>
          <w:sz w:val="22"/>
          <w:szCs w:val="22"/>
        </w:rPr>
      </w:pPr>
      <w:r>
        <w:rPr>
          <w:rFonts w:ascii="Times New Roman" w:hAnsi="Times New Roman" w:cs="Times New Roman"/>
          <w:sz w:val="22"/>
          <w:szCs w:val="22"/>
          <w:vertAlign w:val="superscript"/>
        </w:rPr>
        <w:t>2</w:t>
      </w:r>
      <w:r>
        <w:rPr>
          <w:rFonts w:ascii="Times New Roman" w:hAnsi="Times New Roman" w:cs="Times New Roman"/>
          <w:i/>
          <w:sz w:val="22"/>
          <w:szCs w:val="22"/>
        </w:rPr>
        <w:t xml:space="preserve"> School of Business, University of Dundee,</w:t>
      </w:r>
      <w:r>
        <w:t xml:space="preserve"> </w:t>
      </w:r>
      <w:r>
        <w:rPr>
          <w:rFonts w:ascii="Times New Roman" w:hAnsi="Times New Roman" w:cs="Times New Roman"/>
          <w:i/>
          <w:sz w:val="22"/>
          <w:szCs w:val="22"/>
        </w:rPr>
        <w:t>Nethergate, Dundee DD1 4HN, UK. E-mail:</w:t>
      </w:r>
      <w:r>
        <w:t xml:space="preserve"> </w:t>
      </w:r>
      <w:hyperlink r:id="rId12" w:history="1">
        <w:r>
          <w:rPr>
            <w:rStyle w:val="Hyperlink"/>
            <w:rFonts w:ascii="Times New Roman" w:hAnsi="Times New Roman" w:cs="Times New Roman"/>
            <w:i/>
            <w:sz w:val="22"/>
            <w:szCs w:val="22"/>
          </w:rPr>
          <w:t>dluo001@dundee.ac.uk</w:t>
        </w:r>
      </w:hyperlink>
    </w:p>
    <w:p w14:paraId="4487ABA4" w14:textId="77777777" w:rsidR="00503E72" w:rsidRDefault="00503E72" w:rsidP="00503E72">
      <w:pPr>
        <w:jc w:val="center"/>
        <w:rPr>
          <w:rFonts w:ascii="Times New Roman" w:hAnsi="Times New Roman" w:cs="Times New Roman"/>
          <w:i/>
          <w:sz w:val="22"/>
          <w:szCs w:val="22"/>
          <w:lang w:val="en-GB"/>
        </w:rPr>
      </w:pPr>
      <w:r>
        <w:rPr>
          <w:rFonts w:ascii="Times New Roman" w:hAnsi="Times New Roman" w:cs="Times New Roman"/>
          <w:sz w:val="22"/>
          <w:szCs w:val="22"/>
          <w:vertAlign w:val="superscript"/>
        </w:rPr>
        <w:t xml:space="preserve">3 </w:t>
      </w:r>
      <w:r>
        <w:rPr>
          <w:rFonts w:ascii="Times New Roman" w:hAnsi="Times New Roman" w:cs="Times New Roman"/>
          <w:i/>
          <w:sz w:val="22"/>
          <w:szCs w:val="22"/>
        </w:rPr>
        <w:t xml:space="preserve">Centre for Resilient Business and Society, Coventry University, Priory Street, Coventry CV1 5FB, UK. E-mail: </w:t>
      </w:r>
      <w:hyperlink r:id="rId13" w:history="1">
        <w:r>
          <w:rPr>
            <w:rStyle w:val="Hyperlink"/>
            <w:rFonts w:ascii="Times New Roman" w:hAnsi="Times New Roman" w:cs="Times New Roman"/>
            <w:i/>
            <w:sz w:val="22"/>
            <w:szCs w:val="22"/>
          </w:rPr>
          <w:t>glauco.devita@coventry.ac.uk</w:t>
        </w:r>
      </w:hyperlink>
    </w:p>
    <w:p w14:paraId="23D07AD0" w14:textId="77777777" w:rsidR="00503E72" w:rsidRDefault="00503E72" w:rsidP="00503E72">
      <w:pPr>
        <w:spacing w:line="360" w:lineRule="auto"/>
        <w:jc w:val="center"/>
        <w:rPr>
          <w:rFonts w:ascii="Times New Roman" w:hAnsi="Times New Roman" w:cs="Times New Roman"/>
          <w:b/>
          <w:bCs/>
        </w:rPr>
      </w:pPr>
    </w:p>
    <w:p w14:paraId="100434F0" w14:textId="77777777" w:rsidR="00503E72" w:rsidRDefault="00503E72" w:rsidP="00503E72">
      <w:pPr>
        <w:spacing w:line="360" w:lineRule="auto"/>
        <w:jc w:val="both"/>
        <w:rPr>
          <w:rFonts w:ascii="Times New Roman" w:hAnsi="Times New Roman" w:cs="Times New Roman"/>
          <w:b/>
          <w:bCs/>
        </w:rPr>
      </w:pPr>
      <w:r>
        <w:rPr>
          <w:rFonts w:ascii="Times New Roman" w:hAnsi="Times New Roman" w:cs="Times New Roman"/>
          <w:b/>
          <w:bCs/>
        </w:rPr>
        <w:t>Abstract</w:t>
      </w:r>
    </w:p>
    <w:p w14:paraId="0C6F9795" w14:textId="77777777" w:rsidR="00503E72" w:rsidRDefault="00503E72" w:rsidP="00503E72">
      <w:pPr>
        <w:spacing w:line="360" w:lineRule="auto"/>
        <w:jc w:val="both"/>
        <w:rPr>
          <w:rFonts w:ascii="Times New Roman" w:hAnsi="Times New Roman" w:cs="Times New Roman"/>
          <w:lang w:val="en-GB"/>
        </w:rPr>
      </w:pPr>
      <w:bookmarkStart w:id="0" w:name="_Hlk183101339"/>
      <w:r>
        <w:rPr>
          <w:rFonts w:ascii="Times New Roman" w:hAnsi="Times New Roman" w:cs="Times New Roman"/>
        </w:rPr>
        <w:t>This paper is the first to explore how ambiguity arising from incomplete information about probabilities (a.k.a. Knightian uncertainty) – an altogether different construct from risk or economic policy uncertainty – affects cross border bank lending (claims and syndications). Using high-frequency stock return data from 20 countries to compute a newly defined measure of ambiguity, our results show a significant positive relationship between heightened ambiguity in source countries and increased cross-border bank lending. The relationship remains robust after controlling for macroeconomic factors. The results suggest that banks respond to domestic market ambiguity by restructuring their business portfolios and increasing their financial credit exposures abroad. This is consistent with theoretical hypotheses around banks’ ambiguity aversion. On the other hand, in line with most prior findings in existing literature, a volatility measure of risk is found to have a negative effect on cross-border bank lending. By isolating the effect of home country ambiguity from commonly adopted measures of risk or broadly defined uncertainty, our study provides an important insight for policymakers and banking supervisors navigating the complexities of global finance in an increasingly uncertain environment.</w:t>
      </w:r>
    </w:p>
    <w:bookmarkEnd w:id="0"/>
    <w:p w14:paraId="3016F20B" w14:textId="77777777" w:rsidR="00503E72" w:rsidRDefault="00503E72" w:rsidP="00503E72">
      <w:pPr>
        <w:spacing w:line="360" w:lineRule="auto"/>
        <w:jc w:val="both"/>
        <w:rPr>
          <w:rFonts w:ascii="Times New Roman" w:hAnsi="Times New Roman" w:cs="Times New Roman"/>
          <w:b/>
        </w:rPr>
      </w:pPr>
    </w:p>
    <w:p w14:paraId="7B504B56" w14:textId="77777777" w:rsidR="00503E72" w:rsidRDefault="00503E72" w:rsidP="00503E72">
      <w:pPr>
        <w:spacing w:line="360" w:lineRule="auto"/>
        <w:jc w:val="both"/>
        <w:rPr>
          <w:rFonts w:ascii="Times New Roman" w:hAnsi="Times New Roman" w:cs="Times New Roman"/>
        </w:rPr>
      </w:pPr>
      <w:r>
        <w:rPr>
          <w:rFonts w:ascii="Times New Roman" w:hAnsi="Times New Roman" w:cs="Times New Roman"/>
          <w:b/>
        </w:rPr>
        <w:t xml:space="preserve">Keywords  </w:t>
      </w:r>
      <w:r>
        <w:rPr>
          <w:rFonts w:ascii="Times New Roman" w:hAnsi="Times New Roman" w:cs="Times New Roman"/>
        </w:rPr>
        <w:t>Ambiguity; Knightian uncertainty; International bank lending; Cross-border bank flows</w:t>
      </w:r>
    </w:p>
    <w:p w14:paraId="52671D0D" w14:textId="77777777" w:rsidR="00503E72" w:rsidRDefault="00503E72" w:rsidP="00503E72">
      <w:pPr>
        <w:spacing w:line="360" w:lineRule="auto"/>
        <w:rPr>
          <w:rFonts w:ascii="Times New Roman" w:hAnsi="Times New Roman" w:cs="Times New Roman"/>
          <w:noProof/>
        </w:rPr>
      </w:pPr>
      <w:r>
        <w:rPr>
          <w:rFonts w:ascii="Times New Roman" w:hAnsi="Times New Roman" w:cs="Times New Roman"/>
          <w:b/>
          <w:bCs/>
          <w:noProof/>
        </w:rPr>
        <w:t>JEL</w:t>
      </w:r>
      <w:r>
        <w:rPr>
          <w:rFonts w:ascii="Times New Roman" w:hAnsi="Times New Roman" w:cs="Times New Roman"/>
          <w:noProof/>
        </w:rPr>
        <w:t xml:space="preserve">  F21;F34; G21</w:t>
      </w:r>
    </w:p>
    <w:p w14:paraId="58D24A79" w14:textId="77777777" w:rsidR="00503E72" w:rsidRDefault="00503E72" w:rsidP="00503E72">
      <w:pPr>
        <w:spacing w:line="360" w:lineRule="auto"/>
        <w:rPr>
          <w:rFonts w:ascii="Times New Roman" w:hAnsi="Times New Roman" w:cs="Times New Roman"/>
          <w:noProof/>
        </w:rPr>
      </w:pPr>
    </w:p>
    <w:p w14:paraId="2BEC5BA3" w14:textId="77777777" w:rsidR="00503E72" w:rsidRDefault="00503E72" w:rsidP="006A123D">
      <w:pPr>
        <w:spacing w:line="360" w:lineRule="auto"/>
        <w:rPr>
          <w:rFonts w:ascii="Times New Roman" w:hAnsi="Times New Roman" w:cs="Times New Roman"/>
          <w:b/>
          <w:bCs/>
          <w:sz w:val="32"/>
          <w:szCs w:val="32"/>
        </w:rPr>
        <w:sectPr w:rsidR="00503E72" w:rsidSect="00C8430E">
          <w:footerReference w:type="default" r:id="rId14"/>
          <w:pgSz w:w="11900" w:h="16840"/>
          <w:pgMar w:top="1440" w:right="1440" w:bottom="1440" w:left="1440" w:header="708" w:footer="708" w:gutter="0"/>
          <w:cols w:space="708"/>
          <w:docGrid w:linePitch="360"/>
        </w:sectPr>
      </w:pPr>
    </w:p>
    <w:p w14:paraId="3ECD91F4" w14:textId="31BD0503" w:rsidR="00CD43F7" w:rsidRPr="00E37223" w:rsidRDefault="003E1B0A" w:rsidP="00DD3FB5">
      <w:pPr>
        <w:spacing w:line="360" w:lineRule="auto"/>
        <w:rPr>
          <w:rFonts w:ascii="Times New Roman" w:hAnsi="Times New Roman" w:cs="Times New Roman"/>
          <w:b/>
          <w:bCs/>
        </w:rPr>
      </w:pPr>
      <w:r w:rsidRPr="00E37223">
        <w:rPr>
          <w:rFonts w:ascii="Times New Roman" w:hAnsi="Times New Roman" w:cs="Times New Roman"/>
          <w:b/>
          <w:bCs/>
        </w:rPr>
        <w:lastRenderedPageBreak/>
        <w:t>1</w:t>
      </w:r>
      <w:r w:rsidR="00EE2ED1" w:rsidRPr="00E37223">
        <w:rPr>
          <w:rFonts w:ascii="Times New Roman" w:hAnsi="Times New Roman" w:cs="Times New Roman"/>
          <w:b/>
          <w:bCs/>
        </w:rPr>
        <w:t xml:space="preserve"> </w:t>
      </w:r>
      <w:r w:rsidR="003F3C98" w:rsidRPr="00E37223">
        <w:rPr>
          <w:rFonts w:ascii="Times New Roman" w:hAnsi="Times New Roman" w:cs="Times New Roman"/>
          <w:b/>
          <w:bCs/>
        </w:rPr>
        <w:t xml:space="preserve"> </w:t>
      </w:r>
      <w:r w:rsidR="00EE2ED1" w:rsidRPr="00E37223">
        <w:rPr>
          <w:rFonts w:ascii="Times New Roman" w:hAnsi="Times New Roman" w:cs="Times New Roman"/>
          <w:b/>
          <w:bCs/>
        </w:rPr>
        <w:t>Introduction</w:t>
      </w:r>
    </w:p>
    <w:p w14:paraId="5322F6BC" w14:textId="50DB57FD" w:rsidR="00310A34" w:rsidRPr="00E37223" w:rsidRDefault="00423A5C" w:rsidP="00310A34">
      <w:pPr>
        <w:autoSpaceDE w:val="0"/>
        <w:autoSpaceDN w:val="0"/>
        <w:adjustRightInd w:val="0"/>
        <w:spacing w:line="360" w:lineRule="auto"/>
        <w:rPr>
          <w:rFonts w:ascii="Times New Roman" w:hAnsi="Times New Roman" w:cs="Times New Roman"/>
        </w:rPr>
      </w:pPr>
      <w:bookmarkStart w:id="1" w:name="_Hlk216276514"/>
      <w:r w:rsidRPr="00E37223">
        <w:rPr>
          <w:rFonts w:ascii="Times New Roman" w:hAnsi="Times New Roman" w:cs="Times New Roman"/>
        </w:rPr>
        <w:t xml:space="preserve">Unlike risk, a construct based on measurable probability, the concept of ambiguity, strictly derived from ‘Knightian uncertainty’ and based on </w:t>
      </w:r>
      <w:r w:rsidR="00605667" w:rsidRPr="00E37223">
        <w:rPr>
          <w:rFonts w:ascii="Times New Roman" w:hAnsi="Times New Roman" w:cs="Times New Roman"/>
        </w:rPr>
        <w:t xml:space="preserve">scenarios of </w:t>
      </w:r>
      <w:r w:rsidRPr="00E37223">
        <w:rPr>
          <w:rFonts w:ascii="Times New Roman" w:hAnsi="Times New Roman" w:cs="Times New Roman"/>
        </w:rPr>
        <w:t xml:space="preserve">incomplete information about probabilities, has never before been investigated in the context of cross border bank lending. This is particularly surprising not only because the </w:t>
      </w:r>
      <w:r w:rsidR="00605667" w:rsidRPr="00E37223">
        <w:rPr>
          <w:rFonts w:ascii="Times New Roman" w:hAnsi="Times New Roman" w:cs="Times New Roman"/>
        </w:rPr>
        <w:t xml:space="preserve">theoretical </w:t>
      </w:r>
      <w:r w:rsidRPr="00E37223">
        <w:rPr>
          <w:rFonts w:ascii="Times New Roman" w:hAnsi="Times New Roman" w:cs="Times New Roman"/>
        </w:rPr>
        <w:t>distinction between risk and ambiguity can have fundamental impact</w:t>
      </w:r>
      <w:r w:rsidR="00605667" w:rsidRPr="00E37223">
        <w:rPr>
          <w:rFonts w:ascii="Times New Roman" w:hAnsi="Times New Roman" w:cs="Times New Roman"/>
        </w:rPr>
        <w:t>s</w:t>
      </w:r>
      <w:r w:rsidRPr="00E37223">
        <w:rPr>
          <w:rFonts w:ascii="Times New Roman" w:hAnsi="Times New Roman" w:cs="Times New Roman"/>
        </w:rPr>
        <w:t xml:space="preserve"> on the applicability of standard </w:t>
      </w:r>
      <w:r w:rsidRPr="00E37223">
        <w:rPr>
          <w:rStyle w:val="Strong"/>
          <w:rFonts w:ascii="Times New Roman" w:hAnsi="Times New Roman" w:cs="Times New Roman"/>
          <w:b w:val="0"/>
          <w:bCs w:val="0"/>
        </w:rPr>
        <w:t>decision-making models</w:t>
      </w:r>
      <w:r w:rsidRPr="00E37223">
        <w:rPr>
          <w:rFonts w:ascii="Times New Roman" w:hAnsi="Times New Roman" w:cs="Times New Roman"/>
        </w:rPr>
        <w:t xml:space="preserve"> and the design of</w:t>
      </w:r>
      <w:r w:rsidRPr="00E37223">
        <w:rPr>
          <w:rFonts w:ascii="Times New Roman" w:hAnsi="Times New Roman" w:cs="Times New Roman"/>
          <w:b/>
          <w:bCs/>
        </w:rPr>
        <w:t> </w:t>
      </w:r>
      <w:r w:rsidRPr="00E37223">
        <w:rPr>
          <w:rStyle w:val="Strong"/>
          <w:rFonts w:ascii="Times New Roman" w:hAnsi="Times New Roman" w:cs="Times New Roman"/>
          <w:b w:val="0"/>
          <w:bCs w:val="0"/>
        </w:rPr>
        <w:t xml:space="preserve">economic policies, but also because a surge </w:t>
      </w:r>
      <w:r w:rsidR="00310A34" w:rsidRPr="00E37223">
        <w:rPr>
          <w:rFonts w:ascii="Times New Roman" w:hAnsi="Times New Roman" w:cs="Times New Roman"/>
        </w:rPr>
        <w:t xml:space="preserve">in cross border bank lending has emerged as an exceptionally noteworthy trend over the last few decades signalling a heightened significance of the international banking system as a pivotal channel for capital transfer across nations (McGuire </w:t>
      </w:r>
      <w:r w:rsidR="002E3D93" w:rsidRPr="00E37223">
        <w:rPr>
          <w:rFonts w:ascii="Times New Roman" w:hAnsi="Times New Roman" w:cs="Times New Roman"/>
        </w:rPr>
        <w:t>and</w:t>
      </w:r>
      <w:r w:rsidR="00310A34" w:rsidRPr="00E37223">
        <w:rPr>
          <w:rFonts w:ascii="Times New Roman" w:hAnsi="Times New Roman" w:cs="Times New Roman"/>
        </w:rPr>
        <w:t xml:space="preserve"> Tarashev 2008). </w:t>
      </w:r>
      <w:bookmarkEnd w:id="1"/>
      <w:r w:rsidR="00310A34" w:rsidRPr="00E37223">
        <w:rPr>
          <w:rFonts w:ascii="Times New Roman" w:hAnsi="Times New Roman" w:cs="Times New Roman"/>
        </w:rPr>
        <w:t>According to data provided by the Bank for International Settlements (BIS), there has been a staggering rise in cross-border bank claims</w:t>
      </w:r>
      <w:r w:rsidR="00310A34" w:rsidRPr="00E37223">
        <w:rPr>
          <w:rStyle w:val="FootnoteReference"/>
          <w:rFonts w:ascii="Times New Roman" w:hAnsi="Times New Roman" w:cs="Times New Roman"/>
        </w:rPr>
        <w:footnoteReference w:id="2"/>
      </w:r>
      <w:r w:rsidR="00310A34" w:rsidRPr="00E37223">
        <w:rPr>
          <w:rFonts w:ascii="Times New Roman" w:hAnsi="Times New Roman" w:cs="Times New Roman"/>
        </w:rPr>
        <w:t xml:space="preserve">, with figures climbing from 1.12 trillion </w:t>
      </w:r>
      <w:r w:rsidR="00EE673A" w:rsidRPr="00E37223">
        <w:rPr>
          <w:rFonts w:ascii="Times New Roman" w:hAnsi="Times New Roman" w:cs="Times New Roman"/>
        </w:rPr>
        <w:t xml:space="preserve">US </w:t>
      </w:r>
      <w:r w:rsidR="00310A34" w:rsidRPr="00E37223">
        <w:rPr>
          <w:rFonts w:ascii="Times New Roman" w:hAnsi="Times New Roman" w:cs="Times New Roman"/>
        </w:rPr>
        <w:t xml:space="preserve">dollars in 1987 to an impressive 29 trillion </w:t>
      </w:r>
      <w:r w:rsidR="00EE673A" w:rsidRPr="00E37223">
        <w:rPr>
          <w:rFonts w:ascii="Times New Roman" w:hAnsi="Times New Roman" w:cs="Times New Roman"/>
        </w:rPr>
        <w:t xml:space="preserve">dollars </w:t>
      </w:r>
      <w:r w:rsidR="00310A34" w:rsidRPr="00E37223">
        <w:rPr>
          <w:rFonts w:ascii="Times New Roman" w:hAnsi="Times New Roman" w:cs="Times New Roman"/>
        </w:rPr>
        <w:t xml:space="preserve">in 2018. Even amidst the challenges posed by the COVID pandemic, international banking activity remained robust, with cross-border claims reaching a staggering 14.6 trillion </w:t>
      </w:r>
      <w:r w:rsidR="00EE673A" w:rsidRPr="00E37223">
        <w:rPr>
          <w:rFonts w:ascii="Times New Roman" w:hAnsi="Times New Roman" w:cs="Times New Roman"/>
        </w:rPr>
        <w:t xml:space="preserve">US </w:t>
      </w:r>
      <w:r w:rsidR="00310A34" w:rsidRPr="00E37223">
        <w:rPr>
          <w:rFonts w:ascii="Times New Roman" w:hAnsi="Times New Roman" w:cs="Times New Roman"/>
        </w:rPr>
        <w:t>dollars in 2022, rising further to 39.6 trillion dollars by the first quarter of 2024 (</w:t>
      </w:r>
      <w:hyperlink r:id="rId15" w:history="1">
        <w:r w:rsidR="00310A34" w:rsidRPr="00E37223">
          <w:rPr>
            <w:rStyle w:val="Hyperlink"/>
            <w:rFonts w:ascii="Times New Roman" w:hAnsi="Times New Roman" w:cs="Times New Roman"/>
            <w:color w:val="auto"/>
            <w:u w:val="none"/>
          </w:rPr>
          <w:t>https://www.bis.org/statistics/rppb2407.htm</w:t>
        </w:r>
      </w:hyperlink>
      <w:r w:rsidR="00310A34" w:rsidRPr="00E37223">
        <w:rPr>
          <w:rStyle w:val="Hyperlink"/>
          <w:rFonts w:ascii="Times New Roman" w:hAnsi="Times New Roman" w:cs="Times New Roman"/>
          <w:color w:val="auto"/>
          <w:u w:val="none"/>
        </w:rPr>
        <w:t>).</w:t>
      </w:r>
      <w:r w:rsidR="00310A34" w:rsidRPr="00E37223">
        <w:rPr>
          <w:rFonts w:ascii="Times New Roman" w:hAnsi="Times New Roman" w:cs="Times New Roman"/>
        </w:rPr>
        <w:t xml:space="preserve"> </w:t>
      </w:r>
    </w:p>
    <w:p w14:paraId="2336B27D" w14:textId="7FF365BE" w:rsidR="005C066B" w:rsidRPr="00E37223" w:rsidRDefault="00310A34" w:rsidP="00310A34">
      <w:pPr>
        <w:autoSpaceDE w:val="0"/>
        <w:autoSpaceDN w:val="0"/>
        <w:adjustRightInd w:val="0"/>
        <w:spacing w:line="360" w:lineRule="auto"/>
        <w:ind w:firstLine="720"/>
        <w:rPr>
          <w:rFonts w:ascii="Times New Roman" w:hAnsi="Times New Roman" w:cs="Times New Roman"/>
        </w:rPr>
      </w:pPr>
      <w:r w:rsidRPr="00E37223">
        <w:rPr>
          <w:rFonts w:ascii="Times New Roman" w:hAnsi="Times New Roman" w:cs="Times New Roman"/>
        </w:rPr>
        <w:t>A large body of literature examines the underlying mechanisms driving cross-border bank flows</w:t>
      </w:r>
      <w:r w:rsidRPr="00E37223">
        <w:rPr>
          <w:rStyle w:val="FootnoteReference"/>
          <w:rFonts w:ascii="Times New Roman" w:hAnsi="Times New Roman" w:cs="Times New Roman"/>
        </w:rPr>
        <w:footnoteReference w:id="3"/>
      </w:r>
      <w:r w:rsidRPr="00E37223">
        <w:rPr>
          <w:rFonts w:ascii="Times New Roman" w:hAnsi="Times New Roman" w:cs="Times New Roman"/>
        </w:rPr>
        <w:t xml:space="preserve"> (</w:t>
      </w:r>
      <w:r w:rsidR="005C066B" w:rsidRPr="00E37223">
        <w:rPr>
          <w:rFonts w:ascii="Times New Roman" w:hAnsi="Times New Roman" w:cs="Times New Roman"/>
        </w:rPr>
        <w:t xml:space="preserve">see, </w:t>
      </w:r>
      <w:r w:rsidR="005C066B" w:rsidRPr="00E37223">
        <w:rPr>
          <w:rFonts w:ascii="Times New Roman" w:hAnsi="Times New Roman" w:cs="Times New Roman"/>
          <w:i/>
          <w:iCs/>
        </w:rPr>
        <w:t>inter alia</w:t>
      </w:r>
      <w:r w:rsidR="005C066B" w:rsidRPr="00E37223">
        <w:rPr>
          <w:rFonts w:ascii="Times New Roman" w:hAnsi="Times New Roman" w:cs="Times New Roman"/>
        </w:rPr>
        <w:t>,</w:t>
      </w:r>
      <w:r w:rsidRPr="00E37223">
        <w:rPr>
          <w:rFonts w:ascii="Times New Roman" w:hAnsi="Times New Roman" w:cs="Times New Roman"/>
        </w:rPr>
        <w:t xml:space="preserve"> </w:t>
      </w:r>
      <w:r w:rsidR="00090555" w:rsidRPr="00E37223">
        <w:rPr>
          <w:rFonts w:ascii="Times New Roman" w:hAnsi="Times New Roman" w:cs="Times New Roman"/>
        </w:rPr>
        <w:t>Kleimeier</w:t>
      </w:r>
      <w:r w:rsidR="00090555" w:rsidRPr="00E37223">
        <w:rPr>
          <w:rFonts w:ascii="Times New Roman" w:hAnsi="Times New Roman" w:cs="Times New Roman"/>
          <w:i/>
        </w:rPr>
        <w:t xml:space="preserve"> </w:t>
      </w:r>
      <w:r w:rsidR="00090555" w:rsidRPr="00E37223">
        <w:rPr>
          <w:rFonts w:ascii="Times New Roman" w:hAnsi="Times New Roman" w:cs="Times New Roman"/>
          <w:iCs/>
        </w:rPr>
        <w:t>et al.</w:t>
      </w:r>
      <w:r w:rsidR="00090555" w:rsidRPr="00E37223">
        <w:rPr>
          <w:rFonts w:ascii="Times New Roman" w:hAnsi="Times New Roman" w:cs="Times New Roman"/>
        </w:rPr>
        <w:t xml:space="preserve"> 2013; </w:t>
      </w:r>
      <w:r w:rsidRPr="00E37223">
        <w:rPr>
          <w:rFonts w:ascii="Times New Roman" w:hAnsi="Times New Roman" w:cs="Times New Roman"/>
        </w:rPr>
        <w:t>Cerutti</w:t>
      </w:r>
      <w:r w:rsidRPr="00E37223">
        <w:rPr>
          <w:rFonts w:ascii="Times New Roman" w:hAnsi="Times New Roman" w:cs="Times New Roman"/>
          <w:i/>
        </w:rPr>
        <w:t xml:space="preserve"> </w:t>
      </w:r>
      <w:r w:rsidRPr="00E37223">
        <w:rPr>
          <w:rFonts w:ascii="Times New Roman" w:hAnsi="Times New Roman" w:cs="Times New Roman"/>
          <w:iCs/>
        </w:rPr>
        <w:t>et al.</w:t>
      </w:r>
      <w:r w:rsidRPr="00E37223">
        <w:rPr>
          <w:rFonts w:ascii="Times New Roman" w:hAnsi="Times New Roman" w:cs="Times New Roman"/>
        </w:rPr>
        <w:t xml:space="preserve"> 2017; </w:t>
      </w:r>
      <w:r w:rsidR="00090555" w:rsidRPr="00E37223">
        <w:rPr>
          <w:rFonts w:ascii="Times New Roman" w:hAnsi="Times New Roman" w:cs="Times New Roman"/>
        </w:rPr>
        <w:t xml:space="preserve">Wang 2018; </w:t>
      </w:r>
      <w:r w:rsidRPr="00E37223">
        <w:rPr>
          <w:rFonts w:ascii="Times New Roman" w:hAnsi="Times New Roman" w:cs="Times New Roman"/>
        </w:rPr>
        <w:t xml:space="preserve">Choi </w:t>
      </w:r>
      <w:r w:rsidR="00AD70C9" w:rsidRPr="00E37223">
        <w:rPr>
          <w:rFonts w:ascii="Times New Roman" w:hAnsi="Times New Roman" w:cs="Times New Roman"/>
        </w:rPr>
        <w:t>and</w:t>
      </w:r>
      <w:r w:rsidRPr="00E37223">
        <w:rPr>
          <w:rFonts w:ascii="Times New Roman" w:hAnsi="Times New Roman" w:cs="Times New Roman"/>
        </w:rPr>
        <w:t xml:space="preserve"> Furceri 2019; </w:t>
      </w:r>
      <w:r w:rsidR="00090555" w:rsidRPr="00E37223">
        <w:rPr>
          <w:rFonts w:ascii="Times New Roman" w:hAnsi="Times New Roman" w:cs="Times New Roman"/>
        </w:rPr>
        <w:t>Albrizio</w:t>
      </w:r>
      <w:r w:rsidR="00090555" w:rsidRPr="00E37223">
        <w:rPr>
          <w:rFonts w:ascii="Times New Roman" w:hAnsi="Times New Roman" w:cs="Times New Roman"/>
          <w:i/>
        </w:rPr>
        <w:t xml:space="preserve"> </w:t>
      </w:r>
      <w:r w:rsidR="00090555" w:rsidRPr="00E37223">
        <w:rPr>
          <w:rFonts w:ascii="Times New Roman" w:hAnsi="Times New Roman" w:cs="Times New Roman"/>
          <w:iCs/>
        </w:rPr>
        <w:t>et al</w:t>
      </w:r>
      <w:r w:rsidR="00090555" w:rsidRPr="00E37223">
        <w:rPr>
          <w:rFonts w:ascii="Times New Roman" w:hAnsi="Times New Roman" w:cs="Times New Roman"/>
          <w:i/>
        </w:rPr>
        <w:t>.</w:t>
      </w:r>
      <w:r w:rsidR="00090555" w:rsidRPr="00E37223">
        <w:rPr>
          <w:rFonts w:ascii="Times New Roman" w:hAnsi="Times New Roman" w:cs="Times New Roman"/>
        </w:rPr>
        <w:t xml:space="preserve"> 2020</w:t>
      </w:r>
      <w:r w:rsidRPr="00E37223">
        <w:rPr>
          <w:rFonts w:ascii="Times New Roman" w:hAnsi="Times New Roman" w:cs="Times New Roman"/>
        </w:rPr>
        <w:t xml:space="preserve">; Wu </w:t>
      </w:r>
      <w:r w:rsidR="00AD70C9" w:rsidRPr="00E37223">
        <w:rPr>
          <w:rFonts w:ascii="Times New Roman" w:hAnsi="Times New Roman" w:cs="Times New Roman"/>
        </w:rPr>
        <w:t>and</w:t>
      </w:r>
      <w:r w:rsidRPr="00E37223">
        <w:rPr>
          <w:rFonts w:ascii="Times New Roman" w:hAnsi="Times New Roman" w:cs="Times New Roman"/>
        </w:rPr>
        <w:t xml:space="preserve"> Suardi 2021</w:t>
      </w:r>
      <w:r w:rsidR="00090555" w:rsidRPr="00E37223">
        <w:rPr>
          <w:rFonts w:ascii="Times New Roman" w:hAnsi="Times New Roman" w:cs="Times New Roman"/>
        </w:rPr>
        <w:t>; Li</w:t>
      </w:r>
      <w:r w:rsidR="00090555" w:rsidRPr="00E37223">
        <w:rPr>
          <w:rFonts w:ascii="Times New Roman" w:hAnsi="Times New Roman" w:cs="Times New Roman"/>
          <w:i/>
        </w:rPr>
        <w:t xml:space="preserve"> </w:t>
      </w:r>
      <w:r w:rsidR="00090555" w:rsidRPr="00E37223">
        <w:rPr>
          <w:rFonts w:ascii="Times New Roman" w:hAnsi="Times New Roman" w:cs="Times New Roman"/>
          <w:iCs/>
        </w:rPr>
        <w:t>et al</w:t>
      </w:r>
      <w:r w:rsidR="00090555" w:rsidRPr="00E37223">
        <w:rPr>
          <w:rFonts w:ascii="Times New Roman" w:hAnsi="Times New Roman" w:cs="Times New Roman"/>
          <w:i/>
        </w:rPr>
        <w:t>.</w:t>
      </w:r>
      <w:r w:rsidR="00090555" w:rsidRPr="00E37223">
        <w:rPr>
          <w:rFonts w:ascii="Times New Roman" w:hAnsi="Times New Roman" w:cs="Times New Roman"/>
        </w:rPr>
        <w:t xml:space="preserve"> 2024</w:t>
      </w:r>
      <w:r w:rsidRPr="00E37223">
        <w:rPr>
          <w:rFonts w:ascii="Times New Roman" w:hAnsi="Times New Roman" w:cs="Times New Roman"/>
        </w:rPr>
        <w:t>). Especially noteworthy within previous work, is the emphasis placed upon the influence of risk and</w:t>
      </w:r>
      <w:r w:rsidR="005C066B" w:rsidRPr="00E37223">
        <w:rPr>
          <w:rFonts w:ascii="Times New Roman" w:hAnsi="Times New Roman" w:cs="Times New Roman"/>
        </w:rPr>
        <w:t>/or</w:t>
      </w:r>
      <w:r w:rsidRPr="00E37223">
        <w:rPr>
          <w:rFonts w:ascii="Times New Roman" w:hAnsi="Times New Roman" w:cs="Times New Roman"/>
        </w:rPr>
        <w:t xml:space="preserve"> uncertainty. Some prior empirical studies employ volatility measures such as the VIX index</w:t>
      </w:r>
      <w:r w:rsidRPr="00E37223">
        <w:rPr>
          <w:rStyle w:val="FootnoteReference"/>
          <w:rFonts w:ascii="Times New Roman" w:hAnsi="Times New Roman" w:cs="Times New Roman"/>
        </w:rPr>
        <w:footnoteReference w:id="4"/>
      </w:r>
      <w:r w:rsidRPr="00E37223">
        <w:rPr>
          <w:rFonts w:ascii="Times New Roman" w:hAnsi="Times New Roman" w:cs="Times New Roman"/>
        </w:rPr>
        <w:t xml:space="preserve"> as a proxy </w:t>
      </w:r>
      <w:r w:rsidR="005C066B" w:rsidRPr="00E37223">
        <w:rPr>
          <w:rFonts w:ascii="Times New Roman" w:hAnsi="Times New Roman" w:cs="Times New Roman"/>
        </w:rPr>
        <w:t xml:space="preserve">for risk </w:t>
      </w:r>
      <w:r w:rsidRPr="00E37223">
        <w:rPr>
          <w:rFonts w:ascii="Times New Roman" w:hAnsi="Times New Roman" w:cs="Times New Roman"/>
        </w:rPr>
        <w:t xml:space="preserve">and find </w:t>
      </w:r>
      <w:r w:rsidR="00092078" w:rsidRPr="00E37223">
        <w:rPr>
          <w:rFonts w:ascii="Times New Roman" w:hAnsi="Times New Roman" w:cs="Times New Roman"/>
        </w:rPr>
        <w:t xml:space="preserve">it has </w:t>
      </w:r>
      <w:r w:rsidRPr="00E37223">
        <w:rPr>
          <w:rFonts w:ascii="Times New Roman" w:hAnsi="Times New Roman" w:cs="Times New Roman"/>
        </w:rPr>
        <w:t>a significant impact on cross-border bank flows (see, e.g.,</w:t>
      </w:r>
      <w:r w:rsidR="00CA3226" w:rsidRPr="00E37223">
        <w:rPr>
          <w:rFonts w:ascii="Times New Roman" w:hAnsi="Times New Roman" w:cs="Times New Roman"/>
        </w:rPr>
        <w:t xml:space="preserve"> Cerutti et al. 2017</w:t>
      </w:r>
      <w:r w:rsidRPr="00E37223">
        <w:rPr>
          <w:rFonts w:ascii="Times New Roman" w:hAnsi="Times New Roman" w:cs="Times New Roman"/>
        </w:rPr>
        <w:t xml:space="preserve">). However, although increased volatility is often a sign of investors’ fear and uncertainty, it is important to emphasize that volatility, a proxy for risk, is only one (measurable) facet of the wider concept of uncertainty. </w:t>
      </w:r>
    </w:p>
    <w:p w14:paraId="7F606B53" w14:textId="79864D3D" w:rsidR="00310A34" w:rsidRPr="00E37223" w:rsidRDefault="00310A34" w:rsidP="00310A34">
      <w:pPr>
        <w:autoSpaceDE w:val="0"/>
        <w:autoSpaceDN w:val="0"/>
        <w:adjustRightInd w:val="0"/>
        <w:spacing w:line="360" w:lineRule="auto"/>
        <w:ind w:firstLine="720"/>
        <w:rPr>
          <w:rFonts w:ascii="Times New Roman" w:hAnsi="Times New Roman" w:cs="Times New Roman"/>
        </w:rPr>
      </w:pPr>
      <w:r w:rsidRPr="00E37223">
        <w:rPr>
          <w:rFonts w:ascii="Times New Roman" w:hAnsi="Times New Roman" w:cs="Times New Roman"/>
        </w:rPr>
        <w:lastRenderedPageBreak/>
        <w:t xml:space="preserve">Knight (1921), of course, was one of the first to call for the need of </w:t>
      </w:r>
      <w:r w:rsidR="00246F49" w:rsidRPr="00E37223">
        <w:rPr>
          <w:rFonts w:ascii="Times New Roman" w:hAnsi="Times New Roman" w:cs="Times New Roman"/>
        </w:rPr>
        <w:t xml:space="preserve">distinguishing </w:t>
      </w:r>
      <w:r w:rsidRPr="00E37223">
        <w:rPr>
          <w:rFonts w:ascii="Times New Roman" w:hAnsi="Times New Roman" w:cs="Times New Roman"/>
        </w:rPr>
        <w:t>between risk and uncertainty claiming that “</w:t>
      </w:r>
      <w:r w:rsidRPr="00E37223">
        <w:rPr>
          <w:rFonts w:ascii="Times New Roman" w:hAnsi="Times New Roman" w:cs="Times New Roman"/>
          <w:i/>
          <w:iCs/>
        </w:rPr>
        <w:t>uncertainty must be taken in a sense radically distinct from the familiar notion of Risk, from which it has never been properly separated</w:t>
      </w:r>
      <w:r w:rsidRPr="00E37223">
        <w:rPr>
          <w:rFonts w:ascii="Times New Roman" w:hAnsi="Times New Roman" w:cs="Times New Roman"/>
        </w:rPr>
        <w:t xml:space="preserve">.” (Knight 1921, p. 19). Risk is measurable, pertaining to ‘uncertain’ outcomes that follow a known probability model. On the other hand, ‘Knightian uncertainty’ or ‘ambiguity’ refer to the uncertainty of the probabilities of those outcomes, where there is lack </w:t>
      </w:r>
      <w:r w:rsidRPr="00E37223">
        <w:rPr>
          <w:rFonts w:ascii="Times New Roman" w:hAnsi="Times New Roman" w:cs="Times New Roman"/>
          <w:shd w:val="clear" w:color="auto" w:fill="FFFFFF"/>
        </w:rPr>
        <w:t>of knowledge about the true probability model.</w:t>
      </w:r>
      <w:r w:rsidRPr="00E37223">
        <w:rPr>
          <w:rFonts w:ascii="Times New Roman" w:hAnsi="Times New Roman" w:cs="Times New Roman"/>
        </w:rPr>
        <w:t xml:space="preserve"> Ambiguity and risk, therefore, represent distinct facets of financial uncertainty, and they might yield different implications not only in the context of investment evaluation (Izhakian </w:t>
      </w:r>
      <w:r w:rsidR="00AD70C9" w:rsidRPr="00E37223">
        <w:rPr>
          <w:rFonts w:ascii="Times New Roman" w:hAnsi="Times New Roman" w:cs="Times New Roman"/>
        </w:rPr>
        <w:t>and</w:t>
      </w:r>
      <w:r w:rsidRPr="00E37223">
        <w:rPr>
          <w:rFonts w:ascii="Times New Roman" w:hAnsi="Times New Roman" w:cs="Times New Roman"/>
        </w:rPr>
        <w:t xml:space="preserve"> Yermack 2017) but also in the decision-making process of banks regarding </w:t>
      </w:r>
      <w:r w:rsidRPr="00E37223">
        <w:rPr>
          <w:rFonts w:ascii="Times New Roman" w:hAnsi="Times New Roman" w:cs="Times New Roman" w:hint="eastAsia"/>
        </w:rPr>
        <w:t>lending</w:t>
      </w:r>
      <w:r w:rsidRPr="00E37223">
        <w:rPr>
          <w:rFonts w:ascii="Times New Roman" w:hAnsi="Times New Roman" w:cs="Times New Roman"/>
        </w:rPr>
        <w:t xml:space="preserve"> (Broll</w:t>
      </w:r>
      <w:r w:rsidRPr="00E37223">
        <w:rPr>
          <w:rFonts w:ascii="Times New Roman" w:hAnsi="Times New Roman" w:cs="Times New Roman"/>
          <w:i/>
        </w:rPr>
        <w:t xml:space="preserve"> </w:t>
      </w:r>
      <w:r w:rsidRPr="00E37223">
        <w:rPr>
          <w:rFonts w:ascii="Times New Roman" w:hAnsi="Times New Roman" w:cs="Times New Roman"/>
          <w:iCs/>
        </w:rPr>
        <w:t>et al.</w:t>
      </w:r>
      <w:r w:rsidRPr="00E37223">
        <w:rPr>
          <w:rFonts w:ascii="Times New Roman" w:hAnsi="Times New Roman" w:cs="Times New Roman"/>
        </w:rPr>
        <w:t xml:space="preserve"> 2018).</w:t>
      </w:r>
    </w:p>
    <w:p w14:paraId="41F5B902" w14:textId="5D8401C8" w:rsidR="00310A34" w:rsidRPr="00E37223" w:rsidRDefault="00310A34" w:rsidP="00310A34">
      <w:pPr>
        <w:autoSpaceDE w:val="0"/>
        <w:autoSpaceDN w:val="0"/>
        <w:adjustRightInd w:val="0"/>
        <w:spacing w:line="360" w:lineRule="auto"/>
        <w:ind w:firstLine="720"/>
        <w:rPr>
          <w:rFonts w:ascii="Times New Roman" w:hAnsi="Times New Roman" w:cs="Times New Roman"/>
        </w:rPr>
      </w:pPr>
      <w:r w:rsidRPr="00E37223">
        <w:rPr>
          <w:rFonts w:ascii="Times New Roman" w:hAnsi="Times New Roman" w:cs="Times New Roman"/>
          <w:shd w:val="clear" w:color="auto" w:fill="FFFFFF"/>
        </w:rPr>
        <w:t xml:space="preserve">In this paper we employ a newly developed measure of ambiguity (see </w:t>
      </w:r>
      <w:r w:rsidRPr="00E37223">
        <w:rPr>
          <w:rFonts w:ascii="Times New Roman" w:hAnsi="Times New Roman" w:cs="Times New Roman"/>
        </w:rPr>
        <w:t xml:space="preserve">Brenner </w:t>
      </w:r>
      <w:r w:rsidR="00AD70C9" w:rsidRPr="00E37223">
        <w:rPr>
          <w:rFonts w:ascii="Times New Roman" w:hAnsi="Times New Roman" w:cs="Times New Roman"/>
        </w:rPr>
        <w:t xml:space="preserve">and </w:t>
      </w:r>
      <w:r w:rsidRPr="00E37223">
        <w:rPr>
          <w:rFonts w:ascii="Times New Roman" w:hAnsi="Times New Roman" w:cs="Times New Roman"/>
        </w:rPr>
        <w:t xml:space="preserve">Izhakian 2018; and Izhakian 2020) </w:t>
      </w:r>
      <w:r w:rsidRPr="00E37223">
        <w:rPr>
          <w:rFonts w:ascii="Times New Roman" w:hAnsi="Times New Roman" w:cs="Times New Roman"/>
          <w:shd w:val="clear" w:color="auto" w:fill="FFFFFF"/>
        </w:rPr>
        <w:t>attempting to deal with uncertainty in the Knightian sense.</w:t>
      </w:r>
      <w:r w:rsidR="00E443F0">
        <w:rPr>
          <w:rStyle w:val="FootnoteReference"/>
          <w:rFonts w:ascii="Times New Roman" w:hAnsi="Times New Roman" w:cs="Times New Roman"/>
          <w:shd w:val="clear" w:color="auto" w:fill="FFFFFF"/>
        </w:rPr>
        <w:footnoteReference w:id="5"/>
      </w:r>
      <w:r w:rsidRPr="00E37223">
        <w:rPr>
          <w:rFonts w:ascii="Times New Roman" w:hAnsi="Times New Roman" w:cs="Times New Roman"/>
          <w:shd w:val="clear" w:color="auto" w:fill="FFFFFF"/>
        </w:rPr>
        <w:t xml:space="preserve"> At its simplest, the underlying idea is that in the absence of a known probability distribution</w:t>
      </w:r>
      <w:r w:rsidR="00BC74F7" w:rsidRPr="00E37223">
        <w:rPr>
          <w:rFonts w:ascii="Times New Roman" w:hAnsi="Times New Roman" w:cs="Times New Roman"/>
          <w:shd w:val="clear" w:color="auto" w:fill="FFFFFF"/>
        </w:rPr>
        <w:t>,</w:t>
      </w:r>
      <w:r w:rsidRPr="00E37223">
        <w:rPr>
          <w:rFonts w:ascii="Times New Roman" w:hAnsi="Times New Roman" w:cs="Times New Roman"/>
          <w:shd w:val="clear" w:color="auto" w:fill="FFFFFF"/>
        </w:rPr>
        <w:t xml:space="preserve"> we can </w:t>
      </w:r>
      <w:r w:rsidR="00BC74F7" w:rsidRPr="00E37223">
        <w:rPr>
          <w:rFonts w:ascii="Times New Roman" w:hAnsi="Times New Roman" w:cs="Times New Roman"/>
          <w:shd w:val="clear" w:color="auto" w:fill="FFFFFF"/>
        </w:rPr>
        <w:t xml:space="preserve">nonetheless </w:t>
      </w:r>
      <w:r w:rsidRPr="00E37223">
        <w:rPr>
          <w:rFonts w:ascii="Times New Roman" w:hAnsi="Times New Roman" w:cs="Times New Roman"/>
          <w:shd w:val="clear" w:color="auto" w:fill="FFFFFF"/>
        </w:rPr>
        <w:t xml:space="preserve">model a cloud or family of probabilistic models giving an agent the ability to optimize choices based on </w:t>
      </w:r>
      <w:r w:rsidRPr="00E37223">
        <w:rPr>
          <w:rFonts w:ascii="Times New Roman" w:hAnsi="Times New Roman" w:cs="Times New Roman"/>
        </w:rPr>
        <w:t>the likelihoods of contingent events with multiple probability distributions.</w:t>
      </w:r>
      <w:r w:rsidR="005C066B" w:rsidRPr="00E37223">
        <w:rPr>
          <w:rFonts w:ascii="Times New Roman" w:hAnsi="Times New Roman" w:cs="Times New Roman"/>
        </w:rPr>
        <w:t xml:space="preserve"> </w:t>
      </w:r>
      <w:r w:rsidRPr="00E37223">
        <w:rPr>
          <w:rFonts w:ascii="Times New Roman" w:hAnsi="Times New Roman" w:cs="Times New Roman"/>
        </w:rPr>
        <w:t xml:space="preserve">In the present study, </w:t>
      </w:r>
      <w:r w:rsidR="005C066B" w:rsidRPr="00E37223">
        <w:rPr>
          <w:rFonts w:ascii="Times New Roman" w:hAnsi="Times New Roman" w:cs="Times New Roman"/>
        </w:rPr>
        <w:t xml:space="preserve">therefore, </w:t>
      </w:r>
      <w:r w:rsidRPr="00E37223">
        <w:rPr>
          <w:rFonts w:ascii="Times New Roman" w:hAnsi="Times New Roman" w:cs="Times New Roman"/>
        </w:rPr>
        <w:t xml:space="preserve">our contribution lies precisely in disentangling the risk-ambiguity bundled-measurement of uncertainty by isolating the unique effects of ambiguity (not merely risk) on cross-border bank </w:t>
      </w:r>
      <w:r w:rsidRPr="00E37223">
        <w:rPr>
          <w:rFonts w:ascii="Times New Roman" w:hAnsi="Times New Roman" w:cs="Times New Roman" w:hint="eastAsia"/>
        </w:rPr>
        <w:t>lending</w:t>
      </w:r>
      <w:r w:rsidR="00EE673A" w:rsidRPr="00E37223">
        <w:rPr>
          <w:rFonts w:ascii="Times New Roman" w:hAnsi="Times New Roman" w:cs="Times New Roman"/>
        </w:rPr>
        <w:t xml:space="preserve">; </w:t>
      </w:r>
      <w:r w:rsidRPr="00E37223">
        <w:rPr>
          <w:rFonts w:ascii="Times New Roman" w:hAnsi="Times New Roman" w:cs="Times New Roman"/>
        </w:rPr>
        <w:t xml:space="preserve">an elusive endeavor in existing literature. </w:t>
      </w:r>
    </w:p>
    <w:p w14:paraId="0AC75B7F" w14:textId="07E05C2C" w:rsidR="00310A34" w:rsidRPr="00E37223" w:rsidRDefault="00310A34" w:rsidP="00310A34">
      <w:pPr>
        <w:autoSpaceDE w:val="0"/>
        <w:autoSpaceDN w:val="0"/>
        <w:adjustRightInd w:val="0"/>
        <w:spacing w:line="360" w:lineRule="auto"/>
        <w:ind w:firstLine="720"/>
        <w:rPr>
          <w:rFonts w:ascii="Times New Roman" w:hAnsi="Times New Roman" w:cs="Times New Roman"/>
        </w:rPr>
      </w:pPr>
      <w:r w:rsidRPr="00E37223">
        <w:rPr>
          <w:rFonts w:ascii="Times New Roman" w:hAnsi="Times New Roman" w:cs="Times New Roman"/>
        </w:rPr>
        <w:t xml:space="preserve">At the theoretical level, past research (see, </w:t>
      </w:r>
      <w:r w:rsidRPr="00E37223">
        <w:rPr>
          <w:rFonts w:ascii="Times New Roman" w:hAnsi="Times New Roman" w:cs="Times New Roman"/>
          <w:i/>
          <w:iCs/>
        </w:rPr>
        <w:t>inter alia</w:t>
      </w:r>
      <w:r w:rsidRPr="00E37223">
        <w:rPr>
          <w:rFonts w:ascii="Times New Roman" w:hAnsi="Times New Roman" w:cs="Times New Roman"/>
        </w:rPr>
        <w:t xml:space="preserve">, Bernanke 1983; Choi </w:t>
      </w:r>
      <w:r w:rsidR="00AD70C9" w:rsidRPr="00E37223">
        <w:rPr>
          <w:rFonts w:ascii="Times New Roman" w:hAnsi="Times New Roman" w:cs="Times New Roman"/>
        </w:rPr>
        <w:t>and</w:t>
      </w:r>
      <w:r w:rsidRPr="00E37223">
        <w:rPr>
          <w:rFonts w:ascii="Times New Roman" w:hAnsi="Times New Roman" w:cs="Times New Roman"/>
        </w:rPr>
        <w:t xml:space="preserve"> Furceri 2019; Wang</w:t>
      </w:r>
      <w:r w:rsidR="00AD70C9" w:rsidRPr="00E37223">
        <w:rPr>
          <w:rFonts w:ascii="Times New Roman" w:hAnsi="Times New Roman" w:cs="Times New Roman"/>
        </w:rPr>
        <w:t xml:space="preserve"> </w:t>
      </w:r>
      <w:r w:rsidRPr="00E37223">
        <w:rPr>
          <w:rFonts w:ascii="Times New Roman" w:hAnsi="Times New Roman" w:cs="Times New Roman"/>
        </w:rPr>
        <w:t xml:space="preserve">2018; Wu </w:t>
      </w:r>
      <w:r w:rsidR="00AD70C9" w:rsidRPr="00E37223">
        <w:rPr>
          <w:rFonts w:ascii="Times New Roman" w:hAnsi="Times New Roman" w:cs="Times New Roman"/>
        </w:rPr>
        <w:t>and</w:t>
      </w:r>
      <w:r w:rsidRPr="00E37223">
        <w:rPr>
          <w:rFonts w:ascii="Times New Roman" w:hAnsi="Times New Roman" w:cs="Times New Roman"/>
        </w:rPr>
        <w:t xml:space="preserve"> Suardi 2021) has hypothesized that increased uncertainty</w:t>
      </w:r>
      <w:r w:rsidR="00DD3395" w:rsidRPr="00E37223">
        <w:rPr>
          <w:rFonts w:ascii="Times New Roman" w:hAnsi="Times New Roman" w:cs="Times New Roman"/>
        </w:rPr>
        <w:t xml:space="preserve"> (generally defined)</w:t>
      </w:r>
      <w:r w:rsidRPr="00E37223">
        <w:rPr>
          <w:rFonts w:ascii="Times New Roman" w:hAnsi="Times New Roman" w:cs="Times New Roman"/>
        </w:rPr>
        <w:t xml:space="preserve"> in a source country </w:t>
      </w:r>
      <w:r w:rsidR="00BC74F7" w:rsidRPr="00E37223">
        <w:rPr>
          <w:rFonts w:ascii="Times New Roman" w:hAnsi="Times New Roman" w:cs="Times New Roman"/>
        </w:rPr>
        <w:t xml:space="preserve">is likely to </w:t>
      </w:r>
      <w:r w:rsidRPr="00E37223">
        <w:rPr>
          <w:rFonts w:ascii="Times New Roman" w:hAnsi="Times New Roman" w:cs="Times New Roman"/>
        </w:rPr>
        <w:t xml:space="preserve">reduce cross-border lending, primarily through two channels: the 'wait-and-see' channel, and a risk premium channel.  In periods characterized by high uncertainty, investors have an option value that encourages them to delay their investments until the uncertainty dissipates, particularly when certain investments entail substantial costs or are challenging to reverse. Yet, Biswas and Zhai (2021) also point out that while uncertainty may lead to deferment of projects to the future for precautionary motives in the context of investments in the real sector, the option-to-delay hypothesis </w:t>
      </w:r>
      <w:r w:rsidR="00BC74F7" w:rsidRPr="00E37223">
        <w:rPr>
          <w:rFonts w:ascii="Times New Roman" w:hAnsi="Times New Roman" w:cs="Times New Roman"/>
        </w:rPr>
        <w:t xml:space="preserve">(Bernanke 1983) </w:t>
      </w:r>
      <w:r w:rsidRPr="00E37223">
        <w:rPr>
          <w:rFonts w:ascii="Times New Roman" w:hAnsi="Times New Roman" w:cs="Times New Roman"/>
        </w:rPr>
        <w:t xml:space="preserve">based as it is on the irreversibility of some real investments, may not apply </w:t>
      </w:r>
      <w:r w:rsidRPr="00E37223">
        <w:rPr>
          <w:rFonts w:ascii="Times New Roman" w:hAnsi="Times New Roman" w:cs="Times New Roman"/>
        </w:rPr>
        <w:lastRenderedPageBreak/>
        <w:t xml:space="preserve">to financial assets such as bank loans. They further postulate that in the presence of (broadly defined) uncertainty in the source country, banks would not cut lending if the demand for the asset is held constant, but rather </w:t>
      </w:r>
      <w:r w:rsidR="00DD3395" w:rsidRPr="00E37223">
        <w:rPr>
          <w:rFonts w:ascii="Times New Roman" w:hAnsi="Times New Roman" w:cs="Times New Roman"/>
        </w:rPr>
        <w:t xml:space="preserve">they would </w:t>
      </w:r>
      <w:r w:rsidRPr="00E37223">
        <w:rPr>
          <w:rFonts w:ascii="Times New Roman" w:hAnsi="Times New Roman" w:cs="Times New Roman"/>
        </w:rPr>
        <w:t xml:space="preserve">“re-focus towards the traditional banking business model and increase lending” (Biswas </w:t>
      </w:r>
      <w:r w:rsidR="00AD70C9" w:rsidRPr="00E37223">
        <w:rPr>
          <w:rFonts w:ascii="Times New Roman" w:hAnsi="Times New Roman" w:cs="Times New Roman"/>
        </w:rPr>
        <w:t>and</w:t>
      </w:r>
      <w:r w:rsidRPr="00E37223">
        <w:rPr>
          <w:rFonts w:ascii="Times New Roman" w:hAnsi="Times New Roman" w:cs="Times New Roman"/>
        </w:rPr>
        <w:t xml:space="preserve"> Zhai 2021). </w:t>
      </w:r>
    </w:p>
    <w:p w14:paraId="2F69158B" w14:textId="5F06FF77" w:rsidR="00DD3395" w:rsidRPr="00E37223" w:rsidRDefault="00310A34" w:rsidP="00310A34">
      <w:pPr>
        <w:autoSpaceDE w:val="0"/>
        <w:autoSpaceDN w:val="0"/>
        <w:adjustRightInd w:val="0"/>
        <w:spacing w:line="360" w:lineRule="auto"/>
        <w:ind w:firstLine="720"/>
        <w:rPr>
          <w:rFonts w:ascii="Times New Roman" w:hAnsi="Times New Roman" w:cs="Times New Roman"/>
        </w:rPr>
      </w:pPr>
      <w:r w:rsidRPr="00E37223">
        <w:rPr>
          <w:rFonts w:ascii="Times New Roman" w:hAnsi="Times New Roman" w:cs="Times New Roman"/>
        </w:rPr>
        <w:t xml:space="preserve">Another theoretical hypothesis postulating a positive </w:t>
      </w:r>
      <w:r w:rsidR="00BC74F7" w:rsidRPr="00E37223">
        <w:rPr>
          <w:rFonts w:ascii="Times New Roman" w:hAnsi="Times New Roman" w:cs="Times New Roman"/>
        </w:rPr>
        <w:t xml:space="preserve">rather than negative </w:t>
      </w:r>
      <w:r w:rsidRPr="00E37223">
        <w:rPr>
          <w:rFonts w:ascii="Times New Roman" w:hAnsi="Times New Roman" w:cs="Times New Roman"/>
        </w:rPr>
        <w:t xml:space="preserve">relationship between uncertainty and cross-border bank lending stems precisely from the distinction between ambiguity and risk. According to Izhakian and Yermack (2017), volatility (a proxy for risk) and ambiguity </w:t>
      </w:r>
      <w:r w:rsidR="00DD3395" w:rsidRPr="00E37223">
        <w:rPr>
          <w:rFonts w:ascii="Times New Roman" w:hAnsi="Times New Roman" w:cs="Times New Roman"/>
        </w:rPr>
        <w:t xml:space="preserve">(interpreted as Knightian uncertainty) </w:t>
      </w:r>
      <w:r w:rsidRPr="00E37223">
        <w:rPr>
          <w:rFonts w:ascii="Times New Roman" w:hAnsi="Times New Roman" w:cs="Times New Roman"/>
        </w:rPr>
        <w:t xml:space="preserve">exhibit substantial and opposite correlations with option exercises. They argue that the latter </w:t>
      </w:r>
      <w:r w:rsidR="00EE673A" w:rsidRPr="00E37223">
        <w:rPr>
          <w:rFonts w:ascii="Times New Roman" w:hAnsi="Times New Roman" w:cs="Times New Roman"/>
        </w:rPr>
        <w:t xml:space="preserve">(i.e. ambiguity) </w:t>
      </w:r>
      <w:r w:rsidRPr="00E37223">
        <w:rPr>
          <w:rFonts w:ascii="Times New Roman" w:hAnsi="Times New Roman" w:cs="Times New Roman"/>
        </w:rPr>
        <w:t xml:space="preserve">exerts an influence on exercise options through the mechanism often characterized as </w:t>
      </w:r>
      <w:r w:rsidRPr="00E37223">
        <w:rPr>
          <w:rFonts w:ascii="Times New Roman" w:hAnsi="Times New Roman" w:cs="Times New Roman"/>
          <w:i/>
          <w:iCs/>
        </w:rPr>
        <w:t>ambiguity aversion</w:t>
      </w:r>
      <w:r w:rsidRPr="00E37223">
        <w:rPr>
          <w:rFonts w:ascii="Times New Roman" w:hAnsi="Times New Roman" w:cs="Times New Roman"/>
        </w:rPr>
        <w:t xml:space="preserve">, a behavioral tendency whereby individuals prefer environments with known probabilities over those characterized by vague or subjective probabilities. Ambiguity aversion implies a willingness to incur costs to avoid decisions in ambiguous contexts, distinguishing it from risk aversion, which </w:t>
      </w:r>
      <w:r w:rsidR="00EE673A" w:rsidRPr="00E37223">
        <w:rPr>
          <w:rFonts w:ascii="Times New Roman" w:hAnsi="Times New Roman" w:cs="Times New Roman"/>
        </w:rPr>
        <w:t xml:space="preserve">instead </w:t>
      </w:r>
      <w:r w:rsidRPr="00E37223">
        <w:rPr>
          <w:rFonts w:ascii="Times New Roman" w:hAnsi="Times New Roman" w:cs="Times New Roman"/>
        </w:rPr>
        <w:t>operates in situations where probabilities are well-defined, but outcomes are uncertain. This theoretical insight is particularly relevant</w:t>
      </w:r>
      <w:r w:rsidR="00EE673A" w:rsidRPr="00E37223">
        <w:rPr>
          <w:rFonts w:ascii="Times New Roman" w:hAnsi="Times New Roman" w:cs="Times New Roman"/>
        </w:rPr>
        <w:t xml:space="preserve"> in the present study </w:t>
      </w:r>
      <w:r w:rsidRPr="00E37223">
        <w:rPr>
          <w:rFonts w:ascii="Times New Roman" w:hAnsi="Times New Roman" w:cs="Times New Roman"/>
        </w:rPr>
        <w:t xml:space="preserve">given that much of the existing literature on cross-border banking activities has focused on uncertainty broadly </w:t>
      </w:r>
      <w:r w:rsidR="00B671D9" w:rsidRPr="00E37223">
        <w:rPr>
          <w:rFonts w:ascii="Times New Roman" w:hAnsi="Times New Roman" w:cs="Times New Roman"/>
        </w:rPr>
        <w:t>defined or</w:t>
      </w:r>
      <w:r w:rsidRPr="00E37223">
        <w:rPr>
          <w:rFonts w:ascii="Times New Roman" w:hAnsi="Times New Roman" w:cs="Times New Roman"/>
        </w:rPr>
        <w:t xml:space="preserve"> mixed it with risk. </w:t>
      </w:r>
    </w:p>
    <w:p w14:paraId="4FB1FDC9" w14:textId="0506469F" w:rsidR="00DD3395" w:rsidRPr="00E37223" w:rsidRDefault="00EE673A" w:rsidP="00DD3395">
      <w:pPr>
        <w:autoSpaceDE w:val="0"/>
        <w:autoSpaceDN w:val="0"/>
        <w:adjustRightInd w:val="0"/>
        <w:spacing w:line="360" w:lineRule="auto"/>
        <w:ind w:firstLine="720"/>
        <w:rPr>
          <w:rFonts w:ascii="Times New Roman" w:hAnsi="Times New Roman" w:cs="Times New Roman"/>
        </w:rPr>
      </w:pPr>
      <w:bookmarkStart w:id="2" w:name="_Hlk216288268"/>
      <w:r w:rsidRPr="00E37223">
        <w:rPr>
          <w:rFonts w:ascii="Times New Roman" w:hAnsi="Times New Roman" w:cs="Times New Roman"/>
        </w:rPr>
        <w:t>As noted earlier, u</w:t>
      </w:r>
      <w:r w:rsidR="00310A34" w:rsidRPr="00E37223">
        <w:rPr>
          <w:rFonts w:ascii="Times New Roman" w:hAnsi="Times New Roman" w:cs="Times New Roman"/>
        </w:rPr>
        <w:t>nlike risk, which banks can quantify and price into their lending decision-making</w:t>
      </w:r>
      <w:r w:rsidRPr="00E37223">
        <w:rPr>
          <w:rFonts w:ascii="Times New Roman" w:hAnsi="Times New Roman" w:cs="Times New Roman"/>
        </w:rPr>
        <w:t xml:space="preserve"> models</w:t>
      </w:r>
      <w:r w:rsidR="00310A34" w:rsidRPr="00E37223">
        <w:rPr>
          <w:rFonts w:ascii="Times New Roman" w:hAnsi="Times New Roman" w:cs="Times New Roman"/>
        </w:rPr>
        <w:t>, ambiguity creates additional complications by introducing uncertainty about the probabilities themselves. Hence, heightened ambiguity in the source country may encourage cross-border lending</w:t>
      </w:r>
      <w:r w:rsidR="00D6745D" w:rsidRPr="00E37223">
        <w:rPr>
          <w:rStyle w:val="FootnoteReference"/>
          <w:rFonts w:ascii="Times New Roman" w:hAnsi="Times New Roman" w:cs="Times New Roman"/>
        </w:rPr>
        <w:footnoteReference w:id="6"/>
      </w:r>
      <w:r w:rsidR="00310A34" w:rsidRPr="00E37223">
        <w:rPr>
          <w:rFonts w:ascii="Times New Roman" w:hAnsi="Times New Roman" w:cs="Times New Roman"/>
        </w:rPr>
        <w:t xml:space="preserve">, as banks hedge against domestic conditions characterized by Knightian uncertainty by exploiting financial opportunities abroad. However, this hypothesis </w:t>
      </w:r>
      <w:r w:rsidR="00DD3395" w:rsidRPr="00E37223">
        <w:rPr>
          <w:rFonts w:ascii="Times New Roman" w:hAnsi="Times New Roman" w:cs="Times New Roman"/>
        </w:rPr>
        <w:t>is yet to be subjected to e</w:t>
      </w:r>
      <w:r w:rsidR="00310A34" w:rsidRPr="00E37223">
        <w:rPr>
          <w:rFonts w:ascii="Times New Roman" w:hAnsi="Times New Roman" w:cs="Times New Roman"/>
        </w:rPr>
        <w:t xml:space="preserve">mpirical scrutiny due to the challenges of disentangling the distinct effects of risk and ambiguity. This is exactly the gap that </w:t>
      </w:r>
      <w:r w:rsidR="00B235AF" w:rsidRPr="00E37223">
        <w:rPr>
          <w:rFonts w:ascii="Times New Roman" w:hAnsi="Times New Roman" w:cs="Times New Roman"/>
        </w:rPr>
        <w:t xml:space="preserve">the </w:t>
      </w:r>
      <w:r w:rsidR="00310A34" w:rsidRPr="00E37223">
        <w:rPr>
          <w:rFonts w:ascii="Times New Roman" w:hAnsi="Times New Roman" w:cs="Times New Roman"/>
        </w:rPr>
        <w:t xml:space="preserve">present empirical contribution </w:t>
      </w:r>
      <w:r w:rsidRPr="00E37223">
        <w:rPr>
          <w:rFonts w:ascii="Times New Roman" w:hAnsi="Times New Roman" w:cs="Times New Roman"/>
        </w:rPr>
        <w:t xml:space="preserve">intends to </w:t>
      </w:r>
      <w:r w:rsidR="00092078" w:rsidRPr="00E37223">
        <w:rPr>
          <w:rFonts w:ascii="Times New Roman" w:hAnsi="Times New Roman" w:cs="Times New Roman"/>
        </w:rPr>
        <w:t>f</w:t>
      </w:r>
      <w:r w:rsidR="00DD3395" w:rsidRPr="00E37223">
        <w:rPr>
          <w:rFonts w:ascii="Times New Roman" w:hAnsi="Times New Roman" w:cs="Times New Roman"/>
        </w:rPr>
        <w:t>ill.</w:t>
      </w:r>
    </w:p>
    <w:bookmarkEnd w:id="2"/>
    <w:p w14:paraId="32DE14D5" w14:textId="7BE24FBE" w:rsidR="00310A34" w:rsidRPr="00E37223" w:rsidRDefault="00DD3395" w:rsidP="00DD3395">
      <w:pPr>
        <w:autoSpaceDE w:val="0"/>
        <w:autoSpaceDN w:val="0"/>
        <w:adjustRightInd w:val="0"/>
        <w:spacing w:line="360" w:lineRule="auto"/>
        <w:ind w:firstLine="720"/>
        <w:rPr>
          <w:rFonts w:ascii="Times New Roman" w:hAnsi="Times New Roman" w:cs="Times New Roman"/>
        </w:rPr>
      </w:pPr>
      <w:r w:rsidRPr="00E37223">
        <w:rPr>
          <w:rFonts w:ascii="Times New Roman" w:hAnsi="Times New Roman" w:cs="Times New Roman"/>
        </w:rPr>
        <w:t>F</w:t>
      </w:r>
      <w:r w:rsidR="00310A34" w:rsidRPr="00E37223">
        <w:rPr>
          <w:rFonts w:ascii="Times New Roman" w:hAnsi="Times New Roman" w:cs="Times New Roman"/>
        </w:rPr>
        <w:t>rom an empirical perspective, several studies have shown an inverse correlation between the VIX index, global push factors, stock return volatility and other measures of global risk, and cross-border banking activity (</w:t>
      </w:r>
      <w:r w:rsidRPr="00E37223">
        <w:rPr>
          <w:rFonts w:ascii="Times New Roman" w:hAnsi="Times New Roman" w:cs="Times New Roman"/>
        </w:rPr>
        <w:t xml:space="preserve">see, among others, </w:t>
      </w:r>
      <w:r w:rsidR="00310A34" w:rsidRPr="00E37223">
        <w:rPr>
          <w:rFonts w:ascii="Times New Roman" w:hAnsi="Times New Roman" w:cs="Times New Roman"/>
        </w:rPr>
        <w:t xml:space="preserve">Bruno </w:t>
      </w:r>
      <w:r w:rsidR="00E775EE" w:rsidRPr="00E37223">
        <w:rPr>
          <w:rFonts w:ascii="Times New Roman" w:hAnsi="Times New Roman" w:cs="Times New Roman"/>
        </w:rPr>
        <w:t>and</w:t>
      </w:r>
      <w:r w:rsidR="00310A34" w:rsidRPr="00E37223">
        <w:rPr>
          <w:rFonts w:ascii="Times New Roman" w:hAnsi="Times New Roman" w:cs="Times New Roman"/>
        </w:rPr>
        <w:t xml:space="preserve"> Shin 2014; </w:t>
      </w:r>
      <w:r w:rsidR="00E775EE" w:rsidRPr="00E37223">
        <w:rPr>
          <w:rFonts w:ascii="Times New Roman" w:hAnsi="Times New Roman" w:cs="Times New Roman"/>
        </w:rPr>
        <w:t xml:space="preserve">Wang 2018; Choi and Furceri 2019; </w:t>
      </w:r>
      <w:r w:rsidR="00310A34" w:rsidRPr="00E37223">
        <w:rPr>
          <w:rFonts w:ascii="Times New Roman" w:hAnsi="Times New Roman" w:cs="Times New Roman"/>
        </w:rPr>
        <w:t xml:space="preserve">Biswas </w:t>
      </w:r>
      <w:r w:rsidR="00E775EE" w:rsidRPr="00E37223">
        <w:rPr>
          <w:rFonts w:ascii="Times New Roman" w:hAnsi="Times New Roman" w:cs="Times New Roman"/>
        </w:rPr>
        <w:t>and</w:t>
      </w:r>
      <w:r w:rsidR="00310A34" w:rsidRPr="00E37223">
        <w:rPr>
          <w:rFonts w:ascii="Times New Roman" w:hAnsi="Times New Roman" w:cs="Times New Roman"/>
        </w:rPr>
        <w:t xml:space="preserve"> Zhai 2021). </w:t>
      </w:r>
      <w:r w:rsidR="00C72013" w:rsidRPr="00E37223">
        <w:rPr>
          <w:rFonts w:ascii="Times New Roman" w:hAnsi="Times New Roman" w:cs="Times New Roman"/>
        </w:rPr>
        <w:t>But not all studies concur in their results. For example, Biswas and Zhai (2021) find that the absolute levels of cross-</w:t>
      </w:r>
      <w:r w:rsidR="00C72013" w:rsidRPr="00E37223">
        <w:rPr>
          <w:rFonts w:ascii="Times New Roman" w:hAnsi="Times New Roman" w:cs="Times New Roman"/>
        </w:rPr>
        <w:lastRenderedPageBreak/>
        <w:t>border flows in the syndicated loans market increase when uncertainty</w:t>
      </w:r>
      <w:r w:rsidR="00092078" w:rsidRPr="00E37223">
        <w:rPr>
          <w:rFonts w:ascii="Times New Roman" w:hAnsi="Times New Roman" w:cs="Times New Roman"/>
        </w:rPr>
        <w:t xml:space="preserve"> in the lending country is </w:t>
      </w:r>
      <w:r w:rsidR="00C72013" w:rsidRPr="00E37223">
        <w:rPr>
          <w:rFonts w:ascii="Times New Roman" w:hAnsi="Times New Roman" w:cs="Times New Roman"/>
        </w:rPr>
        <w:t xml:space="preserve">high. Differences in previous studies' results can obviously be also attributed to different samples (e.g., while Choi </w:t>
      </w:r>
      <w:r w:rsidR="00E775EE" w:rsidRPr="00E37223">
        <w:rPr>
          <w:rFonts w:ascii="Times New Roman" w:hAnsi="Times New Roman" w:cs="Times New Roman"/>
        </w:rPr>
        <w:t>and</w:t>
      </w:r>
      <w:r w:rsidR="00C72013" w:rsidRPr="00E37223">
        <w:rPr>
          <w:rFonts w:ascii="Times New Roman" w:hAnsi="Times New Roman" w:cs="Times New Roman"/>
        </w:rPr>
        <w:t xml:space="preserve"> Furceri 2019 use the overall cross-border bank flows, Biswas </w:t>
      </w:r>
      <w:r w:rsidR="00E775EE" w:rsidRPr="00E37223">
        <w:rPr>
          <w:rFonts w:ascii="Times New Roman" w:hAnsi="Times New Roman" w:cs="Times New Roman"/>
        </w:rPr>
        <w:t>and</w:t>
      </w:r>
      <w:r w:rsidR="00C72013" w:rsidRPr="00E37223">
        <w:rPr>
          <w:rFonts w:ascii="Times New Roman" w:hAnsi="Times New Roman" w:cs="Times New Roman"/>
        </w:rPr>
        <w:t xml:space="preserve"> Zhai 2021 focus on the syndicated loan market) and different measure of risk or ‘uncertainty’ </w:t>
      </w:r>
      <w:r w:rsidRPr="00E37223">
        <w:rPr>
          <w:rFonts w:ascii="Times New Roman" w:hAnsi="Times New Roman" w:cs="Times New Roman"/>
        </w:rPr>
        <w:t xml:space="preserve">employed </w:t>
      </w:r>
      <w:r w:rsidR="00C72013" w:rsidRPr="00E37223">
        <w:rPr>
          <w:rFonts w:ascii="Times New Roman" w:hAnsi="Times New Roman" w:cs="Times New Roman"/>
        </w:rPr>
        <w:t xml:space="preserve">(e.g., Biswas </w:t>
      </w:r>
      <w:r w:rsidR="00E775EE" w:rsidRPr="00E37223">
        <w:rPr>
          <w:rFonts w:ascii="Times New Roman" w:hAnsi="Times New Roman" w:cs="Times New Roman"/>
        </w:rPr>
        <w:t xml:space="preserve">and </w:t>
      </w:r>
      <w:r w:rsidR="00C72013" w:rsidRPr="00E37223">
        <w:rPr>
          <w:rFonts w:ascii="Times New Roman" w:hAnsi="Times New Roman" w:cs="Times New Roman"/>
        </w:rPr>
        <w:t xml:space="preserve">Zhai 2021 proxy economic policy uncertainty with the index constructed by Baker et al. 2016, which measures the monthly variation in political conditions). </w:t>
      </w:r>
      <w:bookmarkStart w:id="3" w:name="_Hlk216286426"/>
      <w:r w:rsidR="00310A34" w:rsidRPr="00E37223">
        <w:rPr>
          <w:rFonts w:ascii="Times New Roman" w:hAnsi="Times New Roman" w:cs="Times New Roman"/>
        </w:rPr>
        <w:t xml:space="preserve">However, as discussed above, none of these studies </w:t>
      </w:r>
      <w:r w:rsidR="00AC130A" w:rsidRPr="00E37223">
        <w:rPr>
          <w:rFonts w:ascii="Times New Roman" w:hAnsi="Times New Roman" w:cs="Times New Roman"/>
        </w:rPr>
        <w:t>(including Choi and Furceri 2019)</w:t>
      </w:r>
      <w:r w:rsidR="004C4959" w:rsidRPr="00E37223">
        <w:rPr>
          <w:rStyle w:val="FootnoteReference"/>
          <w:rFonts w:ascii="Times New Roman" w:hAnsi="Times New Roman" w:cs="Times New Roman"/>
        </w:rPr>
        <w:footnoteReference w:id="7"/>
      </w:r>
      <w:r w:rsidR="00AC130A" w:rsidRPr="00E37223">
        <w:rPr>
          <w:rFonts w:ascii="Times New Roman" w:hAnsi="Times New Roman" w:cs="Times New Roman"/>
        </w:rPr>
        <w:t xml:space="preserve"> </w:t>
      </w:r>
      <w:r w:rsidR="00310A34" w:rsidRPr="00E37223">
        <w:rPr>
          <w:rFonts w:ascii="Times New Roman" w:hAnsi="Times New Roman" w:cs="Times New Roman"/>
        </w:rPr>
        <w:t xml:space="preserve">has employed a measure of </w:t>
      </w:r>
      <w:r w:rsidR="00AC130A" w:rsidRPr="00E37223">
        <w:rPr>
          <w:rFonts w:ascii="Times New Roman" w:hAnsi="Times New Roman" w:cs="Times New Roman"/>
        </w:rPr>
        <w:t xml:space="preserve">strictly-defined </w:t>
      </w:r>
      <w:r w:rsidR="00310A34" w:rsidRPr="00E37223">
        <w:rPr>
          <w:rFonts w:ascii="Times New Roman" w:hAnsi="Times New Roman" w:cs="Times New Roman"/>
        </w:rPr>
        <w:t>Knightian uncertainty or ambiguity</w:t>
      </w:r>
      <w:r w:rsidR="003C7BC1" w:rsidRPr="00E37223">
        <w:rPr>
          <w:rFonts w:ascii="Times New Roman" w:hAnsi="Times New Roman" w:cs="Times New Roman"/>
        </w:rPr>
        <w:t>.</w:t>
      </w:r>
      <w:r w:rsidR="00AC130A" w:rsidRPr="00E37223">
        <w:rPr>
          <w:rFonts w:ascii="Times New Roman" w:hAnsi="Times New Roman" w:cs="Times New Roman"/>
        </w:rPr>
        <w:t xml:space="preserve"> </w:t>
      </w:r>
    </w:p>
    <w:p w14:paraId="0CD1FD3C" w14:textId="0AF1C805" w:rsidR="00310A34" w:rsidRPr="00E37223" w:rsidRDefault="00AC130A" w:rsidP="005E2D7A">
      <w:pPr>
        <w:autoSpaceDE w:val="0"/>
        <w:autoSpaceDN w:val="0"/>
        <w:adjustRightInd w:val="0"/>
        <w:spacing w:line="360" w:lineRule="auto"/>
        <w:ind w:firstLine="720"/>
        <w:rPr>
          <w:rFonts w:ascii="Times New Roman" w:hAnsi="Times New Roman" w:cs="Times New Roman"/>
        </w:rPr>
      </w:pPr>
      <w:r w:rsidRPr="00E37223">
        <w:rPr>
          <w:rFonts w:ascii="Times New Roman" w:eastAsia="Times New Roman" w:hAnsi="Times New Roman" w:cs="Times New Roman"/>
          <w:color w:val="242424"/>
          <w:sz w:val="20"/>
          <w:szCs w:val="20"/>
          <w:lang w:eastAsia="en-GB"/>
        </w:rPr>
        <w:t xml:space="preserve"> </w:t>
      </w:r>
      <w:r w:rsidR="00310A34" w:rsidRPr="00E37223">
        <w:rPr>
          <w:rFonts w:ascii="Times New Roman" w:hAnsi="Times New Roman" w:cs="Times New Roman"/>
        </w:rPr>
        <w:t xml:space="preserve">In this paper we </w:t>
      </w:r>
      <w:r w:rsidR="00674CE9" w:rsidRPr="00E37223">
        <w:rPr>
          <w:rFonts w:ascii="Times New Roman" w:hAnsi="Times New Roman" w:cs="Times New Roman"/>
        </w:rPr>
        <w:t xml:space="preserve">add to what has gone before in this literature </w:t>
      </w:r>
      <w:r w:rsidR="00310A34" w:rsidRPr="00E37223">
        <w:rPr>
          <w:rFonts w:ascii="Times New Roman" w:hAnsi="Times New Roman" w:cs="Times New Roman"/>
        </w:rPr>
        <w:t xml:space="preserve">by employing the methodology proposed by Brenner and Izhakian (2018) and Izhakian (2020), using the five-minute stock market returns across 20 countries to estimate ambiguity. Specifically, we define uncertainty over future outcomes as risk, and we measure uncertainty over the probability of those outcomes as ambiguity. Ambiguity, in this context, arises from the dynamic evolution of the probabilities associated with potential outcomes over time. </w:t>
      </w:r>
      <w:bookmarkEnd w:id="3"/>
      <w:r w:rsidR="00310A34" w:rsidRPr="00E37223">
        <w:rPr>
          <w:rFonts w:ascii="Times New Roman" w:hAnsi="Times New Roman" w:cs="Times New Roman"/>
        </w:rPr>
        <w:t>This methodological distinction allows us to provide a more comprehensive understanding of how each of these two facets of uncertainty – risk and ambiguity – uniquely influence cross-border banking lending.</w:t>
      </w:r>
    </w:p>
    <w:p w14:paraId="6EEC8FB5" w14:textId="599E19B3" w:rsidR="00310A34" w:rsidRPr="00E37223" w:rsidRDefault="00310A34" w:rsidP="00310A34">
      <w:pPr>
        <w:spacing w:line="360" w:lineRule="auto"/>
        <w:ind w:firstLine="720"/>
        <w:rPr>
          <w:rFonts w:ascii="Times New Roman" w:hAnsi="Times New Roman" w:cs="Times New Roman"/>
        </w:rPr>
      </w:pPr>
      <w:r w:rsidRPr="00E37223">
        <w:rPr>
          <w:rFonts w:ascii="Times New Roman" w:hAnsi="Times New Roman" w:cs="Times New Roman"/>
        </w:rPr>
        <w:t xml:space="preserve">Our research enhances our understanding of how global banks adjust their cross-border lending strategies during periods of high ambiguity in the source countries in which they operate. The analysis leverages two key datasets to examine cross-border banking activities. First, country-pair quarterly-level data from the BIS Locational Banking Statistics (LBS). The LBS data capture outstanding cross-border claims, representing the financial assets that banks hold against non-resident counterparties across different countries. These claims include loans and deposits, debt securities, derivatives, and other financial instruments. Importantly, all data are reported on an unconsolidated basis to represent the breadth of international banking activity. Furthermore, the LBS </w:t>
      </w:r>
      <w:r w:rsidR="00165DF8" w:rsidRPr="00E37223">
        <w:rPr>
          <w:rFonts w:ascii="Times New Roman" w:hAnsi="Times New Roman" w:cs="Times New Roman"/>
        </w:rPr>
        <w:t xml:space="preserve">dataset </w:t>
      </w:r>
      <w:r w:rsidRPr="00E37223">
        <w:rPr>
          <w:rFonts w:ascii="Times New Roman" w:hAnsi="Times New Roman" w:cs="Times New Roman"/>
        </w:rPr>
        <w:t xml:space="preserve">includes adjustments for breaks in data and exchange rate fluctuations, allowing us to approximate the underlying flows of capital during each quarter. We focus specifically on these adjusted growth rates of </w:t>
      </w:r>
      <w:r w:rsidRPr="00E37223">
        <w:rPr>
          <w:rFonts w:ascii="Times New Roman" w:hAnsi="Times New Roman" w:cs="Times New Roman"/>
        </w:rPr>
        <w:lastRenderedPageBreak/>
        <w:t>cross-border claims. This approach allows us to understand not just the static value of international claims but also their dynamic evolution over time, providing insights into the flow of capital across borders. Second, we use lender-borrower country-pair quarterly-level data aggregated from DealScan</w:t>
      </w:r>
      <w:r w:rsidR="00BD7DD8" w:rsidRPr="00E37223">
        <w:rPr>
          <w:rFonts w:ascii="Times New Roman" w:hAnsi="Times New Roman" w:cs="Times New Roman"/>
        </w:rPr>
        <w:t xml:space="preserve"> (</w:t>
      </w:r>
      <w:r w:rsidR="00633333" w:rsidRPr="00E37223">
        <w:rPr>
          <w:rFonts w:ascii="Times New Roman" w:hAnsi="Times New Roman" w:cs="Times New Roman"/>
        </w:rPr>
        <w:t xml:space="preserve">the leading database for </w:t>
      </w:r>
      <w:r w:rsidR="00BD7DD8" w:rsidRPr="00E37223">
        <w:rPr>
          <w:rFonts w:ascii="Times New Roman" w:hAnsi="Times New Roman" w:cs="Times New Roman"/>
        </w:rPr>
        <w:t xml:space="preserve">comprehensive historical terms and conditions of syndicated loans), </w:t>
      </w:r>
      <w:r w:rsidRPr="00E37223">
        <w:rPr>
          <w:rFonts w:ascii="Times New Roman" w:hAnsi="Times New Roman" w:cs="Times New Roman"/>
        </w:rPr>
        <w:t xml:space="preserve">which provides insights into cross-border syndicated lending activities. Cross-border lending, in this context, refers to financial transactions where the lender and borrower are located in different countries. </w:t>
      </w:r>
      <w:r w:rsidR="00073AFA" w:rsidRPr="00E37223">
        <w:rPr>
          <w:rFonts w:ascii="Times New Roman" w:hAnsi="Times New Roman" w:cs="Times New Roman"/>
        </w:rPr>
        <w:t xml:space="preserve">Using these </w:t>
      </w:r>
      <w:r w:rsidRPr="00E37223">
        <w:rPr>
          <w:rFonts w:ascii="Times New Roman" w:hAnsi="Times New Roman" w:cs="Times New Roman"/>
        </w:rPr>
        <w:t xml:space="preserve">two datasets enables us to analyze international bank flows from both a broader aggregate perspective (cross-border claims) and a detailed lending perspective (syndicated loans), thus allowing </w:t>
      </w:r>
      <w:r w:rsidR="00073AFA" w:rsidRPr="00E37223">
        <w:rPr>
          <w:rFonts w:ascii="Times New Roman" w:hAnsi="Times New Roman" w:cs="Times New Roman"/>
        </w:rPr>
        <w:t xml:space="preserve">for </w:t>
      </w:r>
      <w:r w:rsidRPr="00E37223">
        <w:rPr>
          <w:rFonts w:ascii="Times New Roman" w:hAnsi="Times New Roman" w:cs="Times New Roman"/>
        </w:rPr>
        <w:t>a comprehensive exploration of how varying degrees of ambiguity in source countries influence banks’ credit allocation decisions across borders.</w:t>
      </w:r>
    </w:p>
    <w:p w14:paraId="0451F357" w14:textId="3FAC0FD5" w:rsidR="00310A34" w:rsidRPr="00E37223" w:rsidRDefault="00310A34" w:rsidP="00310A34">
      <w:pPr>
        <w:spacing w:line="360" w:lineRule="auto"/>
        <w:ind w:firstLine="720"/>
        <w:rPr>
          <w:rFonts w:ascii="Times New Roman" w:hAnsi="Times New Roman" w:cs="Times New Roman"/>
        </w:rPr>
      </w:pPr>
      <w:r w:rsidRPr="00E37223">
        <w:rPr>
          <w:rFonts w:ascii="Times New Roman" w:hAnsi="Times New Roman" w:cs="Times New Roman"/>
        </w:rPr>
        <w:t xml:space="preserve">Our key finding is that an increase in ambiguity within a source country is positively and significantly associated with an increase in cross-border lending (while a volatility measure of risk shows the opposite effect on cross-border lending). This </w:t>
      </w:r>
      <w:r w:rsidR="00165DF8" w:rsidRPr="00E37223">
        <w:rPr>
          <w:rFonts w:ascii="Times New Roman" w:hAnsi="Times New Roman" w:cs="Times New Roman"/>
        </w:rPr>
        <w:t xml:space="preserve">key finding </w:t>
      </w:r>
      <w:r w:rsidRPr="00E37223">
        <w:rPr>
          <w:rFonts w:ascii="Times New Roman" w:hAnsi="Times New Roman" w:cs="Times New Roman"/>
        </w:rPr>
        <w:t xml:space="preserve">holds after controlling for a wide range of macroeconomic factors. A series of robustness and sensitivity analyses strengthen the credibility of </w:t>
      </w:r>
      <w:r w:rsidR="00165DF8" w:rsidRPr="00E37223">
        <w:rPr>
          <w:rFonts w:ascii="Times New Roman" w:hAnsi="Times New Roman" w:cs="Times New Roman"/>
        </w:rPr>
        <w:t xml:space="preserve">the </w:t>
      </w:r>
      <w:r w:rsidRPr="00E37223">
        <w:rPr>
          <w:rFonts w:ascii="Times New Roman" w:hAnsi="Times New Roman" w:cs="Times New Roman"/>
        </w:rPr>
        <w:t xml:space="preserve">results. These permutations </w:t>
      </w:r>
      <w:bookmarkStart w:id="5" w:name="_Hlk216271432"/>
      <w:r w:rsidRPr="00E37223">
        <w:rPr>
          <w:rFonts w:ascii="Times New Roman" w:hAnsi="Times New Roman" w:cs="Times New Roman"/>
        </w:rPr>
        <w:t xml:space="preserve">include re-estimations with different methods such as two-stage least squares (2SLS) and the generalized method of moments (GMM) to control for endogeneity, </w:t>
      </w:r>
      <w:r w:rsidR="00165DF8" w:rsidRPr="00E37223">
        <w:rPr>
          <w:rFonts w:ascii="Times New Roman" w:hAnsi="Times New Roman" w:cs="Times New Roman"/>
        </w:rPr>
        <w:t xml:space="preserve">the addition of gravity-type variables into the model specification, </w:t>
      </w:r>
      <w:r w:rsidRPr="00E37223">
        <w:rPr>
          <w:rFonts w:ascii="Times New Roman" w:hAnsi="Times New Roman" w:cs="Times New Roman"/>
        </w:rPr>
        <w:t xml:space="preserve">and the exclusion of certain time periods </w:t>
      </w:r>
      <w:r w:rsidR="00165DF8" w:rsidRPr="00E37223">
        <w:rPr>
          <w:rFonts w:ascii="Times New Roman" w:hAnsi="Times New Roman" w:cs="Times New Roman"/>
        </w:rPr>
        <w:t xml:space="preserve">such as </w:t>
      </w:r>
      <w:r w:rsidRPr="00E37223">
        <w:rPr>
          <w:rFonts w:ascii="Times New Roman" w:hAnsi="Times New Roman" w:cs="Times New Roman"/>
        </w:rPr>
        <w:t xml:space="preserve">financial crises. </w:t>
      </w:r>
    </w:p>
    <w:bookmarkEnd w:id="5"/>
    <w:p w14:paraId="56F10953" w14:textId="23D1E63D" w:rsidR="00310A34" w:rsidRPr="001D4CD5" w:rsidRDefault="00310A34" w:rsidP="00310A34">
      <w:pPr>
        <w:spacing w:line="360" w:lineRule="auto"/>
        <w:ind w:firstLine="720"/>
      </w:pPr>
      <w:r w:rsidRPr="00E37223">
        <w:rPr>
          <w:rFonts w:ascii="Times New Roman" w:hAnsi="Times New Roman" w:cs="Times New Roman"/>
        </w:rPr>
        <w:t xml:space="preserve">The main contribution of our study lies in being the first study to investigate how cross-border bank lending responds to Knightian uncertainty, as opposed to risk or economic policy uncertainty as done in previous studies. The findings are not only consistent with the theoretically predicted differential responses of cross-border bank lending to source country ambiguity compared to risk </w:t>
      </w:r>
      <w:r w:rsidR="00073AFA" w:rsidRPr="00E37223">
        <w:rPr>
          <w:rFonts w:ascii="Times New Roman" w:hAnsi="Times New Roman" w:cs="Times New Roman"/>
        </w:rPr>
        <w:t xml:space="preserve">as </w:t>
      </w:r>
      <w:r w:rsidRPr="00E37223">
        <w:rPr>
          <w:rFonts w:ascii="Times New Roman" w:hAnsi="Times New Roman" w:cs="Times New Roman"/>
        </w:rPr>
        <w:t>we outlined above, but they also have significant implications for banking regulations and international financial management. To mitigate potential risks associated with increased cross-border financial activities, regulators may consider implementing more stringent capital requirements and closer monitoring of banks' foreign exposures, especially during periods of heightened domestic ambiguity.</w:t>
      </w:r>
    </w:p>
    <w:p w14:paraId="253A6F8C" w14:textId="77777777" w:rsidR="00815D88" w:rsidRPr="001D4CD5" w:rsidRDefault="00815D88" w:rsidP="00DD3FB5">
      <w:pPr>
        <w:spacing w:line="360" w:lineRule="auto"/>
        <w:ind w:firstLine="720"/>
        <w:rPr>
          <w:rFonts w:ascii="Times New Roman" w:hAnsi="Times New Roman" w:cs="Times New Roman"/>
        </w:rPr>
      </w:pPr>
    </w:p>
    <w:p w14:paraId="621BEA34" w14:textId="5003BC8F" w:rsidR="000C4679" w:rsidRPr="00E37223" w:rsidRDefault="00CD579F" w:rsidP="00DD3FB5">
      <w:pPr>
        <w:spacing w:line="360" w:lineRule="auto"/>
        <w:rPr>
          <w:rFonts w:ascii="Times New Roman" w:hAnsi="Times New Roman" w:cs="Times New Roman"/>
          <w:b/>
          <w:bCs/>
        </w:rPr>
      </w:pPr>
      <w:r w:rsidRPr="00E37223">
        <w:rPr>
          <w:rFonts w:ascii="Times New Roman" w:hAnsi="Times New Roman" w:cs="Times New Roman"/>
          <w:b/>
          <w:bCs/>
        </w:rPr>
        <w:t xml:space="preserve">2 </w:t>
      </w:r>
      <w:r w:rsidR="003F3C98" w:rsidRPr="00E37223">
        <w:rPr>
          <w:rFonts w:ascii="Times New Roman" w:hAnsi="Times New Roman" w:cs="Times New Roman"/>
          <w:b/>
          <w:bCs/>
        </w:rPr>
        <w:t xml:space="preserve"> </w:t>
      </w:r>
      <w:r w:rsidR="00EE2ED1" w:rsidRPr="00E37223">
        <w:rPr>
          <w:rFonts w:ascii="Times New Roman" w:hAnsi="Times New Roman" w:cs="Times New Roman"/>
          <w:b/>
          <w:bCs/>
        </w:rPr>
        <w:t>Data and methodology</w:t>
      </w:r>
    </w:p>
    <w:p w14:paraId="3AB14E2E" w14:textId="3A659AFB" w:rsidR="009A5716" w:rsidRPr="00E37223" w:rsidRDefault="00450088" w:rsidP="00DD3FB5">
      <w:pPr>
        <w:autoSpaceDE w:val="0"/>
        <w:autoSpaceDN w:val="0"/>
        <w:adjustRightInd w:val="0"/>
        <w:spacing w:line="360" w:lineRule="auto"/>
        <w:rPr>
          <w:rFonts w:ascii="Times New Roman" w:hAnsi="Times New Roman" w:cs="Times New Roman"/>
          <w:b/>
          <w:bCs/>
        </w:rPr>
      </w:pPr>
      <w:r w:rsidRPr="00E37223">
        <w:rPr>
          <w:rFonts w:ascii="Times New Roman" w:hAnsi="Times New Roman" w:cs="Times New Roman"/>
          <w:b/>
          <w:bCs/>
        </w:rPr>
        <w:t>2.1</w:t>
      </w:r>
      <w:r w:rsidR="003F3C98" w:rsidRPr="00E37223">
        <w:rPr>
          <w:rFonts w:ascii="Times New Roman" w:hAnsi="Times New Roman" w:cs="Times New Roman"/>
          <w:b/>
          <w:bCs/>
        </w:rPr>
        <w:t xml:space="preserve"> </w:t>
      </w:r>
      <w:r w:rsidRPr="00E37223">
        <w:rPr>
          <w:rFonts w:ascii="Times New Roman" w:hAnsi="Times New Roman" w:cs="Times New Roman"/>
          <w:b/>
          <w:bCs/>
        </w:rPr>
        <w:t xml:space="preserve"> </w:t>
      </w:r>
      <w:r w:rsidR="00616E50" w:rsidRPr="00E37223">
        <w:rPr>
          <w:rFonts w:ascii="Times New Roman" w:hAnsi="Times New Roman" w:cs="Times New Roman"/>
          <w:b/>
          <w:bCs/>
        </w:rPr>
        <w:t>Country-</w:t>
      </w:r>
      <w:r w:rsidR="00A1736F" w:rsidRPr="00E37223">
        <w:rPr>
          <w:rFonts w:ascii="Times New Roman" w:hAnsi="Times New Roman" w:cs="Times New Roman"/>
          <w:b/>
          <w:bCs/>
        </w:rPr>
        <w:t>p</w:t>
      </w:r>
      <w:r w:rsidR="00616E50" w:rsidRPr="00E37223">
        <w:rPr>
          <w:rFonts w:ascii="Times New Roman" w:hAnsi="Times New Roman" w:cs="Times New Roman"/>
          <w:b/>
          <w:bCs/>
        </w:rPr>
        <w:t xml:space="preserve">air </w:t>
      </w:r>
      <w:r w:rsidR="005A2F07" w:rsidRPr="00E37223">
        <w:rPr>
          <w:rFonts w:ascii="Times New Roman" w:hAnsi="Times New Roman" w:cs="Times New Roman"/>
          <w:b/>
          <w:bCs/>
        </w:rPr>
        <w:t>l</w:t>
      </w:r>
      <w:r w:rsidR="00616E50" w:rsidRPr="00E37223">
        <w:rPr>
          <w:rFonts w:ascii="Times New Roman" w:hAnsi="Times New Roman" w:cs="Times New Roman"/>
          <w:b/>
          <w:bCs/>
        </w:rPr>
        <w:t xml:space="preserve">evel </w:t>
      </w:r>
      <w:r w:rsidR="005A2F07" w:rsidRPr="00E37223">
        <w:rPr>
          <w:rFonts w:ascii="Times New Roman" w:hAnsi="Times New Roman" w:cs="Times New Roman"/>
          <w:b/>
          <w:bCs/>
        </w:rPr>
        <w:t>c</w:t>
      </w:r>
      <w:r w:rsidR="008641F9" w:rsidRPr="00E37223">
        <w:rPr>
          <w:rFonts w:ascii="Times New Roman" w:hAnsi="Times New Roman" w:cs="Times New Roman"/>
          <w:b/>
          <w:bCs/>
        </w:rPr>
        <w:t>ross-border banking flows</w:t>
      </w:r>
    </w:p>
    <w:p w14:paraId="552CC7E0" w14:textId="098DA48C" w:rsidR="00501AE2" w:rsidRPr="00E37223" w:rsidRDefault="002D3D39" w:rsidP="00EE37FC">
      <w:pPr>
        <w:autoSpaceDE w:val="0"/>
        <w:autoSpaceDN w:val="0"/>
        <w:adjustRightInd w:val="0"/>
        <w:spacing w:line="360" w:lineRule="auto"/>
        <w:rPr>
          <w:rFonts w:ascii="Times New Roman" w:hAnsi="Times New Roman" w:cs="Times New Roman"/>
        </w:rPr>
      </w:pPr>
      <w:r w:rsidRPr="00E37223">
        <w:rPr>
          <w:rFonts w:ascii="Times New Roman" w:hAnsi="Times New Roman" w:cs="Times New Roman"/>
        </w:rPr>
        <w:t>Following the previous literature</w:t>
      </w:r>
      <w:r w:rsidR="009B375D" w:rsidRPr="00E37223">
        <w:rPr>
          <w:rFonts w:ascii="Times New Roman" w:hAnsi="Times New Roman" w:cs="Times New Roman"/>
        </w:rPr>
        <w:t xml:space="preserve"> of cross-border banking flows </w:t>
      </w:r>
      <w:r w:rsidR="0027111D" w:rsidRPr="00E37223">
        <w:rPr>
          <w:rFonts w:ascii="Times New Roman" w:hAnsi="Times New Roman" w:cs="Times New Roman"/>
        </w:rPr>
        <w:t xml:space="preserve">evidence </w:t>
      </w:r>
      <w:r w:rsidR="005852CB" w:rsidRPr="00E37223">
        <w:rPr>
          <w:rFonts w:ascii="Times New Roman" w:hAnsi="Times New Roman" w:cs="Times New Roman"/>
        </w:rPr>
        <w:t>(Albrizio</w:t>
      </w:r>
      <w:r w:rsidR="005852CB" w:rsidRPr="00E37223">
        <w:rPr>
          <w:rFonts w:ascii="Times New Roman" w:hAnsi="Times New Roman" w:cs="Times New Roman"/>
          <w:i/>
        </w:rPr>
        <w:t xml:space="preserve"> </w:t>
      </w:r>
      <w:r w:rsidR="005852CB" w:rsidRPr="00E37223">
        <w:rPr>
          <w:rFonts w:ascii="Times New Roman" w:hAnsi="Times New Roman" w:cs="Times New Roman"/>
          <w:iCs/>
        </w:rPr>
        <w:t>et al.</w:t>
      </w:r>
      <w:r w:rsidR="00E775EE" w:rsidRPr="00E37223">
        <w:rPr>
          <w:rFonts w:ascii="Times New Roman" w:hAnsi="Times New Roman" w:cs="Times New Roman"/>
          <w:iCs/>
        </w:rPr>
        <w:t xml:space="preserve"> </w:t>
      </w:r>
      <w:r w:rsidR="005852CB" w:rsidRPr="00E37223">
        <w:rPr>
          <w:rFonts w:ascii="Times New Roman" w:hAnsi="Times New Roman" w:cs="Times New Roman"/>
        </w:rPr>
        <w:t xml:space="preserve">2020; Choi </w:t>
      </w:r>
      <w:r w:rsidR="003F3C98" w:rsidRPr="00E37223">
        <w:rPr>
          <w:rFonts w:ascii="Times New Roman" w:hAnsi="Times New Roman" w:cs="Times New Roman"/>
        </w:rPr>
        <w:t>and</w:t>
      </w:r>
      <w:r w:rsidR="005852CB" w:rsidRPr="00E37223">
        <w:rPr>
          <w:rFonts w:ascii="Times New Roman" w:hAnsi="Times New Roman" w:cs="Times New Roman"/>
        </w:rPr>
        <w:t xml:space="preserve"> Furceri 2019; Correa</w:t>
      </w:r>
      <w:r w:rsidR="005852CB" w:rsidRPr="00E37223">
        <w:rPr>
          <w:rFonts w:ascii="Times New Roman" w:hAnsi="Times New Roman" w:cs="Times New Roman"/>
          <w:i/>
        </w:rPr>
        <w:t xml:space="preserve"> </w:t>
      </w:r>
      <w:r w:rsidR="005852CB" w:rsidRPr="00E37223">
        <w:rPr>
          <w:rFonts w:ascii="Times New Roman" w:hAnsi="Times New Roman" w:cs="Times New Roman"/>
          <w:iCs/>
        </w:rPr>
        <w:t>et al.</w:t>
      </w:r>
      <w:r w:rsidR="005852CB" w:rsidRPr="00E37223">
        <w:rPr>
          <w:rFonts w:ascii="Times New Roman" w:hAnsi="Times New Roman" w:cs="Times New Roman"/>
        </w:rPr>
        <w:t xml:space="preserve"> 2021)</w:t>
      </w:r>
      <w:r w:rsidR="00A44132" w:rsidRPr="00E37223">
        <w:rPr>
          <w:rFonts w:ascii="Times New Roman" w:hAnsi="Times New Roman" w:cs="Times New Roman"/>
        </w:rPr>
        <w:t xml:space="preserve">, </w:t>
      </w:r>
      <w:r w:rsidRPr="00E37223">
        <w:rPr>
          <w:rFonts w:ascii="Times New Roman" w:hAnsi="Times New Roman" w:cs="Times New Roman"/>
        </w:rPr>
        <w:t>we use</w:t>
      </w:r>
      <w:r w:rsidR="000C2B33" w:rsidRPr="00E37223">
        <w:rPr>
          <w:rFonts w:ascii="Times New Roman" w:hAnsi="Times New Roman" w:cs="Times New Roman"/>
        </w:rPr>
        <w:t xml:space="preserve"> data from the Locational Banking </w:t>
      </w:r>
      <w:r w:rsidR="000C2B33" w:rsidRPr="00E37223">
        <w:rPr>
          <w:rFonts w:ascii="Times New Roman" w:hAnsi="Times New Roman" w:cs="Times New Roman"/>
        </w:rPr>
        <w:lastRenderedPageBreak/>
        <w:t>Statistics (LBS) database, maintained by the Bank for International Settlements (BIS), as our primary data source</w:t>
      </w:r>
      <w:r w:rsidR="007E704F" w:rsidRPr="00E37223">
        <w:rPr>
          <w:rFonts w:ascii="Times New Roman" w:hAnsi="Times New Roman" w:cs="Times New Roman"/>
        </w:rPr>
        <w:t xml:space="preserve">. </w:t>
      </w:r>
      <w:r w:rsidR="00035349" w:rsidRPr="00E37223">
        <w:rPr>
          <w:rFonts w:ascii="Times New Roman" w:hAnsi="Times New Roman" w:cs="Times New Roman"/>
        </w:rPr>
        <w:t xml:space="preserve">This </w:t>
      </w:r>
      <w:r w:rsidRPr="00E37223">
        <w:rPr>
          <w:rFonts w:ascii="Times New Roman" w:hAnsi="Times New Roman" w:cs="Times New Roman"/>
        </w:rPr>
        <w:t xml:space="preserve">collaborative </w:t>
      </w:r>
      <w:r w:rsidR="00035349" w:rsidRPr="00E37223">
        <w:rPr>
          <w:rFonts w:ascii="Times New Roman" w:hAnsi="Times New Roman" w:cs="Times New Roman"/>
        </w:rPr>
        <w:t xml:space="preserve">database is shared </w:t>
      </w:r>
      <w:r w:rsidRPr="00E37223">
        <w:rPr>
          <w:rFonts w:ascii="Times New Roman" w:hAnsi="Times New Roman" w:cs="Times New Roman"/>
        </w:rPr>
        <w:t>among reporting countries' central banks</w:t>
      </w:r>
      <w:r w:rsidR="00035349" w:rsidRPr="00E37223">
        <w:rPr>
          <w:rFonts w:ascii="Times New Roman" w:hAnsi="Times New Roman" w:cs="Times New Roman"/>
        </w:rPr>
        <w:t xml:space="preserve"> and provides a quarterly dataset encompassing </w:t>
      </w:r>
      <w:r w:rsidR="0011332E" w:rsidRPr="00E37223">
        <w:rPr>
          <w:rFonts w:ascii="Times New Roman" w:hAnsi="Times New Roman" w:cs="Times New Roman"/>
        </w:rPr>
        <w:t>international flow</w:t>
      </w:r>
      <w:r w:rsidR="009101CD" w:rsidRPr="00E37223">
        <w:rPr>
          <w:rFonts w:ascii="Times New Roman" w:hAnsi="Times New Roman" w:cs="Times New Roman"/>
        </w:rPr>
        <w:t>s</w:t>
      </w:r>
      <w:r w:rsidR="0089345F" w:rsidRPr="00E37223">
        <w:rPr>
          <w:rFonts w:ascii="Times New Roman" w:hAnsi="Times New Roman" w:cs="Times New Roman"/>
        </w:rPr>
        <w:t xml:space="preserve"> </w:t>
      </w:r>
      <w:r w:rsidR="0011332E" w:rsidRPr="00E37223">
        <w:rPr>
          <w:rFonts w:ascii="Times New Roman" w:hAnsi="Times New Roman" w:cs="Times New Roman"/>
        </w:rPr>
        <w:t>of bank</w:t>
      </w:r>
      <w:r w:rsidR="0089345F" w:rsidRPr="00E37223">
        <w:rPr>
          <w:rFonts w:ascii="Times New Roman" w:hAnsi="Times New Roman" w:cs="Times New Roman"/>
        </w:rPr>
        <w:t xml:space="preserve"> loans and portfolio investments</w:t>
      </w:r>
      <w:r w:rsidR="0011332E" w:rsidRPr="00E37223">
        <w:rPr>
          <w:rFonts w:ascii="Times New Roman" w:hAnsi="Times New Roman" w:cs="Times New Roman"/>
        </w:rPr>
        <w:t xml:space="preserve"> </w:t>
      </w:r>
      <w:r w:rsidR="00641B9C" w:rsidRPr="00E37223">
        <w:rPr>
          <w:rFonts w:ascii="Times New Roman" w:hAnsi="Times New Roman" w:cs="Times New Roman"/>
        </w:rPr>
        <w:t>across</w:t>
      </w:r>
      <w:r w:rsidR="00035349" w:rsidRPr="00E37223">
        <w:rPr>
          <w:rFonts w:ascii="Times New Roman" w:hAnsi="Times New Roman" w:cs="Times New Roman"/>
        </w:rPr>
        <w:t xml:space="preserve"> 46 reporting counties, involving counterpart</w:t>
      </w:r>
      <w:r w:rsidR="009101CD" w:rsidRPr="00E37223">
        <w:rPr>
          <w:rFonts w:ascii="Times New Roman" w:hAnsi="Times New Roman" w:cs="Times New Roman"/>
        </w:rPr>
        <w:t>s</w:t>
      </w:r>
      <w:r w:rsidR="00035349" w:rsidRPr="00E37223">
        <w:rPr>
          <w:rFonts w:ascii="Times New Roman" w:hAnsi="Times New Roman" w:cs="Times New Roman"/>
        </w:rPr>
        <w:t xml:space="preserve"> in over 200 countries. </w:t>
      </w:r>
      <w:r w:rsidR="00CE1A71" w:rsidRPr="00E37223">
        <w:rPr>
          <w:rFonts w:ascii="Times New Roman" w:hAnsi="Times New Roman" w:cs="Times New Roman"/>
        </w:rPr>
        <w:t>This extensive coverage accounts for approximately 9</w:t>
      </w:r>
      <w:r w:rsidR="000123DC" w:rsidRPr="00E37223">
        <w:rPr>
          <w:rFonts w:ascii="Times New Roman" w:hAnsi="Times New Roman" w:cs="Times New Roman"/>
        </w:rPr>
        <w:t>5</w:t>
      </w:r>
      <w:r w:rsidR="00CE1A71" w:rsidRPr="00E37223">
        <w:rPr>
          <w:rFonts w:ascii="Times New Roman" w:hAnsi="Times New Roman" w:cs="Times New Roman"/>
        </w:rPr>
        <w:t xml:space="preserve"> percent of the entirety of cross-border bank activities (</w:t>
      </w:r>
      <w:r w:rsidR="00CD75E7" w:rsidRPr="00E37223">
        <w:rPr>
          <w:rFonts w:ascii="Times New Roman" w:hAnsi="Times New Roman" w:cs="Times New Roman"/>
        </w:rPr>
        <w:t xml:space="preserve">Bank of </w:t>
      </w:r>
      <w:r w:rsidR="00605C6E" w:rsidRPr="00E37223">
        <w:rPr>
          <w:rFonts w:ascii="Times New Roman" w:hAnsi="Times New Roman" w:cs="Times New Roman"/>
        </w:rPr>
        <w:t>International Settlements 2020</w:t>
      </w:r>
      <w:r w:rsidR="00CE1A71" w:rsidRPr="00E37223">
        <w:rPr>
          <w:rFonts w:ascii="Times New Roman" w:hAnsi="Times New Roman" w:cs="Times New Roman"/>
        </w:rPr>
        <w:t>)</w:t>
      </w:r>
      <w:r w:rsidR="00B524E4" w:rsidRPr="00E37223">
        <w:rPr>
          <w:rFonts w:ascii="Times New Roman" w:hAnsi="Times New Roman" w:cs="Times New Roman"/>
        </w:rPr>
        <w:t xml:space="preserve">, rendering it a </w:t>
      </w:r>
      <w:r w:rsidR="00F2243A" w:rsidRPr="00E37223">
        <w:rPr>
          <w:rFonts w:ascii="Times New Roman" w:hAnsi="Times New Roman" w:cs="Times New Roman"/>
        </w:rPr>
        <w:t xml:space="preserve">remarkably </w:t>
      </w:r>
      <w:r w:rsidR="00B524E4" w:rsidRPr="00E37223">
        <w:rPr>
          <w:rFonts w:ascii="Times New Roman" w:hAnsi="Times New Roman" w:cs="Times New Roman"/>
        </w:rPr>
        <w:t xml:space="preserve">robust dataset for the </w:t>
      </w:r>
      <w:r w:rsidR="00641B9C" w:rsidRPr="00E37223">
        <w:rPr>
          <w:rFonts w:ascii="Times New Roman" w:hAnsi="Times New Roman" w:cs="Times New Roman"/>
        </w:rPr>
        <w:t xml:space="preserve">investigation </w:t>
      </w:r>
      <w:r w:rsidR="00B524E4" w:rsidRPr="00E37223">
        <w:rPr>
          <w:rFonts w:ascii="Times New Roman" w:hAnsi="Times New Roman" w:cs="Times New Roman"/>
        </w:rPr>
        <w:t>of cross-border bank flows</w:t>
      </w:r>
      <w:r w:rsidR="00CE1A71" w:rsidRPr="00E37223">
        <w:rPr>
          <w:rFonts w:ascii="Times New Roman" w:hAnsi="Times New Roman" w:cs="Times New Roman"/>
        </w:rPr>
        <w:t>.</w:t>
      </w:r>
      <w:r w:rsidR="00F31A15" w:rsidRPr="00E37223">
        <w:rPr>
          <w:rFonts w:ascii="Times New Roman" w:hAnsi="Times New Roman" w:cs="Times New Roman"/>
        </w:rPr>
        <w:t xml:space="preserve"> </w:t>
      </w:r>
    </w:p>
    <w:p w14:paraId="1657EADC" w14:textId="0CD93E50" w:rsidR="00EE37FC" w:rsidRPr="00E37223" w:rsidRDefault="00501AE2" w:rsidP="00EE37FC">
      <w:pPr>
        <w:autoSpaceDE w:val="0"/>
        <w:autoSpaceDN w:val="0"/>
        <w:adjustRightInd w:val="0"/>
        <w:spacing w:line="360" w:lineRule="auto"/>
        <w:rPr>
          <w:rFonts w:ascii="Times New Roman" w:hAnsi="Times New Roman" w:cs="Times New Roman"/>
        </w:rPr>
      </w:pPr>
      <w:r w:rsidRPr="00E37223">
        <w:rPr>
          <w:rFonts w:ascii="Times New Roman" w:hAnsi="Times New Roman" w:cs="Times New Roman"/>
        </w:rPr>
        <w:t xml:space="preserve">        Cross-border bank claims and liabilities in the LBS predominantly consist of loans and deposits within the domestic banking sector, involving various counterparts such as banks, non-banks, and entities in both the private and public sectors. A key feature of the LBS</w:t>
      </w:r>
      <w:r w:rsidR="00F2243A" w:rsidRPr="00E37223">
        <w:rPr>
          <w:rFonts w:ascii="Times New Roman" w:hAnsi="Times New Roman" w:cs="Times New Roman"/>
        </w:rPr>
        <w:t xml:space="preserve"> database</w:t>
      </w:r>
      <w:r w:rsidRPr="00E37223">
        <w:rPr>
          <w:rFonts w:ascii="Times New Roman" w:hAnsi="Times New Roman" w:cs="Times New Roman"/>
        </w:rPr>
        <w:t xml:space="preserve"> is its adjustment for exchange rate fluctuations, which simplifies the analysis of flows unaffected by currency changes and enhances the reliability of </w:t>
      </w:r>
      <w:r w:rsidR="00F2243A" w:rsidRPr="00E37223">
        <w:rPr>
          <w:rFonts w:ascii="Times New Roman" w:hAnsi="Times New Roman" w:cs="Times New Roman"/>
        </w:rPr>
        <w:t xml:space="preserve">the resulting </w:t>
      </w:r>
      <w:r w:rsidRPr="00E37223">
        <w:rPr>
          <w:rFonts w:ascii="Times New Roman" w:hAnsi="Times New Roman" w:cs="Times New Roman"/>
        </w:rPr>
        <w:t>estimates.</w:t>
      </w:r>
    </w:p>
    <w:p w14:paraId="6D9AD23B" w14:textId="0E24D554" w:rsidR="009101CD" w:rsidRPr="00E37223" w:rsidRDefault="00501AE2" w:rsidP="00EE37FC">
      <w:pPr>
        <w:autoSpaceDE w:val="0"/>
        <w:autoSpaceDN w:val="0"/>
        <w:adjustRightInd w:val="0"/>
        <w:spacing w:line="360" w:lineRule="auto"/>
        <w:rPr>
          <w:rFonts w:ascii="Times New Roman" w:hAnsi="Times New Roman" w:cs="Times New Roman"/>
        </w:rPr>
      </w:pPr>
      <w:r w:rsidRPr="00E37223">
        <w:rPr>
          <w:rFonts w:ascii="Times New Roman" w:hAnsi="Times New Roman" w:cs="Times New Roman"/>
        </w:rPr>
        <w:t xml:space="preserve">        </w:t>
      </w:r>
      <w:r w:rsidR="009A1F19" w:rsidRPr="00E37223">
        <w:rPr>
          <w:rFonts w:ascii="Times New Roman" w:hAnsi="Times New Roman" w:cs="Times New Roman"/>
        </w:rPr>
        <w:t>To measure cross-border bank flows</w:t>
      </w:r>
      <w:r w:rsidR="003E5DCD" w:rsidRPr="00E37223">
        <w:rPr>
          <w:rFonts w:ascii="Times New Roman" w:hAnsi="Times New Roman" w:cs="Times New Roman"/>
        </w:rPr>
        <w:t>,</w:t>
      </w:r>
      <w:r w:rsidR="006C6678" w:rsidRPr="00E37223">
        <w:rPr>
          <w:rFonts w:ascii="Times New Roman" w:hAnsi="Times New Roman" w:cs="Times New Roman"/>
        </w:rPr>
        <w:t xml:space="preserve"> </w:t>
      </w:r>
      <w:r w:rsidR="009A1F19" w:rsidRPr="00E37223">
        <w:rPr>
          <w:rFonts w:ascii="Times New Roman" w:hAnsi="Times New Roman" w:cs="Times New Roman"/>
        </w:rPr>
        <w:t xml:space="preserve">we </w:t>
      </w:r>
      <w:r w:rsidR="007F3341" w:rsidRPr="00E37223">
        <w:rPr>
          <w:rFonts w:ascii="Times New Roman" w:hAnsi="Times New Roman" w:cs="Times New Roman"/>
        </w:rPr>
        <w:t xml:space="preserve">adopt the growth of bank claims measure </w:t>
      </w:r>
      <w:r w:rsidR="00FF1605" w:rsidRPr="00E37223">
        <w:rPr>
          <w:rFonts w:ascii="Times New Roman" w:hAnsi="Times New Roman" w:cs="Times New Roman"/>
        </w:rPr>
        <w:t>following</w:t>
      </w:r>
      <w:r w:rsidR="003E5DCD" w:rsidRPr="00E37223">
        <w:rPr>
          <w:rFonts w:ascii="Times New Roman" w:hAnsi="Times New Roman" w:cs="Times New Roman"/>
        </w:rPr>
        <w:t xml:space="preserve"> Correa et al. (2021). This measure involves </w:t>
      </w:r>
      <w:r w:rsidR="00A902F8" w:rsidRPr="00E37223">
        <w:rPr>
          <w:rFonts w:ascii="Times New Roman" w:hAnsi="Times New Roman" w:cs="Times New Roman"/>
        </w:rPr>
        <w:t>calculating</w:t>
      </w:r>
      <w:r w:rsidR="009F6A5C" w:rsidRPr="00E37223">
        <w:rPr>
          <w:rFonts w:ascii="Times New Roman" w:hAnsi="Times New Roman" w:cs="Times New Roman"/>
        </w:rPr>
        <w:t xml:space="preserve"> </w:t>
      </w:r>
      <w:r w:rsidR="003E5DCD" w:rsidRPr="00E37223">
        <w:rPr>
          <w:rFonts w:ascii="Times New Roman" w:hAnsi="Times New Roman" w:cs="Times New Roman"/>
        </w:rPr>
        <w:t xml:space="preserve">the first difference of cross-border bank claims, which have already been adjusted for exchange rate fluctuations and </w:t>
      </w:r>
      <w:r w:rsidR="004C6F6D" w:rsidRPr="00E37223">
        <w:rPr>
          <w:rFonts w:ascii="Times New Roman" w:hAnsi="Times New Roman" w:cs="Times New Roman"/>
        </w:rPr>
        <w:t>series breaks</w:t>
      </w:r>
      <w:r w:rsidR="003E5DCD" w:rsidRPr="00E37223">
        <w:rPr>
          <w:rFonts w:ascii="Times New Roman" w:hAnsi="Times New Roman" w:cs="Times New Roman"/>
        </w:rPr>
        <w:t xml:space="preserve"> by BIS. </w:t>
      </w:r>
      <w:r w:rsidR="00E9711E" w:rsidRPr="00E37223">
        <w:rPr>
          <w:rFonts w:ascii="Times New Roman" w:hAnsi="Times New Roman" w:cs="Times New Roman"/>
        </w:rPr>
        <w:t xml:space="preserve">This </w:t>
      </w:r>
      <w:r w:rsidR="0099256B" w:rsidRPr="00E37223">
        <w:rPr>
          <w:rFonts w:ascii="Times New Roman" w:hAnsi="Times New Roman" w:cs="Times New Roman"/>
        </w:rPr>
        <w:t xml:space="preserve">procedure </w:t>
      </w:r>
      <w:r w:rsidR="00F2243A" w:rsidRPr="00E37223">
        <w:rPr>
          <w:rFonts w:ascii="Times New Roman" w:hAnsi="Times New Roman" w:cs="Times New Roman"/>
        </w:rPr>
        <w:t xml:space="preserve">permits the estimation of </w:t>
      </w:r>
      <w:r w:rsidR="00EA60F2" w:rsidRPr="00E37223">
        <w:rPr>
          <w:rFonts w:ascii="Times New Roman" w:hAnsi="Times New Roman" w:cs="Times New Roman"/>
        </w:rPr>
        <w:t xml:space="preserve">cross-border </w:t>
      </w:r>
      <w:r w:rsidR="003E5DCD" w:rsidRPr="00E37223">
        <w:rPr>
          <w:rFonts w:ascii="Times New Roman" w:hAnsi="Times New Roman" w:cs="Times New Roman"/>
        </w:rPr>
        <w:t xml:space="preserve">bank flows from reporting to counterpart countries. </w:t>
      </w:r>
      <w:r w:rsidR="0099256B" w:rsidRPr="00E37223">
        <w:rPr>
          <w:rFonts w:ascii="Times New Roman" w:hAnsi="Times New Roman" w:cs="Times New Roman"/>
        </w:rPr>
        <w:t>W</w:t>
      </w:r>
      <w:r w:rsidR="003E5DCD" w:rsidRPr="00E37223">
        <w:rPr>
          <w:rFonts w:ascii="Times New Roman" w:hAnsi="Times New Roman" w:cs="Times New Roman"/>
        </w:rPr>
        <w:t xml:space="preserve">e </w:t>
      </w:r>
      <w:r w:rsidR="0099256B" w:rsidRPr="00E37223">
        <w:rPr>
          <w:rFonts w:ascii="Times New Roman" w:hAnsi="Times New Roman" w:cs="Times New Roman"/>
        </w:rPr>
        <w:t xml:space="preserve">then </w:t>
      </w:r>
      <w:r w:rsidR="004727C6" w:rsidRPr="00E37223">
        <w:rPr>
          <w:rFonts w:ascii="Times New Roman" w:hAnsi="Times New Roman" w:cs="Times New Roman"/>
        </w:rPr>
        <w:t xml:space="preserve">normalize </w:t>
      </w:r>
      <w:r w:rsidR="003E5DCD" w:rsidRPr="00E37223">
        <w:rPr>
          <w:rFonts w:ascii="Times New Roman" w:hAnsi="Times New Roman" w:cs="Times New Roman"/>
        </w:rPr>
        <w:t>these flows by dividing them by lagged outstanding claims</w:t>
      </w:r>
      <w:r w:rsidR="003A2D76" w:rsidRPr="00E37223">
        <w:rPr>
          <w:rFonts w:ascii="Times New Roman" w:hAnsi="Times New Roman" w:cs="Times New Roman"/>
        </w:rPr>
        <w:t>.</w:t>
      </w:r>
      <w:r w:rsidR="00737744" w:rsidRPr="00E37223">
        <w:rPr>
          <w:rFonts w:ascii="Times New Roman" w:hAnsi="Times New Roman" w:cs="Times New Roman"/>
        </w:rPr>
        <w:t xml:space="preserve"> </w:t>
      </w:r>
      <w:r w:rsidR="00F42E9D" w:rsidRPr="00E37223">
        <w:rPr>
          <w:rFonts w:ascii="Times New Roman" w:hAnsi="Times New Roman" w:cs="Times New Roman"/>
        </w:rPr>
        <w:t xml:space="preserve">Following Correa et al. (2021) and Choi </w:t>
      </w:r>
      <w:r w:rsidR="003F3C98" w:rsidRPr="00E37223">
        <w:rPr>
          <w:rFonts w:ascii="Times New Roman" w:hAnsi="Times New Roman" w:cs="Times New Roman"/>
        </w:rPr>
        <w:t>and</w:t>
      </w:r>
      <w:r w:rsidR="00F42E9D" w:rsidRPr="00E37223">
        <w:rPr>
          <w:rFonts w:ascii="Times New Roman" w:hAnsi="Times New Roman" w:cs="Times New Roman"/>
        </w:rPr>
        <w:t xml:space="preserve"> Furceri (2019)</w:t>
      </w:r>
      <w:r w:rsidR="00D528ED" w:rsidRPr="00E37223">
        <w:rPr>
          <w:rFonts w:ascii="Times New Roman" w:hAnsi="Times New Roman" w:cs="Times New Roman"/>
        </w:rPr>
        <w:t xml:space="preserve">, we exclude </w:t>
      </w:r>
      <w:r w:rsidR="007A10A2" w:rsidRPr="00E37223">
        <w:rPr>
          <w:rFonts w:ascii="Times New Roman" w:hAnsi="Times New Roman" w:cs="Times New Roman"/>
        </w:rPr>
        <w:t xml:space="preserve">offshore financial </w:t>
      </w:r>
      <w:r w:rsidR="00B671D9" w:rsidRPr="00E37223">
        <w:rPr>
          <w:rFonts w:ascii="Times New Roman" w:hAnsi="Times New Roman" w:cs="Times New Roman"/>
        </w:rPr>
        <w:t>centers</w:t>
      </w:r>
      <w:r w:rsidR="007A10A2" w:rsidRPr="00E37223">
        <w:rPr>
          <w:rFonts w:ascii="Times New Roman" w:hAnsi="Times New Roman" w:cs="Times New Roman"/>
        </w:rPr>
        <w:t xml:space="preserve"> classified by the International Monetary Fund (IMF) </w:t>
      </w:r>
      <w:r w:rsidR="009101CD" w:rsidRPr="00E37223">
        <w:rPr>
          <w:rFonts w:ascii="Times New Roman" w:hAnsi="Times New Roman" w:cs="Times New Roman"/>
        </w:rPr>
        <w:t>from our sample</w:t>
      </w:r>
      <w:r w:rsidR="00D528ED" w:rsidRPr="00E37223">
        <w:rPr>
          <w:rFonts w:ascii="Times New Roman" w:hAnsi="Times New Roman" w:cs="Times New Roman"/>
        </w:rPr>
        <w:t xml:space="preserve">, </w:t>
      </w:r>
      <w:r w:rsidR="007365EB" w:rsidRPr="00E37223">
        <w:rPr>
          <w:rFonts w:ascii="Times New Roman" w:hAnsi="Times New Roman" w:cs="Times New Roman"/>
        </w:rPr>
        <w:t xml:space="preserve">since </w:t>
      </w:r>
      <w:r w:rsidR="00D528ED" w:rsidRPr="00E37223">
        <w:rPr>
          <w:rFonts w:ascii="Times New Roman" w:hAnsi="Times New Roman" w:cs="Times New Roman"/>
        </w:rPr>
        <w:t xml:space="preserve">their </w:t>
      </w:r>
      <w:r w:rsidR="00B671D9" w:rsidRPr="00E37223">
        <w:rPr>
          <w:rFonts w:ascii="Times New Roman" w:hAnsi="Times New Roman" w:cs="Times New Roman"/>
        </w:rPr>
        <w:t>behaviors</w:t>
      </w:r>
      <w:r w:rsidR="00E60BCE" w:rsidRPr="00E37223">
        <w:rPr>
          <w:rFonts w:ascii="Times New Roman" w:hAnsi="Times New Roman" w:cs="Times New Roman"/>
        </w:rPr>
        <w:t xml:space="preserve"> </w:t>
      </w:r>
      <w:r w:rsidR="00D528ED" w:rsidRPr="00E37223">
        <w:rPr>
          <w:rFonts w:ascii="Times New Roman" w:hAnsi="Times New Roman" w:cs="Times New Roman"/>
        </w:rPr>
        <w:t xml:space="preserve">may exhibit substantial deviations from the </w:t>
      </w:r>
      <w:r w:rsidR="007A10A2" w:rsidRPr="00E37223">
        <w:rPr>
          <w:rFonts w:ascii="Times New Roman" w:hAnsi="Times New Roman" w:cs="Times New Roman"/>
        </w:rPr>
        <w:t xml:space="preserve">broader </w:t>
      </w:r>
      <w:r w:rsidR="00D841BF" w:rsidRPr="00E37223">
        <w:rPr>
          <w:rFonts w:ascii="Times New Roman" w:hAnsi="Times New Roman" w:cs="Times New Roman"/>
        </w:rPr>
        <w:t>sample</w:t>
      </w:r>
      <w:r w:rsidR="00DF03DE" w:rsidRPr="00E37223">
        <w:rPr>
          <w:rFonts w:ascii="Times New Roman" w:hAnsi="Times New Roman" w:cs="Times New Roman"/>
        </w:rPr>
        <w:t>.</w:t>
      </w:r>
      <w:r w:rsidR="00901388" w:rsidRPr="00E37223">
        <w:rPr>
          <w:rFonts w:ascii="Times New Roman" w:hAnsi="Times New Roman" w:cs="Times New Roman"/>
        </w:rPr>
        <w:t xml:space="preserve"> </w:t>
      </w:r>
      <w:r w:rsidR="00DF03DE" w:rsidRPr="00E37223">
        <w:rPr>
          <w:rFonts w:ascii="Times New Roman" w:hAnsi="Times New Roman" w:cs="Times New Roman"/>
        </w:rPr>
        <w:t xml:space="preserve">We also </w:t>
      </w:r>
      <w:r w:rsidR="00D96B37" w:rsidRPr="00E37223">
        <w:rPr>
          <w:rFonts w:ascii="Times New Roman" w:hAnsi="Times New Roman" w:cs="Times New Roman"/>
        </w:rPr>
        <w:t>exclude</w:t>
      </w:r>
      <w:r w:rsidR="004511E8" w:rsidRPr="00E37223">
        <w:rPr>
          <w:rFonts w:ascii="Times New Roman" w:hAnsi="Times New Roman" w:cs="Times New Roman"/>
        </w:rPr>
        <w:t xml:space="preserve"> observations with cross-border positions </w:t>
      </w:r>
      <w:r w:rsidR="00F2243A" w:rsidRPr="00E37223">
        <w:rPr>
          <w:rFonts w:ascii="Times New Roman" w:hAnsi="Times New Roman" w:cs="Times New Roman"/>
        </w:rPr>
        <w:t xml:space="preserve">of </w:t>
      </w:r>
      <w:r w:rsidR="004511E8" w:rsidRPr="00E37223">
        <w:rPr>
          <w:rFonts w:ascii="Times New Roman" w:hAnsi="Times New Roman" w:cs="Times New Roman"/>
        </w:rPr>
        <w:t xml:space="preserve">less than $5 million or those with negative total </w:t>
      </w:r>
      <w:r w:rsidR="0060524C" w:rsidRPr="00E37223">
        <w:rPr>
          <w:rFonts w:ascii="Times New Roman" w:hAnsi="Times New Roman" w:cs="Times New Roman"/>
        </w:rPr>
        <w:t>stock</w:t>
      </w:r>
      <w:r w:rsidR="004511E8" w:rsidRPr="00E37223">
        <w:rPr>
          <w:rFonts w:ascii="Times New Roman" w:hAnsi="Times New Roman" w:cs="Times New Roman"/>
        </w:rPr>
        <w:t xml:space="preserve"> claim</w:t>
      </w:r>
      <w:r w:rsidR="0060524C" w:rsidRPr="00E37223">
        <w:rPr>
          <w:rFonts w:ascii="Times New Roman" w:hAnsi="Times New Roman" w:cs="Times New Roman"/>
        </w:rPr>
        <w:t>s</w:t>
      </w:r>
      <w:r w:rsidR="004511E8" w:rsidRPr="00E37223">
        <w:rPr>
          <w:rFonts w:ascii="Times New Roman" w:hAnsi="Times New Roman" w:cs="Times New Roman"/>
        </w:rPr>
        <w:t>.</w:t>
      </w:r>
    </w:p>
    <w:p w14:paraId="15109D36" w14:textId="359B26A1" w:rsidR="00054252" w:rsidRPr="00E37223" w:rsidRDefault="004511E8" w:rsidP="00DD3FB5">
      <w:pPr>
        <w:autoSpaceDE w:val="0"/>
        <w:autoSpaceDN w:val="0"/>
        <w:adjustRightInd w:val="0"/>
        <w:spacing w:line="360" w:lineRule="auto"/>
        <w:ind w:firstLine="720"/>
        <w:rPr>
          <w:rFonts w:ascii="Times New Roman" w:hAnsi="Times New Roman" w:cs="Times New Roman"/>
        </w:rPr>
      </w:pPr>
      <w:r w:rsidRPr="00E37223">
        <w:rPr>
          <w:rFonts w:ascii="Times New Roman" w:hAnsi="Times New Roman" w:cs="Times New Roman"/>
        </w:rPr>
        <w:t xml:space="preserve">It is worth noting </w:t>
      </w:r>
      <w:r w:rsidR="00F2243A" w:rsidRPr="00E37223">
        <w:rPr>
          <w:rFonts w:ascii="Times New Roman" w:hAnsi="Times New Roman" w:cs="Times New Roman"/>
        </w:rPr>
        <w:t xml:space="preserve">at this point </w:t>
      </w:r>
      <w:r w:rsidRPr="00E37223">
        <w:rPr>
          <w:rFonts w:ascii="Times New Roman" w:hAnsi="Times New Roman" w:cs="Times New Roman"/>
        </w:rPr>
        <w:t xml:space="preserve">that the temporal coverage of the LBS database varies considerably across countries. </w:t>
      </w:r>
      <w:r w:rsidR="000E2928" w:rsidRPr="00E37223">
        <w:rPr>
          <w:rFonts w:ascii="Times New Roman" w:hAnsi="Times New Roman" w:cs="Times New Roman"/>
        </w:rPr>
        <w:t xml:space="preserve">While some </w:t>
      </w:r>
      <w:r w:rsidRPr="00E37223">
        <w:rPr>
          <w:rFonts w:ascii="Times New Roman" w:hAnsi="Times New Roman" w:cs="Times New Roman"/>
        </w:rPr>
        <w:t xml:space="preserve">advanced economies, such as the United States, have been reporting these statistics since as early as 1977, </w:t>
      </w:r>
      <w:r w:rsidR="000E2928" w:rsidRPr="00E37223">
        <w:rPr>
          <w:rFonts w:ascii="Times New Roman" w:hAnsi="Times New Roman" w:cs="Times New Roman"/>
        </w:rPr>
        <w:t>certain</w:t>
      </w:r>
      <w:r w:rsidRPr="00E37223">
        <w:rPr>
          <w:rFonts w:ascii="Times New Roman" w:hAnsi="Times New Roman" w:cs="Times New Roman"/>
        </w:rPr>
        <w:t xml:space="preserve"> emerging market economies only commenced reporting such statistics in the 2000s. This </w:t>
      </w:r>
      <w:r w:rsidR="00F47DB5" w:rsidRPr="00E37223">
        <w:rPr>
          <w:rFonts w:ascii="Times New Roman" w:hAnsi="Times New Roman" w:cs="Times New Roman"/>
        </w:rPr>
        <w:t>time</w:t>
      </w:r>
      <w:r w:rsidRPr="00E37223">
        <w:rPr>
          <w:rFonts w:ascii="Times New Roman" w:hAnsi="Times New Roman" w:cs="Times New Roman"/>
        </w:rPr>
        <w:t xml:space="preserve"> constraint, combined with </w:t>
      </w:r>
      <w:r w:rsidR="000E2928" w:rsidRPr="00E37223">
        <w:rPr>
          <w:rFonts w:ascii="Times New Roman" w:hAnsi="Times New Roman" w:cs="Times New Roman"/>
        </w:rPr>
        <w:t>limitations imposed by</w:t>
      </w:r>
      <w:r w:rsidR="009101CD" w:rsidRPr="00E37223">
        <w:rPr>
          <w:rFonts w:ascii="Times New Roman" w:hAnsi="Times New Roman" w:cs="Times New Roman"/>
        </w:rPr>
        <w:t xml:space="preserve"> </w:t>
      </w:r>
      <w:r w:rsidRPr="00E37223">
        <w:rPr>
          <w:rFonts w:ascii="Times New Roman" w:hAnsi="Times New Roman" w:cs="Times New Roman"/>
        </w:rPr>
        <w:t>the availability of data for the explanatory variables</w:t>
      </w:r>
      <w:r w:rsidR="00C1657A" w:rsidRPr="00E37223">
        <w:rPr>
          <w:rFonts w:ascii="Times New Roman" w:hAnsi="Times New Roman" w:cs="Times New Roman"/>
        </w:rPr>
        <w:t>, in particular our ambiguity measure</w:t>
      </w:r>
      <w:r w:rsidRPr="00E37223">
        <w:rPr>
          <w:rFonts w:ascii="Times New Roman" w:hAnsi="Times New Roman" w:cs="Times New Roman"/>
        </w:rPr>
        <w:t>, imposes limitations on our sample</w:t>
      </w:r>
      <w:r w:rsidR="002E26A8" w:rsidRPr="00E37223">
        <w:rPr>
          <w:rFonts w:ascii="Times New Roman" w:hAnsi="Times New Roman" w:cs="Times New Roman"/>
        </w:rPr>
        <w:t>. As a result, our sample period is</w:t>
      </w:r>
      <w:r w:rsidRPr="00E37223">
        <w:rPr>
          <w:rFonts w:ascii="Times New Roman" w:hAnsi="Times New Roman" w:cs="Times New Roman"/>
        </w:rPr>
        <w:t xml:space="preserve"> from 199</w:t>
      </w:r>
      <w:r w:rsidR="00C1657A" w:rsidRPr="00E37223">
        <w:rPr>
          <w:rFonts w:ascii="Times New Roman" w:hAnsi="Times New Roman" w:cs="Times New Roman"/>
        </w:rPr>
        <w:t>6</w:t>
      </w:r>
      <w:r w:rsidRPr="00E37223">
        <w:rPr>
          <w:rFonts w:ascii="Times New Roman" w:hAnsi="Times New Roman" w:cs="Times New Roman"/>
        </w:rPr>
        <w:t>:Q1 to 202</w:t>
      </w:r>
      <w:r w:rsidR="00494502" w:rsidRPr="00E37223">
        <w:rPr>
          <w:rFonts w:ascii="Times New Roman" w:hAnsi="Times New Roman" w:cs="Times New Roman"/>
        </w:rPr>
        <w:t>1</w:t>
      </w:r>
      <w:r w:rsidRPr="00E37223">
        <w:rPr>
          <w:rFonts w:ascii="Times New Roman" w:hAnsi="Times New Roman" w:cs="Times New Roman"/>
        </w:rPr>
        <w:t xml:space="preserve">:Q4, encompassing </w:t>
      </w:r>
      <w:r w:rsidR="00864535" w:rsidRPr="00E37223">
        <w:rPr>
          <w:rFonts w:ascii="Times New Roman" w:hAnsi="Times New Roman" w:cs="Times New Roman"/>
        </w:rPr>
        <w:t>20</w:t>
      </w:r>
      <w:r w:rsidR="00E32C43" w:rsidRPr="00E37223">
        <w:rPr>
          <w:rFonts w:ascii="Times New Roman" w:hAnsi="Times New Roman" w:cs="Times New Roman"/>
        </w:rPr>
        <w:t xml:space="preserve"> (Australia, </w:t>
      </w:r>
      <w:r w:rsidR="00837BBC" w:rsidRPr="00E37223">
        <w:rPr>
          <w:rFonts w:ascii="Times New Roman" w:hAnsi="Times New Roman" w:cs="Times New Roman"/>
        </w:rPr>
        <w:t>Austria,</w:t>
      </w:r>
      <w:r w:rsidR="00B55B51" w:rsidRPr="00E37223">
        <w:rPr>
          <w:rFonts w:ascii="Times New Roman" w:hAnsi="Times New Roman" w:cs="Times New Roman"/>
        </w:rPr>
        <w:t xml:space="preserve"> Belgium, </w:t>
      </w:r>
      <w:r w:rsidR="004D60CE" w:rsidRPr="00E37223">
        <w:rPr>
          <w:rFonts w:ascii="Times New Roman" w:hAnsi="Times New Roman" w:cs="Times New Roman"/>
        </w:rPr>
        <w:t>Brazil</w:t>
      </w:r>
      <w:r w:rsidR="00537701" w:rsidRPr="00E37223">
        <w:rPr>
          <w:rFonts w:ascii="Times New Roman" w:hAnsi="Times New Roman" w:cs="Times New Roman"/>
        </w:rPr>
        <w:t>,</w:t>
      </w:r>
      <w:r w:rsidR="00537701" w:rsidRPr="00E37223">
        <w:t xml:space="preserve"> </w:t>
      </w:r>
      <w:r w:rsidR="00537701" w:rsidRPr="00E37223">
        <w:rPr>
          <w:rFonts w:ascii="Times New Roman" w:hAnsi="Times New Roman" w:cs="Times New Roman"/>
        </w:rPr>
        <w:t>Canada,</w:t>
      </w:r>
      <w:r w:rsidR="00537701" w:rsidRPr="00E37223">
        <w:t xml:space="preserve"> </w:t>
      </w:r>
      <w:r w:rsidR="00537701" w:rsidRPr="00E37223">
        <w:rPr>
          <w:rFonts w:ascii="Times New Roman" w:hAnsi="Times New Roman" w:cs="Times New Roman"/>
        </w:rPr>
        <w:t>Denmark,</w:t>
      </w:r>
      <w:r w:rsidR="00537701" w:rsidRPr="00E37223">
        <w:t xml:space="preserve"> </w:t>
      </w:r>
      <w:r w:rsidR="00537701" w:rsidRPr="00E37223">
        <w:rPr>
          <w:rFonts w:ascii="Times New Roman" w:hAnsi="Times New Roman" w:cs="Times New Roman"/>
        </w:rPr>
        <w:t>Finland, France</w:t>
      </w:r>
      <w:r w:rsidR="00CE66CB" w:rsidRPr="00E37223">
        <w:rPr>
          <w:rFonts w:ascii="Times New Roman" w:hAnsi="Times New Roman" w:cs="Times New Roman"/>
        </w:rPr>
        <w:t>,</w:t>
      </w:r>
      <w:r w:rsidR="00CE66CB" w:rsidRPr="00E37223">
        <w:t xml:space="preserve"> </w:t>
      </w:r>
      <w:r w:rsidR="00CE66CB" w:rsidRPr="00E37223">
        <w:rPr>
          <w:rFonts w:ascii="Times New Roman" w:hAnsi="Times New Roman" w:cs="Times New Roman"/>
        </w:rPr>
        <w:t>Germany,</w:t>
      </w:r>
      <w:r w:rsidR="00CE66CB" w:rsidRPr="00E37223">
        <w:t xml:space="preserve"> </w:t>
      </w:r>
      <w:r w:rsidR="00CE66CB" w:rsidRPr="00E37223">
        <w:rPr>
          <w:rFonts w:ascii="Times New Roman" w:hAnsi="Times New Roman" w:cs="Times New Roman"/>
        </w:rPr>
        <w:t>Greece,</w:t>
      </w:r>
      <w:r w:rsidR="00CE66CB" w:rsidRPr="00E37223">
        <w:t xml:space="preserve"> </w:t>
      </w:r>
      <w:r w:rsidR="00CE66CB" w:rsidRPr="00E37223">
        <w:rPr>
          <w:rFonts w:ascii="Times New Roman" w:hAnsi="Times New Roman" w:cs="Times New Roman"/>
        </w:rPr>
        <w:t>Ireland,</w:t>
      </w:r>
      <w:r w:rsidR="00CE66CB" w:rsidRPr="00E37223">
        <w:t xml:space="preserve"> </w:t>
      </w:r>
      <w:r w:rsidR="00CE66CB" w:rsidRPr="00E37223">
        <w:rPr>
          <w:rFonts w:ascii="Times New Roman" w:hAnsi="Times New Roman" w:cs="Times New Roman"/>
        </w:rPr>
        <w:t>Italy</w:t>
      </w:r>
      <w:r w:rsidR="00842ACA" w:rsidRPr="00E37223">
        <w:rPr>
          <w:rFonts w:ascii="Times New Roman" w:hAnsi="Times New Roman" w:cs="Times New Roman"/>
        </w:rPr>
        <w:t>,</w:t>
      </w:r>
      <w:r w:rsidR="00842ACA" w:rsidRPr="00E37223">
        <w:t xml:space="preserve"> </w:t>
      </w:r>
      <w:r w:rsidR="00842ACA" w:rsidRPr="00E37223">
        <w:rPr>
          <w:rFonts w:ascii="Times New Roman" w:hAnsi="Times New Roman" w:cs="Times New Roman"/>
        </w:rPr>
        <w:t>Japan,</w:t>
      </w:r>
      <w:r w:rsidR="00842ACA" w:rsidRPr="00E37223">
        <w:t xml:space="preserve"> </w:t>
      </w:r>
      <w:r w:rsidR="00842ACA" w:rsidRPr="00E37223">
        <w:rPr>
          <w:rFonts w:ascii="Times New Roman" w:hAnsi="Times New Roman" w:cs="Times New Roman"/>
        </w:rPr>
        <w:t>Korea,</w:t>
      </w:r>
      <w:r w:rsidR="00842ACA" w:rsidRPr="00E37223">
        <w:t xml:space="preserve"> </w:t>
      </w:r>
      <w:r w:rsidR="00842ACA" w:rsidRPr="00E37223">
        <w:rPr>
          <w:rFonts w:ascii="Times New Roman" w:hAnsi="Times New Roman" w:cs="Times New Roman"/>
        </w:rPr>
        <w:t>Mexico,</w:t>
      </w:r>
      <w:r w:rsidR="00842ACA" w:rsidRPr="00E37223">
        <w:t xml:space="preserve"> </w:t>
      </w:r>
      <w:r w:rsidR="00842ACA" w:rsidRPr="00E37223">
        <w:rPr>
          <w:rFonts w:ascii="Times New Roman" w:hAnsi="Times New Roman" w:cs="Times New Roman"/>
        </w:rPr>
        <w:t>Spain</w:t>
      </w:r>
      <w:r w:rsidR="00BC60F7" w:rsidRPr="00E37223">
        <w:rPr>
          <w:rFonts w:ascii="Times New Roman" w:hAnsi="Times New Roman" w:cs="Times New Roman"/>
        </w:rPr>
        <w:t>,</w:t>
      </w:r>
      <w:r w:rsidR="00BC60F7" w:rsidRPr="00E37223">
        <w:t xml:space="preserve"> </w:t>
      </w:r>
      <w:r w:rsidR="00BC60F7" w:rsidRPr="00E37223">
        <w:rPr>
          <w:rFonts w:ascii="Times New Roman" w:hAnsi="Times New Roman" w:cs="Times New Roman"/>
        </w:rPr>
        <w:t>Sweden,</w:t>
      </w:r>
      <w:r w:rsidR="00BC60F7" w:rsidRPr="00E37223">
        <w:t xml:space="preserve"> </w:t>
      </w:r>
      <w:r w:rsidR="00BC60F7" w:rsidRPr="00E37223">
        <w:rPr>
          <w:rFonts w:ascii="Times New Roman" w:hAnsi="Times New Roman" w:cs="Times New Roman"/>
        </w:rPr>
        <w:t>Switzerland,</w:t>
      </w:r>
      <w:r w:rsidR="00BC60F7" w:rsidRPr="00E37223">
        <w:t xml:space="preserve"> </w:t>
      </w:r>
      <w:r w:rsidR="00BC60F7" w:rsidRPr="00E37223">
        <w:rPr>
          <w:rFonts w:ascii="Times New Roman" w:hAnsi="Times New Roman" w:cs="Times New Roman"/>
        </w:rPr>
        <w:t>United Kingdom and United States</w:t>
      </w:r>
      <w:r w:rsidR="00E32C43" w:rsidRPr="00E37223">
        <w:rPr>
          <w:rFonts w:ascii="Times New Roman" w:hAnsi="Times New Roman" w:cs="Times New Roman"/>
        </w:rPr>
        <w:t>)</w:t>
      </w:r>
      <w:r w:rsidRPr="00E37223">
        <w:rPr>
          <w:rFonts w:ascii="Times New Roman" w:hAnsi="Times New Roman" w:cs="Times New Roman"/>
        </w:rPr>
        <w:t xml:space="preserve"> reporting countries and </w:t>
      </w:r>
      <w:r w:rsidR="008F62B6" w:rsidRPr="00E37223">
        <w:rPr>
          <w:rFonts w:ascii="Times New Roman" w:hAnsi="Times New Roman" w:cs="Times New Roman"/>
        </w:rPr>
        <w:t>216</w:t>
      </w:r>
      <w:r w:rsidR="00901388" w:rsidRPr="00E37223">
        <w:rPr>
          <w:rFonts w:ascii="Times New Roman" w:hAnsi="Times New Roman" w:cs="Times New Roman"/>
        </w:rPr>
        <w:t xml:space="preserve"> </w:t>
      </w:r>
      <w:r w:rsidRPr="00E37223">
        <w:rPr>
          <w:rFonts w:ascii="Times New Roman" w:hAnsi="Times New Roman" w:cs="Times New Roman"/>
        </w:rPr>
        <w:t xml:space="preserve">counterpart countries. </w:t>
      </w:r>
      <w:r w:rsidR="001739FC" w:rsidRPr="00E37223">
        <w:rPr>
          <w:rFonts w:ascii="Times New Roman" w:hAnsi="Times New Roman" w:cs="Times New Roman"/>
        </w:rPr>
        <w:t xml:space="preserve">As noted, </w:t>
      </w:r>
      <w:r w:rsidR="00366323" w:rsidRPr="00E37223">
        <w:rPr>
          <w:rFonts w:ascii="Times New Roman" w:hAnsi="Times New Roman" w:cs="Times New Roman"/>
        </w:rPr>
        <w:t xml:space="preserve">the set of 20 source countries is determined by data availability rather than by an arbitrary selection. Specifically, we require that a country (i) reports to the BIS Locational Banking Statistics (LBS) with a sufficiently long and </w:t>
      </w:r>
      <w:r w:rsidR="00366323" w:rsidRPr="00E37223">
        <w:rPr>
          <w:rFonts w:ascii="Times New Roman" w:hAnsi="Times New Roman" w:cs="Times New Roman"/>
        </w:rPr>
        <w:lastRenderedPageBreak/>
        <w:t xml:space="preserve">continuous quarterly time series of cross-border claims over 1996:Q1 to 2021:Q4; (ii) hosts a major stock exchange for which intraday (five-minute) equity prices are available over the same horizon, which is necessary to construct the Knightian ambiguity measure </w:t>
      </w:r>
      <w:r w:rsidR="001739FC" w:rsidRPr="00E37223">
        <w:rPr>
          <w:rFonts w:ascii="Times New Roman" w:hAnsi="Times New Roman" w:cs="Times New Roman"/>
        </w:rPr>
        <w:t xml:space="preserve">by </w:t>
      </w:r>
      <w:r w:rsidR="00366323" w:rsidRPr="00E37223">
        <w:rPr>
          <w:rFonts w:ascii="Times New Roman" w:hAnsi="Times New Roman" w:cs="Times New Roman"/>
        </w:rPr>
        <w:t xml:space="preserve">Brenner and Izhakian (2018) and Izhakian (2020); and (iii) has quarterly macroeconomic data. These banking systems represent the core of global cross-border lending. They include all G7 economies, the main Western European banking hubs, and three large emerging markets with internationally active banks (Brazil, Korea and Mexico). BIS work documents </w:t>
      </w:r>
      <w:r w:rsidR="002100AB" w:rsidRPr="00E37223">
        <w:rPr>
          <w:rFonts w:ascii="Times New Roman" w:hAnsi="Times New Roman" w:cs="Times New Roman"/>
        </w:rPr>
        <w:t xml:space="preserve">state </w:t>
      </w:r>
      <w:r w:rsidR="00366323" w:rsidRPr="00E37223">
        <w:rPr>
          <w:rFonts w:ascii="Times New Roman" w:hAnsi="Times New Roman" w:cs="Times New Roman"/>
        </w:rPr>
        <w:t>that cross-border bank credit is highly concentrated in a small number of major creditor systems, and that the largest cross-border banking links are predominantly between advanced economies (Aldasoro and Ehlers, 2019). Using BIS LBS data, we calculate that, on average over our sample period, the cross-border claims of banks resident in these 20 countries account for approximately 86.28% of the total cross-border claims of all LBS-reporting banks. Given that the LBS as a whole cover around 94</w:t>
      </w:r>
      <w:r w:rsidR="0099311A" w:rsidRPr="00E37223">
        <w:rPr>
          <w:rFonts w:ascii="Times New Roman" w:hAnsi="Times New Roman" w:cs="Times New Roman"/>
        </w:rPr>
        <w:t>%</w:t>
      </w:r>
      <w:r w:rsidR="00366323" w:rsidRPr="00E37223">
        <w:rPr>
          <w:rFonts w:ascii="Times New Roman" w:hAnsi="Times New Roman" w:cs="Times New Roman"/>
        </w:rPr>
        <w:t xml:space="preserve"> to 95% of worldwide cross-border banking activity</w:t>
      </w:r>
      <w:r w:rsidR="005E6979" w:rsidRPr="00E37223">
        <w:rPr>
          <w:rFonts w:ascii="Times New Roman" w:hAnsi="Times New Roman" w:cs="Times New Roman"/>
        </w:rPr>
        <w:t xml:space="preserve"> (</w:t>
      </w:r>
      <w:r w:rsidR="00E830D3" w:rsidRPr="00E37223">
        <w:rPr>
          <w:rFonts w:ascii="Times New Roman" w:hAnsi="Times New Roman" w:cs="Times New Roman"/>
        </w:rPr>
        <w:t>Bank for International Settlements, 2020)</w:t>
      </w:r>
      <w:r w:rsidR="00CF51EB" w:rsidRPr="00E37223">
        <w:rPr>
          <w:rFonts w:ascii="Times New Roman" w:hAnsi="Times New Roman" w:cs="Times New Roman"/>
        </w:rPr>
        <w:t>, our sample thus captures the large majority of global cross-border bank credit from the lender side.</w:t>
      </w:r>
      <w:r w:rsidR="00F2243A" w:rsidRPr="00E37223">
        <w:rPr>
          <w:rFonts w:ascii="Times New Roman" w:hAnsi="Times New Roman" w:cs="Times New Roman"/>
        </w:rPr>
        <w:t xml:space="preserve"> </w:t>
      </w:r>
      <w:r w:rsidRPr="00E37223">
        <w:rPr>
          <w:rFonts w:ascii="Times New Roman" w:hAnsi="Times New Roman" w:cs="Times New Roman"/>
        </w:rPr>
        <w:t xml:space="preserve">Lastly, observations of the dependent variable falling within the upper and lower </w:t>
      </w:r>
      <w:r w:rsidR="007D243B" w:rsidRPr="00E37223">
        <w:rPr>
          <w:rFonts w:ascii="Times New Roman" w:hAnsi="Times New Roman" w:cs="Times New Roman"/>
        </w:rPr>
        <w:t>2.5</w:t>
      </w:r>
      <w:r w:rsidRPr="00E37223">
        <w:rPr>
          <w:rFonts w:ascii="Times New Roman" w:hAnsi="Times New Roman" w:cs="Times New Roman"/>
        </w:rPr>
        <w:t xml:space="preserve"> percentile of the distribution</w:t>
      </w:r>
      <w:r w:rsidR="00C03D10" w:rsidRPr="00E37223">
        <w:rPr>
          <w:rFonts w:ascii="Times New Roman" w:hAnsi="Times New Roman" w:cs="Times New Roman"/>
        </w:rPr>
        <w:t>,</w:t>
      </w:r>
      <w:r w:rsidRPr="00E37223">
        <w:rPr>
          <w:rFonts w:ascii="Times New Roman" w:hAnsi="Times New Roman" w:cs="Times New Roman"/>
        </w:rPr>
        <w:t xml:space="preserve"> are </w:t>
      </w:r>
      <w:r w:rsidR="002E26A8" w:rsidRPr="00E37223">
        <w:rPr>
          <w:rFonts w:ascii="Times New Roman" w:hAnsi="Times New Roman" w:cs="Times New Roman"/>
        </w:rPr>
        <w:t xml:space="preserve">excluded </w:t>
      </w:r>
      <w:r w:rsidRPr="00E37223">
        <w:rPr>
          <w:rFonts w:ascii="Times New Roman" w:hAnsi="Times New Roman" w:cs="Times New Roman"/>
        </w:rPr>
        <w:t>from our sample to mitigate</w:t>
      </w:r>
      <w:r w:rsidR="009101CD" w:rsidRPr="00E37223">
        <w:rPr>
          <w:rFonts w:ascii="Times New Roman" w:hAnsi="Times New Roman" w:cs="Times New Roman"/>
        </w:rPr>
        <w:t xml:space="preserve"> </w:t>
      </w:r>
      <w:r w:rsidRPr="00E37223">
        <w:rPr>
          <w:rFonts w:ascii="Times New Roman" w:hAnsi="Times New Roman" w:cs="Times New Roman"/>
        </w:rPr>
        <w:t xml:space="preserve">the </w:t>
      </w:r>
      <w:r w:rsidR="00802E76" w:rsidRPr="00E37223">
        <w:rPr>
          <w:rFonts w:ascii="Times New Roman" w:hAnsi="Times New Roman" w:cs="Times New Roman"/>
        </w:rPr>
        <w:t xml:space="preserve">potential </w:t>
      </w:r>
      <w:r w:rsidRPr="00E37223">
        <w:rPr>
          <w:rFonts w:ascii="Times New Roman" w:hAnsi="Times New Roman" w:cs="Times New Roman"/>
        </w:rPr>
        <w:t>influence of outliers.</w:t>
      </w:r>
    </w:p>
    <w:p w14:paraId="4D810BFB" w14:textId="77777777" w:rsidR="004008B9" w:rsidRPr="00E37223" w:rsidRDefault="004008B9" w:rsidP="00DD3FB5">
      <w:pPr>
        <w:autoSpaceDE w:val="0"/>
        <w:autoSpaceDN w:val="0"/>
        <w:adjustRightInd w:val="0"/>
        <w:spacing w:line="360" w:lineRule="auto"/>
        <w:ind w:firstLine="720"/>
        <w:rPr>
          <w:rFonts w:ascii="Times New Roman" w:hAnsi="Times New Roman" w:cs="Times New Roman"/>
        </w:rPr>
      </w:pPr>
    </w:p>
    <w:p w14:paraId="74231881" w14:textId="333C26D6" w:rsidR="00A1736F" w:rsidRPr="00E37223" w:rsidRDefault="00450088" w:rsidP="00DD3FB5">
      <w:pPr>
        <w:spacing w:line="360" w:lineRule="auto"/>
        <w:rPr>
          <w:rFonts w:ascii="Times New Roman" w:hAnsi="Times New Roman" w:cs="Times New Roman"/>
          <w:b/>
          <w:bCs/>
        </w:rPr>
      </w:pPr>
      <w:r w:rsidRPr="00E37223">
        <w:rPr>
          <w:rFonts w:ascii="Times New Roman" w:hAnsi="Times New Roman" w:cs="Times New Roman"/>
          <w:b/>
          <w:bCs/>
        </w:rPr>
        <w:t xml:space="preserve">2.2 </w:t>
      </w:r>
      <w:r w:rsidR="008C61C6" w:rsidRPr="00E37223">
        <w:rPr>
          <w:rFonts w:ascii="Times New Roman" w:hAnsi="Times New Roman" w:cs="Times New Roman"/>
          <w:b/>
          <w:bCs/>
        </w:rPr>
        <w:t xml:space="preserve"> </w:t>
      </w:r>
      <w:r w:rsidR="00A1736F" w:rsidRPr="00E37223">
        <w:rPr>
          <w:rFonts w:ascii="Times New Roman" w:hAnsi="Times New Roman" w:cs="Times New Roman"/>
          <w:b/>
          <w:bCs/>
        </w:rPr>
        <w:t xml:space="preserve">Lender </w:t>
      </w:r>
      <w:r w:rsidR="00D35580" w:rsidRPr="00E37223">
        <w:rPr>
          <w:rFonts w:ascii="Times New Roman" w:hAnsi="Times New Roman" w:cs="Times New Roman"/>
          <w:b/>
          <w:bCs/>
        </w:rPr>
        <w:t>l</w:t>
      </w:r>
      <w:r w:rsidR="00A1736F" w:rsidRPr="00E37223">
        <w:rPr>
          <w:rFonts w:ascii="Times New Roman" w:hAnsi="Times New Roman" w:cs="Times New Roman"/>
          <w:b/>
          <w:bCs/>
        </w:rPr>
        <w:t xml:space="preserve">evel </w:t>
      </w:r>
      <w:r w:rsidR="00047F85" w:rsidRPr="00E37223">
        <w:rPr>
          <w:rFonts w:ascii="Times New Roman" w:hAnsi="Times New Roman" w:cs="Times New Roman"/>
          <w:b/>
          <w:bCs/>
        </w:rPr>
        <w:t>cross</w:t>
      </w:r>
      <w:r w:rsidR="00A1736F" w:rsidRPr="00E37223">
        <w:rPr>
          <w:rFonts w:ascii="Times New Roman" w:hAnsi="Times New Roman" w:cs="Times New Roman"/>
          <w:b/>
          <w:bCs/>
        </w:rPr>
        <w:t xml:space="preserve">-border </w:t>
      </w:r>
      <w:r w:rsidR="00D35580" w:rsidRPr="00E37223">
        <w:rPr>
          <w:rFonts w:ascii="Times New Roman" w:hAnsi="Times New Roman" w:cs="Times New Roman"/>
          <w:b/>
          <w:bCs/>
        </w:rPr>
        <w:t>l</w:t>
      </w:r>
      <w:r w:rsidR="00A1736F" w:rsidRPr="00E37223">
        <w:rPr>
          <w:rFonts w:ascii="Times New Roman" w:hAnsi="Times New Roman" w:cs="Times New Roman"/>
          <w:b/>
          <w:bCs/>
        </w:rPr>
        <w:t>ending</w:t>
      </w:r>
    </w:p>
    <w:p w14:paraId="3DF09862" w14:textId="2DDDE8FE" w:rsidR="00297480" w:rsidRPr="00E37223" w:rsidRDefault="00297480" w:rsidP="00DD3FB5">
      <w:pPr>
        <w:spacing w:line="360" w:lineRule="auto"/>
        <w:rPr>
          <w:rFonts w:ascii="Times New Roman" w:hAnsi="Times New Roman" w:cs="Times New Roman"/>
        </w:rPr>
      </w:pPr>
      <w:r w:rsidRPr="00E37223">
        <w:rPr>
          <w:rFonts w:ascii="Times New Roman" w:hAnsi="Times New Roman" w:cs="Times New Roman"/>
        </w:rPr>
        <w:t>Building upon previous research that explores the determinants of cross-border bank lending</w:t>
      </w:r>
      <w:r w:rsidR="00226EA1" w:rsidRPr="00E37223">
        <w:rPr>
          <w:rFonts w:ascii="Times New Roman" w:hAnsi="Times New Roman" w:cs="Times New Roman"/>
        </w:rPr>
        <w:t xml:space="preserve"> </w:t>
      </w:r>
      <w:r w:rsidR="005852CB" w:rsidRPr="00E37223">
        <w:rPr>
          <w:rFonts w:ascii="Times New Roman" w:hAnsi="Times New Roman" w:cs="Times New Roman"/>
        </w:rPr>
        <w:t>(Beyhaghi</w:t>
      </w:r>
      <w:r w:rsidR="005852CB" w:rsidRPr="00E37223">
        <w:rPr>
          <w:rFonts w:ascii="Times New Roman" w:hAnsi="Times New Roman" w:cs="Times New Roman"/>
          <w:i/>
        </w:rPr>
        <w:t xml:space="preserve"> </w:t>
      </w:r>
      <w:r w:rsidR="005852CB" w:rsidRPr="00E37223">
        <w:rPr>
          <w:rFonts w:ascii="Times New Roman" w:hAnsi="Times New Roman" w:cs="Times New Roman"/>
          <w:iCs/>
        </w:rPr>
        <w:t>et al.</w:t>
      </w:r>
      <w:r w:rsidR="005852CB" w:rsidRPr="00E37223">
        <w:rPr>
          <w:rFonts w:ascii="Times New Roman" w:hAnsi="Times New Roman" w:cs="Times New Roman"/>
        </w:rPr>
        <w:t xml:space="preserve"> 2021; Biswas </w:t>
      </w:r>
      <w:r w:rsidR="003F3C98" w:rsidRPr="00E37223">
        <w:rPr>
          <w:rFonts w:ascii="Times New Roman" w:hAnsi="Times New Roman" w:cs="Times New Roman"/>
        </w:rPr>
        <w:t>and</w:t>
      </w:r>
      <w:r w:rsidR="005852CB" w:rsidRPr="00E37223">
        <w:rPr>
          <w:rFonts w:ascii="Times New Roman" w:hAnsi="Times New Roman" w:cs="Times New Roman"/>
        </w:rPr>
        <w:t xml:space="preserve"> Zhai 2021)</w:t>
      </w:r>
      <w:r w:rsidR="00EB100D" w:rsidRPr="00E37223">
        <w:rPr>
          <w:rFonts w:ascii="Times New Roman" w:hAnsi="Times New Roman" w:cs="Times New Roman"/>
        </w:rPr>
        <w:t xml:space="preserve">, </w:t>
      </w:r>
      <w:r w:rsidR="00D74707" w:rsidRPr="00E37223">
        <w:rPr>
          <w:rFonts w:ascii="Times New Roman" w:hAnsi="Times New Roman" w:cs="Times New Roman"/>
        </w:rPr>
        <w:t xml:space="preserve">we </w:t>
      </w:r>
      <w:r w:rsidR="009101CD" w:rsidRPr="00E37223">
        <w:rPr>
          <w:rFonts w:ascii="Times New Roman" w:hAnsi="Times New Roman" w:cs="Times New Roman"/>
        </w:rPr>
        <w:t xml:space="preserve">undertake </w:t>
      </w:r>
      <w:r w:rsidR="00D74707" w:rsidRPr="00E37223">
        <w:rPr>
          <w:rFonts w:ascii="Times New Roman" w:hAnsi="Times New Roman" w:cs="Times New Roman"/>
        </w:rPr>
        <w:t xml:space="preserve">a detailed analysis </w:t>
      </w:r>
      <w:r w:rsidR="00302808" w:rsidRPr="00E37223">
        <w:rPr>
          <w:rFonts w:ascii="Times New Roman" w:hAnsi="Times New Roman" w:cs="Times New Roman"/>
        </w:rPr>
        <w:t xml:space="preserve">also </w:t>
      </w:r>
      <w:r w:rsidR="00D74707" w:rsidRPr="00E37223">
        <w:rPr>
          <w:rFonts w:ascii="Times New Roman" w:hAnsi="Times New Roman" w:cs="Times New Roman"/>
        </w:rPr>
        <w:t>using data at the bank-country-quarter level</w:t>
      </w:r>
      <w:r w:rsidR="00302808" w:rsidRPr="00E37223">
        <w:rPr>
          <w:rFonts w:ascii="Times New Roman" w:hAnsi="Times New Roman" w:cs="Times New Roman"/>
        </w:rPr>
        <w:t>,</w:t>
      </w:r>
      <w:r w:rsidR="00C03D10" w:rsidRPr="00E37223">
        <w:rPr>
          <w:rFonts w:ascii="Times New Roman" w:hAnsi="Times New Roman" w:cs="Times New Roman"/>
        </w:rPr>
        <w:t xml:space="preserve"> thus </w:t>
      </w:r>
      <w:r w:rsidR="00D74707" w:rsidRPr="00E37223">
        <w:rPr>
          <w:rFonts w:ascii="Times New Roman" w:hAnsi="Times New Roman" w:cs="Times New Roman"/>
        </w:rPr>
        <w:t xml:space="preserve">enabling </w:t>
      </w:r>
      <w:r w:rsidR="00C03D10" w:rsidRPr="00E37223">
        <w:rPr>
          <w:rFonts w:ascii="Times New Roman" w:hAnsi="Times New Roman" w:cs="Times New Roman"/>
        </w:rPr>
        <w:t xml:space="preserve">us to distinguish </w:t>
      </w:r>
      <w:r w:rsidR="009101CD" w:rsidRPr="00E37223">
        <w:rPr>
          <w:rFonts w:ascii="Times New Roman" w:hAnsi="Times New Roman" w:cs="Times New Roman"/>
        </w:rPr>
        <w:t xml:space="preserve">in </w:t>
      </w:r>
      <w:r w:rsidR="00D74707" w:rsidRPr="00E37223">
        <w:rPr>
          <w:rFonts w:ascii="Times New Roman" w:hAnsi="Times New Roman" w:cs="Times New Roman"/>
        </w:rPr>
        <w:t xml:space="preserve">estimation the effects of ambiguity on </w:t>
      </w:r>
      <w:r w:rsidR="00C03D10" w:rsidRPr="00E37223">
        <w:rPr>
          <w:rFonts w:ascii="Times New Roman" w:hAnsi="Times New Roman" w:cs="Times New Roman"/>
        </w:rPr>
        <w:t xml:space="preserve">different </w:t>
      </w:r>
      <w:r w:rsidR="00D74707" w:rsidRPr="00E37223">
        <w:rPr>
          <w:rFonts w:ascii="Times New Roman" w:hAnsi="Times New Roman" w:cs="Times New Roman"/>
        </w:rPr>
        <w:t xml:space="preserve">lending patterns across borders. This allows us to build upon the existing literature by adding a new </w:t>
      </w:r>
      <w:r w:rsidR="009101CD" w:rsidRPr="00E37223">
        <w:rPr>
          <w:rFonts w:ascii="Times New Roman" w:hAnsi="Times New Roman" w:cs="Times New Roman"/>
        </w:rPr>
        <w:t xml:space="preserve">analytical </w:t>
      </w:r>
      <w:r w:rsidR="00D74707" w:rsidRPr="00E37223">
        <w:rPr>
          <w:rFonts w:ascii="Times New Roman" w:hAnsi="Times New Roman" w:cs="Times New Roman"/>
        </w:rPr>
        <w:t>dimension</w:t>
      </w:r>
      <w:r w:rsidR="00D47DF7" w:rsidRPr="00E37223">
        <w:rPr>
          <w:rFonts w:ascii="Times New Roman" w:hAnsi="Times New Roman" w:cs="Times New Roman"/>
        </w:rPr>
        <w:t>, namely ambiguity, to lending patterns across borders</w:t>
      </w:r>
      <w:r w:rsidR="00251F79" w:rsidRPr="00E37223">
        <w:rPr>
          <w:rFonts w:ascii="Times New Roman" w:hAnsi="Times New Roman" w:cs="Times New Roman"/>
        </w:rPr>
        <w:t xml:space="preserve">. </w:t>
      </w:r>
      <w:r w:rsidR="00D35580" w:rsidRPr="00E37223">
        <w:rPr>
          <w:rFonts w:ascii="Times New Roman" w:hAnsi="Times New Roman" w:cs="Times New Roman"/>
        </w:rPr>
        <w:t>We</w:t>
      </w:r>
      <w:r w:rsidRPr="00E37223">
        <w:rPr>
          <w:rFonts w:ascii="Times New Roman" w:hAnsi="Times New Roman" w:cs="Times New Roman"/>
        </w:rPr>
        <w:t xml:space="preserve"> </w:t>
      </w:r>
      <w:r w:rsidR="00920DC8" w:rsidRPr="00E37223">
        <w:rPr>
          <w:rFonts w:ascii="Times New Roman" w:hAnsi="Times New Roman" w:cs="Times New Roman"/>
        </w:rPr>
        <w:t xml:space="preserve">collect </w:t>
      </w:r>
      <w:r w:rsidRPr="00E37223">
        <w:rPr>
          <w:rFonts w:ascii="Times New Roman" w:hAnsi="Times New Roman" w:cs="Times New Roman"/>
        </w:rPr>
        <w:t>loan data for the period from the first quarter of 1996 (1996:Q1) to the fourth quarter of 2021 (2021:Q4)</w:t>
      </w:r>
      <w:r w:rsidR="00BB2AAF" w:rsidRPr="00E37223">
        <w:rPr>
          <w:rFonts w:ascii="Times New Roman" w:hAnsi="Times New Roman" w:cs="Times New Roman"/>
        </w:rPr>
        <w:t>, in line</w:t>
      </w:r>
      <w:r w:rsidR="007E1075" w:rsidRPr="00E37223">
        <w:rPr>
          <w:rFonts w:ascii="Times New Roman" w:hAnsi="Times New Roman" w:cs="Times New Roman"/>
        </w:rPr>
        <w:t xml:space="preserve"> </w:t>
      </w:r>
      <w:r w:rsidRPr="00E37223">
        <w:rPr>
          <w:rFonts w:ascii="Times New Roman" w:hAnsi="Times New Roman" w:cs="Times New Roman"/>
        </w:rPr>
        <w:t xml:space="preserve">with the period covered by the country-pair level cross-border banking flows data. </w:t>
      </w:r>
      <w:r w:rsidR="00C03D10" w:rsidRPr="00E37223">
        <w:rPr>
          <w:rFonts w:ascii="Times New Roman" w:hAnsi="Times New Roman" w:cs="Times New Roman"/>
        </w:rPr>
        <w:t>D</w:t>
      </w:r>
      <w:r w:rsidRPr="00E37223">
        <w:rPr>
          <w:rFonts w:ascii="Times New Roman" w:hAnsi="Times New Roman" w:cs="Times New Roman"/>
        </w:rPr>
        <w:t>ata from the Deal</w:t>
      </w:r>
      <w:r w:rsidR="00B40361" w:rsidRPr="00E37223">
        <w:rPr>
          <w:rFonts w:ascii="Times New Roman" w:hAnsi="Times New Roman" w:cs="Times New Roman"/>
        </w:rPr>
        <w:t>S</w:t>
      </w:r>
      <w:r w:rsidRPr="00E37223">
        <w:rPr>
          <w:rFonts w:ascii="Times New Roman" w:hAnsi="Times New Roman" w:cs="Times New Roman"/>
        </w:rPr>
        <w:t>can database</w:t>
      </w:r>
      <w:r w:rsidR="00C03D10" w:rsidRPr="00E37223">
        <w:rPr>
          <w:rFonts w:ascii="Times New Roman" w:hAnsi="Times New Roman" w:cs="Times New Roman"/>
        </w:rPr>
        <w:t xml:space="preserve"> </w:t>
      </w:r>
      <w:r w:rsidR="00302808" w:rsidRPr="00E37223">
        <w:rPr>
          <w:rFonts w:ascii="Times New Roman" w:hAnsi="Times New Roman" w:cs="Times New Roman"/>
        </w:rPr>
        <w:t xml:space="preserve">provides </w:t>
      </w:r>
      <w:r w:rsidR="005A33D2" w:rsidRPr="00E37223">
        <w:rPr>
          <w:rFonts w:ascii="Times New Roman" w:hAnsi="Times New Roman" w:cs="Times New Roman"/>
        </w:rPr>
        <w:t>comprehensive historical information on syndicated loan transactions globally</w:t>
      </w:r>
      <w:r w:rsidRPr="00E37223">
        <w:rPr>
          <w:rFonts w:ascii="Times New Roman" w:hAnsi="Times New Roman" w:cs="Times New Roman"/>
        </w:rPr>
        <w:t xml:space="preserve">. The data encompass loan tranches involving either a single lender or a </w:t>
      </w:r>
      <w:r w:rsidR="00D541C6" w:rsidRPr="00E37223">
        <w:rPr>
          <w:rFonts w:ascii="Times New Roman" w:hAnsi="Times New Roman" w:cs="Times New Roman"/>
        </w:rPr>
        <w:t>group</w:t>
      </w:r>
      <w:r w:rsidRPr="00E37223">
        <w:rPr>
          <w:rFonts w:ascii="Times New Roman" w:hAnsi="Times New Roman" w:cs="Times New Roman"/>
        </w:rPr>
        <w:t xml:space="preserve"> of lenders to a borrower.</w:t>
      </w:r>
    </w:p>
    <w:p w14:paraId="0956D097" w14:textId="4BC825BB" w:rsidR="000F6914" w:rsidRPr="00E37223" w:rsidRDefault="00C03D10" w:rsidP="00E46197">
      <w:pPr>
        <w:spacing w:line="360" w:lineRule="auto"/>
        <w:ind w:firstLine="720"/>
        <w:rPr>
          <w:rFonts w:ascii="Times New Roman" w:hAnsi="Times New Roman" w:cs="Times New Roman"/>
        </w:rPr>
      </w:pPr>
      <w:r w:rsidRPr="00E37223">
        <w:rPr>
          <w:rFonts w:ascii="Times New Roman" w:hAnsi="Times New Roman" w:cs="Times New Roman"/>
        </w:rPr>
        <w:t>Two proxies are used i</w:t>
      </w:r>
      <w:r w:rsidR="00297480" w:rsidRPr="00E37223">
        <w:rPr>
          <w:rFonts w:ascii="Times New Roman" w:hAnsi="Times New Roman" w:cs="Times New Roman"/>
        </w:rPr>
        <w:t xml:space="preserve">n </w:t>
      </w:r>
      <w:r w:rsidRPr="00E37223">
        <w:rPr>
          <w:rFonts w:ascii="Times New Roman" w:hAnsi="Times New Roman" w:cs="Times New Roman"/>
        </w:rPr>
        <w:t>the</w:t>
      </w:r>
      <w:r w:rsidR="00297480" w:rsidRPr="00E37223">
        <w:rPr>
          <w:rFonts w:ascii="Times New Roman" w:hAnsi="Times New Roman" w:cs="Times New Roman"/>
        </w:rPr>
        <w:t xml:space="preserve"> analysis</w:t>
      </w:r>
      <w:r w:rsidRPr="00E37223">
        <w:rPr>
          <w:rFonts w:ascii="Times New Roman" w:hAnsi="Times New Roman" w:cs="Times New Roman"/>
        </w:rPr>
        <w:t xml:space="preserve"> </w:t>
      </w:r>
      <w:r w:rsidR="00964A1C" w:rsidRPr="00E37223">
        <w:rPr>
          <w:rFonts w:ascii="Times New Roman" w:hAnsi="Times New Roman" w:cs="Times New Roman"/>
        </w:rPr>
        <w:t>to capture</w:t>
      </w:r>
      <w:r w:rsidR="00297480" w:rsidRPr="00E37223">
        <w:rPr>
          <w:rFonts w:ascii="Times New Roman" w:hAnsi="Times New Roman" w:cs="Times New Roman"/>
        </w:rPr>
        <w:t xml:space="preserve"> the credit supply </w:t>
      </w:r>
      <w:r w:rsidR="00374765" w:rsidRPr="00E37223">
        <w:rPr>
          <w:rFonts w:ascii="Times New Roman" w:hAnsi="Times New Roman" w:cs="Times New Roman"/>
        </w:rPr>
        <w:t xml:space="preserve">side </w:t>
      </w:r>
      <w:r w:rsidR="00BC6C59" w:rsidRPr="00E37223">
        <w:rPr>
          <w:rFonts w:ascii="Times New Roman" w:hAnsi="Times New Roman" w:cs="Times New Roman"/>
        </w:rPr>
        <w:t>of cross</w:t>
      </w:r>
      <w:r w:rsidR="00297480" w:rsidRPr="00E37223">
        <w:rPr>
          <w:rFonts w:ascii="Times New Roman" w:hAnsi="Times New Roman" w:cs="Times New Roman"/>
        </w:rPr>
        <w:t>-border bank lending</w:t>
      </w:r>
      <w:r w:rsidR="00302808" w:rsidRPr="00E37223">
        <w:rPr>
          <w:rFonts w:ascii="Times New Roman" w:hAnsi="Times New Roman" w:cs="Times New Roman"/>
        </w:rPr>
        <w:t xml:space="preserve">, </w:t>
      </w:r>
      <w:r w:rsidR="00964A1C" w:rsidRPr="00E37223">
        <w:rPr>
          <w:rFonts w:ascii="Times New Roman" w:hAnsi="Times New Roman" w:cs="Times New Roman"/>
        </w:rPr>
        <w:t>namely</w:t>
      </w:r>
      <w:r w:rsidR="00302808" w:rsidRPr="00E37223">
        <w:rPr>
          <w:rFonts w:ascii="Times New Roman" w:hAnsi="Times New Roman" w:cs="Times New Roman"/>
        </w:rPr>
        <w:t>,</w:t>
      </w:r>
      <w:r w:rsidR="00964A1C" w:rsidRPr="00E37223">
        <w:rPr>
          <w:rFonts w:ascii="Times New Roman" w:hAnsi="Times New Roman" w:cs="Times New Roman"/>
        </w:rPr>
        <w:t xml:space="preserve"> </w:t>
      </w:r>
      <w:r w:rsidR="00297480" w:rsidRPr="00E37223">
        <w:rPr>
          <w:rFonts w:ascii="Times New Roman" w:hAnsi="Times New Roman" w:cs="Times New Roman"/>
        </w:rPr>
        <w:t xml:space="preserve">the </w:t>
      </w:r>
      <w:r w:rsidR="000F1B35">
        <w:rPr>
          <w:rFonts w:ascii="Times New Roman" w:hAnsi="Times New Roman" w:cs="Times New Roman"/>
        </w:rPr>
        <w:t>AMOUNT</w:t>
      </w:r>
      <w:r w:rsidR="00297480" w:rsidRPr="00E37223">
        <w:rPr>
          <w:rFonts w:ascii="Times New Roman" w:hAnsi="Times New Roman" w:cs="Times New Roman"/>
        </w:rPr>
        <w:t xml:space="preserve"> and </w:t>
      </w:r>
      <w:r w:rsidRPr="00E37223">
        <w:rPr>
          <w:rFonts w:ascii="Times New Roman" w:hAnsi="Times New Roman" w:cs="Times New Roman"/>
        </w:rPr>
        <w:t xml:space="preserve">the </w:t>
      </w:r>
      <w:r w:rsidR="002B68D1" w:rsidRPr="00E37223">
        <w:rPr>
          <w:rFonts w:ascii="Times New Roman" w:hAnsi="Times New Roman" w:cs="Times New Roman"/>
        </w:rPr>
        <w:t>n</w:t>
      </w:r>
      <w:r w:rsidR="00297480" w:rsidRPr="00E37223">
        <w:rPr>
          <w:rFonts w:ascii="Times New Roman" w:hAnsi="Times New Roman" w:cs="Times New Roman"/>
        </w:rPr>
        <w:t>umber of loans. These proxies are constructed</w:t>
      </w:r>
      <w:r w:rsidR="00BF6F0D" w:rsidRPr="00E37223">
        <w:rPr>
          <w:rFonts w:ascii="Times New Roman" w:hAnsi="Times New Roman" w:cs="Times New Roman"/>
        </w:rPr>
        <w:t xml:space="preserve"> and aggregated</w:t>
      </w:r>
      <w:r w:rsidR="00297480" w:rsidRPr="00E37223">
        <w:rPr>
          <w:rFonts w:ascii="Times New Roman" w:hAnsi="Times New Roman" w:cs="Times New Roman"/>
        </w:rPr>
        <w:t xml:space="preserve"> at the </w:t>
      </w:r>
      <w:r w:rsidR="00530386" w:rsidRPr="00E37223">
        <w:rPr>
          <w:rFonts w:ascii="Times New Roman" w:hAnsi="Times New Roman" w:cs="Times New Roman"/>
        </w:rPr>
        <w:t>bank-country-quarter level</w:t>
      </w:r>
      <w:r w:rsidR="00297480" w:rsidRPr="00E37223">
        <w:rPr>
          <w:rFonts w:ascii="Times New Roman" w:hAnsi="Times New Roman" w:cs="Times New Roman"/>
        </w:rPr>
        <w:t xml:space="preserve">. Specifically, for each bank, </w:t>
      </w:r>
      <w:r w:rsidR="00CA18CC" w:rsidRPr="00E37223">
        <w:rPr>
          <w:rFonts w:ascii="Times New Roman" w:hAnsi="Times New Roman" w:cs="Times New Roman"/>
        </w:rPr>
        <w:t>‘</w:t>
      </w:r>
      <w:r w:rsidR="000F1B35">
        <w:rPr>
          <w:rFonts w:ascii="Times New Roman" w:hAnsi="Times New Roman" w:cs="Times New Roman"/>
        </w:rPr>
        <w:t>AMOUNT</w:t>
      </w:r>
      <w:r w:rsidR="00CA18CC" w:rsidRPr="00E37223">
        <w:rPr>
          <w:rFonts w:ascii="Times New Roman" w:hAnsi="Times New Roman" w:cs="Times New Roman"/>
        </w:rPr>
        <w:t xml:space="preserve">’ </w:t>
      </w:r>
      <w:r w:rsidRPr="00E37223">
        <w:rPr>
          <w:rFonts w:ascii="Times New Roman" w:hAnsi="Times New Roman" w:cs="Times New Roman"/>
        </w:rPr>
        <w:t xml:space="preserve">is defined as </w:t>
      </w:r>
      <w:r w:rsidR="00297480" w:rsidRPr="00E37223">
        <w:rPr>
          <w:rFonts w:ascii="Times New Roman" w:hAnsi="Times New Roman" w:cs="Times New Roman"/>
        </w:rPr>
        <w:t xml:space="preserve">the total </w:t>
      </w:r>
      <w:r w:rsidR="00374765" w:rsidRPr="00E37223">
        <w:rPr>
          <w:rFonts w:ascii="Times New Roman" w:hAnsi="Times New Roman" w:cs="Times New Roman"/>
        </w:rPr>
        <w:t xml:space="preserve">US </w:t>
      </w:r>
      <w:r w:rsidR="00297480" w:rsidRPr="00E37223">
        <w:rPr>
          <w:rFonts w:ascii="Times New Roman" w:hAnsi="Times New Roman" w:cs="Times New Roman"/>
        </w:rPr>
        <w:t xml:space="preserve">dollar amount, and </w:t>
      </w:r>
      <w:r w:rsidR="00CA18CC" w:rsidRPr="00E37223">
        <w:rPr>
          <w:rFonts w:ascii="Times New Roman" w:hAnsi="Times New Roman" w:cs="Times New Roman"/>
        </w:rPr>
        <w:t xml:space="preserve">‘number’ </w:t>
      </w:r>
      <w:r w:rsidR="00297480" w:rsidRPr="00E37223">
        <w:rPr>
          <w:rFonts w:ascii="Times New Roman" w:hAnsi="Times New Roman" w:cs="Times New Roman"/>
        </w:rPr>
        <w:t xml:space="preserve">as the total count of loans, to represent </w:t>
      </w:r>
      <w:r w:rsidR="00297480" w:rsidRPr="00E37223">
        <w:rPr>
          <w:rFonts w:ascii="Times New Roman" w:hAnsi="Times New Roman" w:cs="Times New Roman"/>
        </w:rPr>
        <w:lastRenderedPageBreak/>
        <w:t>the cross-border credit supply to each destination country in a given quarter.</w:t>
      </w:r>
      <w:r w:rsidR="00017860" w:rsidRPr="00E37223">
        <w:rPr>
          <w:rFonts w:ascii="Times New Roman" w:hAnsi="Times New Roman" w:cs="Times New Roman"/>
        </w:rPr>
        <w:t xml:space="preserve"> </w:t>
      </w:r>
      <w:r w:rsidR="000F1B35">
        <w:rPr>
          <w:rFonts w:ascii="Times New Roman" w:hAnsi="Times New Roman" w:cs="Times New Roman"/>
          <w:i/>
          <w:iCs/>
        </w:rPr>
        <w:t>AMOUNT</w:t>
      </w:r>
      <w:r w:rsidR="00A500DA" w:rsidRPr="00E37223">
        <w:rPr>
          <w:rFonts w:ascii="Times New Roman" w:hAnsi="Times New Roman" w:cs="Times New Roman"/>
          <w:i/>
          <w:iCs/>
          <w:vertAlign w:val="subscript"/>
        </w:rPr>
        <w:t>i,b,t</w:t>
      </w:r>
      <w:r w:rsidR="00017860" w:rsidRPr="00E37223">
        <w:rPr>
          <w:rFonts w:ascii="Times New Roman" w:hAnsi="Times New Roman" w:cs="Times New Roman"/>
        </w:rPr>
        <w:t xml:space="preserve">, is </w:t>
      </w:r>
      <w:r w:rsidR="00374765" w:rsidRPr="00E37223">
        <w:rPr>
          <w:rFonts w:ascii="Times New Roman" w:hAnsi="Times New Roman" w:cs="Times New Roman"/>
        </w:rPr>
        <w:t xml:space="preserve">computed </w:t>
      </w:r>
      <w:r w:rsidR="00017860" w:rsidRPr="00E37223">
        <w:rPr>
          <w:rFonts w:ascii="Times New Roman" w:hAnsi="Times New Roman" w:cs="Times New Roman"/>
        </w:rPr>
        <w:t xml:space="preserve">as the logarithm of the total amount </w:t>
      </w:r>
      <w:r w:rsidR="00A500DA" w:rsidRPr="00E37223">
        <w:rPr>
          <w:rFonts w:ascii="Times New Roman" w:hAnsi="Times New Roman" w:cs="Times New Roman"/>
        </w:rPr>
        <w:t xml:space="preserve">plus one </w:t>
      </w:r>
      <w:r w:rsidR="00017860" w:rsidRPr="00E37223">
        <w:rPr>
          <w:rFonts w:ascii="Times New Roman" w:hAnsi="Times New Roman" w:cs="Times New Roman"/>
        </w:rPr>
        <w:t xml:space="preserve">lent by bank i (located in country </w:t>
      </w:r>
      <w:r w:rsidR="00A500DA" w:rsidRPr="00E37223">
        <w:rPr>
          <w:rFonts w:ascii="Times New Roman" w:hAnsi="Times New Roman" w:cs="Times New Roman"/>
          <w:i/>
          <w:iCs/>
        </w:rPr>
        <w:t>a</w:t>
      </w:r>
      <w:r w:rsidR="00017860" w:rsidRPr="00E37223">
        <w:rPr>
          <w:rFonts w:ascii="Times New Roman" w:hAnsi="Times New Roman" w:cs="Times New Roman"/>
        </w:rPr>
        <w:t xml:space="preserve">) to all firms in country </w:t>
      </w:r>
      <w:r w:rsidR="00A500DA" w:rsidRPr="00E37223">
        <w:rPr>
          <w:rFonts w:ascii="Times New Roman" w:hAnsi="Times New Roman" w:cs="Times New Roman"/>
          <w:i/>
          <w:iCs/>
        </w:rPr>
        <w:t>b</w:t>
      </w:r>
      <w:r w:rsidR="00017860" w:rsidRPr="00E37223">
        <w:rPr>
          <w:rFonts w:ascii="Times New Roman" w:hAnsi="Times New Roman" w:cs="Times New Roman"/>
        </w:rPr>
        <w:t xml:space="preserve"> (where </w:t>
      </w:r>
      <w:r w:rsidR="00A500DA" w:rsidRPr="00E37223">
        <w:rPr>
          <w:rFonts w:ascii="Times New Roman" w:hAnsi="Times New Roman" w:cs="Times New Roman"/>
          <w:i/>
          <w:iCs/>
        </w:rPr>
        <w:t>a</w:t>
      </w:r>
      <w:r w:rsidR="00017860" w:rsidRPr="00E37223">
        <w:rPr>
          <w:rFonts w:ascii="Times New Roman" w:hAnsi="Times New Roman" w:cs="Times New Roman"/>
        </w:rPr>
        <w:t xml:space="preserve"> ≠ </w:t>
      </w:r>
      <w:r w:rsidR="00A500DA" w:rsidRPr="00E37223">
        <w:rPr>
          <w:rFonts w:ascii="Times New Roman" w:hAnsi="Times New Roman" w:cs="Times New Roman"/>
          <w:i/>
          <w:iCs/>
        </w:rPr>
        <w:t>b</w:t>
      </w:r>
      <w:r w:rsidR="00017860" w:rsidRPr="00E37223">
        <w:rPr>
          <w:rFonts w:ascii="Times New Roman" w:hAnsi="Times New Roman" w:cs="Times New Roman"/>
        </w:rPr>
        <w:t xml:space="preserve">) at time </w:t>
      </w:r>
      <w:r w:rsidR="00017860" w:rsidRPr="00E37223">
        <w:rPr>
          <w:rFonts w:ascii="Times New Roman" w:hAnsi="Times New Roman" w:cs="Times New Roman"/>
          <w:i/>
          <w:iCs/>
        </w:rPr>
        <w:t>t</w:t>
      </w:r>
      <w:r w:rsidR="00017860" w:rsidRPr="00E37223">
        <w:rPr>
          <w:rFonts w:ascii="Times New Roman" w:hAnsi="Times New Roman" w:cs="Times New Roman"/>
        </w:rPr>
        <w:t xml:space="preserve">. To construct this variable, we aggregate a bank’s contributions to all its facilities for each foreign country during each quarter. </w:t>
      </w:r>
      <w:r w:rsidR="00063372" w:rsidRPr="00E37223">
        <w:rPr>
          <w:rFonts w:ascii="Times New Roman" w:hAnsi="Times New Roman" w:cs="Times New Roman"/>
        </w:rPr>
        <w:t xml:space="preserve">It </w:t>
      </w:r>
      <w:r w:rsidR="002C6960" w:rsidRPr="00E37223">
        <w:rPr>
          <w:rFonts w:ascii="Times New Roman" w:hAnsi="Times New Roman" w:cs="Times New Roman"/>
        </w:rPr>
        <w:t>is important to note</w:t>
      </w:r>
      <w:r w:rsidR="00063372" w:rsidRPr="00E37223">
        <w:rPr>
          <w:rFonts w:ascii="Times New Roman" w:hAnsi="Times New Roman" w:cs="Times New Roman"/>
        </w:rPr>
        <w:t xml:space="preserve"> that Deal</w:t>
      </w:r>
      <w:r w:rsidR="00B40361" w:rsidRPr="00E37223">
        <w:rPr>
          <w:rFonts w:ascii="Times New Roman" w:hAnsi="Times New Roman" w:cs="Times New Roman"/>
        </w:rPr>
        <w:t>S</w:t>
      </w:r>
      <w:r w:rsidR="00063372" w:rsidRPr="00E37223">
        <w:rPr>
          <w:rFonts w:ascii="Times New Roman" w:hAnsi="Times New Roman" w:cs="Times New Roman"/>
        </w:rPr>
        <w:t xml:space="preserve">can </w:t>
      </w:r>
      <w:r w:rsidR="00A001B1" w:rsidRPr="00E37223">
        <w:rPr>
          <w:rFonts w:ascii="Times New Roman" w:hAnsi="Times New Roman" w:cs="Times New Roman"/>
        </w:rPr>
        <w:t xml:space="preserve">only </w:t>
      </w:r>
      <w:r w:rsidR="00063372" w:rsidRPr="00E37223">
        <w:rPr>
          <w:rFonts w:ascii="Times New Roman" w:hAnsi="Times New Roman" w:cs="Times New Roman"/>
        </w:rPr>
        <w:t>directly provides information on facility</w:t>
      </w:r>
      <w:r w:rsidR="00A001B1" w:rsidRPr="00E37223">
        <w:rPr>
          <w:rFonts w:ascii="Times New Roman" w:hAnsi="Times New Roman" w:cs="Times New Roman"/>
        </w:rPr>
        <w:t xml:space="preserve"> bank </w:t>
      </w:r>
      <w:r w:rsidR="00063372" w:rsidRPr="00E37223">
        <w:rPr>
          <w:rFonts w:ascii="Times New Roman" w:hAnsi="Times New Roman" w:cs="Times New Roman"/>
        </w:rPr>
        <w:t>allocation for about 25% of all facilities</w:t>
      </w:r>
      <w:r w:rsidR="00A001B1" w:rsidRPr="00E37223">
        <w:rPr>
          <w:rFonts w:ascii="Times New Roman" w:hAnsi="Times New Roman" w:cs="Times New Roman"/>
        </w:rPr>
        <w:t xml:space="preserve">. For the remaining 75% of facilities, where such detailed allocation data </w:t>
      </w:r>
      <w:r w:rsidRPr="00E37223">
        <w:rPr>
          <w:rFonts w:ascii="Times New Roman" w:hAnsi="Times New Roman" w:cs="Times New Roman"/>
        </w:rPr>
        <w:t>are</w:t>
      </w:r>
      <w:r w:rsidR="00A001B1" w:rsidRPr="00E37223">
        <w:rPr>
          <w:rFonts w:ascii="Times New Roman" w:hAnsi="Times New Roman" w:cs="Times New Roman"/>
        </w:rPr>
        <w:t xml:space="preserve"> not available, we adopt the methodology proposed by</w:t>
      </w:r>
      <w:r w:rsidR="005A2F07" w:rsidRPr="00E37223">
        <w:rPr>
          <w:rFonts w:ascii="Times New Roman" w:hAnsi="Times New Roman" w:cs="Times New Roman"/>
        </w:rPr>
        <w:t xml:space="preserve"> </w:t>
      </w:r>
      <w:r w:rsidR="005852CB" w:rsidRPr="00E37223">
        <w:rPr>
          <w:rFonts w:ascii="Times New Roman" w:hAnsi="Times New Roman" w:cs="Times New Roman"/>
        </w:rPr>
        <w:t>Blickle et al. (2020)</w:t>
      </w:r>
      <w:r w:rsidR="00A81C09" w:rsidRPr="00E37223">
        <w:rPr>
          <w:rFonts w:ascii="Times New Roman" w:hAnsi="Times New Roman" w:cs="Times New Roman"/>
        </w:rPr>
        <w:t xml:space="preserve"> </w:t>
      </w:r>
      <w:r w:rsidR="004A00E7" w:rsidRPr="00E37223">
        <w:rPr>
          <w:rFonts w:ascii="Times New Roman" w:hAnsi="Times New Roman" w:cs="Times New Roman"/>
        </w:rPr>
        <w:t xml:space="preserve">which </w:t>
      </w:r>
      <w:r w:rsidR="00027633" w:rsidRPr="00E37223">
        <w:rPr>
          <w:rFonts w:ascii="Times New Roman" w:hAnsi="Times New Roman" w:cs="Times New Roman"/>
        </w:rPr>
        <w:t xml:space="preserve">systematically investigates loan </w:t>
      </w:r>
      <w:r w:rsidR="00A145B3" w:rsidRPr="00E37223">
        <w:rPr>
          <w:rFonts w:ascii="Times New Roman" w:hAnsi="Times New Roman" w:cs="Times New Roman" w:hint="eastAsia"/>
        </w:rPr>
        <w:t>allocation</w:t>
      </w:r>
      <w:r w:rsidR="00A145B3" w:rsidRPr="00E37223">
        <w:rPr>
          <w:rFonts w:ascii="Times New Roman" w:hAnsi="Times New Roman" w:cs="Times New Roman"/>
        </w:rPr>
        <w:t xml:space="preserve"> </w:t>
      </w:r>
      <w:r w:rsidR="00027633" w:rsidRPr="00E37223">
        <w:rPr>
          <w:rFonts w:ascii="Times New Roman" w:hAnsi="Times New Roman" w:cs="Times New Roman"/>
        </w:rPr>
        <w:t>of banks in primary loan syndicates in Deal</w:t>
      </w:r>
      <w:r w:rsidR="00B40361" w:rsidRPr="00E37223">
        <w:rPr>
          <w:rFonts w:ascii="Times New Roman" w:hAnsi="Times New Roman" w:cs="Times New Roman"/>
        </w:rPr>
        <w:t>S</w:t>
      </w:r>
      <w:r w:rsidR="00027633" w:rsidRPr="00E37223">
        <w:rPr>
          <w:rFonts w:ascii="Times New Roman" w:hAnsi="Times New Roman" w:cs="Times New Roman"/>
        </w:rPr>
        <w:t xml:space="preserve">can and </w:t>
      </w:r>
      <w:r w:rsidR="004A00E7" w:rsidRPr="00E37223">
        <w:rPr>
          <w:rFonts w:ascii="Times New Roman" w:hAnsi="Times New Roman" w:cs="Times New Roman"/>
        </w:rPr>
        <w:t xml:space="preserve">provides </w:t>
      </w:r>
      <w:r w:rsidR="00027633" w:rsidRPr="00E37223">
        <w:rPr>
          <w:rFonts w:ascii="Times New Roman" w:hAnsi="Times New Roman" w:cs="Times New Roman"/>
        </w:rPr>
        <w:t xml:space="preserve">a practical approach for estimating a bank's contribution to each facility. </w:t>
      </w:r>
      <w:r w:rsidR="00B25ED7" w:rsidRPr="00E37223">
        <w:rPr>
          <w:rFonts w:ascii="Times New Roman" w:hAnsi="Times New Roman" w:cs="Times New Roman"/>
        </w:rPr>
        <w:t>Following</w:t>
      </w:r>
      <w:r w:rsidR="00A55D61" w:rsidRPr="00E37223">
        <w:rPr>
          <w:rFonts w:ascii="Times New Roman" w:hAnsi="Times New Roman" w:cs="Times New Roman"/>
        </w:rPr>
        <w:t xml:space="preserve"> their methodology, we </w:t>
      </w:r>
      <w:r w:rsidR="00374765" w:rsidRPr="00E37223">
        <w:rPr>
          <w:rFonts w:ascii="Times New Roman" w:hAnsi="Times New Roman" w:cs="Times New Roman"/>
        </w:rPr>
        <w:t xml:space="preserve">are able to </w:t>
      </w:r>
      <w:r w:rsidR="00A55D61" w:rsidRPr="00E37223">
        <w:rPr>
          <w:rFonts w:ascii="Times New Roman" w:hAnsi="Times New Roman" w:cs="Times New Roman"/>
        </w:rPr>
        <w:t>more accurately estimate a bank's</w:t>
      </w:r>
      <w:r w:rsidR="0010215D" w:rsidRPr="00E37223">
        <w:rPr>
          <w:rFonts w:ascii="Times New Roman" w:hAnsi="Times New Roman" w:cs="Times New Roman"/>
        </w:rPr>
        <w:t xml:space="preserve"> allocation</w:t>
      </w:r>
      <w:r w:rsidR="00A55D61" w:rsidRPr="00E37223">
        <w:rPr>
          <w:rFonts w:ascii="Times New Roman" w:hAnsi="Times New Roman" w:cs="Times New Roman"/>
        </w:rPr>
        <w:t xml:space="preserve"> in loan facilities where direct allocation data </w:t>
      </w:r>
      <w:r w:rsidRPr="00E37223">
        <w:rPr>
          <w:rFonts w:ascii="Times New Roman" w:hAnsi="Times New Roman" w:cs="Times New Roman"/>
        </w:rPr>
        <w:t>are</w:t>
      </w:r>
      <w:r w:rsidR="00A55D61" w:rsidRPr="00E37223">
        <w:rPr>
          <w:rFonts w:ascii="Times New Roman" w:hAnsi="Times New Roman" w:cs="Times New Roman"/>
        </w:rPr>
        <w:t xml:space="preserve"> not explicitly provided by Deal</w:t>
      </w:r>
      <w:r w:rsidR="00B40361" w:rsidRPr="00E37223">
        <w:rPr>
          <w:rFonts w:ascii="Times New Roman" w:hAnsi="Times New Roman" w:cs="Times New Roman"/>
        </w:rPr>
        <w:t>Sc</w:t>
      </w:r>
      <w:r w:rsidR="00A55D61" w:rsidRPr="00E37223">
        <w:rPr>
          <w:rFonts w:ascii="Times New Roman" w:hAnsi="Times New Roman" w:cs="Times New Roman"/>
        </w:rPr>
        <w:t>an.</w:t>
      </w:r>
      <w:r w:rsidR="003C66E6" w:rsidRPr="00E37223">
        <w:rPr>
          <w:rFonts w:ascii="Times New Roman" w:hAnsi="Times New Roman" w:cs="Times New Roman"/>
        </w:rPr>
        <w:t xml:space="preserve"> </w:t>
      </w:r>
      <w:r w:rsidR="00C10BFA" w:rsidRPr="00E37223">
        <w:rPr>
          <w:rFonts w:ascii="Times New Roman" w:hAnsi="Times New Roman" w:cs="Times New Roman"/>
        </w:rPr>
        <w:t xml:space="preserve">Finally, we define </w:t>
      </w:r>
      <w:r w:rsidR="00BE70BE" w:rsidRPr="00E37223">
        <w:rPr>
          <w:rFonts w:ascii="Times New Roman" w:hAnsi="Times New Roman" w:cs="Times New Roman"/>
          <w:i/>
          <w:iCs/>
        </w:rPr>
        <w:t>Number</w:t>
      </w:r>
      <w:r w:rsidR="00BE70BE" w:rsidRPr="00E37223">
        <w:rPr>
          <w:rFonts w:ascii="Times New Roman" w:hAnsi="Times New Roman" w:cs="Times New Roman"/>
          <w:i/>
          <w:iCs/>
          <w:vertAlign w:val="subscript"/>
        </w:rPr>
        <w:t>i,b,t</w:t>
      </w:r>
      <w:r w:rsidR="00BE70BE" w:rsidRPr="00E37223">
        <w:rPr>
          <w:rFonts w:ascii="Times New Roman" w:hAnsi="Times New Roman" w:cs="Times New Roman"/>
        </w:rPr>
        <w:t xml:space="preserve"> </w:t>
      </w:r>
      <w:r w:rsidR="00C10BFA" w:rsidRPr="00E37223">
        <w:rPr>
          <w:rFonts w:ascii="Times New Roman" w:hAnsi="Times New Roman" w:cs="Times New Roman"/>
        </w:rPr>
        <w:t xml:space="preserve">as </w:t>
      </w:r>
      <w:r w:rsidR="00BE70BE" w:rsidRPr="00E37223">
        <w:rPr>
          <w:rFonts w:ascii="Times New Roman" w:hAnsi="Times New Roman" w:cs="Times New Roman"/>
        </w:rPr>
        <w:t xml:space="preserve">the logarithm of the total number of loans made by bank </w:t>
      </w:r>
      <w:r w:rsidR="00BE70BE" w:rsidRPr="00E37223">
        <w:rPr>
          <w:rFonts w:ascii="Times New Roman" w:hAnsi="Times New Roman" w:cs="Times New Roman"/>
          <w:i/>
          <w:iCs/>
        </w:rPr>
        <w:t>i</w:t>
      </w:r>
      <w:r w:rsidR="00BE70BE" w:rsidRPr="00E37223">
        <w:rPr>
          <w:rFonts w:ascii="Times New Roman" w:hAnsi="Times New Roman" w:cs="Times New Roman"/>
        </w:rPr>
        <w:t xml:space="preserve">, to all firms in country </w:t>
      </w:r>
      <w:r w:rsidR="00BE70BE" w:rsidRPr="00E37223">
        <w:rPr>
          <w:rFonts w:ascii="Times New Roman" w:hAnsi="Times New Roman" w:cs="Times New Roman"/>
          <w:i/>
          <w:iCs/>
        </w:rPr>
        <w:t>b</w:t>
      </w:r>
      <w:r w:rsidR="00BE70BE" w:rsidRPr="00E37223">
        <w:rPr>
          <w:rFonts w:ascii="Times New Roman" w:hAnsi="Times New Roman" w:cs="Times New Roman"/>
        </w:rPr>
        <w:t xml:space="preserve">, at time </w:t>
      </w:r>
      <w:r w:rsidR="00BE70BE" w:rsidRPr="00E37223">
        <w:rPr>
          <w:rFonts w:ascii="Times New Roman" w:hAnsi="Times New Roman" w:cs="Times New Roman"/>
          <w:i/>
          <w:iCs/>
        </w:rPr>
        <w:t>t</w:t>
      </w:r>
      <w:r w:rsidR="00BE70BE" w:rsidRPr="00E37223">
        <w:rPr>
          <w:rFonts w:ascii="Times New Roman" w:hAnsi="Times New Roman" w:cs="Times New Roman"/>
        </w:rPr>
        <w:t>.</w:t>
      </w:r>
    </w:p>
    <w:p w14:paraId="0FFE885B" w14:textId="77777777" w:rsidR="00E46197" w:rsidRPr="00E37223" w:rsidRDefault="00E46197" w:rsidP="00E46197">
      <w:pPr>
        <w:spacing w:line="360" w:lineRule="auto"/>
        <w:ind w:firstLine="720"/>
        <w:rPr>
          <w:rFonts w:ascii="Times New Roman" w:hAnsi="Times New Roman" w:cs="Times New Roman"/>
          <w:b/>
          <w:bCs/>
        </w:rPr>
      </w:pPr>
    </w:p>
    <w:p w14:paraId="1C212211" w14:textId="25AABC5B" w:rsidR="0083606C" w:rsidRPr="00E37223" w:rsidRDefault="00450088" w:rsidP="00DD3FB5">
      <w:pPr>
        <w:spacing w:line="360" w:lineRule="auto"/>
        <w:rPr>
          <w:rFonts w:ascii="Times New Roman" w:hAnsi="Times New Roman" w:cs="Times New Roman"/>
          <w:b/>
          <w:bCs/>
        </w:rPr>
      </w:pPr>
      <w:r w:rsidRPr="00E37223">
        <w:rPr>
          <w:rFonts w:ascii="Times New Roman" w:hAnsi="Times New Roman" w:cs="Times New Roman"/>
          <w:b/>
          <w:bCs/>
        </w:rPr>
        <w:t xml:space="preserve">2.3 </w:t>
      </w:r>
      <w:r w:rsidR="008C61C6" w:rsidRPr="00E37223">
        <w:rPr>
          <w:rFonts w:ascii="Times New Roman" w:hAnsi="Times New Roman" w:cs="Times New Roman"/>
          <w:b/>
          <w:bCs/>
        </w:rPr>
        <w:t xml:space="preserve"> </w:t>
      </w:r>
      <w:r w:rsidR="00542EE3" w:rsidRPr="00E37223">
        <w:rPr>
          <w:rFonts w:ascii="Times New Roman" w:hAnsi="Times New Roman" w:cs="Times New Roman"/>
          <w:b/>
          <w:bCs/>
        </w:rPr>
        <w:t>The ambiguity and risk measures</w:t>
      </w:r>
    </w:p>
    <w:p w14:paraId="4D038C13" w14:textId="5E44EFDB" w:rsidR="009E0BA2" w:rsidRPr="00E37223" w:rsidRDefault="00542EE3" w:rsidP="00DD3FB5">
      <w:pPr>
        <w:spacing w:line="360" w:lineRule="auto"/>
        <w:rPr>
          <w:rFonts w:ascii="Times New Roman" w:hAnsi="Times New Roman" w:cs="Times New Roman"/>
        </w:rPr>
      </w:pPr>
      <w:r w:rsidRPr="00E37223">
        <w:rPr>
          <w:rFonts w:ascii="Times New Roman" w:hAnsi="Times New Roman" w:cs="Times New Roman"/>
        </w:rPr>
        <w:t>Ambiguity refers to situations where an agent’s subjective knowledge about the</w:t>
      </w:r>
      <w:r w:rsidR="007B22EE" w:rsidRPr="00E37223">
        <w:rPr>
          <w:rFonts w:ascii="Times New Roman" w:hAnsi="Times New Roman" w:cs="Times New Roman"/>
        </w:rPr>
        <w:t xml:space="preserve"> </w:t>
      </w:r>
      <w:r w:rsidRPr="00E37223">
        <w:rPr>
          <w:rFonts w:ascii="Times New Roman" w:hAnsi="Times New Roman" w:cs="Times New Roman"/>
        </w:rPr>
        <w:t>likelihoods of contingent events is consistent with multiple probability distributions. Following</w:t>
      </w:r>
      <w:r w:rsidR="00460973" w:rsidRPr="00E37223">
        <w:rPr>
          <w:rFonts w:ascii="Times New Roman" w:hAnsi="Times New Roman" w:cs="Times New Roman"/>
        </w:rPr>
        <w:t xml:space="preserve"> </w:t>
      </w:r>
      <w:r w:rsidR="005852CB" w:rsidRPr="00E37223">
        <w:rPr>
          <w:rFonts w:ascii="Times New Roman" w:hAnsi="Times New Roman" w:cs="Times New Roman"/>
        </w:rPr>
        <w:t>Izhakian (2020)</w:t>
      </w:r>
      <w:r w:rsidR="007D1869" w:rsidRPr="00E37223">
        <w:rPr>
          <w:rFonts w:ascii="Times New Roman" w:hAnsi="Times New Roman" w:cs="Times New Roman"/>
        </w:rPr>
        <w:t xml:space="preserve">, </w:t>
      </w:r>
      <w:r w:rsidRPr="00E37223">
        <w:rPr>
          <w:rFonts w:ascii="Times New Roman" w:hAnsi="Times New Roman" w:cs="Times New Roman"/>
        </w:rPr>
        <w:t xml:space="preserve">we define </w:t>
      </w:r>
      <w:r w:rsidR="00570B38" w:rsidRPr="00E37223">
        <w:rPr>
          <w:rFonts w:ascii="Times New Roman" w:hAnsi="Times New Roman" w:cs="Times New Roman"/>
        </w:rPr>
        <w:t xml:space="preserve">source (lender’s) country </w:t>
      </w:r>
      <w:r w:rsidRPr="00E37223">
        <w:rPr>
          <w:rFonts w:ascii="Times New Roman" w:hAnsi="Times New Roman" w:cs="Times New Roman"/>
        </w:rPr>
        <w:t>ambiguity as</w:t>
      </w:r>
      <w:r w:rsidRPr="00E37223">
        <w:rPr>
          <w:rFonts w:ascii="Times New Roman" w:hAnsi="Times New Roman" w:cs="Times New Roman"/>
        </w:rPr>
        <w:cr/>
      </w:r>
    </w:p>
    <w:p w14:paraId="1D65239B" w14:textId="2B9723DE" w:rsidR="00894149" w:rsidRPr="00E37223" w:rsidRDefault="00000000" w:rsidP="00DD3FB5">
      <w:pPr>
        <w:spacing w:line="360" w:lineRule="auto"/>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d>
            <m:dPr>
              <m:begChr m:val="["/>
              <m:endChr m:val="]"/>
              <m:ctrlPr>
                <w:rPr>
                  <w:rFonts w:ascii="Cambria Math" w:hAnsi="Cambria Math" w:cs="Times New Roman"/>
                  <w:i/>
                </w:rPr>
              </m:ctrlPr>
            </m:dPr>
            <m:e>
              <m:r>
                <w:rPr>
                  <w:rFonts w:ascii="Cambria Math" w:hAnsi="Cambria Math" w:cs="Times New Roman"/>
                </w:rPr>
                <m:t>r</m:t>
              </m:r>
            </m:e>
          </m:d>
          <m:r>
            <w:rPr>
              <w:rFonts w:ascii="Cambria Math" w:hAnsi="Cambria Math" w:cs="Times New Roman"/>
            </w:rPr>
            <m:t>=</m:t>
          </m:r>
          <m:nary>
            <m:naryPr>
              <m:subHide m:val="1"/>
              <m:supHide m:val="1"/>
              <m:ctrlPr>
                <w:rPr>
                  <w:rFonts w:ascii="Cambria Math" w:hAnsi="Cambria Math" w:cs="Times New Roman"/>
                </w:rPr>
              </m:ctrlPr>
            </m:naryPr>
            <m:sub>
              <m:ctrlPr>
                <w:rPr>
                  <w:rFonts w:ascii="Cambria Math" w:hAnsi="Cambria Math" w:cs="Times New Roman"/>
                  <w:i/>
                </w:rPr>
              </m:ctrlPr>
            </m:sub>
            <m:sup>
              <m:ctrlPr>
                <w:rPr>
                  <w:rFonts w:ascii="Cambria Math" w:hAnsi="Cambria Math" w:cs="Times New Roman"/>
                  <w:i/>
                </w:rPr>
              </m:ctrlPr>
            </m:sup>
            <m:e>
              <m:r>
                <w:rPr>
                  <w:rFonts w:ascii="Cambria Math" w:hAnsi="Cambria Math" w:cs="Times New Roman"/>
                </w:rPr>
                <m:t>E</m:t>
              </m:r>
              <m:d>
                <m:dPr>
                  <m:begChr m:val="["/>
                  <m:endChr m:val="]"/>
                  <m:ctrlPr>
                    <w:rPr>
                      <w:rFonts w:ascii="Cambria Math" w:hAnsi="Cambria Math" w:cs="Times New Roman"/>
                      <w:i/>
                    </w:rPr>
                  </m:ctrlPr>
                </m:dPr>
                <m:e>
                  <m:r>
                    <m:rPr>
                      <m:sty m:val="p"/>
                    </m:rPr>
                    <w:rPr>
                      <w:rFonts w:ascii="Cambria Math" w:hAnsi="Cambria Math" w:cs="Times New Roman"/>
                    </w:rPr>
                    <m:t>φ</m:t>
                  </m:r>
                  <m:d>
                    <m:dPr>
                      <m:ctrlPr>
                        <w:rPr>
                          <w:rFonts w:ascii="Cambria Math" w:hAnsi="Cambria Math" w:cs="Times New Roman"/>
                          <w:i/>
                        </w:rPr>
                      </m:ctrlPr>
                    </m:dPr>
                    <m:e>
                      <m:r>
                        <w:rPr>
                          <w:rFonts w:ascii="Cambria Math" w:hAnsi="Cambria Math" w:cs="Times New Roman"/>
                        </w:rPr>
                        <m:t>r</m:t>
                      </m:r>
                    </m:e>
                  </m:d>
                </m:e>
              </m:d>
              <m:r>
                <w:rPr>
                  <w:rFonts w:ascii="Cambria Math" w:hAnsi="Cambria Math" w:cs="Times New Roman"/>
                </w:rPr>
                <m:t>Var</m:t>
              </m:r>
              <m:d>
                <m:dPr>
                  <m:begChr m:val="["/>
                  <m:endChr m:val="]"/>
                  <m:ctrlPr>
                    <w:rPr>
                      <w:rFonts w:ascii="Cambria Math" w:hAnsi="Cambria Math" w:cs="Times New Roman"/>
                      <w:i/>
                    </w:rPr>
                  </m:ctrlPr>
                </m:dPr>
                <m:e>
                  <m:r>
                    <m:rPr>
                      <m:sty m:val="p"/>
                    </m:rPr>
                    <w:rPr>
                      <w:rFonts w:ascii="Cambria Math" w:hAnsi="Cambria Math" w:cs="Times New Roman"/>
                    </w:rPr>
                    <m:t>φ</m:t>
                  </m:r>
                  <m:d>
                    <m:dPr>
                      <m:ctrlPr>
                        <w:rPr>
                          <w:rFonts w:ascii="Cambria Math" w:hAnsi="Cambria Math" w:cs="Times New Roman"/>
                          <w:i/>
                        </w:rPr>
                      </m:ctrlPr>
                    </m:dPr>
                    <m:e>
                      <m:r>
                        <w:rPr>
                          <w:rFonts w:ascii="Cambria Math" w:hAnsi="Cambria Math" w:cs="Times New Roman"/>
                        </w:rPr>
                        <m:t>r</m:t>
                      </m:r>
                    </m:e>
                  </m:d>
                </m:e>
              </m:d>
              <m:r>
                <w:rPr>
                  <w:rFonts w:ascii="Cambria Math" w:hAnsi="Cambria Math" w:cs="Times New Roman"/>
                </w:rPr>
                <m:t xml:space="preserve">dr                           (1) </m:t>
              </m:r>
              <m:ctrlPr>
                <w:rPr>
                  <w:rFonts w:ascii="Cambria Math" w:hAnsi="Cambria Math" w:cs="Times New Roman"/>
                  <w:i/>
                </w:rPr>
              </m:ctrlPr>
            </m:e>
          </m:nary>
          <m:r>
            <m:rPr>
              <m:sty m:val="p"/>
            </m:rPr>
            <w:rPr>
              <w:rFonts w:ascii="Times New Roman" w:hAnsi="Times New Roman" w:cs="Times New Roman"/>
            </w:rPr>
            <w:br/>
          </m:r>
        </m:oMath>
      </m:oMathPara>
      <w:r w:rsidR="009D6EFC" w:rsidRPr="00E37223">
        <w:rPr>
          <w:rFonts w:ascii="Times New Roman" w:hAnsi="Times New Roman" w:cs="Times New Roman"/>
        </w:rPr>
        <w:t xml:space="preserve">   </w:t>
      </w:r>
    </w:p>
    <w:p w14:paraId="43AAA519" w14:textId="7BA8F085" w:rsidR="009D0572" w:rsidRPr="00E37223" w:rsidRDefault="00542EE3" w:rsidP="00DD3FB5">
      <w:pPr>
        <w:spacing w:line="360" w:lineRule="auto"/>
        <w:rPr>
          <w:rFonts w:ascii="Times New Roman" w:hAnsi="Times New Roman" w:cs="Times New Roman"/>
        </w:rPr>
      </w:pPr>
      <w:r w:rsidRPr="00E37223">
        <w:rPr>
          <w:rFonts w:ascii="Times New Roman" w:hAnsi="Times New Roman" w:cs="Times New Roman"/>
        </w:rPr>
        <w:t xml:space="preserve">where r is the return, </w:t>
      </w:r>
      <m:oMath>
        <m:r>
          <w:rPr>
            <w:rFonts w:ascii="Cambria Math" w:hAnsi="Cambria Math" w:cs="Times New Roman"/>
          </w:rPr>
          <m:t>Var</m:t>
        </m:r>
        <m:d>
          <m:dPr>
            <m:begChr m:val="["/>
            <m:endChr m:val="]"/>
            <m:ctrlPr>
              <w:rPr>
                <w:rFonts w:ascii="Cambria Math" w:hAnsi="Cambria Math" w:cs="Times New Roman"/>
                <w:i/>
              </w:rPr>
            </m:ctrlPr>
          </m:dPr>
          <m:e>
            <m:r>
              <m:rPr>
                <m:sty m:val="p"/>
              </m:rPr>
              <w:rPr>
                <w:rFonts w:ascii="Cambria Math" w:hAnsi="Cambria Math" w:cs="Times New Roman"/>
              </w:rPr>
              <m:t>φ</m:t>
            </m:r>
            <m:d>
              <m:dPr>
                <m:ctrlPr>
                  <w:rPr>
                    <w:rFonts w:ascii="Cambria Math" w:hAnsi="Cambria Math" w:cs="Times New Roman"/>
                    <w:i/>
                  </w:rPr>
                </m:ctrlPr>
              </m:dPr>
              <m:e>
                <m:r>
                  <w:rPr>
                    <w:rFonts w:ascii="Cambria Math" w:hAnsi="Cambria Math" w:cs="Times New Roman"/>
                  </w:rPr>
                  <m:t>r</m:t>
                </m:r>
              </m:e>
            </m:d>
          </m:e>
        </m:d>
      </m:oMath>
      <w:r w:rsidRPr="00E37223">
        <w:rPr>
          <w:rFonts w:ascii="Times New Roman" w:hAnsi="Times New Roman" w:cs="Times New Roman"/>
        </w:rPr>
        <w:t xml:space="preserve"> is the marginal probability, </w:t>
      </w:r>
      <m:oMath>
        <m:r>
          <w:rPr>
            <w:rFonts w:ascii="Cambria Math" w:hAnsi="Cambria Math" w:cs="Times New Roman"/>
          </w:rPr>
          <m:t>E</m:t>
        </m:r>
        <m:d>
          <m:dPr>
            <m:begChr m:val="["/>
            <m:endChr m:val="]"/>
            <m:ctrlPr>
              <w:rPr>
                <w:rFonts w:ascii="Cambria Math" w:hAnsi="Cambria Math" w:cs="Times New Roman"/>
                <w:i/>
              </w:rPr>
            </m:ctrlPr>
          </m:dPr>
          <m:e>
            <m:r>
              <m:rPr>
                <m:sty m:val="p"/>
              </m:rPr>
              <w:rPr>
                <w:rFonts w:ascii="Cambria Math" w:hAnsi="Cambria Math" w:cs="Times New Roman"/>
              </w:rPr>
              <m:t>φ</m:t>
            </m:r>
            <m:d>
              <m:dPr>
                <m:ctrlPr>
                  <w:rPr>
                    <w:rFonts w:ascii="Cambria Math" w:hAnsi="Cambria Math" w:cs="Times New Roman"/>
                    <w:i/>
                  </w:rPr>
                </m:ctrlPr>
              </m:dPr>
              <m:e>
                <m:r>
                  <w:rPr>
                    <w:rFonts w:ascii="Cambria Math" w:hAnsi="Cambria Math" w:cs="Times New Roman"/>
                  </w:rPr>
                  <m:t>r</m:t>
                </m:r>
              </m:e>
            </m:d>
          </m:e>
        </m:d>
      </m:oMath>
      <w:r w:rsidRPr="00E37223">
        <w:rPr>
          <w:rFonts w:ascii="Times New Roman" w:hAnsi="Times New Roman" w:cs="Times New Roman"/>
        </w:rPr>
        <w:t xml:space="preserve"> is the expectation of probability, and </w:t>
      </w:r>
      <m:oMath>
        <m:r>
          <w:rPr>
            <w:rFonts w:ascii="Cambria Math" w:hAnsi="Cambria Math" w:cs="Times New Roman"/>
          </w:rPr>
          <m:t>dr</m:t>
        </m:r>
      </m:oMath>
      <w:r w:rsidRPr="00E37223">
        <w:rPr>
          <w:rFonts w:ascii="Times New Roman" w:hAnsi="Times New Roman" w:cs="Times New Roman"/>
        </w:rPr>
        <w:t xml:space="preserve"> is the variance of probability</w:t>
      </w:r>
      <w:r w:rsidR="000E3581" w:rsidRPr="00E37223">
        <w:rPr>
          <w:rStyle w:val="FootnoteReference"/>
          <w:rFonts w:ascii="Times New Roman" w:hAnsi="Times New Roman" w:cs="Times New Roman"/>
        </w:rPr>
        <w:footnoteReference w:id="8"/>
      </w:r>
      <w:r w:rsidRPr="00E37223">
        <w:rPr>
          <w:rFonts w:ascii="Times New Roman" w:hAnsi="Times New Roman" w:cs="Times New Roman"/>
        </w:rPr>
        <w:t>. While risk can be measured by the volatility of returns, ambiguity can be measured by the volatility of probabilities</w:t>
      </w:r>
      <w:r w:rsidR="008E6254" w:rsidRPr="00E37223">
        <w:rPr>
          <w:rFonts w:ascii="Times New Roman" w:hAnsi="Times New Roman" w:cs="Times New Roman"/>
        </w:rPr>
        <w:t xml:space="preserve"> </w:t>
      </w:r>
      <w:r w:rsidR="005852CB" w:rsidRPr="00E37223">
        <w:rPr>
          <w:rFonts w:ascii="Times New Roman" w:hAnsi="Times New Roman" w:cs="Times New Roman"/>
        </w:rPr>
        <w:t xml:space="preserve">(Rothschild </w:t>
      </w:r>
      <w:r w:rsidR="003F3C98" w:rsidRPr="00E37223">
        <w:rPr>
          <w:rFonts w:ascii="Times New Roman" w:hAnsi="Times New Roman" w:cs="Times New Roman"/>
        </w:rPr>
        <w:t>and</w:t>
      </w:r>
      <w:r w:rsidR="005852CB" w:rsidRPr="00E37223">
        <w:rPr>
          <w:rFonts w:ascii="Times New Roman" w:hAnsi="Times New Roman" w:cs="Times New Roman"/>
        </w:rPr>
        <w:t xml:space="preserve"> Stiglitz 1970)</w:t>
      </w:r>
      <w:r w:rsidR="008E6254" w:rsidRPr="00E37223">
        <w:rPr>
          <w:rFonts w:ascii="Times New Roman" w:hAnsi="Times New Roman" w:cs="Times New Roman"/>
        </w:rPr>
        <w:t xml:space="preserve">. </w:t>
      </w:r>
      <w:r w:rsidRPr="00E37223">
        <w:rPr>
          <w:rFonts w:ascii="Times New Roman" w:hAnsi="Times New Roman" w:cs="Times New Roman"/>
        </w:rPr>
        <w:t xml:space="preserve">By construction, </w:t>
      </w:r>
      <m:oMath>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d>
          <m:dPr>
            <m:begChr m:val="["/>
            <m:endChr m:val="]"/>
            <m:ctrlPr>
              <w:rPr>
                <w:rFonts w:ascii="Cambria Math" w:hAnsi="Cambria Math" w:cs="Times New Roman"/>
                <w:i/>
              </w:rPr>
            </m:ctrlPr>
          </m:dPr>
          <m:e>
            <m:r>
              <w:rPr>
                <w:rFonts w:ascii="Cambria Math" w:hAnsi="Cambria Math" w:cs="Times New Roman"/>
              </w:rPr>
              <m:t>r</m:t>
            </m:r>
          </m:e>
        </m:d>
      </m:oMath>
      <w:r w:rsidRPr="00E37223">
        <w:rPr>
          <w:rFonts w:ascii="Times New Roman" w:hAnsi="Times New Roman" w:cs="Times New Roman"/>
        </w:rPr>
        <w:t xml:space="preserve"> is independent of risk, attitudes toward risk, and/or attitude toward ambiguity, and it takes into account the variance of all the moments of the outcome distribution </w:t>
      </w:r>
      <w:r w:rsidR="005852CB" w:rsidRPr="00E37223">
        <w:rPr>
          <w:rFonts w:ascii="Times New Roman" w:hAnsi="Times New Roman" w:cs="Times New Roman"/>
        </w:rPr>
        <w:t xml:space="preserve">(Brenner </w:t>
      </w:r>
      <w:r w:rsidR="003F3C98" w:rsidRPr="00E37223">
        <w:rPr>
          <w:rFonts w:ascii="Times New Roman" w:hAnsi="Times New Roman" w:cs="Times New Roman"/>
        </w:rPr>
        <w:t>and</w:t>
      </w:r>
      <w:r w:rsidR="005852CB" w:rsidRPr="00E37223">
        <w:rPr>
          <w:rFonts w:ascii="Times New Roman" w:hAnsi="Times New Roman" w:cs="Times New Roman"/>
        </w:rPr>
        <w:t xml:space="preserve"> Izhakian 2018)</w:t>
      </w:r>
      <w:r w:rsidR="00EB7BEA" w:rsidRPr="00E37223">
        <w:rPr>
          <w:rFonts w:ascii="Times New Roman" w:hAnsi="Times New Roman" w:cs="Times New Roman"/>
        </w:rPr>
        <w:t>.</w:t>
      </w:r>
      <w:r w:rsidR="00E9485C" w:rsidRPr="00E37223">
        <w:rPr>
          <w:rFonts w:ascii="Times New Roman" w:hAnsi="Times New Roman" w:cs="Times New Roman"/>
        </w:rPr>
        <w:t xml:space="preserve"> </w:t>
      </w:r>
      <w:r w:rsidRPr="00E37223">
        <w:rPr>
          <w:rFonts w:ascii="Times New Roman" w:hAnsi="Times New Roman" w:cs="Times New Roman"/>
        </w:rPr>
        <w:t xml:space="preserve">Specifically, we use the five-minute prices to compute returns thereby minimizing microstructure effects as per </w:t>
      </w:r>
      <w:r w:rsidR="005852CB" w:rsidRPr="00E37223">
        <w:rPr>
          <w:rFonts w:ascii="Times New Roman" w:hAnsi="Times New Roman" w:cs="Times New Roman"/>
        </w:rPr>
        <w:t>Andersen</w:t>
      </w:r>
      <w:r w:rsidR="005852CB" w:rsidRPr="00E37223">
        <w:rPr>
          <w:rFonts w:ascii="Times New Roman" w:hAnsi="Times New Roman" w:cs="Times New Roman"/>
          <w:i/>
        </w:rPr>
        <w:t xml:space="preserve"> </w:t>
      </w:r>
      <w:r w:rsidR="005852CB" w:rsidRPr="00E37223">
        <w:rPr>
          <w:rFonts w:ascii="Times New Roman" w:hAnsi="Times New Roman" w:cs="Times New Roman"/>
          <w:iCs/>
        </w:rPr>
        <w:t>et al.</w:t>
      </w:r>
      <w:r w:rsidR="005852CB" w:rsidRPr="00E37223">
        <w:rPr>
          <w:rFonts w:ascii="Times New Roman" w:hAnsi="Times New Roman" w:cs="Times New Roman"/>
        </w:rPr>
        <w:t xml:space="preserve"> </w:t>
      </w:r>
      <w:r w:rsidR="005852CB" w:rsidRPr="00E37223">
        <w:rPr>
          <w:rFonts w:ascii="Times New Roman" w:hAnsi="Times New Roman" w:cs="Times New Roman"/>
        </w:rPr>
        <w:lastRenderedPageBreak/>
        <w:t>(2001)</w:t>
      </w:r>
      <w:r w:rsidR="007D1869" w:rsidRPr="00E37223">
        <w:rPr>
          <w:rFonts w:ascii="Times New Roman" w:hAnsi="Times New Roman" w:cs="Times New Roman"/>
        </w:rPr>
        <w:t xml:space="preserve">. </w:t>
      </w:r>
      <w:r w:rsidRPr="00E37223">
        <w:rPr>
          <w:rFonts w:ascii="Times New Roman" w:hAnsi="Times New Roman" w:cs="Times New Roman"/>
        </w:rPr>
        <w:t xml:space="preserve">We require at least 12 observations in a day. We also exclude observations with log returns outside the range of -10% to 10% within five minutes to mitigate any potential erroneous orders likely to be axed by the exchange </w:t>
      </w:r>
      <w:r w:rsidR="005852CB" w:rsidRPr="00E37223">
        <w:rPr>
          <w:rFonts w:ascii="Times New Roman" w:hAnsi="Times New Roman" w:cs="Times New Roman"/>
        </w:rPr>
        <w:t xml:space="preserve">(Brenner </w:t>
      </w:r>
      <w:r w:rsidR="003F3C98" w:rsidRPr="00E37223">
        <w:rPr>
          <w:rFonts w:ascii="Times New Roman" w:hAnsi="Times New Roman" w:cs="Times New Roman"/>
        </w:rPr>
        <w:t>and</w:t>
      </w:r>
      <w:r w:rsidR="005852CB" w:rsidRPr="00E37223">
        <w:rPr>
          <w:rFonts w:ascii="Times New Roman" w:hAnsi="Times New Roman" w:cs="Times New Roman"/>
        </w:rPr>
        <w:t xml:space="preserve"> Izhakian 2018)</w:t>
      </w:r>
      <w:r w:rsidR="00EB7BEA" w:rsidRPr="00E37223">
        <w:rPr>
          <w:rFonts w:ascii="Times New Roman" w:hAnsi="Times New Roman" w:cs="Times New Roman"/>
        </w:rPr>
        <w:t xml:space="preserve">. </w:t>
      </w:r>
      <w:r w:rsidRPr="00E37223">
        <w:rPr>
          <w:rFonts w:ascii="Times New Roman" w:hAnsi="Times New Roman" w:cs="Times New Roman"/>
        </w:rPr>
        <w:t xml:space="preserve">For each day, we use the five-minute returns to calculate the daily mean (µ) and volatility (σ) of returns and normalize µ and σ based on the number of intraday observations. Following </w:t>
      </w:r>
      <w:r w:rsidR="00123EAF" w:rsidRPr="00E37223">
        <w:rPr>
          <w:rFonts w:ascii="Times New Roman" w:hAnsi="Times New Roman" w:cs="Times New Roman"/>
        </w:rPr>
        <w:t>Scholes and Williams (1977)</w:t>
      </w:r>
      <w:r w:rsidRPr="00E37223">
        <w:rPr>
          <w:rFonts w:ascii="Times New Roman" w:hAnsi="Times New Roman" w:cs="Times New Roman"/>
        </w:rPr>
        <w:t>, we estimate σ with the non-synchronous trading adjustment. Specifically, σ is computed as</w:t>
      </w:r>
      <w:r w:rsidR="009D0572" w:rsidRPr="00E37223">
        <w:rPr>
          <w:rFonts w:ascii="Times New Roman" w:hAnsi="Times New Roman" w:cs="Times New Roman" w:hint="eastAsia"/>
        </w:rPr>
        <w:t>:</w:t>
      </w:r>
    </w:p>
    <w:p w14:paraId="3BDC36E4" w14:textId="139E7510" w:rsidR="00542EE3" w:rsidRPr="00E37223" w:rsidRDefault="00000000" w:rsidP="00DD3FB5">
      <w:pPr>
        <w:spacing w:line="360" w:lineRule="auto"/>
        <w:rPr>
          <w:rFonts w:ascii="Times New Roman" w:hAnsi="Times New Roman" w:cs="Times New Roman"/>
        </w:rPr>
      </w:pPr>
      <m:oMathPara>
        <m:oMath>
          <m:sSubSup>
            <m:sSubSupPr>
              <m:ctrlPr>
                <w:rPr>
                  <w:rFonts w:ascii="Cambria Math" w:hAnsi="Cambria Math" w:cs="Times New Roman"/>
                  <w:i/>
                </w:rPr>
              </m:ctrlPr>
            </m:sSubSupPr>
            <m:e>
              <m:r>
                <m:rPr>
                  <m:sty m:val="p"/>
                </m:rPr>
                <w:rPr>
                  <w:rFonts w:ascii="Cambria Math" w:hAnsi="Cambria Math" w:cs="Times New Roman"/>
                </w:rPr>
                <m:t>σ</m:t>
              </m:r>
              <m:ctrlPr>
                <w:rPr>
                  <w:rFonts w:ascii="Cambria Math" w:hAnsi="Cambria Math" w:cs="Times New Roman"/>
                </w:rPr>
              </m:ctrlPr>
            </m:e>
            <m:sub>
              <m:r>
                <w:rPr>
                  <w:rFonts w:ascii="Cambria Math" w:hAnsi="Cambria Math" w:cs="Times New Roman"/>
                </w:rPr>
                <m:t>t</m:t>
              </m:r>
            </m:sub>
            <m:sup>
              <m:r>
                <w:rPr>
                  <w:rFonts w:ascii="Cambria Math" w:hAnsi="Cambria Math" w:cs="Times New Roman"/>
                </w:rPr>
                <m:t>2</m:t>
              </m:r>
            </m:sup>
          </m:sSubSup>
          <m:r>
            <w:rPr>
              <w:rFonts w:ascii="Cambria Math" w:hAnsi="Cambria Math" w:cs="Times New Roman"/>
            </w:rPr>
            <m:t>=</m:t>
          </m:r>
          <m:nary>
            <m:naryPr>
              <m:chr m:val="∑"/>
              <m:ctrlPr>
                <w:rPr>
                  <w:rFonts w:ascii="Cambria Math" w:hAnsi="Cambria Math" w:cs="Times New Roman"/>
                </w:rPr>
              </m:ctrlPr>
            </m:naryPr>
            <m:sub>
              <m:r>
                <w:rPr>
                  <w:rFonts w:ascii="Cambria Math" w:hAnsi="Cambria Math" w:cs="Times New Roman"/>
                </w:rPr>
                <m:t>i=1</m:t>
              </m:r>
              <m:ctrlPr>
                <w:rPr>
                  <w:rFonts w:ascii="Cambria Math" w:hAnsi="Cambria Math" w:cs="Times New Roman"/>
                  <w:i/>
                </w:rPr>
              </m:ctrlPr>
            </m:sub>
            <m:sup>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m:t>
                  </m:r>
                </m:sub>
              </m:sSub>
              <m:ctrlPr>
                <w:rPr>
                  <w:rFonts w:ascii="Cambria Math" w:hAnsi="Cambria Math" w:cs="Times New Roman"/>
                  <w:i/>
                </w:rPr>
              </m:ctrlPr>
            </m:sup>
            <m:e>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i,t</m:t>
                          </m:r>
                        </m:sub>
                      </m:sSub>
                      <m:r>
                        <w:rPr>
                          <w:rFonts w:ascii="Cambria Math" w:hAnsi="Cambria Math" w:cs="Times New Roman"/>
                        </w:rPr>
                        <m:t>-E</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i,t</m:t>
                              </m:r>
                            </m:sub>
                          </m:sSub>
                        </m:e>
                      </m:d>
                    </m:e>
                  </m:d>
                </m:e>
                <m:sup>
                  <m:r>
                    <w:rPr>
                      <w:rFonts w:ascii="Cambria Math" w:hAnsi="Cambria Math" w:cs="Times New Roman"/>
                    </w:rPr>
                    <m:t>2</m:t>
                  </m:r>
                </m:sup>
              </m:sSup>
              <m:ctrlPr>
                <w:rPr>
                  <w:rFonts w:ascii="Cambria Math" w:hAnsi="Cambria Math" w:cs="Times New Roman"/>
                  <w:i/>
                </w:rPr>
              </m:ctrlPr>
            </m:e>
          </m:nary>
          <m:r>
            <w:rPr>
              <w:rFonts w:ascii="Cambria Math" w:hAnsi="Cambria Math" w:cs="Times New Roman"/>
            </w:rPr>
            <m:t>+</m:t>
          </m:r>
          <m:nary>
            <m:naryPr>
              <m:chr m:val="∑"/>
              <m:ctrlPr>
                <w:rPr>
                  <w:rFonts w:ascii="Cambria Math" w:hAnsi="Cambria Math" w:cs="Times New Roman"/>
                </w:rPr>
              </m:ctrlPr>
            </m:naryPr>
            <m:sub>
              <m:r>
                <w:rPr>
                  <w:rFonts w:ascii="Cambria Math" w:hAnsi="Cambria Math" w:cs="Times New Roman"/>
                </w:rPr>
                <m:t>i=2</m:t>
              </m:r>
              <m:ctrlPr>
                <w:rPr>
                  <w:rFonts w:ascii="Cambria Math" w:hAnsi="Cambria Math" w:cs="Times New Roman"/>
                  <w:i/>
                </w:rPr>
              </m:ctrlPr>
            </m:sub>
            <m:sup>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m:t>
                  </m:r>
                </m:sub>
              </m:sSub>
              <m:ctrlPr>
                <w:rPr>
                  <w:rFonts w:ascii="Cambria Math" w:hAnsi="Cambria Math" w:cs="Times New Roman"/>
                  <w:i/>
                </w:rPr>
              </m:ctrlPr>
            </m:sup>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i,t</m:t>
                      </m:r>
                    </m:sub>
                  </m:sSub>
                  <m:r>
                    <w:rPr>
                      <w:rFonts w:ascii="Cambria Math" w:hAnsi="Cambria Math" w:cs="Times New Roman"/>
                    </w:rPr>
                    <m:t>-E</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i,t</m:t>
                          </m:r>
                        </m:sub>
                      </m:sSub>
                    </m:e>
                  </m:d>
                </m:e>
              </m:d>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i,t-1</m:t>
                      </m:r>
                    </m:sub>
                  </m:sSub>
                  <m:r>
                    <w:rPr>
                      <w:rFonts w:ascii="Cambria Math" w:hAnsi="Cambria Math" w:cs="Times New Roman"/>
                    </w:rPr>
                    <m:t>-E</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i,t-1</m:t>
                          </m:r>
                        </m:sub>
                      </m:sSub>
                    </m:e>
                  </m:d>
                </m:e>
              </m:d>
              <m:r>
                <w:rPr>
                  <w:rFonts w:ascii="Cambria Math" w:hAnsi="Cambria Math" w:cs="Times New Roman"/>
                </w:rPr>
                <m:t xml:space="preserve">                              (2)</m:t>
              </m:r>
              <m:ctrlPr>
                <w:rPr>
                  <w:rFonts w:ascii="Cambria Math" w:hAnsi="Cambria Math" w:cs="Times New Roman"/>
                  <w:i/>
                </w:rPr>
              </m:ctrlPr>
            </m:e>
          </m:nary>
        </m:oMath>
      </m:oMathPara>
    </w:p>
    <w:p w14:paraId="0C8122BF" w14:textId="77777777" w:rsidR="009D0572" w:rsidRPr="00E37223" w:rsidRDefault="009D0572" w:rsidP="00DD3FB5">
      <w:pPr>
        <w:spacing w:line="360" w:lineRule="auto"/>
        <w:rPr>
          <w:rFonts w:ascii="Times New Roman" w:hAnsi="Times New Roman" w:cs="Times New Roman"/>
        </w:rPr>
      </w:pPr>
    </w:p>
    <w:p w14:paraId="79D7698D" w14:textId="77777777" w:rsidR="00CA18CC" w:rsidRPr="00E37223" w:rsidRDefault="00542EE3" w:rsidP="00DD3FB5">
      <w:pPr>
        <w:spacing w:line="360" w:lineRule="auto"/>
        <w:rPr>
          <w:rFonts w:ascii="Times New Roman" w:hAnsi="Times New Roman" w:cs="Times New Roman"/>
        </w:rPr>
      </w:pPr>
      <w:r w:rsidRPr="00E37223">
        <w:rPr>
          <w:rFonts w:ascii="Times New Roman" w:hAnsi="Times New Roman" w:cs="Times New Roman"/>
        </w:rPr>
        <w:t xml:space="preserve">where there are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m:t>
            </m:r>
          </m:sub>
        </m:sSub>
      </m:oMath>
      <w:r w:rsidRPr="00E37223">
        <w:rPr>
          <w:rFonts w:ascii="Times New Roman" w:hAnsi="Times New Roman" w:cs="Times New Roman"/>
        </w:rPr>
        <w:t xml:space="preserve"> five-minute returns and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i,t</m:t>
            </m:r>
          </m:sub>
        </m:sSub>
      </m:oMath>
      <w:r w:rsidRPr="00E37223">
        <w:rPr>
          <w:rFonts w:ascii="Times New Roman" w:hAnsi="Times New Roman" w:cs="Times New Roman"/>
        </w:rPr>
        <w:t xml:space="preserve"> is the return on day </w:t>
      </w:r>
      <w:r w:rsidRPr="00E37223">
        <w:rPr>
          <w:rFonts w:ascii="Times New Roman" w:hAnsi="Times New Roman" w:cs="Times New Roman"/>
          <w:i/>
          <w:iCs/>
        </w:rPr>
        <w:t>t</w:t>
      </w:r>
      <w:r w:rsidRPr="00E37223">
        <w:rPr>
          <w:rFonts w:ascii="Times New Roman" w:hAnsi="Times New Roman" w:cs="Times New Roman"/>
        </w:rPr>
        <w:t>.</w:t>
      </w:r>
    </w:p>
    <w:p w14:paraId="40D29C13" w14:textId="70BD4B55" w:rsidR="00B76D54" w:rsidRPr="00E37223" w:rsidRDefault="00B76D54" w:rsidP="00CA18CC">
      <w:pPr>
        <w:spacing w:line="360" w:lineRule="auto"/>
        <w:ind w:firstLine="720"/>
        <w:rPr>
          <w:rFonts w:ascii="Times New Roman" w:hAnsi="Times New Roman" w:cs="Times New Roman"/>
        </w:rPr>
      </w:pPr>
      <w:r w:rsidRPr="00E37223">
        <w:rPr>
          <w:rFonts w:ascii="Times New Roman" w:hAnsi="Times New Roman" w:cs="Times New Roman"/>
        </w:rPr>
        <w:t xml:space="preserve">Following Brenner </w:t>
      </w:r>
      <w:r w:rsidR="00CA18CC" w:rsidRPr="00E37223">
        <w:rPr>
          <w:rFonts w:ascii="Times New Roman" w:hAnsi="Times New Roman" w:cs="Times New Roman"/>
        </w:rPr>
        <w:t>and</w:t>
      </w:r>
      <w:r w:rsidRPr="00E37223">
        <w:rPr>
          <w:rFonts w:ascii="Times New Roman" w:hAnsi="Times New Roman" w:cs="Times New Roman"/>
        </w:rPr>
        <w:t xml:space="preserve"> Izhakian (2018), we assume that the distribution of intraday returns is normal. Next, we calculate the cumulative probability of </w:t>
      </w:r>
      <w:r w:rsidR="00E37223" w:rsidRPr="00E37223">
        <w:rPr>
          <w:rFonts w:ascii="Times New Roman" w:hAnsi="Times New Roman" w:cs="Times New Roman"/>
        </w:rPr>
        <w:t>favorable</w:t>
      </w:r>
      <w:r w:rsidRPr="00E37223">
        <w:rPr>
          <w:rFonts w:ascii="Times New Roman" w:hAnsi="Times New Roman" w:cs="Times New Roman"/>
        </w:rPr>
        <w:t xml:space="preserve"> returns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r</m:t>
            </m:r>
            <m:r>
              <m:rPr>
                <m:sty m:val="p"/>
              </m:rPr>
              <w:rPr>
                <w:rFonts w:ascii="Cambria Math" w:hAnsi="Cambria Math" w:cs="Times New Roman" w:hint="eastAsia"/>
              </w:rPr>
              <m:t>≥</m:t>
            </m:r>
            <m:sSub>
              <m:sSubPr>
                <m:ctrlPr>
                  <w:rPr>
                    <w:rFonts w:ascii="Cambria Math" w:hAnsi="Cambria Math" w:cs="Times New Roman"/>
                    <w:i/>
                  </w:rPr>
                </m:ctrlPr>
              </m:sSubPr>
              <m:e>
                <m:r>
                  <w:rPr>
                    <w:rFonts w:ascii="Cambria Math" w:hAnsi="Cambria Math" w:cs="Times New Roman"/>
                  </w:rPr>
                  <m:t>r</m:t>
                </m:r>
                <m:ctrlPr>
                  <w:rPr>
                    <w:rFonts w:ascii="Cambria Math" w:hAnsi="Cambria Math" w:cs="Times New Roman"/>
                  </w:rPr>
                </m:ctrlPr>
              </m:e>
              <m:sub>
                <m:r>
                  <w:rPr>
                    <w:rFonts w:ascii="Cambria Math" w:hAnsi="Cambria Math" w:cs="Times New Roman"/>
                  </w:rPr>
                  <m:t>f</m:t>
                </m:r>
              </m:sub>
            </m:sSub>
          </m:e>
        </m:d>
        <m:r>
          <w:rPr>
            <w:rFonts w:ascii="Cambria Math" w:hAnsi="Cambria Math" w:cs="Times New Roman"/>
          </w:rPr>
          <m:t>=1-</m:t>
        </m:r>
        <m:r>
          <m:rPr>
            <m:sty m:val="p"/>
          </m:rPr>
          <w:rPr>
            <w:rFonts w:ascii="Cambria Math" w:hAnsi="Cambria Math" w:cs="Times New Roman"/>
          </w:rPr>
          <m:t>Φ</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f</m:t>
                </m:r>
              </m:sub>
            </m:sSub>
            <m:r>
              <w:rPr>
                <w:rFonts w:ascii="Cambria Math" w:hAnsi="Cambria Math" w:cs="Times New Roman"/>
              </w:rPr>
              <m:t>;</m:t>
            </m:r>
            <m:r>
              <m:rPr>
                <m:sty m:val="p"/>
              </m:rPr>
              <w:rPr>
                <w:rFonts w:ascii="Cambria Math" w:hAnsi="Cambria Math" w:cs="Times New Roman"/>
              </w:rPr>
              <m:t>μ</m:t>
            </m:r>
            <m:r>
              <w:rPr>
                <w:rFonts w:ascii="Cambria Math" w:hAnsi="Cambria Math" w:cs="Times New Roman"/>
              </w:rPr>
              <m:t>,</m:t>
            </m:r>
            <m:r>
              <m:rPr>
                <m:sty m:val="p"/>
              </m:rPr>
              <w:rPr>
                <w:rFonts w:ascii="Cambria Math" w:hAnsi="Cambria Math" w:cs="Times New Roman"/>
              </w:rPr>
              <m:t>σ</m:t>
            </m:r>
          </m:e>
        </m:d>
      </m:oMath>
      <w:r w:rsidRPr="00E37223">
        <w:rPr>
          <w:rFonts w:ascii="Times New Roman" w:hAnsi="Times New Roman" w:cs="Times New Roman"/>
        </w:rPr>
        <w:t xml:space="preserve">) for each day. We consider any return greater than the risk-free rate to be </w:t>
      </w:r>
      <w:r w:rsidR="00E37223" w:rsidRPr="00E37223">
        <w:rPr>
          <w:rFonts w:ascii="Times New Roman" w:hAnsi="Times New Roman" w:cs="Times New Roman"/>
        </w:rPr>
        <w:t>favorable</w:t>
      </w:r>
      <w:r w:rsidRPr="00E37223">
        <w:rPr>
          <w:rFonts w:ascii="Times New Roman" w:hAnsi="Times New Roman" w:cs="Times New Roman"/>
        </w:rPr>
        <w:t>.</w:t>
      </w:r>
    </w:p>
    <w:p w14:paraId="6463D8A9" w14:textId="11B64DD9" w:rsidR="00542EE3" w:rsidRPr="00E37223" w:rsidRDefault="00CA18CC" w:rsidP="00DD3FB5">
      <w:pPr>
        <w:spacing w:line="360" w:lineRule="auto"/>
        <w:rPr>
          <w:rFonts w:ascii="Times New Roman" w:hAnsi="Times New Roman" w:cs="Times New Roman"/>
        </w:rPr>
      </w:pPr>
      <w:r w:rsidRPr="00E37223">
        <w:rPr>
          <w:rFonts w:ascii="Times New Roman" w:hAnsi="Times New Roman" w:cs="Times New Roman"/>
        </w:rPr>
        <w:tab/>
      </w:r>
      <w:r w:rsidR="00B76D54" w:rsidRPr="00E37223">
        <w:rPr>
          <w:rFonts w:ascii="Times New Roman" w:hAnsi="Times New Roman" w:cs="Times New Roman"/>
        </w:rPr>
        <w:t>The return distribution is represented by a histogram. Specifically, we first separate daily returns ranging from -6% to +6% to 60 bins. Each bin is 0.2% width. Second, we estimate the probability of returns being in each bin. Third, we calculate the probability of returns being outside of -6% and +6%. Fourth, we separately calculate the mean and variance of the probability for each of the 62 bins. Finally, we estimate the degree of ambiguity in a month as</w:t>
      </w:r>
    </w:p>
    <w:p w14:paraId="75E5B72E" w14:textId="77777777" w:rsidR="00E93DE9" w:rsidRPr="00E37223" w:rsidRDefault="00E93DE9" w:rsidP="00DD3FB5">
      <w:pPr>
        <w:spacing w:line="360" w:lineRule="auto"/>
        <w:rPr>
          <w:rFonts w:ascii="Times New Roman" w:hAnsi="Times New Roman" w:cs="Times New Roman"/>
        </w:rPr>
      </w:pPr>
    </w:p>
    <w:p w14:paraId="09363CD9" w14:textId="19820793" w:rsidR="00C53522" w:rsidRPr="00E37223" w:rsidRDefault="00000000" w:rsidP="00DD3FB5">
      <w:pPr>
        <w:spacing w:line="360" w:lineRule="auto"/>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d>
            <m:dPr>
              <m:begChr m:val="["/>
              <m:endChr m:val="]"/>
              <m:ctrlPr>
                <w:rPr>
                  <w:rFonts w:ascii="Cambria Math" w:hAnsi="Cambria Math" w:cs="Times New Roman"/>
                  <w:i/>
                </w:rPr>
              </m:ctrlPr>
            </m:dPr>
            <m:e>
              <m:r>
                <w:rPr>
                  <w:rFonts w:ascii="Cambria Math" w:hAnsi="Cambria Math" w:cs="Times New Roman"/>
                </w:rPr>
                <m:t>r</m:t>
              </m:r>
            </m:e>
          </m:d>
          <m:r>
            <w:rPr>
              <w:rFonts w:ascii="Cambria Math" w:hAnsi="Cambria Math" w:cs="Times New Roman"/>
            </w:rPr>
            <m:t>=&amp;</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ω</m:t>
              </m:r>
              <m:d>
                <m:dPr>
                  <m:ctrlPr>
                    <w:rPr>
                      <w:rFonts w:ascii="Cambria Math" w:hAnsi="Cambria Math" w:cs="Times New Roman"/>
                      <w:i/>
                    </w:rPr>
                  </m:ctrlPr>
                </m:dPr>
                <m:e>
                  <m:r>
                    <w:rPr>
                      <w:rFonts w:ascii="Cambria Math" w:hAnsi="Cambria Math" w:cs="Times New Roman"/>
                    </w:rPr>
                    <m:t>1-ω</m:t>
                  </m:r>
                </m:e>
              </m:d>
            </m:den>
          </m:f>
          <m:r>
            <w:rPr>
              <w:rFonts w:ascii="Cambria Math" w:hAnsi="Cambria Math" w:cs="Times New Roman"/>
            </w:rPr>
            <m:t>×</m:t>
          </m:r>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&amp;E</m:t>
                  </m:r>
                  <m:d>
                    <m:dPr>
                      <m:begChr m:val="["/>
                      <m:endChr m:val="]"/>
                      <m:ctrlPr>
                        <w:rPr>
                          <w:rFonts w:ascii="Cambria Math" w:hAnsi="Cambria Math" w:cs="Times New Roman"/>
                          <w:i/>
                        </w:rPr>
                      </m:ctrlPr>
                    </m:dPr>
                    <m:e>
                      <m:r>
                        <m:rPr>
                          <m:sty m:val="p"/>
                        </m:rPr>
                        <w:rPr>
                          <w:rFonts w:ascii="Cambria Math" w:hAnsi="Cambria Math" w:cs="Times New Roman"/>
                        </w:rPr>
                        <m:t>Φ</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r>
                            <w:rPr>
                              <w:rFonts w:ascii="Cambria Math" w:hAnsi="Cambria Math" w:cs="Times New Roman"/>
                            </w:rPr>
                            <m:t>;μ,σ</m:t>
                          </m:r>
                        </m:e>
                      </m:d>
                    </m:e>
                  </m:d>
                  <m:r>
                    <w:rPr>
                      <w:rFonts w:ascii="Cambria Math" w:hAnsi="Cambria Math" w:cs="Times New Roman"/>
                    </w:rPr>
                    <m:t>Var</m:t>
                  </m:r>
                  <m:d>
                    <m:dPr>
                      <m:begChr m:val="["/>
                      <m:endChr m:val="]"/>
                      <m:ctrlPr>
                        <w:rPr>
                          <w:rFonts w:ascii="Cambria Math" w:hAnsi="Cambria Math" w:cs="Times New Roman"/>
                          <w:i/>
                        </w:rPr>
                      </m:ctrlPr>
                    </m:dPr>
                    <m:e>
                      <m:r>
                        <m:rPr>
                          <m:sty m:val="p"/>
                        </m:rPr>
                        <w:rPr>
                          <w:rFonts w:ascii="Cambria Math" w:hAnsi="Cambria Math" w:cs="Times New Roman"/>
                        </w:rPr>
                        <m:t>Φ</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0</m:t>
                              </m:r>
                            </m:sub>
                          </m:sSub>
                          <m:r>
                            <w:rPr>
                              <w:rFonts w:ascii="Cambria Math" w:hAnsi="Cambria Math" w:cs="Times New Roman"/>
                            </w:rPr>
                            <m:t>;μ,σ</m:t>
                          </m:r>
                          <m:ctrlPr>
                            <w:rPr>
                              <w:rFonts w:ascii="Cambria Math" w:hAnsi="Cambria Math" w:cs="Times New Roman"/>
                              <w:i/>
                            </w:rPr>
                          </m:ctrlPr>
                        </m:e>
                      </m:d>
                    </m:e>
                  </m:d>
                </m:e>
                <m:e>
                  <m:r>
                    <w:rPr>
                      <w:rFonts w:ascii="Cambria Math" w:hAnsi="Cambria Math" w:cs="Times New Roman"/>
                    </w:rPr>
                    <m:t>&amp;+</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60</m:t>
                      </m:r>
                    </m:sup>
                    <m:e>
                      <m:r>
                        <w:rPr>
                          <w:rFonts w:ascii="Cambria Math" w:hAnsi="Cambria Math" w:cs="Times New Roman"/>
                        </w:rPr>
                        <m:t>E</m:t>
                      </m:r>
                      <m:d>
                        <m:dPr>
                          <m:begChr m:val="["/>
                          <m:endChr m:val="]"/>
                          <m:ctrlPr>
                            <w:rPr>
                              <w:rFonts w:ascii="Cambria Math" w:hAnsi="Cambria Math" w:cs="Times New Roman"/>
                              <w:i/>
                            </w:rPr>
                          </m:ctrlPr>
                        </m:dPr>
                        <m:e>
                          <m:r>
                            <m:rPr>
                              <m:sty m:val="p"/>
                            </m:rPr>
                            <w:rPr>
                              <w:rFonts w:ascii="Cambria Math" w:hAnsi="Cambria Math" w:cs="Times New Roman"/>
                            </w:rPr>
                            <m:t>Φ</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m:t>
                                  </m:r>
                                </m:sub>
                              </m:sSub>
                              <m:r>
                                <w:rPr>
                                  <w:rFonts w:ascii="Cambria Math" w:hAnsi="Cambria Math" w:cs="Times New Roman"/>
                                </w:rPr>
                                <m:t>;μ,σ</m:t>
                              </m:r>
                              <m:ctrlPr>
                                <w:rPr>
                                  <w:rFonts w:ascii="Cambria Math" w:hAnsi="Cambria Math" w:cs="Times New Roman"/>
                                  <w:i/>
                                </w:rPr>
                              </m:ctrlPr>
                            </m:e>
                          </m:d>
                          <m:r>
                            <w:rPr>
                              <w:rFonts w:ascii="Cambria Math" w:hAnsi="Cambria Math" w:cs="Times New Roman"/>
                            </w:rPr>
                            <m:t>-</m:t>
                          </m:r>
                          <m:r>
                            <m:rPr>
                              <m:sty m:val="p"/>
                            </m:rPr>
                            <w:rPr>
                              <w:rFonts w:ascii="Cambria Math" w:hAnsi="Cambria Math" w:cs="Times New Roman"/>
                            </w:rPr>
                            <m:t>Φ</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i-1</m:t>
                                  </m:r>
                                </m:sub>
                              </m:sSub>
                              <m:r>
                                <w:rPr>
                                  <w:rFonts w:ascii="Cambria Math" w:hAnsi="Cambria Math" w:cs="Times New Roman"/>
                                </w:rPr>
                                <m:t>;μ,σ</m:t>
                              </m:r>
                              <m:ctrlPr>
                                <w:rPr>
                                  <w:rFonts w:ascii="Cambria Math" w:hAnsi="Cambria Math" w:cs="Times New Roman"/>
                                  <w:i/>
                                </w:rPr>
                              </m:ctrlPr>
                            </m:e>
                          </m:d>
                        </m:e>
                      </m:d>
                    </m:e>
                  </m:nary>
                </m:e>
                <m:e>
                  <m:r>
                    <w:rPr>
                      <w:rFonts w:ascii="Cambria Math" w:hAnsi="Cambria Math" w:cs="Times New Roman"/>
                    </w:rPr>
                    <m:t>&amp;×Var</m:t>
                  </m:r>
                  <m:d>
                    <m:dPr>
                      <m:begChr m:val="["/>
                      <m:endChr m:val="]"/>
                      <m:ctrlPr>
                        <w:rPr>
                          <w:rFonts w:ascii="Cambria Math" w:hAnsi="Cambria Math" w:cs="Times New Roman"/>
                          <w:i/>
                        </w:rPr>
                      </m:ctrlPr>
                    </m:dPr>
                    <m:e>
                      <m:r>
                        <m:rPr>
                          <m:sty m:val="p"/>
                        </m:rPr>
                        <w:rPr>
                          <w:rFonts w:ascii="Cambria Math" w:hAnsi="Cambria Math" w:cs="Times New Roman"/>
                        </w:rPr>
                        <m:t>Φ</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m:t>
                              </m:r>
                            </m:sub>
                          </m:sSub>
                          <m:r>
                            <w:rPr>
                              <w:rFonts w:ascii="Cambria Math" w:hAnsi="Cambria Math" w:cs="Times New Roman"/>
                            </w:rPr>
                            <m:t>;μ,σ</m:t>
                          </m:r>
                          <m:ctrlPr>
                            <w:rPr>
                              <w:rFonts w:ascii="Cambria Math" w:hAnsi="Cambria Math" w:cs="Times New Roman"/>
                              <w:i/>
                            </w:rPr>
                          </m:ctrlPr>
                        </m:e>
                      </m:d>
                      <m:r>
                        <w:rPr>
                          <w:rFonts w:ascii="Cambria Math" w:hAnsi="Cambria Math" w:cs="Times New Roman"/>
                        </w:rPr>
                        <m:t>-</m:t>
                      </m:r>
                      <m:r>
                        <m:rPr>
                          <m:sty m:val="p"/>
                        </m:rPr>
                        <w:rPr>
                          <w:rFonts w:ascii="Cambria Math" w:hAnsi="Cambria Math" w:cs="Times New Roman"/>
                        </w:rPr>
                        <m:t>Φ</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i-1</m:t>
                              </m:r>
                            </m:sub>
                          </m:sSub>
                          <m:r>
                            <w:rPr>
                              <w:rFonts w:ascii="Cambria Math" w:hAnsi="Cambria Math" w:cs="Times New Roman"/>
                            </w:rPr>
                            <m:t>;μ,σ</m:t>
                          </m:r>
                          <m:ctrlPr>
                            <w:rPr>
                              <w:rFonts w:ascii="Cambria Math" w:hAnsi="Cambria Math" w:cs="Times New Roman"/>
                              <w:i/>
                            </w:rPr>
                          </m:ctrlPr>
                        </m:e>
                      </m:d>
                    </m:e>
                  </m:d>
                  <m:ctrlPr>
                    <w:rPr>
                      <w:rFonts w:ascii="Cambria Math" w:eastAsia="Cambria Math" w:hAnsi="Cambria Math" w:cs="Times New Roman"/>
                      <w:i/>
                    </w:rPr>
                  </m:ctrlPr>
                </m:e>
                <m:e>
                  <m:r>
                    <w:rPr>
                      <w:rFonts w:ascii="Cambria Math" w:eastAsia="Cambria Math" w:hAnsi="Cambria Math" w:cs="Times New Roman"/>
                    </w:rPr>
                    <m:t>&amp;</m:t>
                  </m:r>
                  <m:r>
                    <w:rPr>
                      <w:rFonts w:ascii="Cambria Math" w:hAnsi="Cambria Math" w:cs="Times New Roman"/>
                    </w:rPr>
                    <m:t>+E</m:t>
                  </m:r>
                  <m:d>
                    <m:dPr>
                      <m:begChr m:val="["/>
                      <m:endChr m:val="]"/>
                      <m:ctrlPr>
                        <w:rPr>
                          <w:rFonts w:ascii="Cambria Math" w:hAnsi="Cambria Math" w:cs="Times New Roman"/>
                          <w:i/>
                        </w:rPr>
                      </m:ctrlPr>
                    </m:dPr>
                    <m:e>
                      <m:r>
                        <w:rPr>
                          <w:rFonts w:ascii="Cambria Math" w:hAnsi="Cambria Math" w:cs="Times New Roman"/>
                        </w:rPr>
                        <m:t>1-</m:t>
                      </m:r>
                      <m:r>
                        <m:rPr>
                          <m:sty m:val="p"/>
                        </m:rPr>
                        <w:rPr>
                          <w:rFonts w:ascii="Cambria Math" w:hAnsi="Cambria Math" w:cs="Times New Roman"/>
                        </w:rPr>
                        <m:t>Φ</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60</m:t>
                              </m:r>
                            </m:sub>
                          </m:sSub>
                          <m:r>
                            <w:rPr>
                              <w:rFonts w:ascii="Cambria Math" w:hAnsi="Cambria Math" w:cs="Times New Roman"/>
                            </w:rPr>
                            <m:t>;μ,σ</m:t>
                          </m:r>
                          <m:ctrlPr>
                            <w:rPr>
                              <w:rFonts w:ascii="Cambria Math" w:hAnsi="Cambria Math" w:cs="Times New Roman"/>
                              <w:i/>
                            </w:rPr>
                          </m:ctrlPr>
                        </m:e>
                      </m:d>
                    </m:e>
                  </m:d>
                  <m:r>
                    <w:rPr>
                      <w:rFonts w:ascii="Cambria Math" w:hAnsi="Cambria Math" w:cs="Times New Roman"/>
                    </w:rPr>
                    <m:t>Var</m:t>
                  </m:r>
                  <m:d>
                    <m:dPr>
                      <m:begChr m:val="["/>
                      <m:endChr m:val="]"/>
                      <m:ctrlPr>
                        <w:rPr>
                          <w:rFonts w:ascii="Cambria Math" w:hAnsi="Cambria Math" w:cs="Times New Roman"/>
                          <w:i/>
                        </w:rPr>
                      </m:ctrlPr>
                    </m:dPr>
                    <m:e>
                      <m:r>
                        <w:rPr>
                          <w:rFonts w:ascii="Cambria Math" w:hAnsi="Cambria Math" w:cs="Times New Roman"/>
                        </w:rPr>
                        <m:t>1-</m:t>
                      </m:r>
                      <m:r>
                        <m:rPr>
                          <m:sty m:val="p"/>
                        </m:rPr>
                        <w:rPr>
                          <w:rFonts w:ascii="Cambria Math" w:hAnsi="Cambria Math" w:cs="Times New Roman"/>
                        </w:rPr>
                        <m:t>Φ</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60</m:t>
                              </m:r>
                            </m:sub>
                          </m:sSub>
                          <m:r>
                            <w:rPr>
                              <w:rFonts w:ascii="Cambria Math" w:hAnsi="Cambria Math" w:cs="Times New Roman"/>
                            </w:rPr>
                            <m:t>;μ,σ</m:t>
                          </m:r>
                          <m:ctrlPr>
                            <w:rPr>
                              <w:rFonts w:ascii="Cambria Math" w:hAnsi="Cambria Math" w:cs="Times New Roman"/>
                              <w:i/>
                            </w:rPr>
                          </m:ctrlPr>
                        </m:e>
                      </m:d>
                    </m:e>
                  </m:d>
                </m:e>
              </m:eqAr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3</m:t>
              </m:r>
            </m:e>
          </m:d>
        </m:oMath>
      </m:oMathPara>
    </w:p>
    <w:p w14:paraId="72021DBB" w14:textId="77777777" w:rsidR="00603CE0" w:rsidRPr="00E37223" w:rsidRDefault="00603CE0" w:rsidP="00DD3FB5">
      <w:pPr>
        <w:spacing w:line="360" w:lineRule="auto"/>
        <w:rPr>
          <w:rFonts w:ascii="Times New Roman" w:hAnsi="Times New Roman" w:cs="Times New Roman"/>
        </w:rPr>
      </w:pPr>
    </w:p>
    <w:p w14:paraId="12C216BD" w14:textId="05C1AC78" w:rsidR="0001247A" w:rsidRPr="001D4CD5" w:rsidRDefault="00B76D54" w:rsidP="00DD3FB5">
      <w:pPr>
        <w:spacing w:line="360" w:lineRule="auto"/>
        <w:rPr>
          <w:rFonts w:ascii="Times New Roman" w:hAnsi="Times New Roman" w:cs="Times New Roman"/>
        </w:rPr>
      </w:pPr>
      <w:r w:rsidRPr="00E37223">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oMath>
      <w:r w:rsidRPr="00E37223">
        <w:rPr>
          <w:rFonts w:ascii="Times New Roman" w:hAnsi="Times New Roman" w:cs="Times New Roman"/>
        </w:rPr>
        <w:t xml:space="preserve"> = −0.06 and ω =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m:t>
            </m:r>
          </m:sub>
        </m:sSub>
      </m:oMath>
      <w:r w:rsidRPr="00E37223">
        <w:rPr>
          <w:rFonts w:ascii="Times New Roman" w:hAnsi="Times New Roman" w:cs="Times New Roman"/>
        </w:rPr>
        <w:t xml:space="preserve"> </w:t>
      </w:r>
      <w:r w:rsidR="00894149" w:rsidRPr="00E37223">
        <w:rPr>
          <w:rFonts w:ascii="Times New Roman" w:hAnsi="Times New Roman" w:cs="Times New Roman"/>
        </w:rPr>
        <w:t>–</w:t>
      </w:r>
      <w:r w:rsidRPr="00E37223">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i-1</m:t>
            </m:r>
          </m:sub>
        </m:sSub>
      </m:oMath>
      <w:r w:rsidRPr="00E37223">
        <w:rPr>
          <w:rFonts w:ascii="Times New Roman" w:hAnsi="Times New Roman" w:cs="Times New Roman"/>
        </w:rPr>
        <w:t xml:space="preserve"> = 0.002. We measure risk as σ using daily returns.</w:t>
      </w:r>
    </w:p>
    <w:p w14:paraId="6019BD08" w14:textId="77777777" w:rsidR="005745EB" w:rsidRPr="001D4CD5" w:rsidRDefault="005745EB" w:rsidP="00DD3FB5">
      <w:pPr>
        <w:spacing w:line="360" w:lineRule="auto"/>
        <w:rPr>
          <w:rFonts w:ascii="Times New Roman" w:hAnsi="Times New Roman" w:cs="Times New Roman"/>
          <w:i/>
          <w:iCs/>
        </w:rPr>
      </w:pPr>
    </w:p>
    <w:p w14:paraId="56FF3348" w14:textId="17C52698" w:rsidR="005745EB" w:rsidRPr="00E37223" w:rsidRDefault="003D064A" w:rsidP="00EA1D59">
      <w:pPr>
        <w:spacing w:line="360" w:lineRule="auto"/>
        <w:ind w:firstLine="720"/>
        <w:rPr>
          <w:rFonts w:ascii="Times New Roman" w:hAnsi="Times New Roman" w:cs="Times New Roman"/>
        </w:rPr>
      </w:pPr>
      <w:r w:rsidRPr="00E37223">
        <w:rPr>
          <w:rFonts w:ascii="Times New Roman" w:hAnsi="Times New Roman" w:cs="Times New Roman"/>
        </w:rPr>
        <w:t>To examine the cross-country co-movement of our ambiguity measure, we compute pairwise time-series correlations for the 20 lender countries and report the full matrix in Table 2c. The average off-diagonal (pairwise) correlation is 0.506</w:t>
      </w:r>
      <w:r w:rsidR="00E84743" w:rsidRPr="00E37223">
        <w:rPr>
          <w:rFonts w:ascii="Times New Roman" w:hAnsi="Times New Roman" w:cs="Times New Roman"/>
        </w:rPr>
        <w:t>7</w:t>
      </w:r>
      <w:r w:rsidRPr="00E37223">
        <w:rPr>
          <w:rFonts w:ascii="Times New Roman" w:hAnsi="Times New Roman" w:cs="Times New Roman"/>
        </w:rPr>
        <w:t xml:space="preserve">, indicating a sizeable </w:t>
      </w:r>
      <w:r w:rsidRPr="00E37223">
        <w:rPr>
          <w:rFonts w:ascii="Times New Roman" w:hAnsi="Times New Roman" w:cs="Times New Roman"/>
        </w:rPr>
        <w:lastRenderedPageBreak/>
        <w:t xml:space="preserve">common global component in ambiguity: shocks to perceived </w:t>
      </w:r>
      <w:r w:rsidR="00E84743" w:rsidRPr="00E37223">
        <w:rPr>
          <w:rFonts w:ascii="Times New Roman" w:hAnsi="Times New Roman" w:cs="Times New Roman"/>
        </w:rPr>
        <w:t xml:space="preserve">ambiguity </w:t>
      </w:r>
      <w:r w:rsidRPr="00E37223">
        <w:rPr>
          <w:rFonts w:ascii="Times New Roman" w:hAnsi="Times New Roman" w:cs="Times New Roman"/>
        </w:rPr>
        <w:t>tend to be transmitted across borders in line with the high degree of financial and informational integration among advanced economies. At the same time, the correlations are far from perfect, implying substantial</w:t>
      </w:r>
      <w:r w:rsidR="00AD6D9F" w:rsidRPr="00E37223">
        <w:rPr>
          <w:rFonts w:ascii="Times New Roman" w:hAnsi="Times New Roman" w:cs="Times New Roman"/>
        </w:rPr>
        <w:t xml:space="preserve"> (50%)</w:t>
      </w:r>
      <w:r w:rsidRPr="00E37223">
        <w:rPr>
          <w:rFonts w:ascii="Times New Roman" w:hAnsi="Times New Roman" w:cs="Times New Roman"/>
        </w:rPr>
        <w:t xml:space="preserve"> country-specific variation in ambiguity. Consistent with this, we observe particularly strong positive correlations among major advanced European economies, while correlations involving emerging-market lenders such as Brazil and Mexico, or countries exposed to more idiosyncratic domestic episodes (e.g.</w:t>
      </w:r>
      <w:r w:rsidR="008E0B2D" w:rsidRPr="00E37223">
        <w:rPr>
          <w:rFonts w:ascii="Times New Roman" w:hAnsi="Times New Roman" w:cs="Times New Roman"/>
        </w:rPr>
        <w:t>,</w:t>
      </w:r>
      <w:r w:rsidRPr="00E37223">
        <w:rPr>
          <w:rFonts w:ascii="Times New Roman" w:hAnsi="Times New Roman" w:cs="Times New Roman"/>
        </w:rPr>
        <w:t xml:space="preserve"> Greece), are lower. </w:t>
      </w:r>
      <w:r w:rsidR="008D3539" w:rsidRPr="00E37223">
        <w:rPr>
          <w:rFonts w:ascii="Times New Roman" w:hAnsi="Times New Roman" w:cs="Times New Roman"/>
        </w:rPr>
        <w:t>This pattern suggests that our lender-country ambiguity measure reflects distinct domestic Knightian uncertainty episodes, not just a common global factor, allowing our empirical design to exploit meaningful cross-country variation</w:t>
      </w:r>
      <w:r w:rsidRPr="00E37223">
        <w:rPr>
          <w:rFonts w:ascii="Times New Roman" w:hAnsi="Times New Roman" w:cs="Times New Roman"/>
        </w:rPr>
        <w:t>.</w:t>
      </w:r>
    </w:p>
    <w:p w14:paraId="4A4E8B9C" w14:textId="77777777" w:rsidR="003D064A" w:rsidRPr="00E37223" w:rsidRDefault="003D064A" w:rsidP="00DD3FB5">
      <w:pPr>
        <w:spacing w:line="360" w:lineRule="auto"/>
        <w:rPr>
          <w:rFonts w:ascii="Times New Roman" w:hAnsi="Times New Roman" w:cs="Times New Roman"/>
          <w:i/>
          <w:iCs/>
        </w:rPr>
      </w:pPr>
    </w:p>
    <w:p w14:paraId="0959513E" w14:textId="2208B605" w:rsidR="00091B29" w:rsidRPr="00E37223" w:rsidRDefault="00450088" w:rsidP="00DD3FB5">
      <w:pPr>
        <w:spacing w:line="360" w:lineRule="auto"/>
        <w:rPr>
          <w:rFonts w:ascii="Times New Roman" w:hAnsi="Times New Roman" w:cs="Times New Roman"/>
          <w:b/>
          <w:bCs/>
        </w:rPr>
      </w:pPr>
      <w:r w:rsidRPr="00E37223">
        <w:rPr>
          <w:rFonts w:ascii="Times New Roman" w:hAnsi="Times New Roman" w:cs="Times New Roman"/>
          <w:b/>
          <w:bCs/>
        </w:rPr>
        <w:t xml:space="preserve">2.4 </w:t>
      </w:r>
      <w:r w:rsidR="008C61C6" w:rsidRPr="00E37223">
        <w:rPr>
          <w:rFonts w:ascii="Times New Roman" w:hAnsi="Times New Roman" w:cs="Times New Roman"/>
          <w:b/>
          <w:bCs/>
        </w:rPr>
        <w:t xml:space="preserve"> </w:t>
      </w:r>
      <w:r w:rsidR="00091B29" w:rsidRPr="00E37223">
        <w:rPr>
          <w:rFonts w:ascii="Times New Roman" w:hAnsi="Times New Roman" w:cs="Times New Roman"/>
          <w:b/>
          <w:bCs/>
        </w:rPr>
        <w:t xml:space="preserve">Control </w:t>
      </w:r>
      <w:r w:rsidR="008F60E8" w:rsidRPr="00E37223">
        <w:rPr>
          <w:rFonts w:ascii="Times New Roman" w:hAnsi="Times New Roman" w:cs="Times New Roman"/>
          <w:b/>
          <w:bCs/>
        </w:rPr>
        <w:t>variables</w:t>
      </w:r>
    </w:p>
    <w:p w14:paraId="4C315E85" w14:textId="4A380017" w:rsidR="00D21DD7" w:rsidRPr="00E37223" w:rsidRDefault="002E010F" w:rsidP="00DD3FB5">
      <w:pPr>
        <w:spacing w:line="360" w:lineRule="auto"/>
        <w:rPr>
          <w:rFonts w:ascii="Times New Roman" w:hAnsi="Times New Roman" w:cs="Times New Roman"/>
        </w:rPr>
      </w:pPr>
      <w:r w:rsidRPr="00E37223">
        <w:rPr>
          <w:rFonts w:ascii="Times New Roman" w:hAnsi="Times New Roman" w:cs="Times New Roman"/>
        </w:rPr>
        <w:t>Our</w:t>
      </w:r>
      <w:r w:rsidR="0072119C" w:rsidRPr="00E37223">
        <w:rPr>
          <w:rFonts w:ascii="Times New Roman" w:hAnsi="Times New Roman" w:cs="Times New Roman"/>
        </w:rPr>
        <w:t xml:space="preserve"> study incorporates various macroeconomic variables within source countries</w:t>
      </w:r>
      <w:r w:rsidRPr="00E37223">
        <w:rPr>
          <w:rFonts w:ascii="Times New Roman" w:hAnsi="Times New Roman" w:cs="Times New Roman"/>
        </w:rPr>
        <w:t xml:space="preserve"> that have been shown</w:t>
      </w:r>
      <w:r w:rsidR="00FA6428" w:rsidRPr="00E37223">
        <w:rPr>
          <w:rFonts w:ascii="Times New Roman" w:hAnsi="Times New Roman" w:cs="Times New Roman"/>
        </w:rPr>
        <w:t xml:space="preserve"> </w:t>
      </w:r>
      <w:r w:rsidR="004727C6" w:rsidRPr="00E37223">
        <w:rPr>
          <w:rFonts w:ascii="Times New Roman" w:hAnsi="Times New Roman" w:cs="Times New Roman"/>
        </w:rPr>
        <w:t>to</w:t>
      </w:r>
      <w:r w:rsidR="00FA6428" w:rsidRPr="00E37223">
        <w:rPr>
          <w:rFonts w:ascii="Times New Roman" w:hAnsi="Times New Roman" w:cs="Times New Roman"/>
        </w:rPr>
        <w:t xml:space="preserve"> </w:t>
      </w:r>
      <w:r w:rsidR="004727C6" w:rsidRPr="00E37223">
        <w:rPr>
          <w:rFonts w:ascii="Times New Roman" w:hAnsi="Times New Roman" w:cs="Times New Roman"/>
        </w:rPr>
        <w:t xml:space="preserve">influence </w:t>
      </w:r>
      <w:r w:rsidR="00FA6428" w:rsidRPr="00E37223">
        <w:rPr>
          <w:rFonts w:ascii="Times New Roman" w:hAnsi="Times New Roman" w:cs="Times New Roman"/>
        </w:rPr>
        <w:t>cross-border banking flows</w:t>
      </w:r>
      <w:r w:rsidR="00293CCD" w:rsidRPr="00E37223">
        <w:rPr>
          <w:rFonts w:ascii="Times New Roman" w:hAnsi="Times New Roman" w:cs="Times New Roman"/>
        </w:rPr>
        <w:t xml:space="preserve"> </w:t>
      </w:r>
      <w:r w:rsidR="005852CB" w:rsidRPr="00E37223">
        <w:rPr>
          <w:rFonts w:ascii="Times New Roman" w:hAnsi="Times New Roman" w:cs="Times New Roman"/>
        </w:rPr>
        <w:t xml:space="preserve">(Bruno </w:t>
      </w:r>
      <w:r w:rsidR="003F3C98" w:rsidRPr="00E37223">
        <w:rPr>
          <w:rFonts w:ascii="Times New Roman" w:hAnsi="Times New Roman" w:cs="Times New Roman"/>
        </w:rPr>
        <w:t>and</w:t>
      </w:r>
      <w:r w:rsidR="005852CB" w:rsidRPr="00E37223">
        <w:rPr>
          <w:rFonts w:ascii="Times New Roman" w:hAnsi="Times New Roman" w:cs="Times New Roman"/>
        </w:rPr>
        <w:t xml:space="preserve"> Shin 2014; Choi </w:t>
      </w:r>
      <w:r w:rsidR="003F3C98" w:rsidRPr="00E37223">
        <w:rPr>
          <w:rFonts w:ascii="Times New Roman" w:hAnsi="Times New Roman" w:cs="Times New Roman"/>
        </w:rPr>
        <w:t>and</w:t>
      </w:r>
      <w:r w:rsidR="005852CB" w:rsidRPr="00E37223">
        <w:rPr>
          <w:rFonts w:ascii="Times New Roman" w:hAnsi="Times New Roman" w:cs="Times New Roman"/>
        </w:rPr>
        <w:t xml:space="preserve"> Furceri</w:t>
      </w:r>
      <w:r w:rsidR="003F3C98" w:rsidRPr="00E37223">
        <w:rPr>
          <w:rFonts w:ascii="Times New Roman" w:hAnsi="Times New Roman" w:cs="Times New Roman"/>
        </w:rPr>
        <w:t xml:space="preserve"> </w:t>
      </w:r>
      <w:r w:rsidR="005852CB" w:rsidRPr="00E37223">
        <w:rPr>
          <w:rFonts w:ascii="Times New Roman" w:hAnsi="Times New Roman" w:cs="Times New Roman"/>
        </w:rPr>
        <w:t>2019; Correa</w:t>
      </w:r>
      <w:r w:rsidR="005852CB" w:rsidRPr="00E37223">
        <w:rPr>
          <w:rFonts w:ascii="Times New Roman" w:hAnsi="Times New Roman" w:cs="Times New Roman"/>
          <w:i/>
        </w:rPr>
        <w:t xml:space="preserve"> </w:t>
      </w:r>
      <w:r w:rsidR="005852CB" w:rsidRPr="00E37223">
        <w:rPr>
          <w:rFonts w:ascii="Times New Roman" w:hAnsi="Times New Roman" w:cs="Times New Roman"/>
          <w:iCs/>
        </w:rPr>
        <w:t>et al.</w:t>
      </w:r>
      <w:r w:rsidR="005852CB" w:rsidRPr="00E37223">
        <w:rPr>
          <w:rFonts w:ascii="Times New Roman" w:hAnsi="Times New Roman" w:cs="Times New Roman"/>
        </w:rPr>
        <w:t xml:space="preserve"> 2021)</w:t>
      </w:r>
      <w:r w:rsidR="00AE0E5E" w:rsidRPr="00E37223">
        <w:rPr>
          <w:rFonts w:ascii="Times New Roman" w:hAnsi="Times New Roman" w:cs="Times New Roman"/>
        </w:rPr>
        <w:t>.</w:t>
      </w:r>
      <w:r w:rsidRPr="00E37223">
        <w:rPr>
          <w:rFonts w:ascii="Times New Roman" w:hAnsi="Times New Roman" w:cs="Times New Roman"/>
        </w:rPr>
        <w:t xml:space="preserve"> </w:t>
      </w:r>
      <w:r w:rsidR="00FA6428" w:rsidRPr="00E37223">
        <w:rPr>
          <w:rFonts w:ascii="Times New Roman" w:hAnsi="Times New Roman" w:cs="Times New Roman"/>
        </w:rPr>
        <w:t xml:space="preserve">Specifically, we </w:t>
      </w:r>
      <w:r w:rsidR="00D514A3" w:rsidRPr="00E37223">
        <w:rPr>
          <w:rFonts w:ascii="Times New Roman" w:hAnsi="Times New Roman" w:cs="Times New Roman"/>
        </w:rPr>
        <w:t>include</w:t>
      </w:r>
      <w:r w:rsidR="00FA6428" w:rsidRPr="00E37223">
        <w:rPr>
          <w:rFonts w:ascii="Times New Roman" w:hAnsi="Times New Roman" w:cs="Times New Roman"/>
        </w:rPr>
        <w:t xml:space="preserve"> </w:t>
      </w:r>
      <w:r w:rsidR="0023707F" w:rsidRPr="00E37223">
        <w:rPr>
          <w:rFonts w:ascii="Times New Roman" w:hAnsi="Times New Roman" w:cs="Times New Roman"/>
        </w:rPr>
        <w:t xml:space="preserve">the </w:t>
      </w:r>
      <w:r w:rsidR="00FA6428" w:rsidRPr="00E37223">
        <w:rPr>
          <w:rFonts w:ascii="Times New Roman" w:hAnsi="Times New Roman" w:cs="Times New Roman"/>
        </w:rPr>
        <w:t xml:space="preserve">real GDP growth, the inflation rate, </w:t>
      </w:r>
      <w:r w:rsidR="00374765" w:rsidRPr="00E37223">
        <w:rPr>
          <w:rFonts w:ascii="Times New Roman" w:hAnsi="Times New Roman" w:cs="Times New Roman"/>
        </w:rPr>
        <w:t xml:space="preserve">the </w:t>
      </w:r>
      <w:r w:rsidR="008B5EDE" w:rsidRPr="00E37223">
        <w:rPr>
          <w:rFonts w:ascii="Times New Roman" w:hAnsi="Times New Roman" w:cs="Times New Roman"/>
        </w:rPr>
        <w:t>10</w:t>
      </w:r>
      <w:r w:rsidR="00BF64E7" w:rsidRPr="00E37223">
        <w:rPr>
          <w:rFonts w:ascii="Times New Roman" w:hAnsi="Times New Roman" w:cs="Times New Roman"/>
        </w:rPr>
        <w:t xml:space="preserve">-year </w:t>
      </w:r>
      <w:r w:rsidR="00AF118F" w:rsidRPr="00E37223">
        <w:rPr>
          <w:rFonts w:ascii="Times New Roman" w:hAnsi="Times New Roman" w:cs="Times New Roman"/>
        </w:rPr>
        <w:t xml:space="preserve">government bonds </w:t>
      </w:r>
      <w:r w:rsidR="00BF64E7" w:rsidRPr="00E37223">
        <w:rPr>
          <w:rFonts w:ascii="Times New Roman" w:hAnsi="Times New Roman" w:cs="Times New Roman"/>
        </w:rPr>
        <w:t>yield</w:t>
      </w:r>
      <w:r w:rsidR="00FA6428" w:rsidRPr="00E37223">
        <w:rPr>
          <w:rFonts w:ascii="Times New Roman" w:hAnsi="Times New Roman" w:cs="Times New Roman"/>
        </w:rPr>
        <w:t xml:space="preserve">, </w:t>
      </w:r>
      <w:r w:rsidR="004727C6" w:rsidRPr="00E37223">
        <w:rPr>
          <w:rFonts w:ascii="Times New Roman" w:hAnsi="Times New Roman" w:cs="Times New Roman"/>
        </w:rPr>
        <w:t xml:space="preserve">the </w:t>
      </w:r>
      <w:r w:rsidR="00FA6428" w:rsidRPr="00E37223">
        <w:rPr>
          <w:rFonts w:ascii="Times New Roman" w:hAnsi="Times New Roman" w:cs="Times New Roman"/>
        </w:rPr>
        <w:t>nominal exchange rate</w:t>
      </w:r>
      <w:r w:rsidR="00B24BB2" w:rsidRPr="00E37223">
        <w:rPr>
          <w:rFonts w:ascii="Times New Roman" w:hAnsi="Times New Roman" w:cs="Times New Roman"/>
        </w:rPr>
        <w:t xml:space="preserve"> </w:t>
      </w:r>
      <w:r w:rsidR="00B24BB2" w:rsidRPr="00E37223">
        <w:rPr>
          <w:rFonts w:ascii="Times New Roman" w:hAnsi="Times New Roman" w:cs="Times New Roman"/>
          <w:i/>
          <w:iCs/>
        </w:rPr>
        <w:t>v</w:t>
      </w:r>
      <w:r w:rsidR="00374765" w:rsidRPr="00E37223">
        <w:rPr>
          <w:rFonts w:ascii="Times New Roman" w:hAnsi="Times New Roman" w:cs="Times New Roman"/>
          <w:i/>
          <w:iCs/>
        </w:rPr>
        <w:t>s.</w:t>
      </w:r>
      <w:r w:rsidR="00B24BB2" w:rsidRPr="00E37223">
        <w:rPr>
          <w:rFonts w:ascii="Times New Roman" w:hAnsi="Times New Roman" w:cs="Times New Roman"/>
        </w:rPr>
        <w:t xml:space="preserve"> the US </w:t>
      </w:r>
      <w:r w:rsidR="008F60E8" w:rsidRPr="00E37223">
        <w:rPr>
          <w:rFonts w:ascii="Times New Roman" w:hAnsi="Times New Roman" w:cs="Times New Roman"/>
        </w:rPr>
        <w:t>dollar</w:t>
      </w:r>
      <w:r w:rsidR="00FA6428" w:rsidRPr="00E37223">
        <w:rPr>
          <w:rFonts w:ascii="Times New Roman" w:hAnsi="Times New Roman" w:cs="Times New Roman"/>
        </w:rPr>
        <w:t xml:space="preserve">, and the debt-to-GDP ratio. For instance, </w:t>
      </w:r>
      <w:r w:rsidR="005852CB" w:rsidRPr="00E37223">
        <w:rPr>
          <w:rFonts w:ascii="Times New Roman" w:hAnsi="Times New Roman" w:cs="Times New Roman"/>
        </w:rPr>
        <w:t xml:space="preserve">Biswas </w:t>
      </w:r>
      <w:r w:rsidR="00570B38" w:rsidRPr="00E37223">
        <w:rPr>
          <w:rFonts w:ascii="Times New Roman" w:hAnsi="Times New Roman" w:cs="Times New Roman"/>
        </w:rPr>
        <w:t>and</w:t>
      </w:r>
      <w:r w:rsidR="005852CB" w:rsidRPr="00E37223">
        <w:rPr>
          <w:rFonts w:ascii="Times New Roman" w:hAnsi="Times New Roman" w:cs="Times New Roman"/>
        </w:rPr>
        <w:t xml:space="preserve"> Zhai (2021)</w:t>
      </w:r>
      <w:r w:rsidR="0034703C" w:rsidRPr="00E37223">
        <w:rPr>
          <w:rFonts w:ascii="Times New Roman" w:hAnsi="Times New Roman" w:cs="Times New Roman"/>
        </w:rPr>
        <w:t xml:space="preserve"> </w:t>
      </w:r>
      <w:r w:rsidR="00806EEF" w:rsidRPr="00E37223">
        <w:rPr>
          <w:rFonts w:ascii="Times New Roman" w:hAnsi="Times New Roman" w:cs="Times New Roman"/>
        </w:rPr>
        <w:t xml:space="preserve">employ </w:t>
      </w:r>
      <w:r w:rsidR="00374765" w:rsidRPr="00E37223">
        <w:rPr>
          <w:rFonts w:ascii="Times New Roman" w:hAnsi="Times New Roman" w:cs="Times New Roman"/>
        </w:rPr>
        <w:t xml:space="preserve">the </w:t>
      </w:r>
      <w:r w:rsidR="000A07B6" w:rsidRPr="00E37223">
        <w:rPr>
          <w:rFonts w:ascii="Times New Roman" w:hAnsi="Times New Roman" w:cs="Times New Roman"/>
        </w:rPr>
        <w:t>10-year treasure yield</w:t>
      </w:r>
      <w:r w:rsidR="00806EEF" w:rsidRPr="00E37223">
        <w:rPr>
          <w:rFonts w:ascii="Times New Roman" w:hAnsi="Times New Roman" w:cs="Times New Roman"/>
        </w:rPr>
        <w:t xml:space="preserve"> as a measure </w:t>
      </w:r>
      <w:r w:rsidR="00374765" w:rsidRPr="00E37223">
        <w:rPr>
          <w:rFonts w:ascii="Times New Roman" w:hAnsi="Times New Roman" w:cs="Times New Roman"/>
        </w:rPr>
        <w:t xml:space="preserve">of the </w:t>
      </w:r>
      <w:r w:rsidR="000A07B6" w:rsidRPr="00E37223">
        <w:rPr>
          <w:rFonts w:ascii="Times New Roman" w:hAnsi="Times New Roman" w:cs="Times New Roman"/>
        </w:rPr>
        <w:t>lender’s country liquidly condition</w:t>
      </w:r>
      <w:r w:rsidR="00806EEF" w:rsidRPr="00E37223">
        <w:rPr>
          <w:rFonts w:ascii="Times New Roman" w:hAnsi="Times New Roman" w:cs="Times New Roman"/>
        </w:rPr>
        <w:t xml:space="preserve">. </w:t>
      </w:r>
      <w:bookmarkStart w:id="6" w:name="OLE_LINK2"/>
      <w:r w:rsidR="005852CB" w:rsidRPr="00E37223">
        <w:rPr>
          <w:rFonts w:ascii="Times New Roman" w:hAnsi="Times New Roman" w:cs="Times New Roman"/>
        </w:rPr>
        <w:t>Correa</w:t>
      </w:r>
      <w:r w:rsidR="005852CB" w:rsidRPr="00E37223">
        <w:rPr>
          <w:rFonts w:ascii="Times New Roman" w:hAnsi="Times New Roman" w:cs="Times New Roman"/>
          <w:i/>
        </w:rPr>
        <w:t xml:space="preserve"> </w:t>
      </w:r>
      <w:r w:rsidR="005852CB" w:rsidRPr="00E37223">
        <w:rPr>
          <w:rFonts w:ascii="Times New Roman" w:hAnsi="Times New Roman" w:cs="Times New Roman"/>
          <w:iCs/>
        </w:rPr>
        <w:t>et al.</w:t>
      </w:r>
      <w:r w:rsidR="005852CB" w:rsidRPr="00E37223">
        <w:rPr>
          <w:rFonts w:ascii="Times New Roman" w:hAnsi="Times New Roman" w:cs="Times New Roman"/>
        </w:rPr>
        <w:t xml:space="preserve"> (2021)</w:t>
      </w:r>
      <w:r w:rsidR="0034703C" w:rsidRPr="00E37223">
        <w:rPr>
          <w:rFonts w:ascii="Times New Roman" w:hAnsi="Times New Roman" w:cs="Times New Roman"/>
        </w:rPr>
        <w:t xml:space="preserve"> </w:t>
      </w:r>
      <w:bookmarkEnd w:id="6"/>
      <w:r w:rsidR="008A6D22" w:rsidRPr="00E37223">
        <w:rPr>
          <w:rFonts w:ascii="Times New Roman" w:hAnsi="Times New Roman" w:cs="Times New Roman"/>
        </w:rPr>
        <w:t>suggest</w:t>
      </w:r>
      <w:r w:rsidR="00CB2ABF" w:rsidRPr="00E37223">
        <w:rPr>
          <w:rFonts w:ascii="Times New Roman" w:hAnsi="Times New Roman" w:cs="Times New Roman"/>
        </w:rPr>
        <w:t xml:space="preserve"> that </w:t>
      </w:r>
      <w:r w:rsidR="00FA6428" w:rsidRPr="00E37223">
        <w:rPr>
          <w:rFonts w:ascii="Times New Roman" w:hAnsi="Times New Roman" w:cs="Times New Roman"/>
        </w:rPr>
        <w:t xml:space="preserve">a </w:t>
      </w:r>
      <w:r w:rsidR="001D2FA9" w:rsidRPr="00E37223">
        <w:rPr>
          <w:rFonts w:ascii="Times New Roman" w:hAnsi="Times New Roman" w:cs="Times New Roman"/>
        </w:rPr>
        <w:t>higher</w:t>
      </w:r>
      <w:r w:rsidR="00FA6428" w:rsidRPr="00E37223">
        <w:rPr>
          <w:rFonts w:ascii="Times New Roman" w:hAnsi="Times New Roman" w:cs="Times New Roman"/>
        </w:rPr>
        <w:t xml:space="preserve"> government debt-to-GDP rati</w:t>
      </w:r>
      <w:r w:rsidR="008A6D22" w:rsidRPr="00E37223">
        <w:rPr>
          <w:rFonts w:ascii="Times New Roman" w:hAnsi="Times New Roman" w:cs="Times New Roman"/>
        </w:rPr>
        <w:t>o</w:t>
      </w:r>
      <w:r w:rsidR="00FA6428" w:rsidRPr="00E37223">
        <w:rPr>
          <w:rFonts w:ascii="Times New Roman" w:hAnsi="Times New Roman" w:cs="Times New Roman"/>
        </w:rPr>
        <w:t xml:space="preserve"> </w:t>
      </w:r>
      <w:r w:rsidR="0023707F" w:rsidRPr="00E37223">
        <w:rPr>
          <w:rFonts w:ascii="Times New Roman" w:hAnsi="Times New Roman" w:cs="Times New Roman"/>
        </w:rPr>
        <w:t>serve</w:t>
      </w:r>
      <w:r w:rsidR="00570B38" w:rsidRPr="00E37223">
        <w:rPr>
          <w:rFonts w:ascii="Times New Roman" w:hAnsi="Times New Roman" w:cs="Times New Roman"/>
        </w:rPr>
        <w:t>s</w:t>
      </w:r>
      <w:r w:rsidR="0023707F" w:rsidRPr="00E37223">
        <w:rPr>
          <w:rFonts w:ascii="Times New Roman" w:hAnsi="Times New Roman" w:cs="Times New Roman"/>
        </w:rPr>
        <w:t xml:space="preserve"> </w:t>
      </w:r>
      <w:r w:rsidR="00FA6428" w:rsidRPr="00E37223">
        <w:rPr>
          <w:rFonts w:ascii="Times New Roman" w:hAnsi="Times New Roman" w:cs="Times New Roman"/>
        </w:rPr>
        <w:t xml:space="preserve">as a proxy for sovereign vulnerabilities, </w:t>
      </w:r>
      <w:r w:rsidR="0023707F" w:rsidRPr="00E37223">
        <w:rPr>
          <w:rFonts w:ascii="Times New Roman" w:hAnsi="Times New Roman" w:cs="Times New Roman"/>
        </w:rPr>
        <w:t>implying</w:t>
      </w:r>
      <w:r w:rsidR="00A8524B" w:rsidRPr="00E37223">
        <w:rPr>
          <w:rFonts w:ascii="Times New Roman" w:hAnsi="Times New Roman" w:cs="Times New Roman"/>
        </w:rPr>
        <w:t xml:space="preserve"> a </w:t>
      </w:r>
      <w:r w:rsidR="0023707F" w:rsidRPr="00E37223">
        <w:rPr>
          <w:rFonts w:ascii="Times New Roman" w:hAnsi="Times New Roman" w:cs="Times New Roman"/>
        </w:rPr>
        <w:t>potential decrease in banks' capacity for</w:t>
      </w:r>
      <w:r w:rsidR="00A8524B" w:rsidRPr="00E37223">
        <w:rPr>
          <w:rFonts w:ascii="Times New Roman" w:hAnsi="Times New Roman" w:cs="Times New Roman"/>
        </w:rPr>
        <w:t xml:space="preserve"> international lending</w:t>
      </w:r>
      <w:r w:rsidR="007C79ED" w:rsidRPr="00E37223">
        <w:rPr>
          <w:rFonts w:ascii="Times New Roman" w:hAnsi="Times New Roman" w:cs="Times New Roman"/>
        </w:rPr>
        <w:t xml:space="preserve">. </w:t>
      </w:r>
    </w:p>
    <w:p w14:paraId="0878BA55" w14:textId="0D79516A" w:rsidR="001C148D" w:rsidRPr="00E37223" w:rsidRDefault="00235CBD" w:rsidP="00B560BA">
      <w:pPr>
        <w:spacing w:line="360" w:lineRule="auto"/>
        <w:ind w:firstLine="720"/>
        <w:rPr>
          <w:rFonts w:ascii="Times New Roman" w:hAnsi="Times New Roman" w:cs="Times New Roman"/>
        </w:rPr>
      </w:pPr>
      <w:r w:rsidRPr="00E37223">
        <w:rPr>
          <w:rFonts w:ascii="Times New Roman" w:hAnsi="Times New Roman" w:cs="Times New Roman"/>
        </w:rPr>
        <w:t>Table 1</w:t>
      </w:r>
      <w:r w:rsidR="00E76D76" w:rsidRPr="00E37223">
        <w:rPr>
          <w:rFonts w:ascii="Times New Roman" w:hAnsi="Times New Roman" w:cs="Times New Roman"/>
        </w:rPr>
        <w:t>a</w:t>
      </w:r>
      <w:r w:rsidRPr="00E37223">
        <w:rPr>
          <w:rFonts w:ascii="Times New Roman" w:hAnsi="Times New Roman" w:cs="Times New Roman"/>
        </w:rPr>
        <w:t xml:space="preserve"> reports descriptive statistics</w:t>
      </w:r>
      <w:r w:rsidR="00C23691" w:rsidRPr="00E37223">
        <w:rPr>
          <w:rFonts w:ascii="Times New Roman" w:hAnsi="Times New Roman" w:cs="Times New Roman"/>
        </w:rPr>
        <w:t xml:space="preserve"> </w:t>
      </w:r>
      <w:r w:rsidR="00E76D76" w:rsidRPr="00E37223">
        <w:rPr>
          <w:rFonts w:ascii="Times New Roman" w:hAnsi="Times New Roman" w:cs="Times New Roman"/>
        </w:rPr>
        <w:t>for the pooled data (no time and cross</w:t>
      </w:r>
      <w:r w:rsidR="00941C7E" w:rsidRPr="00E37223">
        <w:rPr>
          <w:rFonts w:ascii="Times New Roman" w:hAnsi="Times New Roman" w:cs="Times New Roman"/>
        </w:rPr>
        <w:t>-</w:t>
      </w:r>
      <w:r w:rsidR="00E76D76" w:rsidRPr="00E37223">
        <w:rPr>
          <w:rFonts w:ascii="Times New Roman" w:hAnsi="Times New Roman" w:cs="Times New Roman"/>
        </w:rPr>
        <w:t>sectional variations) of</w:t>
      </w:r>
      <w:r w:rsidR="009936FB" w:rsidRPr="00E37223">
        <w:rPr>
          <w:rFonts w:ascii="Times New Roman" w:hAnsi="Times New Roman" w:cs="Times New Roman"/>
        </w:rPr>
        <w:t xml:space="preserve"> the key variables used in our empirical </w:t>
      </w:r>
      <w:r w:rsidR="007D5697" w:rsidRPr="00E37223">
        <w:rPr>
          <w:rFonts w:ascii="Times New Roman" w:hAnsi="Times New Roman" w:cs="Times New Roman"/>
        </w:rPr>
        <w:t>estimation, namely</w:t>
      </w:r>
      <w:r w:rsidR="009936FB" w:rsidRPr="00E37223">
        <w:rPr>
          <w:rFonts w:ascii="Times New Roman" w:hAnsi="Times New Roman" w:cs="Times New Roman"/>
        </w:rPr>
        <w:t xml:space="preserve"> </w:t>
      </w:r>
      <w:r w:rsidRPr="00E37223">
        <w:rPr>
          <w:rFonts w:ascii="Times New Roman" w:hAnsi="Times New Roman" w:cs="Times New Roman"/>
        </w:rPr>
        <w:t>the mean, maximum, minimum, and standard deviation.</w:t>
      </w:r>
      <w:r w:rsidR="00A45BB9" w:rsidRPr="00E37223">
        <w:rPr>
          <w:rFonts w:ascii="Times New Roman" w:hAnsi="Times New Roman" w:cs="Times New Roman"/>
        </w:rPr>
        <w:t xml:space="preserve"> </w:t>
      </w:r>
      <w:r w:rsidR="00545A51" w:rsidRPr="00E37223">
        <w:rPr>
          <w:rFonts w:ascii="Times New Roman" w:hAnsi="Times New Roman" w:cs="Times New Roman"/>
        </w:rPr>
        <w:t xml:space="preserve">The average growth in quarterly cross-border claims during our sample period is approximately 3.8%, similar to Correa et al. (2021). </w:t>
      </w:r>
      <w:r w:rsidR="00E76D76" w:rsidRPr="00E37223">
        <w:rPr>
          <w:rFonts w:ascii="Times New Roman" w:hAnsi="Times New Roman" w:cs="Times New Roman"/>
        </w:rPr>
        <w:t>For the sake of comprehensiveness</w:t>
      </w:r>
      <w:r w:rsidR="00941C7E" w:rsidRPr="00E37223">
        <w:rPr>
          <w:rFonts w:ascii="Times New Roman" w:hAnsi="Times New Roman" w:cs="Times New Roman"/>
        </w:rPr>
        <w:t xml:space="preserve">, Table 1b also reports </w:t>
      </w:r>
      <w:r w:rsidR="00E76D76" w:rsidRPr="00E37223">
        <w:rPr>
          <w:rFonts w:ascii="Times New Roman" w:hAnsi="Times New Roman" w:cs="Times New Roman"/>
        </w:rPr>
        <w:t xml:space="preserve">the </w:t>
      </w:r>
      <w:r w:rsidR="00941C7E" w:rsidRPr="00E37223">
        <w:rPr>
          <w:rFonts w:ascii="Times New Roman" w:hAnsi="Times New Roman" w:cs="Times New Roman"/>
        </w:rPr>
        <w:t xml:space="preserve">descriptive statistics for the panel data from which differences in statistics using within and between variations can be elicited. </w:t>
      </w:r>
      <w:r w:rsidR="003F6F51" w:rsidRPr="00E37223">
        <w:rPr>
          <w:rFonts w:ascii="Times New Roman" w:hAnsi="Times New Roman" w:cs="Times New Roman"/>
        </w:rPr>
        <w:t>Table 2</w:t>
      </w:r>
      <w:r w:rsidR="006B5B9E" w:rsidRPr="00E37223">
        <w:rPr>
          <w:rFonts w:ascii="Times New Roman" w:hAnsi="Times New Roman" w:cs="Times New Roman"/>
        </w:rPr>
        <w:t xml:space="preserve">a and Table 2b </w:t>
      </w:r>
      <w:r w:rsidR="003F6F51" w:rsidRPr="00E37223">
        <w:rPr>
          <w:rFonts w:ascii="Times New Roman" w:hAnsi="Times New Roman" w:cs="Times New Roman"/>
        </w:rPr>
        <w:t>report</w:t>
      </w:r>
      <w:r w:rsidR="006B5B9E" w:rsidRPr="00E37223">
        <w:rPr>
          <w:rFonts w:ascii="Times New Roman" w:hAnsi="Times New Roman" w:cs="Times New Roman"/>
        </w:rPr>
        <w:t xml:space="preserve"> </w:t>
      </w:r>
      <w:r w:rsidR="003F6F51" w:rsidRPr="00E37223">
        <w:rPr>
          <w:rFonts w:ascii="Times New Roman" w:hAnsi="Times New Roman" w:cs="Times New Roman"/>
        </w:rPr>
        <w:t>the correlation matrix</w:t>
      </w:r>
      <w:r w:rsidR="00545A51" w:rsidRPr="00E37223">
        <w:rPr>
          <w:rFonts w:ascii="Times New Roman" w:hAnsi="Times New Roman" w:cs="Times New Roman"/>
        </w:rPr>
        <w:t>, displaying reassuring values.</w:t>
      </w:r>
      <w:r w:rsidR="003F6F51" w:rsidRPr="00E37223">
        <w:rPr>
          <w:rFonts w:ascii="Times New Roman" w:hAnsi="Times New Roman" w:cs="Times New Roman"/>
        </w:rPr>
        <w:t xml:space="preserve"> </w:t>
      </w:r>
      <w:r w:rsidR="003B345B" w:rsidRPr="00E37223">
        <w:rPr>
          <w:rFonts w:ascii="Times New Roman" w:hAnsi="Times New Roman" w:cs="Times New Roman"/>
        </w:rPr>
        <w:t>At the country–pair level (Table 2a), AMB is only moderately correlated with macro fundamentals: the correlations with real GDP growth and inflation are 0.0845 and 0.0549, respectively, and essentially zero with exchange-rate growth. The strongest correlation is with the short-term interest rate (</w:t>
      </w:r>
      <w:r w:rsidR="00A61B3E" w:rsidRPr="00E37223">
        <w:rPr>
          <w:rFonts w:ascii="Times New Roman" w:hAnsi="Times New Roman" w:cs="Times New Roman"/>
        </w:rPr>
        <w:t>-</w:t>
      </w:r>
      <w:r w:rsidR="003B345B" w:rsidRPr="00E37223">
        <w:rPr>
          <w:rFonts w:ascii="Times New Roman" w:hAnsi="Times New Roman" w:cs="Times New Roman"/>
        </w:rPr>
        <w:t>0.2287) and with the public debt-to-GDP ratio (0.0477). At the lender-country level for the syndicated-loan sample (Table 2b), we again find modest correlations: AMB is positively correlated with real GDP growth and inflation (0.1069 and 0.0974) and negatively correlated with the debt-to-GDP ratio (</w:t>
      </w:r>
      <w:r w:rsidR="00A61B3E" w:rsidRPr="00E37223">
        <w:rPr>
          <w:rFonts w:ascii="Times New Roman" w:hAnsi="Times New Roman" w:cs="Times New Roman"/>
        </w:rPr>
        <w:t>-</w:t>
      </w:r>
      <w:r w:rsidR="003B345B" w:rsidRPr="00E37223">
        <w:rPr>
          <w:rFonts w:ascii="Times New Roman" w:hAnsi="Times New Roman" w:cs="Times New Roman"/>
        </w:rPr>
        <w:t xml:space="preserve">0.1486), while correlations with exchange-rate </w:t>
      </w:r>
      <w:r w:rsidR="003B345B" w:rsidRPr="00E37223">
        <w:rPr>
          <w:rFonts w:ascii="Times New Roman" w:hAnsi="Times New Roman" w:cs="Times New Roman"/>
        </w:rPr>
        <w:lastRenderedPageBreak/>
        <w:t xml:space="preserve">growth and other controls remain small. </w:t>
      </w:r>
      <w:r w:rsidR="00B560BA" w:rsidRPr="00E37223">
        <w:rPr>
          <w:rFonts w:ascii="Times New Roman" w:hAnsi="Times New Roman" w:cs="Times New Roman"/>
        </w:rPr>
        <w:t>Overall, the magnitudes of these correlations are small in economic terms</w:t>
      </w:r>
      <w:r w:rsidR="00B43FC7" w:rsidRPr="00E37223">
        <w:rPr>
          <w:rFonts w:ascii="Times New Roman" w:hAnsi="Times New Roman" w:cs="Times New Roman"/>
        </w:rPr>
        <w:t xml:space="preserve">, </w:t>
      </w:r>
      <w:r w:rsidR="00B560BA" w:rsidRPr="00E37223">
        <w:rPr>
          <w:rFonts w:ascii="Times New Roman" w:hAnsi="Times New Roman" w:cs="Times New Roman"/>
        </w:rPr>
        <w:t>mostly below 0.25</w:t>
      </w:r>
      <w:r w:rsidR="00B43FC7" w:rsidRPr="00E37223">
        <w:rPr>
          <w:rFonts w:ascii="Times New Roman" w:hAnsi="Times New Roman" w:cs="Times New Roman"/>
        </w:rPr>
        <w:t xml:space="preserve">, </w:t>
      </w:r>
      <w:r w:rsidR="0061299B" w:rsidRPr="00E37223">
        <w:rPr>
          <w:rFonts w:ascii="Times New Roman" w:hAnsi="Times New Roman" w:cs="Times New Roman"/>
        </w:rPr>
        <w:t xml:space="preserve">indicating, </w:t>
      </w:r>
      <w:r w:rsidR="003B29B5" w:rsidRPr="00E37223">
        <w:rPr>
          <w:rFonts w:ascii="Times New Roman" w:hAnsi="Times New Roman" w:cs="Times New Roman"/>
        </w:rPr>
        <w:t>first, that multicollinearity between AMB and the macro controls is unlikely to be a concern, and second, that our ambiguity measure is related to, but not dominated by, standard macroeconomic conditions. In other words, AMB captures a distinct dimension of Knightian uncertainty that goes beyond conventional business-cycle indicators.</w:t>
      </w:r>
    </w:p>
    <w:p w14:paraId="7E983AC5" w14:textId="77777777" w:rsidR="00B560BA" w:rsidRPr="00E37223" w:rsidRDefault="00B560BA" w:rsidP="00B560BA">
      <w:pPr>
        <w:spacing w:line="360" w:lineRule="auto"/>
        <w:ind w:firstLine="720"/>
        <w:rPr>
          <w:rFonts w:ascii="Times New Roman" w:hAnsi="Times New Roman" w:cs="Times New Roman"/>
          <w:b/>
          <w:bCs/>
        </w:rPr>
      </w:pPr>
    </w:p>
    <w:p w14:paraId="7E4D91B5" w14:textId="433B91D1" w:rsidR="003C6258" w:rsidRPr="00E37223" w:rsidRDefault="00450088" w:rsidP="00DD3FB5">
      <w:pPr>
        <w:spacing w:line="360" w:lineRule="auto"/>
        <w:rPr>
          <w:rFonts w:ascii="Times New Roman" w:hAnsi="Times New Roman" w:cs="Times New Roman"/>
          <w:b/>
          <w:bCs/>
        </w:rPr>
      </w:pPr>
      <w:r w:rsidRPr="00E37223">
        <w:rPr>
          <w:rFonts w:ascii="Times New Roman" w:hAnsi="Times New Roman" w:cs="Times New Roman"/>
          <w:b/>
          <w:bCs/>
        </w:rPr>
        <w:t xml:space="preserve">2.5 </w:t>
      </w:r>
      <w:r w:rsidR="008C61C6" w:rsidRPr="00E37223">
        <w:rPr>
          <w:rFonts w:ascii="Times New Roman" w:hAnsi="Times New Roman" w:cs="Times New Roman"/>
          <w:b/>
          <w:bCs/>
        </w:rPr>
        <w:t xml:space="preserve"> </w:t>
      </w:r>
      <w:r w:rsidR="003F6F11" w:rsidRPr="00E37223">
        <w:rPr>
          <w:rFonts w:ascii="Times New Roman" w:hAnsi="Times New Roman" w:cs="Times New Roman"/>
          <w:b/>
          <w:bCs/>
        </w:rPr>
        <w:t>Model specification and method</w:t>
      </w:r>
    </w:p>
    <w:p w14:paraId="54B3DE3A" w14:textId="068429A6" w:rsidR="00423E2A" w:rsidRPr="00E37223" w:rsidRDefault="004727C6" w:rsidP="00DD3FB5">
      <w:pPr>
        <w:spacing w:line="360" w:lineRule="auto"/>
        <w:rPr>
          <w:rFonts w:ascii="Times New Roman" w:hAnsi="Times New Roman" w:cs="Times New Roman"/>
        </w:rPr>
      </w:pPr>
      <w:r w:rsidRPr="00E37223">
        <w:rPr>
          <w:rFonts w:ascii="Times New Roman" w:hAnsi="Times New Roman" w:cs="Times New Roman"/>
        </w:rPr>
        <w:t>T</w:t>
      </w:r>
      <w:r w:rsidR="007C3559" w:rsidRPr="00E37223">
        <w:rPr>
          <w:rFonts w:ascii="Times New Roman" w:hAnsi="Times New Roman" w:cs="Times New Roman"/>
        </w:rPr>
        <w:t>o</w:t>
      </w:r>
      <w:r w:rsidR="00521712" w:rsidRPr="00E37223">
        <w:rPr>
          <w:rFonts w:ascii="Times New Roman" w:hAnsi="Times New Roman" w:cs="Times New Roman"/>
        </w:rPr>
        <w:t xml:space="preserve"> investigate the impact of ambiguity on cross-border bank</w:t>
      </w:r>
      <w:r w:rsidR="00545A51" w:rsidRPr="00E37223">
        <w:rPr>
          <w:rFonts w:ascii="Times New Roman" w:hAnsi="Times New Roman" w:cs="Times New Roman"/>
        </w:rPr>
        <w:t xml:space="preserve"> lending</w:t>
      </w:r>
      <w:r w:rsidRPr="00E37223">
        <w:rPr>
          <w:rFonts w:ascii="Times New Roman" w:hAnsi="Times New Roman" w:cs="Times New Roman"/>
        </w:rPr>
        <w:t xml:space="preserve">, we </w:t>
      </w:r>
      <w:r w:rsidR="00545A51" w:rsidRPr="00E37223">
        <w:rPr>
          <w:rFonts w:ascii="Times New Roman" w:hAnsi="Times New Roman" w:cs="Times New Roman"/>
        </w:rPr>
        <w:t xml:space="preserve">can use </w:t>
      </w:r>
      <w:r w:rsidR="00521712" w:rsidRPr="00E37223">
        <w:rPr>
          <w:rFonts w:ascii="Times New Roman" w:hAnsi="Times New Roman" w:cs="Times New Roman"/>
        </w:rPr>
        <w:t>the</w:t>
      </w:r>
      <w:r w:rsidR="00545A51" w:rsidRPr="00E37223">
        <w:rPr>
          <w:rFonts w:ascii="Times New Roman" w:hAnsi="Times New Roman" w:cs="Times New Roman"/>
        </w:rPr>
        <w:t xml:space="preserve"> standard </w:t>
      </w:r>
      <w:r w:rsidR="00521712" w:rsidRPr="00E37223">
        <w:rPr>
          <w:rFonts w:ascii="Times New Roman" w:hAnsi="Times New Roman" w:cs="Times New Roman"/>
        </w:rPr>
        <w:t xml:space="preserve">empirical framework used </w:t>
      </w:r>
      <w:r w:rsidR="00545A51" w:rsidRPr="00E37223">
        <w:rPr>
          <w:rFonts w:ascii="Times New Roman" w:hAnsi="Times New Roman" w:cs="Times New Roman"/>
        </w:rPr>
        <w:t>by C</w:t>
      </w:r>
      <w:r w:rsidR="005852CB" w:rsidRPr="00E37223">
        <w:rPr>
          <w:rFonts w:ascii="Times New Roman" w:hAnsi="Times New Roman" w:cs="Times New Roman"/>
        </w:rPr>
        <w:t xml:space="preserve">hoi </w:t>
      </w:r>
      <w:r w:rsidR="00545A51" w:rsidRPr="00E37223">
        <w:rPr>
          <w:rFonts w:ascii="Times New Roman" w:hAnsi="Times New Roman" w:cs="Times New Roman"/>
        </w:rPr>
        <w:t>and</w:t>
      </w:r>
      <w:r w:rsidR="005852CB" w:rsidRPr="00E37223">
        <w:rPr>
          <w:rFonts w:ascii="Times New Roman" w:hAnsi="Times New Roman" w:cs="Times New Roman"/>
        </w:rPr>
        <w:t xml:space="preserve"> Furceri</w:t>
      </w:r>
      <w:r w:rsidR="00545A51" w:rsidRPr="00E37223">
        <w:rPr>
          <w:rFonts w:ascii="Times New Roman" w:hAnsi="Times New Roman" w:cs="Times New Roman"/>
        </w:rPr>
        <w:t xml:space="preserve"> (</w:t>
      </w:r>
      <w:r w:rsidR="005852CB" w:rsidRPr="00E37223">
        <w:rPr>
          <w:rFonts w:ascii="Times New Roman" w:hAnsi="Times New Roman" w:cs="Times New Roman"/>
        </w:rPr>
        <w:t>2019</w:t>
      </w:r>
      <w:r w:rsidR="00545A51" w:rsidRPr="00E37223">
        <w:rPr>
          <w:rFonts w:ascii="Times New Roman" w:hAnsi="Times New Roman" w:cs="Times New Roman"/>
        </w:rPr>
        <w:t xml:space="preserve">) and </w:t>
      </w:r>
      <w:r w:rsidR="005852CB" w:rsidRPr="00E37223">
        <w:rPr>
          <w:rFonts w:ascii="Times New Roman" w:hAnsi="Times New Roman" w:cs="Times New Roman"/>
        </w:rPr>
        <w:t>Correa</w:t>
      </w:r>
      <w:r w:rsidR="005852CB" w:rsidRPr="00E37223">
        <w:rPr>
          <w:rFonts w:ascii="Times New Roman" w:hAnsi="Times New Roman" w:cs="Times New Roman"/>
          <w:i/>
        </w:rPr>
        <w:t xml:space="preserve"> </w:t>
      </w:r>
      <w:r w:rsidR="005852CB" w:rsidRPr="00E37223">
        <w:rPr>
          <w:rFonts w:ascii="Times New Roman" w:hAnsi="Times New Roman" w:cs="Times New Roman"/>
          <w:iCs/>
        </w:rPr>
        <w:t>et al.</w:t>
      </w:r>
      <w:r w:rsidR="00545A51" w:rsidRPr="00E37223">
        <w:rPr>
          <w:rFonts w:ascii="Times New Roman" w:hAnsi="Times New Roman" w:cs="Times New Roman"/>
          <w:i/>
        </w:rPr>
        <w:t xml:space="preserve"> </w:t>
      </w:r>
      <w:r w:rsidR="00545A51" w:rsidRPr="00E37223">
        <w:rPr>
          <w:rFonts w:ascii="Times New Roman" w:hAnsi="Times New Roman" w:cs="Times New Roman"/>
        </w:rPr>
        <w:t>(</w:t>
      </w:r>
      <w:r w:rsidR="005852CB" w:rsidRPr="00E37223">
        <w:rPr>
          <w:rFonts w:ascii="Times New Roman" w:hAnsi="Times New Roman" w:cs="Times New Roman"/>
        </w:rPr>
        <w:t>2021)</w:t>
      </w:r>
      <w:r w:rsidR="00485BE6" w:rsidRPr="00E37223">
        <w:rPr>
          <w:rFonts w:ascii="Times New Roman" w:hAnsi="Times New Roman" w:cs="Times New Roman"/>
        </w:rPr>
        <w:t>.</w:t>
      </w:r>
      <w:r w:rsidRPr="00E37223">
        <w:rPr>
          <w:rFonts w:ascii="Times New Roman" w:hAnsi="Times New Roman" w:cs="Times New Roman"/>
        </w:rPr>
        <w:t xml:space="preserve"> </w:t>
      </w:r>
      <w:r w:rsidR="001F09DE" w:rsidRPr="00E37223">
        <w:rPr>
          <w:rFonts w:ascii="Times New Roman" w:hAnsi="Times New Roman" w:cs="Times New Roman"/>
        </w:rPr>
        <w:t>Specifically,</w:t>
      </w:r>
      <w:r w:rsidRPr="00E37223">
        <w:rPr>
          <w:rFonts w:ascii="Times New Roman" w:hAnsi="Times New Roman" w:cs="Times New Roman"/>
        </w:rPr>
        <w:t xml:space="preserve"> </w:t>
      </w:r>
      <w:r w:rsidR="003F7C61" w:rsidRPr="00E37223">
        <w:rPr>
          <w:rFonts w:ascii="Times New Roman" w:hAnsi="Times New Roman" w:cs="Times New Roman"/>
        </w:rPr>
        <w:t>the empirical estimation model takes the following form</w:t>
      </w:r>
      <w:r w:rsidR="00331AF3" w:rsidRPr="00E37223">
        <w:rPr>
          <w:rFonts w:ascii="Times New Roman" w:hAnsi="Times New Roman" w:cs="Times New Roman"/>
        </w:rPr>
        <w:t>:</w:t>
      </w:r>
    </w:p>
    <w:p w14:paraId="1FE79B5B" w14:textId="77777777" w:rsidR="00D62744" w:rsidRPr="00E37223" w:rsidRDefault="00D62744" w:rsidP="00DD3FB5">
      <w:pPr>
        <w:spacing w:line="360" w:lineRule="auto"/>
        <w:rPr>
          <w:rFonts w:ascii="Times New Roman" w:hAnsi="Times New Roman" w:cs="Times New Roman"/>
        </w:rPr>
      </w:pPr>
    </w:p>
    <w:p w14:paraId="794A58FB" w14:textId="5A95BADD" w:rsidR="00C14DE7" w:rsidRPr="00E37223" w:rsidRDefault="00A33D86" w:rsidP="00DD3FB5">
      <w:pPr>
        <w:spacing w:line="360" w:lineRule="auto"/>
        <w:rPr>
          <w:rFonts w:ascii="Times New Roman" w:hAnsi="Times New Roman" w:cs="Times New Roman"/>
        </w:rPr>
      </w:pP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CLAIM</m:t>
            </m:r>
          </m:e>
          <m:sub>
            <m:r>
              <w:rPr>
                <w:rFonts w:ascii="Cambria Math" w:hAnsi="Cambria Math" w:cs="Times New Roman"/>
              </w:rPr>
              <m:t>i,j,t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j,t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βAMB</m:t>
            </m:r>
          </m:e>
          <m:sub>
            <m:r>
              <w:rPr>
                <w:rFonts w:ascii="Cambria Math" w:hAnsi="Cambria Math" w:cs="Times New Roman"/>
              </w:rPr>
              <m:t>i,t-1</m:t>
            </m:r>
          </m:sub>
        </m:sSub>
        <m:r>
          <w:rPr>
            <w:rFonts w:ascii="Cambria Math" w:hAnsi="Cambria Math" w:cs="Times New Roman"/>
          </w:rPr>
          <m:t>+γ</m:t>
        </m:r>
        <m:sSub>
          <m:sSubPr>
            <m:ctrlPr>
              <w:rPr>
                <w:rFonts w:ascii="Cambria Math" w:hAnsi="Cambria Math" w:cs="Times New Roman"/>
                <w:i/>
              </w:rPr>
            </m:ctrlPr>
          </m:sSubPr>
          <m:e>
            <m:r>
              <w:rPr>
                <w:rFonts w:ascii="Cambria Math" w:hAnsi="Cambria Math" w:cs="Times New Roman"/>
              </w:rPr>
              <m:t>CONTORL</m:t>
            </m:r>
          </m:e>
          <m:sub>
            <m:r>
              <w:rPr>
                <w:rFonts w:ascii="Cambria Math" w:hAnsi="Cambria Math" w:cs="Times New Roman"/>
              </w:rPr>
              <m:t>i,t-1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i,j,t</m:t>
            </m:r>
          </m:sub>
        </m:sSub>
      </m:oMath>
      <w:r w:rsidR="00C9328C" w:rsidRPr="00E37223">
        <w:rPr>
          <w:rFonts w:ascii="Times New Roman" w:hAnsi="Times New Roman" w:cs="Times New Roman"/>
        </w:rPr>
        <w:t xml:space="preserve">  </w:t>
      </w:r>
      <w:r w:rsidR="007339C0" w:rsidRPr="00E37223">
        <w:rPr>
          <w:rFonts w:ascii="Times New Roman" w:hAnsi="Times New Roman" w:cs="Times New Roman"/>
        </w:rPr>
        <w:t xml:space="preserve">                  (4)</w:t>
      </w:r>
    </w:p>
    <w:p w14:paraId="0E1FAF07" w14:textId="77777777" w:rsidR="00D62744" w:rsidRPr="00E37223" w:rsidRDefault="00D62744" w:rsidP="00DD3FB5">
      <w:pPr>
        <w:spacing w:line="360" w:lineRule="auto"/>
        <w:rPr>
          <w:rFonts w:ascii="Times New Roman" w:hAnsi="Times New Roman" w:cs="Times New Roman"/>
        </w:rPr>
      </w:pPr>
    </w:p>
    <w:p w14:paraId="62FFBD1C" w14:textId="321FFDC2" w:rsidR="00147008" w:rsidRPr="00E37223" w:rsidRDefault="004727C6" w:rsidP="00DD3FB5">
      <w:pPr>
        <w:spacing w:line="360" w:lineRule="auto"/>
        <w:rPr>
          <w:rFonts w:ascii="Times New Roman" w:hAnsi="Times New Roman" w:cs="Times New Roman"/>
        </w:rPr>
      </w:pPr>
      <w:r w:rsidRPr="00E37223">
        <w:rPr>
          <w:rFonts w:ascii="Times New Roman" w:hAnsi="Times New Roman" w:cs="Times New Roman"/>
        </w:rPr>
        <w:t xml:space="preserve">where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CLAIM</m:t>
            </m:r>
          </m:e>
          <m:sub>
            <m:r>
              <w:rPr>
                <w:rFonts w:ascii="Cambria Math" w:hAnsi="Cambria Math" w:cs="Times New Roman"/>
              </w:rPr>
              <m:t>i,j,t</m:t>
            </m:r>
          </m:sub>
        </m:sSub>
      </m:oMath>
      <w:r w:rsidR="002B1DA0" w:rsidRPr="00E37223">
        <w:rPr>
          <w:rFonts w:ascii="Times New Roman" w:hAnsi="Times New Roman" w:cs="Times New Roman"/>
        </w:rPr>
        <w:t xml:space="preserve"> </w:t>
      </w:r>
      <w:r w:rsidRPr="00E37223">
        <w:rPr>
          <w:rFonts w:ascii="Times New Roman" w:hAnsi="Times New Roman" w:cs="Times New Roman"/>
        </w:rPr>
        <w:t xml:space="preserve">, </w:t>
      </w:r>
      <w:r w:rsidR="002B1DA0" w:rsidRPr="00E37223">
        <w:rPr>
          <w:rFonts w:ascii="Times New Roman" w:hAnsi="Times New Roman" w:cs="Times New Roman"/>
        </w:rPr>
        <w:t xml:space="preserve">our main dependent </w:t>
      </w:r>
      <w:r w:rsidR="00D83478" w:rsidRPr="00E37223">
        <w:rPr>
          <w:rFonts w:ascii="Times New Roman" w:hAnsi="Times New Roman" w:cs="Times New Roman"/>
        </w:rPr>
        <w:t>variable</w:t>
      </w:r>
      <w:r w:rsidR="007771BD" w:rsidRPr="00E37223">
        <w:rPr>
          <w:rFonts w:ascii="Times New Roman" w:hAnsi="Times New Roman" w:cs="Times New Roman"/>
        </w:rPr>
        <w:t xml:space="preserve">, refers to the </w:t>
      </w:r>
      <w:r w:rsidR="00D83478" w:rsidRPr="00E37223">
        <w:rPr>
          <w:rFonts w:ascii="Times New Roman" w:hAnsi="Times New Roman" w:cs="Times New Roman"/>
        </w:rPr>
        <w:t xml:space="preserve">quarterly growth in cross-border bank claims of a source country </w:t>
      </w:r>
      <w:r w:rsidR="00D83478" w:rsidRPr="00E37223">
        <w:rPr>
          <w:rFonts w:ascii="Times New Roman" w:hAnsi="Times New Roman" w:cs="Times New Roman"/>
          <w:i/>
          <w:iCs/>
        </w:rPr>
        <w:t>i</w:t>
      </w:r>
      <w:r w:rsidR="00D83478" w:rsidRPr="00E37223">
        <w:rPr>
          <w:rFonts w:ascii="Times New Roman" w:hAnsi="Times New Roman" w:cs="Times New Roman"/>
        </w:rPr>
        <w:t xml:space="preserve"> to a recipient country </w:t>
      </w:r>
      <w:r w:rsidR="00D83478" w:rsidRPr="00E37223">
        <w:rPr>
          <w:rFonts w:ascii="Times New Roman" w:hAnsi="Times New Roman" w:cs="Times New Roman"/>
          <w:i/>
          <w:iCs/>
        </w:rPr>
        <w:t>j</w:t>
      </w:r>
      <w:r w:rsidR="00D83478" w:rsidRPr="00E37223">
        <w:rPr>
          <w:rFonts w:ascii="Times New Roman" w:hAnsi="Times New Roman" w:cs="Times New Roman"/>
        </w:rPr>
        <w:t xml:space="preserve"> in time </w:t>
      </w:r>
      <w:r w:rsidR="00D83478" w:rsidRPr="00E37223">
        <w:rPr>
          <w:rFonts w:ascii="Times New Roman" w:hAnsi="Times New Roman" w:cs="Times New Roman"/>
          <w:i/>
          <w:iCs/>
        </w:rPr>
        <w:t>t</w:t>
      </w:r>
      <w:r w:rsidRPr="00E37223">
        <w:rPr>
          <w:rFonts w:ascii="Times New Roman" w:hAnsi="Times New Roman" w:cs="Times New Roman"/>
        </w:rPr>
        <w:t>. It</w:t>
      </w:r>
      <w:r w:rsidR="00BA0ECD" w:rsidRPr="00E37223">
        <w:rPr>
          <w:rFonts w:ascii="Times New Roman" w:hAnsi="Times New Roman" w:cs="Times New Roman"/>
        </w:rPr>
        <w:t xml:space="preserve"> captures the dynamic changes in banking activities between </w:t>
      </w:r>
      <w:r w:rsidR="00EE1703" w:rsidRPr="00E37223">
        <w:rPr>
          <w:rFonts w:ascii="Times New Roman" w:hAnsi="Times New Roman" w:cs="Times New Roman"/>
        </w:rPr>
        <w:t xml:space="preserve">source and recipient </w:t>
      </w:r>
      <w:r w:rsidR="00BA0ECD" w:rsidRPr="00E37223">
        <w:rPr>
          <w:rFonts w:ascii="Times New Roman" w:hAnsi="Times New Roman" w:cs="Times New Roman"/>
        </w:rPr>
        <w:t xml:space="preserve">countries over time. </w:t>
      </w:r>
      <m:oMath>
        <m:sSub>
          <m:sSubPr>
            <m:ctrlPr>
              <w:rPr>
                <w:rFonts w:ascii="Cambria Math" w:hAnsi="Cambria Math" w:cs="Times New Roman"/>
                <w:i/>
              </w:rPr>
            </m:ctrlPr>
          </m:sSubPr>
          <m:e>
            <m:r>
              <w:rPr>
                <w:rFonts w:ascii="Cambria Math" w:hAnsi="Cambria Math" w:cs="Times New Roman"/>
              </w:rPr>
              <m:t>AMB</m:t>
            </m:r>
          </m:e>
          <m:sub>
            <m:r>
              <w:rPr>
                <w:rFonts w:ascii="Cambria Math" w:hAnsi="Cambria Math" w:cs="Times New Roman"/>
              </w:rPr>
              <m:t>i,t-1</m:t>
            </m:r>
          </m:sub>
        </m:sSub>
      </m:oMath>
      <w:r w:rsidR="004121B1" w:rsidRPr="00E37223">
        <w:rPr>
          <w:rFonts w:ascii="Times New Roman" w:hAnsi="Times New Roman" w:cs="Times New Roman"/>
        </w:rPr>
        <w:t xml:space="preserve"> </w:t>
      </w:r>
      <w:r w:rsidR="003B323C" w:rsidRPr="00E37223">
        <w:rPr>
          <w:rFonts w:ascii="Times New Roman" w:hAnsi="Times New Roman" w:cs="Times New Roman"/>
        </w:rPr>
        <w:t xml:space="preserve">is </w:t>
      </w:r>
      <w:r w:rsidR="00C55708" w:rsidRPr="00E37223">
        <w:rPr>
          <w:rFonts w:ascii="Times New Roman" w:hAnsi="Times New Roman" w:cs="Times New Roman"/>
        </w:rPr>
        <w:t xml:space="preserve">our </w:t>
      </w:r>
      <w:r w:rsidR="003B323C" w:rsidRPr="00E37223">
        <w:rPr>
          <w:rFonts w:ascii="Times New Roman" w:hAnsi="Times New Roman" w:cs="Times New Roman"/>
        </w:rPr>
        <w:t xml:space="preserve">variable of interest, </w:t>
      </w:r>
      <w:r w:rsidR="00C55708" w:rsidRPr="00E37223">
        <w:rPr>
          <w:rFonts w:ascii="Times New Roman" w:hAnsi="Times New Roman" w:cs="Times New Roman"/>
        </w:rPr>
        <w:t xml:space="preserve">measuring </w:t>
      </w:r>
      <w:r w:rsidR="00C65447" w:rsidRPr="00E37223">
        <w:rPr>
          <w:rFonts w:ascii="Times New Roman" w:hAnsi="Times New Roman" w:cs="Times New Roman"/>
        </w:rPr>
        <w:t xml:space="preserve">the </w:t>
      </w:r>
      <w:r w:rsidR="003B323C" w:rsidRPr="00E37223">
        <w:rPr>
          <w:rFonts w:ascii="Times New Roman" w:hAnsi="Times New Roman" w:cs="Times New Roman"/>
        </w:rPr>
        <w:t>source country</w:t>
      </w:r>
      <w:r w:rsidR="00C65447" w:rsidRPr="00E37223">
        <w:rPr>
          <w:rFonts w:ascii="Times New Roman" w:hAnsi="Times New Roman" w:cs="Times New Roman"/>
        </w:rPr>
        <w:t>’s</w:t>
      </w:r>
      <w:r w:rsidR="003B323C" w:rsidRPr="00E37223">
        <w:rPr>
          <w:rFonts w:ascii="Times New Roman" w:hAnsi="Times New Roman" w:cs="Times New Roman"/>
        </w:rPr>
        <w:t xml:space="preserve"> ambiguity</w:t>
      </w:r>
      <w:r w:rsidR="00E6535E" w:rsidRPr="00E37223">
        <w:rPr>
          <w:rStyle w:val="FootnoteReference"/>
          <w:rFonts w:ascii="Times New Roman" w:hAnsi="Times New Roman" w:cs="Times New Roman"/>
        </w:rPr>
        <w:footnoteReference w:id="9"/>
      </w:r>
      <w:r w:rsidR="003B323C" w:rsidRPr="00E37223">
        <w:rPr>
          <w:rFonts w:ascii="Times New Roman" w:hAnsi="Times New Roman" w:cs="Times New Roman"/>
        </w:rPr>
        <w:t xml:space="preserve">. </w:t>
      </w:r>
      <w:r w:rsidR="00147008" w:rsidRPr="00E37223">
        <w:rPr>
          <w:rFonts w:ascii="Times New Roman" w:hAnsi="Times New Roman" w:cs="Times New Roman"/>
        </w:rPr>
        <w:t xml:space="preserve">Additionally, we include a set of macroeconomic control variables, </w:t>
      </w:r>
      <m:oMath>
        <m:sSub>
          <m:sSubPr>
            <m:ctrlPr>
              <w:rPr>
                <w:rFonts w:ascii="Cambria Math" w:hAnsi="Cambria Math" w:cs="Times New Roman"/>
                <w:i/>
              </w:rPr>
            </m:ctrlPr>
          </m:sSubPr>
          <m:e>
            <m:r>
              <w:rPr>
                <w:rFonts w:ascii="Cambria Math" w:hAnsi="Cambria Math" w:cs="Times New Roman"/>
              </w:rPr>
              <m:t>CONTORL</m:t>
            </m:r>
          </m:e>
          <m:sub>
            <m:r>
              <w:rPr>
                <w:rFonts w:ascii="Cambria Math" w:hAnsi="Cambria Math" w:cs="Times New Roman"/>
              </w:rPr>
              <m:t>i,t-1</m:t>
            </m:r>
          </m:sub>
        </m:sSub>
      </m:oMath>
      <w:r w:rsidR="00147008" w:rsidRPr="00E37223">
        <w:rPr>
          <w:rFonts w:ascii="Times New Roman" w:hAnsi="Times New Roman" w:cs="Times New Roman"/>
        </w:rPr>
        <w:t xml:space="preserve">, in the source country </w:t>
      </w:r>
      <w:r w:rsidR="00147008" w:rsidRPr="00E37223">
        <w:rPr>
          <w:rFonts w:ascii="Times New Roman" w:hAnsi="Times New Roman" w:cs="Times New Roman"/>
          <w:i/>
          <w:iCs/>
        </w:rPr>
        <w:t>i</w:t>
      </w:r>
      <w:r w:rsidR="00147008" w:rsidRPr="00E37223">
        <w:rPr>
          <w:rFonts w:ascii="Times New Roman" w:hAnsi="Times New Roman" w:cs="Times New Roman"/>
        </w:rPr>
        <w:t xml:space="preserve">, to account for various economic factors influencing cross-border bank flows. </w:t>
      </w:r>
      <w:r w:rsidR="0080090C" w:rsidRPr="00E37223">
        <w:rPr>
          <w:rFonts w:ascii="Times New Roman" w:hAnsi="Times New Roman" w:cs="Times New Roman"/>
        </w:rPr>
        <w:t>To mitigate the influence of macroeconomic shocks that affect the recipient country</w:t>
      </w:r>
      <w:r w:rsidRPr="00E37223">
        <w:rPr>
          <w:rFonts w:ascii="Times New Roman" w:hAnsi="Times New Roman" w:cs="Times New Roman"/>
        </w:rPr>
        <w:t>,</w:t>
      </w:r>
      <w:r w:rsidR="0080090C" w:rsidRPr="00E37223">
        <w:rPr>
          <w:rFonts w:ascii="Times New Roman" w:hAnsi="Times New Roman" w:cs="Times New Roman"/>
        </w:rPr>
        <w:t xml:space="preserve"> including both external shocks and recipient country-specific factors, we incorporate a recipient country-time fixed effect variable </w:t>
      </w:r>
      <m:oMath>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j,t</m:t>
            </m:r>
          </m:sub>
        </m:sSub>
      </m:oMath>
      <w:r w:rsidR="0080090C" w:rsidRPr="00E37223">
        <w:rPr>
          <w:rFonts w:ascii="Times New Roman" w:hAnsi="Times New Roman" w:cs="Times New Roman"/>
        </w:rPr>
        <w:t xml:space="preserve"> in our analysis.</w:t>
      </w:r>
      <w:r w:rsidR="0010248F" w:rsidRPr="00E37223">
        <w:rPr>
          <w:rFonts w:ascii="Times New Roman" w:hAnsi="Times New Roman" w:cs="Times New Roman"/>
        </w:rPr>
        <w:t xml:space="preserve"> </w:t>
      </w:r>
      <w:r w:rsidR="007D412E" w:rsidRPr="00E37223">
        <w:rPr>
          <w:rFonts w:ascii="Times New Roman" w:hAnsi="Times New Roman" w:cs="Times New Roman" w:hint="eastAsia"/>
        </w:rPr>
        <w:t>In</w:t>
      </w:r>
      <w:r w:rsidR="007D412E" w:rsidRPr="00E37223">
        <w:rPr>
          <w:rFonts w:ascii="Times New Roman" w:hAnsi="Times New Roman" w:cs="Times New Roman"/>
        </w:rPr>
        <w:t xml:space="preserve"> addition, </w:t>
      </w:r>
      <w:r w:rsidR="00E5295C" w:rsidRPr="00E37223">
        <w:rPr>
          <w:rFonts w:ascii="Times New Roman" w:hAnsi="Times New Roman" w:cs="Times New Roman"/>
        </w:rPr>
        <w:t xml:space="preserve">an important aspect of controlling </w:t>
      </w:r>
      <w:r w:rsidR="00E07261" w:rsidRPr="00E37223">
        <w:rPr>
          <w:rFonts w:ascii="Times New Roman" w:hAnsi="Times New Roman" w:cs="Times New Roman"/>
        </w:rPr>
        <w:t>recipient country fixed effect</w:t>
      </w:r>
      <w:r w:rsidR="00E5295C" w:rsidRPr="00E37223">
        <w:rPr>
          <w:rFonts w:ascii="Times New Roman" w:hAnsi="Times New Roman" w:cs="Times New Roman"/>
        </w:rPr>
        <w:t>, given the bilateral nature of</w:t>
      </w:r>
      <w:r w:rsidR="00727FEB" w:rsidRPr="00E37223">
        <w:rPr>
          <w:rFonts w:ascii="Times New Roman" w:hAnsi="Times New Roman" w:cs="Times New Roman"/>
        </w:rPr>
        <w:t xml:space="preserve"> our estimation</w:t>
      </w:r>
      <w:r w:rsidR="00E5295C" w:rsidRPr="00E37223">
        <w:rPr>
          <w:rFonts w:ascii="Times New Roman" w:hAnsi="Times New Roman" w:cs="Times New Roman"/>
        </w:rPr>
        <w:t xml:space="preserve"> data, is the effective control of demand-side factors. </w:t>
      </w:r>
      <w:r w:rsidR="00F305F5" w:rsidRPr="00E37223">
        <w:rPr>
          <w:rFonts w:ascii="Times New Roman" w:hAnsi="Times New Roman" w:cs="Times New Roman"/>
        </w:rPr>
        <w:t>Finally, t</w:t>
      </w:r>
      <w:r w:rsidR="00C8187C" w:rsidRPr="00E37223">
        <w:rPr>
          <w:rFonts w:ascii="Times New Roman" w:hAnsi="Times New Roman" w:cs="Times New Roman"/>
        </w:rPr>
        <w:t xml:space="preserve">o reduce concerns of reverse causality arising from feedback effects, all explanatory variables are lagged by one </w:t>
      </w:r>
      <w:r w:rsidR="0014646E" w:rsidRPr="00E37223">
        <w:rPr>
          <w:rFonts w:ascii="Times New Roman" w:hAnsi="Times New Roman" w:cs="Times New Roman"/>
        </w:rPr>
        <w:t>quarter,</w:t>
      </w:r>
      <w:r w:rsidR="00C8187C" w:rsidRPr="00E37223">
        <w:rPr>
          <w:rFonts w:ascii="Times New Roman" w:hAnsi="Times New Roman" w:cs="Times New Roman"/>
        </w:rPr>
        <w:t xml:space="preserve"> and </w:t>
      </w:r>
      <w:r w:rsidR="0014646E" w:rsidRPr="00E37223">
        <w:rPr>
          <w:rFonts w:ascii="Times New Roman" w:hAnsi="Times New Roman" w:cs="Times New Roman"/>
        </w:rPr>
        <w:t xml:space="preserve">we cluster standard errors at the level of source-recipient country pairs (Choi </w:t>
      </w:r>
      <w:r w:rsidR="003F3C98" w:rsidRPr="00E37223">
        <w:rPr>
          <w:rFonts w:ascii="Times New Roman" w:hAnsi="Times New Roman" w:cs="Times New Roman"/>
        </w:rPr>
        <w:t>and</w:t>
      </w:r>
      <w:r w:rsidR="0014646E" w:rsidRPr="00E37223">
        <w:rPr>
          <w:rFonts w:ascii="Times New Roman" w:hAnsi="Times New Roman" w:cs="Times New Roman"/>
        </w:rPr>
        <w:t xml:space="preserve"> Furceri 2019)</w:t>
      </w:r>
      <w:r w:rsidR="000B1AC7" w:rsidRPr="00E37223">
        <w:rPr>
          <w:rFonts w:ascii="Times New Roman" w:hAnsi="Times New Roman" w:cs="Times New Roman"/>
        </w:rPr>
        <w:t>.</w:t>
      </w:r>
    </w:p>
    <w:p w14:paraId="43DC8B4C" w14:textId="77777777" w:rsidR="004C23A5" w:rsidRPr="00E37223" w:rsidRDefault="004C23A5" w:rsidP="00DD3FB5">
      <w:pPr>
        <w:spacing w:line="360" w:lineRule="auto"/>
        <w:rPr>
          <w:rFonts w:ascii="Times New Roman" w:hAnsi="Times New Roman" w:cs="Times New Roman"/>
        </w:rPr>
      </w:pPr>
    </w:p>
    <w:p w14:paraId="1BEE8188" w14:textId="5F55DB03" w:rsidR="00EF4BBA" w:rsidRPr="00E37223" w:rsidRDefault="003E1B0A" w:rsidP="00DD3FB5">
      <w:pPr>
        <w:spacing w:line="360" w:lineRule="auto"/>
        <w:rPr>
          <w:rFonts w:ascii="Times New Roman" w:hAnsi="Times New Roman" w:cs="Times New Roman"/>
          <w:b/>
          <w:bCs/>
        </w:rPr>
      </w:pPr>
      <w:r w:rsidRPr="00E37223">
        <w:rPr>
          <w:rFonts w:ascii="Times New Roman" w:hAnsi="Times New Roman" w:cs="Times New Roman"/>
          <w:b/>
          <w:bCs/>
        </w:rPr>
        <w:lastRenderedPageBreak/>
        <w:t>3</w:t>
      </w:r>
      <w:r w:rsidR="00EE2ED1" w:rsidRPr="00E37223">
        <w:rPr>
          <w:rFonts w:ascii="Times New Roman" w:hAnsi="Times New Roman" w:cs="Times New Roman"/>
          <w:b/>
          <w:bCs/>
        </w:rPr>
        <w:t xml:space="preserve"> </w:t>
      </w:r>
      <w:r w:rsidR="008C61C6" w:rsidRPr="00E37223">
        <w:rPr>
          <w:rFonts w:ascii="Times New Roman" w:hAnsi="Times New Roman" w:cs="Times New Roman"/>
          <w:b/>
          <w:bCs/>
        </w:rPr>
        <w:t xml:space="preserve"> </w:t>
      </w:r>
      <w:r w:rsidR="00EE2ED1" w:rsidRPr="00E37223">
        <w:rPr>
          <w:rFonts w:ascii="Times New Roman" w:hAnsi="Times New Roman" w:cs="Times New Roman"/>
          <w:b/>
          <w:bCs/>
        </w:rPr>
        <w:t>Empirical results</w:t>
      </w:r>
    </w:p>
    <w:p w14:paraId="7EE3986D" w14:textId="7BBFE4FE" w:rsidR="000673FE" w:rsidRPr="00E37223" w:rsidRDefault="00450088" w:rsidP="00DD3FB5">
      <w:pPr>
        <w:spacing w:line="360" w:lineRule="auto"/>
        <w:rPr>
          <w:rFonts w:ascii="Times New Roman" w:hAnsi="Times New Roman" w:cs="Times New Roman"/>
          <w:b/>
          <w:bCs/>
        </w:rPr>
      </w:pPr>
      <w:r w:rsidRPr="00E37223">
        <w:rPr>
          <w:rFonts w:ascii="Times New Roman" w:hAnsi="Times New Roman" w:cs="Times New Roman"/>
          <w:b/>
          <w:bCs/>
        </w:rPr>
        <w:t xml:space="preserve">3.1 </w:t>
      </w:r>
      <w:r w:rsidR="008C61C6" w:rsidRPr="00E37223">
        <w:rPr>
          <w:rFonts w:ascii="Times New Roman" w:hAnsi="Times New Roman" w:cs="Times New Roman"/>
          <w:b/>
          <w:bCs/>
        </w:rPr>
        <w:t xml:space="preserve"> </w:t>
      </w:r>
      <w:r w:rsidR="00CD54CB" w:rsidRPr="00E37223">
        <w:rPr>
          <w:rFonts w:ascii="Times New Roman" w:hAnsi="Times New Roman" w:cs="Times New Roman"/>
          <w:b/>
          <w:bCs/>
        </w:rPr>
        <w:t>B</w:t>
      </w:r>
      <w:r w:rsidR="000673FE" w:rsidRPr="00E37223">
        <w:rPr>
          <w:rFonts w:ascii="Times New Roman" w:hAnsi="Times New Roman" w:cs="Times New Roman"/>
          <w:b/>
          <w:bCs/>
        </w:rPr>
        <w:t>aseline results</w:t>
      </w:r>
      <w:r w:rsidR="00CD54CB" w:rsidRPr="00E37223">
        <w:rPr>
          <w:rFonts w:ascii="Times New Roman" w:hAnsi="Times New Roman" w:cs="Times New Roman"/>
          <w:b/>
          <w:bCs/>
        </w:rPr>
        <w:t xml:space="preserve">: </w:t>
      </w:r>
      <w:r w:rsidR="003F3C98" w:rsidRPr="00E37223">
        <w:rPr>
          <w:rFonts w:ascii="Times New Roman" w:hAnsi="Times New Roman" w:cs="Times New Roman"/>
          <w:b/>
          <w:bCs/>
        </w:rPr>
        <w:t>c</w:t>
      </w:r>
      <w:r w:rsidR="00CD54CB" w:rsidRPr="00E37223">
        <w:rPr>
          <w:rFonts w:ascii="Times New Roman" w:hAnsi="Times New Roman" w:cs="Times New Roman"/>
          <w:b/>
          <w:bCs/>
        </w:rPr>
        <w:t>ountry-pair level</w:t>
      </w:r>
    </w:p>
    <w:p w14:paraId="4CC9F1ED" w14:textId="59B6659B" w:rsidR="0025627E" w:rsidRPr="00E37223" w:rsidRDefault="00BA227A" w:rsidP="00A21B11">
      <w:pPr>
        <w:spacing w:line="360" w:lineRule="auto"/>
        <w:rPr>
          <w:rFonts w:ascii="Times New Roman" w:hAnsi="Times New Roman" w:cs="Times New Roman"/>
        </w:rPr>
      </w:pPr>
      <w:r w:rsidRPr="00E37223">
        <w:rPr>
          <w:rFonts w:ascii="Times New Roman" w:hAnsi="Times New Roman" w:cs="Times New Roman"/>
        </w:rPr>
        <w:t xml:space="preserve">Table 3 </w:t>
      </w:r>
      <w:r w:rsidR="00CB6554" w:rsidRPr="00E37223">
        <w:rPr>
          <w:rFonts w:ascii="Times New Roman" w:hAnsi="Times New Roman" w:cs="Times New Roman"/>
        </w:rPr>
        <w:t xml:space="preserve">reports </w:t>
      </w:r>
      <w:r w:rsidRPr="00E37223">
        <w:rPr>
          <w:rFonts w:ascii="Times New Roman" w:hAnsi="Times New Roman" w:cs="Times New Roman"/>
        </w:rPr>
        <w:t xml:space="preserve">the baseline estimation results </w:t>
      </w:r>
      <w:r w:rsidR="004B0B11" w:rsidRPr="00E37223">
        <w:rPr>
          <w:rFonts w:ascii="Times New Roman" w:hAnsi="Times New Roman" w:cs="Times New Roman"/>
        </w:rPr>
        <w:t>of</w:t>
      </w:r>
      <w:r w:rsidRPr="00E37223">
        <w:rPr>
          <w:rFonts w:ascii="Times New Roman" w:hAnsi="Times New Roman" w:cs="Times New Roman"/>
        </w:rPr>
        <w:t xml:space="preserve"> Eq. (</w:t>
      </w:r>
      <w:r w:rsidR="007339C0" w:rsidRPr="00E37223">
        <w:rPr>
          <w:rFonts w:ascii="Times New Roman" w:hAnsi="Times New Roman" w:cs="Times New Roman"/>
        </w:rPr>
        <w:t>4</w:t>
      </w:r>
      <w:r w:rsidRPr="00E37223">
        <w:rPr>
          <w:rFonts w:ascii="Times New Roman" w:hAnsi="Times New Roman" w:cs="Times New Roman"/>
        </w:rPr>
        <w:t xml:space="preserve">). We begin by presenting a basic specification without control variables in column (1). In column (2), the </w:t>
      </w:r>
      <w:r w:rsidR="00C55708" w:rsidRPr="00E37223">
        <w:rPr>
          <w:rFonts w:ascii="Times New Roman" w:hAnsi="Times New Roman" w:cs="Times New Roman"/>
        </w:rPr>
        <w:t xml:space="preserve">model </w:t>
      </w:r>
      <w:r w:rsidR="00D4550A" w:rsidRPr="00E37223">
        <w:rPr>
          <w:rFonts w:ascii="Times New Roman" w:hAnsi="Times New Roman" w:cs="Times New Roman"/>
        </w:rPr>
        <w:t>specification</w:t>
      </w:r>
      <w:r w:rsidRPr="00E37223">
        <w:rPr>
          <w:rFonts w:ascii="Times New Roman" w:hAnsi="Times New Roman" w:cs="Times New Roman"/>
        </w:rPr>
        <w:t xml:space="preserve"> incorporates controls for real GDP growth, inflation rate, government debt-to-GDP ratio, and nominal exchange rate growth. Column (3) further extends the </w:t>
      </w:r>
      <w:r w:rsidR="00D4550A" w:rsidRPr="00E37223">
        <w:rPr>
          <w:rFonts w:ascii="Times New Roman" w:hAnsi="Times New Roman" w:cs="Times New Roman"/>
        </w:rPr>
        <w:t>specification</w:t>
      </w:r>
      <w:r w:rsidRPr="00E37223">
        <w:rPr>
          <w:rFonts w:ascii="Times New Roman" w:hAnsi="Times New Roman" w:cs="Times New Roman"/>
        </w:rPr>
        <w:t xml:space="preserve"> by including the </w:t>
      </w:r>
      <w:r w:rsidR="008908A9" w:rsidRPr="00E37223">
        <w:rPr>
          <w:rFonts w:ascii="Times New Roman" w:hAnsi="Times New Roman" w:cs="Times New Roman"/>
        </w:rPr>
        <w:t>long</w:t>
      </w:r>
      <w:r w:rsidR="00C55708" w:rsidRPr="00E37223">
        <w:rPr>
          <w:rFonts w:ascii="Times New Roman" w:hAnsi="Times New Roman" w:cs="Times New Roman"/>
        </w:rPr>
        <w:t>-</w:t>
      </w:r>
      <w:r w:rsidR="008908A9" w:rsidRPr="00E37223">
        <w:rPr>
          <w:rFonts w:ascii="Times New Roman" w:hAnsi="Times New Roman" w:cs="Times New Roman"/>
        </w:rPr>
        <w:t xml:space="preserve">term rate </w:t>
      </w:r>
      <w:r w:rsidRPr="00E37223">
        <w:rPr>
          <w:rFonts w:ascii="Times New Roman" w:hAnsi="Times New Roman" w:cs="Times New Roman"/>
        </w:rPr>
        <w:t xml:space="preserve">as an additional control variable. </w:t>
      </w:r>
      <w:r w:rsidR="005E5761" w:rsidRPr="00E37223">
        <w:rPr>
          <w:rFonts w:ascii="Times New Roman" w:hAnsi="Times New Roman" w:cs="Times New Roman"/>
        </w:rPr>
        <w:t xml:space="preserve">The progression </w:t>
      </w:r>
      <w:r w:rsidR="00C55708" w:rsidRPr="00E37223">
        <w:rPr>
          <w:rFonts w:ascii="Times New Roman" w:hAnsi="Times New Roman" w:cs="Times New Roman"/>
        </w:rPr>
        <w:t xml:space="preserve">of </w:t>
      </w:r>
      <w:r w:rsidR="005E5761" w:rsidRPr="00E37223">
        <w:rPr>
          <w:rFonts w:ascii="Times New Roman" w:hAnsi="Times New Roman" w:cs="Times New Roman"/>
        </w:rPr>
        <w:t>estimation</w:t>
      </w:r>
      <w:r w:rsidR="00C55708" w:rsidRPr="00E37223">
        <w:rPr>
          <w:rFonts w:ascii="Times New Roman" w:hAnsi="Times New Roman" w:cs="Times New Roman"/>
        </w:rPr>
        <w:t>s</w:t>
      </w:r>
      <w:r w:rsidR="005E5761" w:rsidRPr="00E37223">
        <w:rPr>
          <w:rFonts w:ascii="Times New Roman" w:hAnsi="Times New Roman" w:cs="Times New Roman"/>
        </w:rPr>
        <w:t xml:space="preserve"> from </w:t>
      </w:r>
      <w:r w:rsidR="00D240E3" w:rsidRPr="00E37223">
        <w:rPr>
          <w:rFonts w:ascii="Times New Roman" w:hAnsi="Times New Roman" w:cs="Times New Roman"/>
        </w:rPr>
        <w:t>columns (</w:t>
      </w:r>
      <w:r w:rsidR="005E5761" w:rsidRPr="00E37223">
        <w:rPr>
          <w:rFonts w:ascii="Times New Roman" w:hAnsi="Times New Roman" w:cs="Times New Roman"/>
        </w:rPr>
        <w:t>1</w:t>
      </w:r>
      <w:r w:rsidR="00D240E3" w:rsidRPr="00E37223">
        <w:rPr>
          <w:rFonts w:ascii="Times New Roman" w:hAnsi="Times New Roman" w:cs="Times New Roman"/>
        </w:rPr>
        <w:t>)</w:t>
      </w:r>
      <w:r w:rsidR="005E5761" w:rsidRPr="00E37223">
        <w:rPr>
          <w:rFonts w:ascii="Times New Roman" w:hAnsi="Times New Roman" w:cs="Times New Roman"/>
        </w:rPr>
        <w:t xml:space="preserve"> to </w:t>
      </w:r>
      <w:r w:rsidR="00D240E3" w:rsidRPr="00E37223">
        <w:rPr>
          <w:rFonts w:ascii="Times New Roman" w:hAnsi="Times New Roman" w:cs="Times New Roman"/>
        </w:rPr>
        <w:t>(</w:t>
      </w:r>
      <w:r w:rsidR="005E5761" w:rsidRPr="00E37223">
        <w:rPr>
          <w:rFonts w:ascii="Times New Roman" w:hAnsi="Times New Roman" w:cs="Times New Roman"/>
        </w:rPr>
        <w:t>3</w:t>
      </w:r>
      <w:r w:rsidR="00D240E3" w:rsidRPr="00E37223">
        <w:rPr>
          <w:rFonts w:ascii="Times New Roman" w:hAnsi="Times New Roman" w:cs="Times New Roman"/>
        </w:rPr>
        <w:t>)</w:t>
      </w:r>
      <w:r w:rsidR="005E5761" w:rsidRPr="00E37223">
        <w:rPr>
          <w:rFonts w:ascii="Times New Roman" w:hAnsi="Times New Roman" w:cs="Times New Roman"/>
        </w:rPr>
        <w:t xml:space="preserve"> reflects an increase in the number of missing values for control variables.</w:t>
      </w:r>
      <w:r w:rsidR="00B21857" w:rsidRPr="00E37223">
        <w:rPr>
          <w:rFonts w:ascii="Times New Roman" w:hAnsi="Times New Roman" w:cs="Times New Roman"/>
        </w:rPr>
        <w:t xml:space="preserve"> </w:t>
      </w:r>
      <w:r w:rsidR="00DD7278" w:rsidRPr="00E37223">
        <w:rPr>
          <w:rFonts w:ascii="Times New Roman" w:hAnsi="Times New Roman" w:cs="Times New Roman"/>
        </w:rPr>
        <w:t xml:space="preserve">Across all specifications (columns </w:t>
      </w:r>
      <w:r w:rsidR="00D240E3" w:rsidRPr="00E37223">
        <w:rPr>
          <w:rFonts w:ascii="Times New Roman" w:hAnsi="Times New Roman" w:cs="Times New Roman"/>
        </w:rPr>
        <w:t>(</w:t>
      </w:r>
      <w:r w:rsidR="00DD7278" w:rsidRPr="00E37223">
        <w:rPr>
          <w:rFonts w:ascii="Times New Roman" w:hAnsi="Times New Roman" w:cs="Times New Roman"/>
        </w:rPr>
        <w:t>1</w:t>
      </w:r>
      <w:r w:rsidR="00D240E3" w:rsidRPr="00E37223">
        <w:rPr>
          <w:rFonts w:ascii="Times New Roman" w:hAnsi="Times New Roman" w:cs="Times New Roman"/>
        </w:rPr>
        <w:t>)</w:t>
      </w:r>
      <w:r w:rsidR="00DD7278" w:rsidRPr="00E37223">
        <w:rPr>
          <w:rFonts w:ascii="Times New Roman" w:hAnsi="Times New Roman" w:cs="Times New Roman"/>
        </w:rPr>
        <w:t xml:space="preserve">, </w:t>
      </w:r>
      <w:r w:rsidR="00D240E3" w:rsidRPr="00E37223">
        <w:rPr>
          <w:rFonts w:ascii="Times New Roman" w:hAnsi="Times New Roman" w:cs="Times New Roman"/>
        </w:rPr>
        <w:t>(</w:t>
      </w:r>
      <w:r w:rsidR="00DD7278" w:rsidRPr="00E37223">
        <w:rPr>
          <w:rFonts w:ascii="Times New Roman" w:hAnsi="Times New Roman" w:cs="Times New Roman"/>
        </w:rPr>
        <w:t>2</w:t>
      </w:r>
      <w:r w:rsidR="00D240E3" w:rsidRPr="00E37223">
        <w:rPr>
          <w:rFonts w:ascii="Times New Roman" w:hAnsi="Times New Roman" w:cs="Times New Roman"/>
        </w:rPr>
        <w:t>)</w:t>
      </w:r>
      <w:r w:rsidR="00DD7278" w:rsidRPr="00E37223">
        <w:rPr>
          <w:rFonts w:ascii="Times New Roman" w:hAnsi="Times New Roman" w:cs="Times New Roman"/>
        </w:rPr>
        <w:t xml:space="preserve">, and </w:t>
      </w:r>
      <w:r w:rsidR="00D240E3" w:rsidRPr="00E37223">
        <w:rPr>
          <w:rFonts w:ascii="Times New Roman" w:hAnsi="Times New Roman" w:cs="Times New Roman"/>
        </w:rPr>
        <w:t>(</w:t>
      </w:r>
      <w:r w:rsidR="00DD7278" w:rsidRPr="00E37223">
        <w:rPr>
          <w:rFonts w:ascii="Times New Roman" w:hAnsi="Times New Roman" w:cs="Times New Roman"/>
        </w:rPr>
        <w:t>3</w:t>
      </w:r>
      <w:r w:rsidR="00D240E3" w:rsidRPr="00E37223">
        <w:rPr>
          <w:rFonts w:ascii="Times New Roman" w:hAnsi="Times New Roman" w:cs="Times New Roman"/>
        </w:rPr>
        <w:t>)</w:t>
      </w:r>
      <w:r w:rsidR="00DD7278" w:rsidRPr="00E37223">
        <w:rPr>
          <w:rFonts w:ascii="Times New Roman" w:hAnsi="Times New Roman" w:cs="Times New Roman"/>
        </w:rPr>
        <w:t>), the positive</w:t>
      </w:r>
      <w:r w:rsidR="0032421F" w:rsidRPr="00E37223">
        <w:rPr>
          <w:rFonts w:ascii="Times New Roman" w:hAnsi="Times New Roman" w:cs="Times New Roman"/>
        </w:rPr>
        <w:t xml:space="preserve"> and statistically significant</w:t>
      </w:r>
      <w:r w:rsidR="00DD7278" w:rsidRPr="00E37223">
        <w:rPr>
          <w:rFonts w:ascii="Times New Roman" w:hAnsi="Times New Roman" w:cs="Times New Roman"/>
        </w:rPr>
        <w:t xml:space="preserve"> coefficients associated with the </w:t>
      </w:r>
      <w:r w:rsidR="00DD7278" w:rsidRPr="00E37223">
        <w:rPr>
          <w:rFonts w:ascii="Times New Roman" w:hAnsi="Times New Roman" w:cs="Times New Roman"/>
          <w:i/>
          <w:iCs/>
        </w:rPr>
        <w:t xml:space="preserve">lag </w:t>
      </w:r>
      <w:r w:rsidR="00E257D0" w:rsidRPr="00E37223">
        <w:rPr>
          <w:rFonts w:ascii="Times New Roman" w:hAnsi="Times New Roman" w:cs="Times New Roman"/>
          <w:i/>
          <w:iCs/>
        </w:rPr>
        <w:t>AMB</w:t>
      </w:r>
      <w:r w:rsidR="00DD7278" w:rsidRPr="00E37223">
        <w:rPr>
          <w:rFonts w:ascii="Times New Roman" w:hAnsi="Times New Roman" w:cs="Times New Roman"/>
        </w:rPr>
        <w:t xml:space="preserve"> variable indicate that </w:t>
      </w:r>
      <w:r w:rsidR="00080859" w:rsidRPr="00E37223">
        <w:rPr>
          <w:rFonts w:ascii="Times New Roman" w:hAnsi="Times New Roman" w:cs="Times New Roman"/>
        </w:rPr>
        <w:t xml:space="preserve">higher </w:t>
      </w:r>
      <w:r w:rsidR="00DD7278" w:rsidRPr="00E37223">
        <w:rPr>
          <w:rFonts w:ascii="Times New Roman" w:hAnsi="Times New Roman" w:cs="Times New Roman"/>
        </w:rPr>
        <w:t xml:space="preserve">ambiguity in a source economy </w:t>
      </w:r>
      <w:r w:rsidR="00080859" w:rsidRPr="00E37223">
        <w:rPr>
          <w:rFonts w:ascii="Times New Roman" w:hAnsi="Times New Roman" w:cs="Times New Roman"/>
        </w:rPr>
        <w:t>increases</w:t>
      </w:r>
      <w:r w:rsidR="00DD7278" w:rsidRPr="00E37223">
        <w:rPr>
          <w:rFonts w:ascii="Times New Roman" w:hAnsi="Times New Roman" w:cs="Times New Roman"/>
        </w:rPr>
        <w:t xml:space="preserve"> gross cross-border bank lending.</w:t>
      </w:r>
      <w:r w:rsidR="00216BFE" w:rsidRPr="00E37223">
        <w:rPr>
          <w:rFonts w:ascii="Times New Roman" w:hAnsi="Times New Roman" w:cs="Times New Roman"/>
        </w:rPr>
        <w:t xml:space="preserve"> </w:t>
      </w:r>
      <w:r w:rsidR="004E0E02" w:rsidRPr="00E37223">
        <w:rPr>
          <w:rFonts w:ascii="Times New Roman" w:hAnsi="Times New Roman" w:cs="Times New Roman"/>
        </w:rPr>
        <w:t>Our result impl</w:t>
      </w:r>
      <w:r w:rsidR="007D0E10" w:rsidRPr="00E37223">
        <w:rPr>
          <w:rFonts w:ascii="Times New Roman" w:hAnsi="Times New Roman" w:cs="Times New Roman"/>
        </w:rPr>
        <w:t>ies</w:t>
      </w:r>
      <w:r w:rsidR="004E0E02" w:rsidRPr="00E37223">
        <w:rPr>
          <w:rFonts w:ascii="Times New Roman" w:hAnsi="Times New Roman" w:cs="Times New Roman"/>
        </w:rPr>
        <w:t xml:space="preserve"> that </w:t>
      </w:r>
      <w:r w:rsidR="007D0E10" w:rsidRPr="00E37223">
        <w:rPr>
          <w:rFonts w:ascii="Times New Roman" w:hAnsi="Times New Roman" w:cs="Times New Roman"/>
        </w:rPr>
        <w:t xml:space="preserve">the </w:t>
      </w:r>
      <w:r w:rsidR="004E0E02" w:rsidRPr="00E37223">
        <w:rPr>
          <w:rFonts w:ascii="Times New Roman" w:hAnsi="Times New Roman" w:cs="Times New Roman"/>
        </w:rPr>
        <w:t xml:space="preserve">higher </w:t>
      </w:r>
      <w:r w:rsidR="007D0E10" w:rsidRPr="00E37223">
        <w:rPr>
          <w:rFonts w:ascii="Times New Roman" w:hAnsi="Times New Roman" w:cs="Times New Roman"/>
        </w:rPr>
        <w:t xml:space="preserve">the </w:t>
      </w:r>
      <w:r w:rsidR="004E0E02" w:rsidRPr="00E37223">
        <w:rPr>
          <w:rFonts w:ascii="Times New Roman" w:hAnsi="Times New Roman" w:cs="Times New Roman"/>
        </w:rPr>
        <w:t>ambi</w:t>
      </w:r>
      <w:r w:rsidR="007D0E10" w:rsidRPr="00E37223">
        <w:rPr>
          <w:rFonts w:ascii="Times New Roman" w:hAnsi="Times New Roman" w:cs="Times New Roman"/>
        </w:rPr>
        <w:t xml:space="preserve">guity </w:t>
      </w:r>
      <w:r w:rsidR="004E0E02" w:rsidRPr="00E37223">
        <w:rPr>
          <w:rFonts w:ascii="Times New Roman" w:hAnsi="Times New Roman" w:cs="Times New Roman"/>
        </w:rPr>
        <w:t>in</w:t>
      </w:r>
      <w:r w:rsidR="007D0E10" w:rsidRPr="00E37223">
        <w:rPr>
          <w:rFonts w:ascii="Times New Roman" w:hAnsi="Times New Roman" w:cs="Times New Roman"/>
        </w:rPr>
        <w:t xml:space="preserve"> a</w:t>
      </w:r>
      <w:r w:rsidR="004E0E02" w:rsidRPr="00E37223">
        <w:rPr>
          <w:rFonts w:ascii="Times New Roman" w:hAnsi="Times New Roman" w:cs="Times New Roman"/>
        </w:rPr>
        <w:t xml:space="preserve"> source country</w:t>
      </w:r>
      <w:r w:rsidR="007D0E10" w:rsidRPr="00E37223">
        <w:rPr>
          <w:rFonts w:ascii="Times New Roman" w:hAnsi="Times New Roman" w:cs="Times New Roman"/>
        </w:rPr>
        <w:t>,</w:t>
      </w:r>
      <w:r w:rsidR="004E0E02" w:rsidRPr="00E37223">
        <w:rPr>
          <w:rFonts w:ascii="Times New Roman" w:hAnsi="Times New Roman" w:cs="Times New Roman"/>
        </w:rPr>
        <w:t xml:space="preserve"> the</w:t>
      </w:r>
      <w:r w:rsidR="007D0E10" w:rsidRPr="00E37223">
        <w:rPr>
          <w:rFonts w:ascii="Times New Roman" w:hAnsi="Times New Roman" w:cs="Times New Roman"/>
        </w:rPr>
        <w:t xml:space="preserve"> greater the </w:t>
      </w:r>
      <w:r w:rsidR="004E0E02" w:rsidRPr="00E37223">
        <w:rPr>
          <w:rFonts w:ascii="Times New Roman" w:hAnsi="Times New Roman" w:cs="Times New Roman"/>
        </w:rPr>
        <w:t>foreign lending exposure</w:t>
      </w:r>
      <w:r w:rsidR="000E5A09" w:rsidRPr="00E37223">
        <w:rPr>
          <w:rFonts w:ascii="Times New Roman" w:hAnsi="Times New Roman" w:cs="Times New Roman"/>
        </w:rPr>
        <w:t>.</w:t>
      </w:r>
      <w:r w:rsidR="001D32AE" w:rsidRPr="00E37223">
        <w:rPr>
          <w:rFonts w:ascii="Times New Roman" w:hAnsi="Times New Roman" w:cs="Times New Roman"/>
        </w:rPr>
        <w:t xml:space="preserve"> </w:t>
      </w:r>
      <w:r w:rsidR="00D021AF" w:rsidRPr="00E37223">
        <w:rPr>
          <w:rFonts w:ascii="Times New Roman" w:hAnsi="Times New Roman" w:cs="Times New Roman"/>
        </w:rPr>
        <w:t xml:space="preserve">This correlation is consistent with our </w:t>
      </w:r>
      <w:r w:rsidR="00545A51" w:rsidRPr="00E37223">
        <w:rPr>
          <w:rFonts w:ascii="Times New Roman" w:hAnsi="Times New Roman" w:cs="Times New Roman"/>
        </w:rPr>
        <w:t xml:space="preserve">earlier </w:t>
      </w:r>
      <w:r w:rsidR="00A36831" w:rsidRPr="00E37223">
        <w:rPr>
          <w:rFonts w:ascii="Times New Roman" w:hAnsi="Times New Roman" w:cs="Times New Roman"/>
        </w:rPr>
        <w:t>theoretical</w:t>
      </w:r>
      <w:r w:rsidR="00D021AF" w:rsidRPr="00E37223">
        <w:rPr>
          <w:rFonts w:ascii="Times New Roman" w:hAnsi="Times New Roman" w:cs="Times New Roman"/>
        </w:rPr>
        <w:t xml:space="preserve"> discussion</w:t>
      </w:r>
      <w:r w:rsidR="00A36831" w:rsidRPr="00E37223">
        <w:rPr>
          <w:rFonts w:ascii="Times New Roman" w:hAnsi="Times New Roman" w:cs="Times New Roman"/>
        </w:rPr>
        <w:t xml:space="preserve"> </w:t>
      </w:r>
      <w:r w:rsidR="00D021AF" w:rsidRPr="00E37223">
        <w:rPr>
          <w:rFonts w:ascii="Times New Roman" w:hAnsi="Times New Roman" w:cs="Times New Roman"/>
        </w:rPr>
        <w:t xml:space="preserve">based on the propositions of Izhakian </w:t>
      </w:r>
      <w:r w:rsidR="00545A51" w:rsidRPr="00E37223">
        <w:rPr>
          <w:rFonts w:ascii="Times New Roman" w:hAnsi="Times New Roman" w:cs="Times New Roman"/>
        </w:rPr>
        <w:t>and</w:t>
      </w:r>
      <w:r w:rsidR="00D021AF" w:rsidRPr="00E37223">
        <w:rPr>
          <w:rFonts w:ascii="Times New Roman" w:hAnsi="Times New Roman" w:cs="Times New Roman"/>
        </w:rPr>
        <w:t xml:space="preserve"> Yermack (2017), who highlight the important role that ambiguity plays in decision-making in the context of </w:t>
      </w:r>
      <w:r w:rsidR="00A36831" w:rsidRPr="00E37223">
        <w:rPr>
          <w:rFonts w:ascii="Times New Roman" w:hAnsi="Times New Roman" w:cs="Times New Roman"/>
        </w:rPr>
        <w:t>option exercise</w:t>
      </w:r>
      <w:r w:rsidR="003C0F5B" w:rsidRPr="00E37223">
        <w:rPr>
          <w:rFonts w:ascii="Times New Roman" w:hAnsi="Times New Roman" w:cs="Times New Roman"/>
        </w:rPr>
        <w:t>,</w:t>
      </w:r>
      <w:r w:rsidR="00652A4A" w:rsidRPr="00E37223">
        <w:rPr>
          <w:rFonts w:ascii="Times New Roman" w:hAnsi="Times New Roman" w:cs="Times New Roman"/>
        </w:rPr>
        <w:t xml:space="preserve"> and </w:t>
      </w:r>
      <w:r w:rsidR="003C0F5B" w:rsidRPr="00E37223">
        <w:rPr>
          <w:rFonts w:ascii="Times New Roman" w:hAnsi="Times New Roman" w:cs="Times New Roman"/>
        </w:rPr>
        <w:t xml:space="preserve">that </w:t>
      </w:r>
      <w:r w:rsidR="00652A4A" w:rsidRPr="00E37223">
        <w:rPr>
          <w:rFonts w:ascii="Times New Roman" w:hAnsi="Times New Roman" w:cs="Times New Roman"/>
        </w:rPr>
        <w:t xml:space="preserve">expected volatility and expected ambiguity </w:t>
      </w:r>
      <w:r w:rsidR="003C0F5B" w:rsidRPr="00E37223">
        <w:rPr>
          <w:rFonts w:ascii="Times New Roman" w:hAnsi="Times New Roman" w:cs="Times New Roman"/>
        </w:rPr>
        <w:t>show</w:t>
      </w:r>
      <w:r w:rsidR="00652A4A" w:rsidRPr="00E37223">
        <w:rPr>
          <w:rFonts w:ascii="Times New Roman" w:hAnsi="Times New Roman" w:cs="Times New Roman"/>
        </w:rPr>
        <w:t xml:space="preserve"> opposite </w:t>
      </w:r>
      <w:r w:rsidR="00545A51" w:rsidRPr="00E37223">
        <w:rPr>
          <w:rFonts w:ascii="Times New Roman" w:hAnsi="Times New Roman" w:cs="Times New Roman"/>
        </w:rPr>
        <w:t>c</w:t>
      </w:r>
      <w:r w:rsidR="00652A4A" w:rsidRPr="00E37223">
        <w:rPr>
          <w:rFonts w:ascii="Times New Roman" w:hAnsi="Times New Roman" w:cs="Times New Roman"/>
        </w:rPr>
        <w:t>orrelations with option exercises</w:t>
      </w:r>
      <w:r w:rsidR="00D021AF" w:rsidRPr="00E37223">
        <w:rPr>
          <w:rFonts w:ascii="Times New Roman" w:hAnsi="Times New Roman" w:cs="Times New Roman"/>
        </w:rPr>
        <w:t xml:space="preserve">. </w:t>
      </w:r>
      <w:r w:rsidR="003C0F5B" w:rsidRPr="00E37223">
        <w:rPr>
          <w:rFonts w:ascii="Times New Roman" w:hAnsi="Times New Roman" w:cs="Times New Roman"/>
        </w:rPr>
        <w:t>Central to this</w:t>
      </w:r>
      <w:r w:rsidR="00BC6E8F" w:rsidRPr="00E37223">
        <w:rPr>
          <w:rFonts w:ascii="Times New Roman" w:hAnsi="Times New Roman" w:cs="Times New Roman"/>
        </w:rPr>
        <w:t xml:space="preserve"> finding</w:t>
      </w:r>
      <w:r w:rsidR="003C0F5B" w:rsidRPr="00E37223">
        <w:rPr>
          <w:rFonts w:ascii="Times New Roman" w:hAnsi="Times New Roman" w:cs="Times New Roman"/>
        </w:rPr>
        <w:t xml:space="preserve"> i</w:t>
      </w:r>
      <w:r w:rsidR="00BC6E8F" w:rsidRPr="00E37223">
        <w:rPr>
          <w:rFonts w:ascii="Times New Roman" w:hAnsi="Times New Roman" w:cs="Times New Roman"/>
        </w:rPr>
        <w:t>s</w:t>
      </w:r>
      <w:r w:rsidR="003C0F5B" w:rsidRPr="00E37223">
        <w:rPr>
          <w:rFonts w:ascii="Times New Roman" w:hAnsi="Times New Roman" w:cs="Times New Roman"/>
        </w:rPr>
        <w:t xml:space="preserve"> the concept of </w:t>
      </w:r>
      <w:r w:rsidR="00C86FE8" w:rsidRPr="00E37223">
        <w:rPr>
          <w:rFonts w:ascii="Times New Roman" w:hAnsi="Times New Roman" w:cs="Times New Roman"/>
        </w:rPr>
        <w:t>ambiguity aversion</w:t>
      </w:r>
      <w:r w:rsidR="00D021AF" w:rsidRPr="00E37223">
        <w:rPr>
          <w:rFonts w:ascii="Times New Roman" w:hAnsi="Times New Roman" w:cs="Times New Roman"/>
        </w:rPr>
        <w:t xml:space="preserve">, which refers to the tendency of individuals to prefer decision scenarios with known probabilities. </w:t>
      </w:r>
      <w:r w:rsidR="0025627E" w:rsidRPr="00E37223">
        <w:rPr>
          <w:rFonts w:ascii="Times New Roman" w:hAnsi="Times New Roman" w:cs="Times New Roman"/>
        </w:rPr>
        <w:t>O</w:t>
      </w:r>
      <w:r w:rsidR="0073364C" w:rsidRPr="00E37223">
        <w:rPr>
          <w:rFonts w:ascii="Times New Roman" w:hAnsi="Times New Roman" w:cs="Times New Roman"/>
        </w:rPr>
        <w:t xml:space="preserve">ur results </w:t>
      </w:r>
      <w:r w:rsidR="0025627E" w:rsidRPr="00E37223">
        <w:rPr>
          <w:rFonts w:ascii="Times New Roman" w:hAnsi="Times New Roman" w:cs="Times New Roman"/>
        </w:rPr>
        <w:t xml:space="preserve">also </w:t>
      </w:r>
      <w:r w:rsidR="003C0F5B" w:rsidRPr="00E37223">
        <w:rPr>
          <w:rFonts w:ascii="Times New Roman" w:hAnsi="Times New Roman" w:cs="Times New Roman"/>
        </w:rPr>
        <w:t>provide</w:t>
      </w:r>
      <w:r w:rsidR="0073364C" w:rsidRPr="00E37223">
        <w:rPr>
          <w:rFonts w:ascii="Times New Roman" w:hAnsi="Times New Roman" w:cs="Times New Roman"/>
        </w:rPr>
        <w:t xml:space="preserve"> </w:t>
      </w:r>
      <w:r w:rsidR="0025627E" w:rsidRPr="00E37223">
        <w:rPr>
          <w:rFonts w:ascii="Times New Roman" w:hAnsi="Times New Roman" w:cs="Times New Roman"/>
        </w:rPr>
        <w:t>s</w:t>
      </w:r>
      <w:r w:rsidR="00F27ED7" w:rsidRPr="00E37223">
        <w:rPr>
          <w:rFonts w:ascii="Times New Roman" w:hAnsi="Times New Roman" w:cs="Times New Roman"/>
        </w:rPr>
        <w:t>upport</w:t>
      </w:r>
      <w:r w:rsidR="0073364C" w:rsidRPr="00E37223">
        <w:rPr>
          <w:rFonts w:ascii="Times New Roman" w:hAnsi="Times New Roman" w:cs="Times New Roman"/>
        </w:rPr>
        <w:t xml:space="preserve"> to the theoretical model </w:t>
      </w:r>
      <w:r w:rsidR="00F27ED7" w:rsidRPr="00E37223">
        <w:rPr>
          <w:rFonts w:ascii="Times New Roman" w:hAnsi="Times New Roman" w:cs="Times New Roman"/>
        </w:rPr>
        <w:t xml:space="preserve">developed </w:t>
      </w:r>
      <w:r w:rsidR="0073364C" w:rsidRPr="00E37223">
        <w:rPr>
          <w:rFonts w:ascii="Times New Roman" w:hAnsi="Times New Roman" w:cs="Times New Roman"/>
        </w:rPr>
        <w:t>by Broll et al. (2018)</w:t>
      </w:r>
      <w:r w:rsidR="00F27ED7" w:rsidRPr="00E37223">
        <w:rPr>
          <w:rFonts w:ascii="Times New Roman" w:hAnsi="Times New Roman" w:cs="Times New Roman"/>
        </w:rPr>
        <w:t>,</w:t>
      </w:r>
      <w:r w:rsidR="0073364C" w:rsidRPr="00E37223">
        <w:rPr>
          <w:rFonts w:ascii="Times New Roman" w:hAnsi="Times New Roman" w:cs="Times New Roman"/>
        </w:rPr>
        <w:t xml:space="preserve"> whose framework suggests that banks exhibit </w:t>
      </w:r>
      <w:r w:rsidR="00B40361" w:rsidRPr="00E37223">
        <w:rPr>
          <w:rFonts w:ascii="Times New Roman" w:hAnsi="Times New Roman" w:cs="Times New Roman"/>
        </w:rPr>
        <w:t>high</w:t>
      </w:r>
      <w:r w:rsidR="0073364C" w:rsidRPr="00E37223">
        <w:rPr>
          <w:rFonts w:ascii="Times New Roman" w:hAnsi="Times New Roman" w:cs="Times New Roman"/>
        </w:rPr>
        <w:t xml:space="preserve"> level</w:t>
      </w:r>
      <w:r w:rsidR="00DE751D" w:rsidRPr="00E37223">
        <w:rPr>
          <w:rFonts w:ascii="Times New Roman" w:hAnsi="Times New Roman" w:cs="Times New Roman"/>
        </w:rPr>
        <w:t>s</w:t>
      </w:r>
      <w:r w:rsidR="0073364C" w:rsidRPr="00E37223">
        <w:rPr>
          <w:rFonts w:ascii="Times New Roman" w:hAnsi="Times New Roman" w:cs="Times New Roman"/>
        </w:rPr>
        <w:t xml:space="preserve"> of ambiguity aversion</w:t>
      </w:r>
      <w:r w:rsidR="000E5A09" w:rsidRPr="00E37223">
        <w:rPr>
          <w:rFonts w:ascii="Times New Roman" w:hAnsi="Times New Roman" w:cs="Times New Roman"/>
        </w:rPr>
        <w:t xml:space="preserve">. </w:t>
      </w:r>
    </w:p>
    <w:p w14:paraId="11C00604" w14:textId="672D37FE" w:rsidR="008A54EF" w:rsidRPr="00E37223" w:rsidRDefault="004E4562" w:rsidP="0025627E">
      <w:pPr>
        <w:spacing w:line="360" w:lineRule="auto"/>
        <w:ind w:firstLine="720"/>
        <w:rPr>
          <w:rFonts w:ascii="Times New Roman" w:hAnsi="Times New Roman" w:cs="Times New Roman"/>
        </w:rPr>
      </w:pPr>
      <w:r w:rsidRPr="00E37223">
        <w:rPr>
          <w:rFonts w:ascii="Times New Roman" w:hAnsi="Times New Roman" w:cs="Times New Roman"/>
        </w:rPr>
        <w:t>Regarding the control variables,</w:t>
      </w:r>
      <w:r w:rsidR="00F70E7A" w:rsidRPr="00E37223">
        <w:rPr>
          <w:rFonts w:ascii="Times New Roman" w:hAnsi="Times New Roman" w:cs="Times New Roman"/>
        </w:rPr>
        <w:t xml:space="preserve"> the </w:t>
      </w:r>
      <w:r w:rsidR="00AF118F" w:rsidRPr="00E37223">
        <w:rPr>
          <w:rFonts w:ascii="Times New Roman" w:hAnsi="Times New Roman" w:cs="Times New Roman"/>
        </w:rPr>
        <w:t>10-year government bonds yield</w:t>
      </w:r>
      <w:r w:rsidR="00EF1A30" w:rsidRPr="00E37223">
        <w:rPr>
          <w:rFonts w:ascii="Times New Roman" w:hAnsi="Times New Roman" w:cs="Times New Roman"/>
        </w:rPr>
        <w:t xml:space="preserve"> (</w:t>
      </w:r>
      <w:r w:rsidR="001006C0" w:rsidRPr="00E37223">
        <w:rPr>
          <w:rFonts w:ascii="Times New Roman" w:hAnsi="Times New Roman" w:cs="Times New Roman"/>
          <w:i/>
          <w:iCs/>
        </w:rPr>
        <w:t xml:space="preserve">lag </w:t>
      </w:r>
      <w:r w:rsidR="00AF118F" w:rsidRPr="00E37223">
        <w:rPr>
          <w:rFonts w:ascii="Times New Roman" w:hAnsi="Times New Roman" w:cs="Times New Roman"/>
          <w:i/>
          <w:iCs/>
        </w:rPr>
        <w:t>L</w:t>
      </w:r>
      <w:r w:rsidR="001006C0" w:rsidRPr="00E37223">
        <w:rPr>
          <w:rFonts w:ascii="Times New Roman" w:hAnsi="Times New Roman" w:cs="Times New Roman"/>
          <w:i/>
          <w:iCs/>
        </w:rPr>
        <w:t>RATE</w:t>
      </w:r>
      <w:r w:rsidR="00EF1A30" w:rsidRPr="00E37223">
        <w:rPr>
          <w:rFonts w:ascii="Times New Roman" w:hAnsi="Times New Roman" w:cs="Times New Roman"/>
        </w:rPr>
        <w:t>)</w:t>
      </w:r>
      <w:r w:rsidR="00F70E7A" w:rsidRPr="00E37223">
        <w:rPr>
          <w:rFonts w:ascii="Times New Roman" w:hAnsi="Times New Roman" w:cs="Times New Roman"/>
        </w:rPr>
        <w:t xml:space="preserve"> </w:t>
      </w:r>
      <w:r w:rsidR="00A97F48" w:rsidRPr="00E37223">
        <w:rPr>
          <w:rFonts w:ascii="Times New Roman" w:hAnsi="Times New Roman" w:cs="Times New Roman"/>
        </w:rPr>
        <w:t>shows</w:t>
      </w:r>
      <w:r w:rsidR="00F70E7A" w:rsidRPr="00E37223">
        <w:rPr>
          <w:rFonts w:ascii="Times New Roman" w:hAnsi="Times New Roman" w:cs="Times New Roman"/>
        </w:rPr>
        <w:t xml:space="preserve"> a positive and statistically significant impact on cross-border bank</w:t>
      </w:r>
      <w:r w:rsidR="005046EC" w:rsidRPr="00E37223">
        <w:rPr>
          <w:rFonts w:ascii="Times New Roman" w:hAnsi="Times New Roman" w:cs="Times New Roman"/>
        </w:rPr>
        <w:t xml:space="preserve"> lending</w:t>
      </w:r>
      <w:r w:rsidR="00F94FC6" w:rsidRPr="00E37223">
        <w:rPr>
          <w:rFonts w:ascii="Times New Roman" w:hAnsi="Times New Roman" w:cs="Times New Roman"/>
        </w:rPr>
        <w:t>. This finding is</w:t>
      </w:r>
      <w:r w:rsidR="007917AD" w:rsidRPr="00E37223">
        <w:rPr>
          <w:rFonts w:ascii="Times New Roman" w:hAnsi="Times New Roman" w:cs="Times New Roman"/>
        </w:rPr>
        <w:t xml:space="preserve"> consistent with the </w:t>
      </w:r>
      <w:r w:rsidR="00F94FC6" w:rsidRPr="00E37223">
        <w:rPr>
          <w:rFonts w:ascii="Times New Roman" w:hAnsi="Times New Roman" w:cs="Times New Roman"/>
        </w:rPr>
        <w:t>re</w:t>
      </w:r>
      <w:r w:rsidR="00C55708" w:rsidRPr="00E37223">
        <w:rPr>
          <w:rFonts w:ascii="Times New Roman" w:hAnsi="Times New Roman" w:cs="Times New Roman"/>
        </w:rPr>
        <w:t xml:space="preserve">sults </w:t>
      </w:r>
      <w:r w:rsidR="007917AD" w:rsidRPr="00E37223">
        <w:rPr>
          <w:rFonts w:ascii="Times New Roman" w:hAnsi="Times New Roman" w:cs="Times New Roman"/>
        </w:rPr>
        <w:t xml:space="preserve">by </w:t>
      </w:r>
      <w:r w:rsidR="00123EAF" w:rsidRPr="00E37223">
        <w:rPr>
          <w:rFonts w:ascii="Times New Roman" w:hAnsi="Times New Roman" w:cs="Times New Roman"/>
        </w:rPr>
        <w:t>Correa et al. (2021)</w:t>
      </w:r>
      <w:r w:rsidR="007917AD" w:rsidRPr="00E37223">
        <w:rPr>
          <w:rFonts w:ascii="Times New Roman" w:hAnsi="Times New Roman" w:cs="Times New Roman"/>
        </w:rPr>
        <w:t xml:space="preserve">, who </w:t>
      </w:r>
      <w:r w:rsidR="00B874CE" w:rsidRPr="00E37223">
        <w:rPr>
          <w:rFonts w:ascii="Times New Roman" w:hAnsi="Times New Roman" w:cs="Times New Roman"/>
        </w:rPr>
        <w:t xml:space="preserve">find </w:t>
      </w:r>
      <w:r w:rsidR="009B39F9" w:rsidRPr="00E37223">
        <w:rPr>
          <w:rFonts w:ascii="Times New Roman" w:hAnsi="Times New Roman" w:cs="Times New Roman"/>
        </w:rPr>
        <w:t>that relatively high policy rates in a source country</w:t>
      </w:r>
      <w:r w:rsidR="005046EC" w:rsidRPr="00E37223">
        <w:rPr>
          <w:rFonts w:ascii="Times New Roman" w:hAnsi="Times New Roman" w:cs="Times New Roman"/>
        </w:rPr>
        <w:t xml:space="preserve"> </w:t>
      </w:r>
      <w:r w:rsidR="009B39F9" w:rsidRPr="00E37223">
        <w:rPr>
          <w:rFonts w:ascii="Times New Roman" w:hAnsi="Times New Roman" w:cs="Times New Roman"/>
        </w:rPr>
        <w:t>encourage banks to redirect lending to foreign counterparts.</w:t>
      </w:r>
    </w:p>
    <w:p w14:paraId="73E6516D" w14:textId="77777777" w:rsidR="000F5C2F" w:rsidRPr="00E37223" w:rsidRDefault="000F5C2F" w:rsidP="00DD3FB5">
      <w:pPr>
        <w:spacing w:line="360" w:lineRule="auto"/>
        <w:rPr>
          <w:rFonts w:ascii="Times New Roman" w:hAnsi="Times New Roman" w:cs="Times New Roman"/>
        </w:rPr>
      </w:pPr>
    </w:p>
    <w:p w14:paraId="4425F17C" w14:textId="3EC43DCE" w:rsidR="000F5C2F" w:rsidRPr="00E37223" w:rsidRDefault="00450088" w:rsidP="00DD3FB5">
      <w:pPr>
        <w:spacing w:line="360" w:lineRule="auto"/>
        <w:rPr>
          <w:rFonts w:ascii="Times New Roman" w:hAnsi="Times New Roman" w:cs="Times New Roman"/>
          <w:b/>
          <w:bCs/>
        </w:rPr>
      </w:pPr>
      <w:r w:rsidRPr="00E37223">
        <w:rPr>
          <w:rFonts w:ascii="Times New Roman" w:hAnsi="Times New Roman" w:cs="Times New Roman"/>
          <w:b/>
          <w:bCs/>
        </w:rPr>
        <w:t xml:space="preserve">3.2 </w:t>
      </w:r>
      <w:r w:rsidR="008C61C6" w:rsidRPr="00E37223">
        <w:rPr>
          <w:rFonts w:ascii="Times New Roman" w:hAnsi="Times New Roman" w:cs="Times New Roman"/>
          <w:b/>
          <w:bCs/>
        </w:rPr>
        <w:t xml:space="preserve"> </w:t>
      </w:r>
      <w:r w:rsidR="0025627E" w:rsidRPr="00E37223">
        <w:rPr>
          <w:rFonts w:ascii="Times New Roman" w:hAnsi="Times New Roman" w:cs="Times New Roman"/>
          <w:b/>
          <w:bCs/>
        </w:rPr>
        <w:t xml:space="preserve">Further </w:t>
      </w:r>
      <w:r w:rsidR="00DB6EC6" w:rsidRPr="00E37223">
        <w:rPr>
          <w:rFonts w:ascii="Times New Roman" w:hAnsi="Times New Roman" w:cs="Times New Roman"/>
          <w:b/>
          <w:bCs/>
        </w:rPr>
        <w:t>analys</w:t>
      </w:r>
      <w:r w:rsidR="006A7788" w:rsidRPr="00E37223">
        <w:rPr>
          <w:rFonts w:ascii="Times New Roman" w:hAnsi="Times New Roman" w:cs="Times New Roman"/>
          <w:b/>
          <w:bCs/>
        </w:rPr>
        <w:t>e</w:t>
      </w:r>
      <w:r w:rsidR="00CD54CB" w:rsidRPr="00E37223">
        <w:rPr>
          <w:rFonts w:ascii="Times New Roman" w:hAnsi="Times New Roman" w:cs="Times New Roman"/>
          <w:b/>
          <w:bCs/>
        </w:rPr>
        <w:t xml:space="preserve">s: </w:t>
      </w:r>
      <w:bookmarkStart w:id="7" w:name="_Hlk216790297"/>
      <w:r w:rsidR="003F3C98" w:rsidRPr="00E37223">
        <w:rPr>
          <w:rFonts w:ascii="Times New Roman" w:hAnsi="Times New Roman" w:cs="Times New Roman"/>
          <w:b/>
          <w:bCs/>
        </w:rPr>
        <w:t>c</w:t>
      </w:r>
      <w:r w:rsidR="00CD54CB" w:rsidRPr="00E37223">
        <w:rPr>
          <w:rFonts w:ascii="Times New Roman" w:hAnsi="Times New Roman" w:cs="Times New Roman"/>
          <w:b/>
          <w:bCs/>
        </w:rPr>
        <w:t xml:space="preserve">ountry-pair level </w:t>
      </w:r>
      <w:bookmarkEnd w:id="7"/>
      <w:r w:rsidR="00CB13DC" w:rsidRPr="00E37223">
        <w:rPr>
          <w:rFonts w:ascii="Times New Roman" w:hAnsi="Times New Roman" w:cs="Times New Roman"/>
          <w:b/>
          <w:bCs/>
        </w:rPr>
        <w:t>and difference-in-difference estimations</w:t>
      </w:r>
    </w:p>
    <w:p w14:paraId="6E183ABD" w14:textId="10817345" w:rsidR="00532442" w:rsidRPr="00E37223" w:rsidRDefault="00532442" w:rsidP="00DD3FB5">
      <w:pPr>
        <w:spacing w:line="360" w:lineRule="auto"/>
        <w:rPr>
          <w:rFonts w:ascii="Times New Roman" w:hAnsi="Times New Roman" w:cs="Times New Roman"/>
          <w:b/>
          <w:bCs/>
        </w:rPr>
      </w:pPr>
      <w:r w:rsidRPr="00E37223">
        <w:rPr>
          <w:rFonts w:ascii="Times New Roman" w:hAnsi="Times New Roman" w:cs="Times New Roman"/>
          <w:b/>
          <w:bCs/>
        </w:rPr>
        <w:t>3.2.1 Country-pair further analysis</w:t>
      </w:r>
    </w:p>
    <w:p w14:paraId="0D428737" w14:textId="7ABF3E9A" w:rsidR="00F303D2" w:rsidRPr="00E37223" w:rsidRDefault="00060570" w:rsidP="00DD3FB5">
      <w:pPr>
        <w:spacing w:line="360" w:lineRule="auto"/>
        <w:rPr>
          <w:rFonts w:ascii="Times New Roman" w:hAnsi="Times New Roman" w:cs="Times New Roman"/>
        </w:rPr>
      </w:pPr>
      <w:r w:rsidRPr="00E37223">
        <w:rPr>
          <w:rFonts w:ascii="Times New Roman" w:hAnsi="Times New Roman" w:cs="Times New Roman"/>
        </w:rPr>
        <w:t xml:space="preserve">To validate the main findings of our country-pair baseline empirical study, we </w:t>
      </w:r>
      <w:r w:rsidR="0025627E" w:rsidRPr="00E37223">
        <w:rPr>
          <w:rFonts w:ascii="Times New Roman" w:hAnsi="Times New Roman" w:cs="Times New Roman"/>
        </w:rPr>
        <w:t>extend the analysis through several additional tests</w:t>
      </w:r>
      <w:r w:rsidRPr="00E37223">
        <w:rPr>
          <w:rFonts w:ascii="Times New Roman" w:hAnsi="Times New Roman" w:cs="Times New Roman"/>
        </w:rPr>
        <w:t xml:space="preserve">, </w:t>
      </w:r>
      <w:r w:rsidR="0025627E" w:rsidRPr="00E37223">
        <w:rPr>
          <w:rFonts w:ascii="Times New Roman" w:hAnsi="Times New Roman" w:cs="Times New Roman"/>
        </w:rPr>
        <w:t xml:space="preserve">as shown </w:t>
      </w:r>
      <w:r w:rsidRPr="00E37223">
        <w:rPr>
          <w:rFonts w:ascii="Times New Roman" w:hAnsi="Times New Roman" w:cs="Times New Roman"/>
        </w:rPr>
        <w:t xml:space="preserve">in Table </w:t>
      </w:r>
      <w:r w:rsidR="0034701B" w:rsidRPr="00E37223">
        <w:rPr>
          <w:rFonts w:ascii="Times New Roman" w:hAnsi="Times New Roman" w:cs="Times New Roman"/>
        </w:rPr>
        <w:t>4</w:t>
      </w:r>
      <w:r w:rsidRPr="00E37223">
        <w:rPr>
          <w:rFonts w:ascii="Times New Roman" w:hAnsi="Times New Roman" w:cs="Times New Roman"/>
        </w:rPr>
        <w:t>. These tests consistently show that ambiguity positively influences bank cross-border outflows (lending).</w:t>
      </w:r>
      <w:r w:rsidR="00B82497" w:rsidRPr="00E37223">
        <w:t xml:space="preserve"> </w:t>
      </w:r>
      <w:r w:rsidR="00E6656D" w:rsidRPr="00E37223">
        <w:rPr>
          <w:rFonts w:ascii="Times New Roman" w:hAnsi="Times New Roman" w:cs="Times New Roman"/>
        </w:rPr>
        <w:t>First, in</w:t>
      </w:r>
      <w:r w:rsidR="00E6656D" w:rsidRPr="00E37223">
        <w:t xml:space="preserve"> </w:t>
      </w:r>
      <w:r w:rsidR="00B82497" w:rsidRPr="00E37223">
        <w:rPr>
          <w:rFonts w:ascii="Times New Roman" w:hAnsi="Times New Roman" w:cs="Times New Roman"/>
        </w:rPr>
        <w:t xml:space="preserve">the first two columns </w:t>
      </w:r>
      <w:r w:rsidR="00E6656D" w:rsidRPr="00E37223">
        <w:rPr>
          <w:rFonts w:ascii="Times New Roman" w:hAnsi="Times New Roman" w:cs="Times New Roman"/>
        </w:rPr>
        <w:t>(</w:t>
      </w:r>
      <w:r w:rsidR="00B82497" w:rsidRPr="00E37223">
        <w:rPr>
          <w:rFonts w:ascii="Times New Roman" w:hAnsi="Times New Roman" w:cs="Times New Roman"/>
        </w:rPr>
        <w:t xml:space="preserve">(1) </w:t>
      </w:r>
      <w:r w:rsidR="00D240E3" w:rsidRPr="00E37223">
        <w:rPr>
          <w:rFonts w:ascii="Times New Roman" w:hAnsi="Times New Roman" w:cs="Times New Roman"/>
        </w:rPr>
        <w:t xml:space="preserve">and </w:t>
      </w:r>
      <w:r w:rsidR="00B82497" w:rsidRPr="00E37223">
        <w:rPr>
          <w:rFonts w:ascii="Times New Roman" w:hAnsi="Times New Roman" w:cs="Times New Roman"/>
        </w:rPr>
        <w:t>(2)</w:t>
      </w:r>
      <w:r w:rsidR="00E6656D" w:rsidRPr="00E37223">
        <w:rPr>
          <w:rFonts w:ascii="Times New Roman" w:hAnsi="Times New Roman" w:cs="Times New Roman"/>
        </w:rPr>
        <w:t>)</w:t>
      </w:r>
      <w:r w:rsidR="00B82497" w:rsidRPr="00E37223">
        <w:rPr>
          <w:rFonts w:ascii="Times New Roman" w:hAnsi="Times New Roman" w:cs="Times New Roman"/>
        </w:rPr>
        <w:t xml:space="preserve"> of Table </w:t>
      </w:r>
      <w:r w:rsidR="00E56BBD" w:rsidRPr="00E37223">
        <w:rPr>
          <w:rFonts w:ascii="Times New Roman" w:hAnsi="Times New Roman" w:cs="Times New Roman"/>
        </w:rPr>
        <w:t>4</w:t>
      </w:r>
      <w:r w:rsidR="00B82497" w:rsidRPr="00E37223">
        <w:rPr>
          <w:rFonts w:ascii="Times New Roman" w:hAnsi="Times New Roman" w:cs="Times New Roman"/>
        </w:rPr>
        <w:t>, we introduce a measure of stock market volatility (</w:t>
      </w:r>
      <w:r w:rsidR="0089481C" w:rsidRPr="00E37223">
        <w:rPr>
          <w:rFonts w:ascii="Times New Roman" w:hAnsi="Times New Roman" w:cs="Times New Roman"/>
          <w:i/>
          <w:iCs/>
        </w:rPr>
        <w:t>lag SIGMA</w:t>
      </w:r>
      <w:r w:rsidR="00B82497" w:rsidRPr="00E37223">
        <w:rPr>
          <w:rFonts w:ascii="Times New Roman" w:hAnsi="Times New Roman" w:cs="Times New Roman"/>
        </w:rPr>
        <w:t xml:space="preserve">) as a proxy for </w:t>
      </w:r>
      <w:r w:rsidR="00AA319E" w:rsidRPr="00E37223">
        <w:rPr>
          <w:rFonts w:ascii="Times New Roman" w:hAnsi="Times New Roman" w:cs="Times New Roman"/>
        </w:rPr>
        <w:t>risk</w:t>
      </w:r>
      <w:r w:rsidR="00B82497" w:rsidRPr="00E37223">
        <w:rPr>
          <w:rFonts w:ascii="Times New Roman" w:hAnsi="Times New Roman" w:cs="Times New Roman"/>
        </w:rPr>
        <w:t xml:space="preserve">. The results indicate a negative coefficient for lagged sigma, consistent with the </w:t>
      </w:r>
      <w:r w:rsidR="00E56BBD" w:rsidRPr="00E37223">
        <w:rPr>
          <w:rFonts w:ascii="Times New Roman" w:hAnsi="Times New Roman" w:cs="Times New Roman"/>
        </w:rPr>
        <w:t xml:space="preserve">results </w:t>
      </w:r>
      <w:r w:rsidR="00B82497" w:rsidRPr="00E37223">
        <w:rPr>
          <w:rFonts w:ascii="Times New Roman" w:hAnsi="Times New Roman" w:cs="Times New Roman"/>
        </w:rPr>
        <w:t xml:space="preserve">of Choi </w:t>
      </w:r>
      <w:r w:rsidR="00AA319E" w:rsidRPr="00E37223">
        <w:rPr>
          <w:rFonts w:ascii="Times New Roman" w:hAnsi="Times New Roman" w:cs="Times New Roman"/>
        </w:rPr>
        <w:t>and</w:t>
      </w:r>
      <w:r w:rsidR="00B82497" w:rsidRPr="00E37223">
        <w:rPr>
          <w:rFonts w:ascii="Times New Roman" w:hAnsi="Times New Roman" w:cs="Times New Roman"/>
        </w:rPr>
        <w:t xml:space="preserve"> Furceri (2019) who identified </w:t>
      </w:r>
      <w:r w:rsidR="00AA319E" w:rsidRPr="00E37223">
        <w:rPr>
          <w:rFonts w:ascii="Times New Roman" w:hAnsi="Times New Roman" w:cs="Times New Roman"/>
        </w:rPr>
        <w:t>what they call ‘</w:t>
      </w:r>
      <w:r w:rsidR="00B82497" w:rsidRPr="00E37223">
        <w:rPr>
          <w:rFonts w:ascii="Times New Roman" w:hAnsi="Times New Roman" w:cs="Times New Roman"/>
        </w:rPr>
        <w:t>uncertainty</w:t>
      </w:r>
      <w:r w:rsidR="00AA319E" w:rsidRPr="00E37223">
        <w:rPr>
          <w:rFonts w:ascii="Times New Roman" w:hAnsi="Times New Roman" w:cs="Times New Roman"/>
        </w:rPr>
        <w:t>’</w:t>
      </w:r>
      <w:r w:rsidR="00B82497" w:rsidRPr="00E37223">
        <w:rPr>
          <w:rFonts w:ascii="Times New Roman" w:hAnsi="Times New Roman" w:cs="Times New Roman"/>
        </w:rPr>
        <w:t xml:space="preserve"> as a </w:t>
      </w:r>
      <w:r w:rsidR="00ED3D66" w:rsidRPr="00E37223">
        <w:rPr>
          <w:rFonts w:ascii="Times New Roman" w:hAnsi="Times New Roman" w:cs="Times New Roman"/>
        </w:rPr>
        <w:t>‘</w:t>
      </w:r>
      <w:r w:rsidR="00B82497" w:rsidRPr="00E37223">
        <w:rPr>
          <w:rFonts w:ascii="Times New Roman" w:hAnsi="Times New Roman" w:cs="Times New Roman"/>
        </w:rPr>
        <w:t>push</w:t>
      </w:r>
      <w:r w:rsidR="00ED3D66" w:rsidRPr="00E37223">
        <w:rPr>
          <w:rFonts w:ascii="Times New Roman" w:hAnsi="Times New Roman" w:cs="Times New Roman"/>
        </w:rPr>
        <w:t>’</w:t>
      </w:r>
      <w:r w:rsidR="00B82497" w:rsidRPr="00E37223">
        <w:rPr>
          <w:rFonts w:ascii="Times New Roman" w:hAnsi="Times New Roman" w:cs="Times New Roman"/>
        </w:rPr>
        <w:t xml:space="preserve"> factor decreas</w:t>
      </w:r>
      <w:r w:rsidR="00E6656D" w:rsidRPr="00E37223">
        <w:rPr>
          <w:rFonts w:ascii="Times New Roman" w:hAnsi="Times New Roman" w:cs="Times New Roman"/>
        </w:rPr>
        <w:t xml:space="preserve">ing </w:t>
      </w:r>
      <w:r w:rsidR="00B82497" w:rsidRPr="00E37223">
        <w:rPr>
          <w:rFonts w:ascii="Times New Roman" w:hAnsi="Times New Roman" w:cs="Times New Roman"/>
        </w:rPr>
        <w:t>bank cross-border lending. Notably, this negative coefficient is only statistically significant at the 10% level in column (2).</w:t>
      </w:r>
      <w:r w:rsidR="00E65FF2" w:rsidRPr="00E37223">
        <w:rPr>
          <w:rFonts w:ascii="Times New Roman" w:hAnsi="Times New Roman" w:cs="Times New Roman"/>
        </w:rPr>
        <w:t xml:space="preserve"> </w:t>
      </w:r>
    </w:p>
    <w:p w14:paraId="6B999D8E" w14:textId="0A00D511" w:rsidR="00F303D2" w:rsidRPr="00E37223" w:rsidRDefault="00E6656D" w:rsidP="00F963AF">
      <w:pPr>
        <w:spacing w:line="360" w:lineRule="auto"/>
        <w:ind w:firstLine="720"/>
        <w:rPr>
          <w:rFonts w:ascii="Times New Roman" w:hAnsi="Times New Roman" w:cs="Times New Roman"/>
        </w:rPr>
      </w:pPr>
      <w:r w:rsidRPr="00E37223">
        <w:rPr>
          <w:rFonts w:ascii="Times New Roman" w:hAnsi="Times New Roman" w:cs="Times New Roman"/>
        </w:rPr>
        <w:lastRenderedPageBreak/>
        <w:t xml:space="preserve">Second, previous </w:t>
      </w:r>
      <w:r w:rsidR="00D1517F" w:rsidRPr="00E37223">
        <w:rPr>
          <w:rFonts w:ascii="Times New Roman" w:hAnsi="Times New Roman" w:cs="Times New Roman"/>
        </w:rPr>
        <w:t>stud</w:t>
      </w:r>
      <w:r w:rsidR="00AC5192" w:rsidRPr="00E37223">
        <w:rPr>
          <w:rFonts w:ascii="Times New Roman" w:hAnsi="Times New Roman" w:cs="Times New Roman"/>
        </w:rPr>
        <w:t>ies</w:t>
      </w:r>
      <w:r w:rsidR="00E65FF2" w:rsidRPr="00E37223">
        <w:rPr>
          <w:rFonts w:ascii="Times New Roman" w:hAnsi="Times New Roman" w:cs="Times New Roman"/>
        </w:rPr>
        <w:t xml:space="preserve"> </w:t>
      </w:r>
      <w:r w:rsidR="00AC5192" w:rsidRPr="00E37223">
        <w:rPr>
          <w:rFonts w:ascii="Times New Roman" w:hAnsi="Times New Roman" w:cs="Times New Roman"/>
        </w:rPr>
        <w:t>suggest</w:t>
      </w:r>
      <w:r w:rsidR="00E65FF2" w:rsidRPr="00E37223">
        <w:rPr>
          <w:rFonts w:ascii="Times New Roman" w:hAnsi="Times New Roman" w:cs="Times New Roman"/>
        </w:rPr>
        <w:t xml:space="preserve"> cross-border credit supply often contracts during crisis periods</w:t>
      </w:r>
      <w:r w:rsidR="001D2998" w:rsidRPr="00E37223">
        <w:rPr>
          <w:rFonts w:ascii="Times New Roman" w:hAnsi="Times New Roman" w:cs="Times New Roman"/>
        </w:rPr>
        <w:t xml:space="preserve"> </w:t>
      </w:r>
      <w:r w:rsidR="005852CB" w:rsidRPr="00E37223">
        <w:rPr>
          <w:rFonts w:ascii="Times New Roman" w:hAnsi="Times New Roman" w:cs="Times New Roman"/>
        </w:rPr>
        <w:t xml:space="preserve">(De Haas </w:t>
      </w:r>
      <w:r w:rsidR="003F3C98" w:rsidRPr="00E37223">
        <w:rPr>
          <w:rFonts w:ascii="Times New Roman" w:hAnsi="Times New Roman" w:cs="Times New Roman"/>
        </w:rPr>
        <w:t>and</w:t>
      </w:r>
      <w:r w:rsidR="005852CB" w:rsidRPr="00E37223">
        <w:rPr>
          <w:rFonts w:ascii="Times New Roman" w:hAnsi="Times New Roman" w:cs="Times New Roman"/>
        </w:rPr>
        <w:t xml:space="preserve"> Van Horen 2013)</w:t>
      </w:r>
      <w:r w:rsidR="00AC5192" w:rsidRPr="00E37223">
        <w:rPr>
          <w:rFonts w:ascii="Times New Roman" w:hAnsi="Times New Roman" w:cs="Times New Roman"/>
        </w:rPr>
        <w:t xml:space="preserve"> </w:t>
      </w:r>
      <w:r w:rsidR="00E65FF2" w:rsidRPr="00E37223">
        <w:rPr>
          <w:rFonts w:ascii="Times New Roman" w:hAnsi="Times New Roman" w:cs="Times New Roman"/>
        </w:rPr>
        <w:t xml:space="preserve">and recognizing that such periods are often </w:t>
      </w:r>
      <w:r w:rsidR="001A76DA" w:rsidRPr="00E37223">
        <w:rPr>
          <w:rFonts w:ascii="Times New Roman" w:hAnsi="Times New Roman" w:cs="Times New Roman"/>
        </w:rPr>
        <w:t>characterized</w:t>
      </w:r>
      <w:r w:rsidR="00E65FF2" w:rsidRPr="00E37223">
        <w:rPr>
          <w:rFonts w:ascii="Times New Roman" w:hAnsi="Times New Roman" w:cs="Times New Roman"/>
        </w:rPr>
        <w:t xml:space="preserve"> by policy uncertainty</w:t>
      </w:r>
      <w:r w:rsidR="00AA02DD" w:rsidRPr="00E37223">
        <w:rPr>
          <w:rFonts w:ascii="Times New Roman" w:hAnsi="Times New Roman" w:cs="Times New Roman"/>
        </w:rPr>
        <w:t xml:space="preserve"> </w:t>
      </w:r>
      <w:r w:rsidR="003A7412" w:rsidRPr="00E37223">
        <w:rPr>
          <w:rFonts w:ascii="Times New Roman" w:hAnsi="Times New Roman" w:cs="Times New Roman"/>
        </w:rPr>
        <w:t xml:space="preserve">(Biswas </w:t>
      </w:r>
      <w:r w:rsidR="003F3C98" w:rsidRPr="00E37223">
        <w:rPr>
          <w:rFonts w:ascii="Times New Roman" w:hAnsi="Times New Roman" w:cs="Times New Roman"/>
        </w:rPr>
        <w:t>and</w:t>
      </w:r>
      <w:r w:rsidR="003A7412" w:rsidRPr="00E37223">
        <w:rPr>
          <w:rFonts w:ascii="Times New Roman" w:hAnsi="Times New Roman" w:cs="Times New Roman"/>
        </w:rPr>
        <w:t xml:space="preserve"> Zhai 2021; Correa et al. 2021)</w:t>
      </w:r>
      <w:r w:rsidR="00E65FF2" w:rsidRPr="00E37223">
        <w:rPr>
          <w:rFonts w:ascii="Times New Roman" w:hAnsi="Times New Roman" w:cs="Times New Roman"/>
        </w:rPr>
        <w:t>,</w:t>
      </w:r>
      <w:r w:rsidR="00D1517F" w:rsidRPr="00E37223">
        <w:rPr>
          <w:rFonts w:ascii="Times New Roman" w:hAnsi="Times New Roman" w:cs="Times New Roman"/>
        </w:rPr>
        <w:t xml:space="preserve"> </w:t>
      </w:r>
      <w:r w:rsidRPr="00E37223">
        <w:rPr>
          <w:rFonts w:ascii="Times New Roman" w:hAnsi="Times New Roman" w:cs="Times New Roman"/>
        </w:rPr>
        <w:t xml:space="preserve">in columns (3) and (4) </w:t>
      </w:r>
      <w:r w:rsidR="00E65FF2" w:rsidRPr="00E37223">
        <w:rPr>
          <w:rFonts w:ascii="Times New Roman" w:hAnsi="Times New Roman" w:cs="Times New Roman"/>
        </w:rPr>
        <w:t>we re-estimate our baseline equation while excluding the crisis period from the second quarter of 2007</w:t>
      </w:r>
      <w:r w:rsidR="00346440" w:rsidRPr="00E37223">
        <w:rPr>
          <w:rFonts w:ascii="Times New Roman" w:hAnsi="Times New Roman" w:cs="Times New Roman"/>
        </w:rPr>
        <w:t xml:space="preserve"> (2007Q2)</w:t>
      </w:r>
      <w:r w:rsidR="00E65FF2" w:rsidRPr="00E37223">
        <w:rPr>
          <w:rFonts w:ascii="Times New Roman" w:hAnsi="Times New Roman" w:cs="Times New Roman"/>
        </w:rPr>
        <w:t xml:space="preserve"> to the third quarter of 2009</w:t>
      </w:r>
      <w:r w:rsidR="00346440" w:rsidRPr="00E37223">
        <w:rPr>
          <w:rFonts w:ascii="Times New Roman" w:hAnsi="Times New Roman" w:cs="Times New Roman"/>
        </w:rPr>
        <w:t xml:space="preserve"> (2009Q3)</w:t>
      </w:r>
      <w:r w:rsidR="00E65FF2" w:rsidRPr="00E37223">
        <w:rPr>
          <w:rFonts w:ascii="Times New Roman" w:hAnsi="Times New Roman" w:cs="Times New Roman"/>
        </w:rPr>
        <w:t xml:space="preserve">. </w:t>
      </w:r>
      <w:r w:rsidR="00E56BBD" w:rsidRPr="00E37223">
        <w:rPr>
          <w:rFonts w:ascii="Times New Roman" w:hAnsi="Times New Roman" w:cs="Times New Roman"/>
        </w:rPr>
        <w:t>Nevertheless, e</w:t>
      </w:r>
      <w:r w:rsidR="00E65FF2" w:rsidRPr="00E37223">
        <w:rPr>
          <w:rFonts w:ascii="Times New Roman" w:hAnsi="Times New Roman" w:cs="Times New Roman"/>
        </w:rPr>
        <w:t xml:space="preserve">ven after this exclusion, </w:t>
      </w:r>
      <w:r w:rsidR="00BC6E8F" w:rsidRPr="00E37223">
        <w:rPr>
          <w:rFonts w:ascii="Times New Roman" w:hAnsi="Times New Roman" w:cs="Times New Roman"/>
        </w:rPr>
        <w:t xml:space="preserve">the </w:t>
      </w:r>
      <w:r w:rsidR="00C02AEE" w:rsidRPr="00E37223">
        <w:rPr>
          <w:rFonts w:ascii="Times New Roman" w:hAnsi="Times New Roman" w:cs="Times New Roman"/>
        </w:rPr>
        <w:t xml:space="preserve">ambiguity </w:t>
      </w:r>
      <w:r w:rsidR="00E65FF2" w:rsidRPr="00E37223">
        <w:rPr>
          <w:rFonts w:ascii="Times New Roman" w:hAnsi="Times New Roman" w:cs="Times New Roman"/>
        </w:rPr>
        <w:t>coefficients remain positive and significant.</w:t>
      </w:r>
      <w:r w:rsidR="00AA02DD" w:rsidRPr="00E37223">
        <w:rPr>
          <w:rFonts w:ascii="Times New Roman" w:hAnsi="Times New Roman" w:cs="Times New Roman"/>
        </w:rPr>
        <w:t xml:space="preserve"> </w:t>
      </w:r>
    </w:p>
    <w:p w14:paraId="1F602CFC" w14:textId="216371D2" w:rsidR="00503919" w:rsidRPr="00E37223" w:rsidRDefault="000B359D" w:rsidP="00F963AF">
      <w:pPr>
        <w:spacing w:line="360" w:lineRule="auto"/>
        <w:ind w:firstLine="720"/>
        <w:rPr>
          <w:rFonts w:ascii="Times New Roman" w:hAnsi="Times New Roman" w:cs="Times New Roman"/>
        </w:rPr>
      </w:pPr>
      <w:r w:rsidRPr="00E37223">
        <w:rPr>
          <w:rFonts w:ascii="Times New Roman" w:hAnsi="Times New Roman" w:cs="Times New Roman"/>
        </w:rPr>
        <w:t xml:space="preserve">Third, as </w:t>
      </w:r>
      <w:r w:rsidR="00D240E3" w:rsidRPr="00E37223">
        <w:rPr>
          <w:rFonts w:ascii="Times New Roman" w:hAnsi="Times New Roman" w:cs="Times New Roman"/>
        </w:rPr>
        <w:t xml:space="preserve">suggested by Choi </w:t>
      </w:r>
      <w:r w:rsidR="003F3C98" w:rsidRPr="00E37223">
        <w:rPr>
          <w:rFonts w:ascii="Times New Roman" w:hAnsi="Times New Roman" w:cs="Times New Roman"/>
        </w:rPr>
        <w:t>and</w:t>
      </w:r>
      <w:r w:rsidR="00D240E3" w:rsidRPr="00E37223">
        <w:rPr>
          <w:rFonts w:ascii="Times New Roman" w:hAnsi="Times New Roman" w:cs="Times New Roman"/>
        </w:rPr>
        <w:t xml:space="preserve"> Furceri (2019), the baseline estimation includes recipient country-time fixed effects, but it does not account for specific costs of </w:t>
      </w:r>
      <w:r w:rsidRPr="00E37223">
        <w:rPr>
          <w:rFonts w:ascii="Times New Roman" w:hAnsi="Times New Roman" w:cs="Times New Roman"/>
        </w:rPr>
        <w:t xml:space="preserve">the gravity model factors </w:t>
      </w:r>
      <w:r w:rsidR="00AA02DD" w:rsidRPr="00E37223">
        <w:rPr>
          <w:rFonts w:ascii="Times New Roman" w:hAnsi="Times New Roman" w:cs="Times New Roman"/>
        </w:rPr>
        <w:t>related to international asset trading between country pairs</w:t>
      </w:r>
      <w:r w:rsidRPr="00E37223">
        <w:rPr>
          <w:rFonts w:ascii="Times New Roman" w:hAnsi="Times New Roman" w:cs="Times New Roman"/>
        </w:rPr>
        <w:t xml:space="preserve">. </w:t>
      </w:r>
      <w:r w:rsidR="00BC6E8F" w:rsidRPr="00E37223">
        <w:rPr>
          <w:rFonts w:ascii="Times New Roman" w:hAnsi="Times New Roman" w:cs="Times New Roman"/>
        </w:rPr>
        <w:t>Hence, t</w:t>
      </w:r>
      <w:r w:rsidR="00E6656D" w:rsidRPr="00E37223">
        <w:rPr>
          <w:rFonts w:ascii="Times New Roman" w:hAnsi="Times New Roman" w:cs="Times New Roman"/>
        </w:rPr>
        <w:t>o address this concern</w:t>
      </w:r>
      <w:r w:rsidR="00BC6E8F" w:rsidRPr="00E37223">
        <w:rPr>
          <w:rFonts w:ascii="Times New Roman" w:hAnsi="Times New Roman" w:cs="Times New Roman"/>
        </w:rPr>
        <w:t xml:space="preserve"> we</w:t>
      </w:r>
      <w:r w:rsidR="00E6656D" w:rsidRPr="00E37223">
        <w:rPr>
          <w:rFonts w:ascii="Times New Roman" w:hAnsi="Times New Roman" w:cs="Times New Roman"/>
        </w:rPr>
        <w:t xml:space="preserve"> </w:t>
      </w:r>
      <w:r w:rsidR="00D240E3" w:rsidRPr="00E37223">
        <w:rPr>
          <w:rFonts w:ascii="Times New Roman" w:hAnsi="Times New Roman" w:cs="Times New Roman"/>
        </w:rPr>
        <w:t xml:space="preserve">follow </w:t>
      </w:r>
      <w:r w:rsidR="00521EF5" w:rsidRPr="00E37223">
        <w:rPr>
          <w:rFonts w:ascii="Times New Roman" w:hAnsi="Times New Roman" w:cs="Times New Roman"/>
        </w:rPr>
        <w:t xml:space="preserve">their approach </w:t>
      </w:r>
      <w:r w:rsidR="00E56BBD" w:rsidRPr="00E37223">
        <w:rPr>
          <w:rFonts w:ascii="Times New Roman" w:hAnsi="Times New Roman" w:cs="Times New Roman"/>
        </w:rPr>
        <w:t>and a</w:t>
      </w:r>
      <w:r w:rsidR="00521EF5" w:rsidRPr="00E37223">
        <w:rPr>
          <w:rFonts w:ascii="Times New Roman" w:hAnsi="Times New Roman" w:cs="Times New Roman"/>
        </w:rPr>
        <w:t xml:space="preserve">dd </w:t>
      </w:r>
      <w:r w:rsidR="0012169F" w:rsidRPr="00E37223">
        <w:rPr>
          <w:rFonts w:ascii="Times New Roman" w:hAnsi="Times New Roman" w:cs="Times New Roman"/>
        </w:rPr>
        <w:t>three</w:t>
      </w:r>
      <w:r w:rsidR="00AA02DD" w:rsidRPr="00E37223">
        <w:rPr>
          <w:rFonts w:ascii="Times New Roman" w:hAnsi="Times New Roman" w:cs="Times New Roman"/>
        </w:rPr>
        <w:t xml:space="preserve"> gravity </w:t>
      </w:r>
      <w:r w:rsidR="009B4782" w:rsidRPr="00E37223">
        <w:rPr>
          <w:rFonts w:ascii="Times New Roman" w:hAnsi="Times New Roman" w:cs="Times New Roman"/>
        </w:rPr>
        <w:t>variables</w:t>
      </w:r>
      <w:r w:rsidR="00D240E3" w:rsidRPr="00E37223">
        <w:rPr>
          <w:rFonts w:ascii="Times New Roman" w:hAnsi="Times New Roman" w:cs="Times New Roman"/>
        </w:rPr>
        <w:t>, namely</w:t>
      </w:r>
      <w:r w:rsidR="00AA02DD" w:rsidRPr="00E37223">
        <w:rPr>
          <w:rFonts w:ascii="Times New Roman" w:hAnsi="Times New Roman" w:cs="Times New Roman"/>
        </w:rPr>
        <w:t xml:space="preserve"> the geographical distance between countries and dummy variables indicating shared borders </w:t>
      </w:r>
      <w:r w:rsidR="00E56BBD" w:rsidRPr="00E37223">
        <w:rPr>
          <w:rFonts w:ascii="Times New Roman" w:hAnsi="Times New Roman" w:cs="Times New Roman"/>
        </w:rPr>
        <w:t xml:space="preserve">and </w:t>
      </w:r>
      <w:r w:rsidR="00AA02DD" w:rsidRPr="00E37223">
        <w:rPr>
          <w:rFonts w:ascii="Times New Roman" w:hAnsi="Times New Roman" w:cs="Times New Roman"/>
        </w:rPr>
        <w:t>language. Th</w:t>
      </w:r>
      <w:r w:rsidR="00E6656D" w:rsidRPr="00E37223">
        <w:rPr>
          <w:rFonts w:ascii="Times New Roman" w:hAnsi="Times New Roman" w:cs="Times New Roman"/>
        </w:rPr>
        <w:t>ese</w:t>
      </w:r>
      <w:r w:rsidR="00AA02DD" w:rsidRPr="00E37223">
        <w:rPr>
          <w:rFonts w:ascii="Times New Roman" w:hAnsi="Times New Roman" w:cs="Times New Roman"/>
        </w:rPr>
        <w:t xml:space="preserve"> data </w:t>
      </w:r>
      <w:r w:rsidR="00E6656D" w:rsidRPr="00E37223">
        <w:rPr>
          <w:rFonts w:ascii="Times New Roman" w:hAnsi="Times New Roman" w:cs="Times New Roman"/>
        </w:rPr>
        <w:t xml:space="preserve">are </w:t>
      </w:r>
      <w:r w:rsidR="00D240E3" w:rsidRPr="00E37223">
        <w:rPr>
          <w:rFonts w:ascii="Times New Roman" w:hAnsi="Times New Roman" w:cs="Times New Roman"/>
        </w:rPr>
        <w:t xml:space="preserve">obtained </w:t>
      </w:r>
      <w:r w:rsidR="00AA02DD" w:rsidRPr="00E37223">
        <w:rPr>
          <w:rFonts w:ascii="Times New Roman" w:hAnsi="Times New Roman" w:cs="Times New Roman"/>
        </w:rPr>
        <w:t xml:space="preserve">from the bilateral geography dataset by </w:t>
      </w:r>
      <w:r w:rsidR="005852CB" w:rsidRPr="00E37223">
        <w:rPr>
          <w:rFonts w:ascii="Times New Roman" w:hAnsi="Times New Roman" w:cs="Times New Roman"/>
        </w:rPr>
        <w:t xml:space="preserve">Mayer </w:t>
      </w:r>
      <w:r w:rsidR="003669AE" w:rsidRPr="00E37223">
        <w:rPr>
          <w:rFonts w:ascii="Times New Roman" w:hAnsi="Times New Roman" w:cs="Times New Roman"/>
        </w:rPr>
        <w:t xml:space="preserve">and </w:t>
      </w:r>
      <w:r w:rsidR="005852CB" w:rsidRPr="00E37223">
        <w:rPr>
          <w:rFonts w:ascii="Times New Roman" w:hAnsi="Times New Roman" w:cs="Times New Roman"/>
        </w:rPr>
        <w:t>Zignago (2011)</w:t>
      </w:r>
      <w:r w:rsidR="003C3C43" w:rsidRPr="00E37223">
        <w:rPr>
          <w:rFonts w:ascii="Times New Roman" w:hAnsi="Times New Roman" w:cs="Times New Roman"/>
        </w:rPr>
        <w:t>.</w:t>
      </w:r>
      <w:r w:rsidR="00AA02DD" w:rsidRPr="00E37223">
        <w:rPr>
          <w:rFonts w:ascii="Times New Roman" w:hAnsi="Times New Roman" w:cs="Times New Roman"/>
        </w:rPr>
        <w:t xml:space="preserve"> The results in columns (5) and (6), which account for these gravity factors, show that </w:t>
      </w:r>
      <w:r w:rsidR="00E6656D" w:rsidRPr="00E37223">
        <w:rPr>
          <w:rFonts w:ascii="Times New Roman" w:hAnsi="Times New Roman" w:cs="Times New Roman"/>
        </w:rPr>
        <w:t xml:space="preserve">inclusion of these variables </w:t>
      </w:r>
      <w:r w:rsidR="00AA02DD" w:rsidRPr="00E37223">
        <w:rPr>
          <w:rFonts w:ascii="Times New Roman" w:hAnsi="Times New Roman" w:cs="Times New Roman"/>
        </w:rPr>
        <w:t xml:space="preserve">does not significantly alter our baseline </w:t>
      </w:r>
      <w:r w:rsidR="00E6656D" w:rsidRPr="00E37223">
        <w:rPr>
          <w:rFonts w:ascii="Times New Roman" w:hAnsi="Times New Roman" w:cs="Times New Roman"/>
        </w:rPr>
        <w:t>results</w:t>
      </w:r>
      <w:r w:rsidR="00F303D2" w:rsidRPr="00E37223">
        <w:rPr>
          <w:rFonts w:ascii="Times New Roman" w:hAnsi="Times New Roman" w:cs="Times New Roman"/>
        </w:rPr>
        <w:t xml:space="preserve">. </w:t>
      </w:r>
      <w:r w:rsidR="00E6656D" w:rsidRPr="00E37223">
        <w:rPr>
          <w:rFonts w:ascii="Times New Roman" w:hAnsi="Times New Roman" w:cs="Times New Roman"/>
        </w:rPr>
        <w:t>T</w:t>
      </w:r>
      <w:r w:rsidR="00AA02DD" w:rsidRPr="00E37223">
        <w:rPr>
          <w:rFonts w:ascii="Times New Roman" w:hAnsi="Times New Roman" w:cs="Times New Roman"/>
        </w:rPr>
        <w:t>hus, the</w:t>
      </w:r>
      <w:r w:rsidR="003669AE" w:rsidRPr="00E37223">
        <w:rPr>
          <w:rFonts w:ascii="Times New Roman" w:hAnsi="Times New Roman" w:cs="Times New Roman"/>
        </w:rPr>
        <w:t xml:space="preserve">se further estimations confirm </w:t>
      </w:r>
      <w:r w:rsidR="00AA02DD" w:rsidRPr="00E37223">
        <w:rPr>
          <w:rFonts w:ascii="Times New Roman" w:hAnsi="Times New Roman" w:cs="Times New Roman"/>
        </w:rPr>
        <w:t xml:space="preserve">the validity of our </w:t>
      </w:r>
      <w:r w:rsidR="00F303D2" w:rsidRPr="00E37223">
        <w:rPr>
          <w:rFonts w:ascii="Times New Roman" w:hAnsi="Times New Roman" w:cs="Times New Roman"/>
        </w:rPr>
        <w:t xml:space="preserve">main </w:t>
      </w:r>
      <w:r w:rsidR="00AA02DD" w:rsidRPr="00E37223">
        <w:rPr>
          <w:rFonts w:ascii="Times New Roman" w:hAnsi="Times New Roman" w:cs="Times New Roman"/>
        </w:rPr>
        <w:t>findings regarding the impact of ambiguity on bank cross-border lending.</w:t>
      </w:r>
    </w:p>
    <w:p w14:paraId="68292FDA" w14:textId="77777777" w:rsidR="00BF2AB4" w:rsidRPr="00E37223" w:rsidRDefault="00BF2AB4" w:rsidP="00F963AF">
      <w:pPr>
        <w:spacing w:line="360" w:lineRule="auto"/>
        <w:ind w:firstLine="720"/>
        <w:rPr>
          <w:rFonts w:ascii="Times New Roman" w:hAnsi="Times New Roman" w:cs="Times New Roman"/>
        </w:rPr>
      </w:pPr>
    </w:p>
    <w:p w14:paraId="38868FF8" w14:textId="34C26011" w:rsidR="00F70F5A" w:rsidRPr="00E37223" w:rsidRDefault="00532442" w:rsidP="00DD3FB5">
      <w:pPr>
        <w:spacing w:line="360" w:lineRule="auto"/>
        <w:rPr>
          <w:rFonts w:ascii="Times New Roman" w:hAnsi="Times New Roman" w:cs="Times New Roman"/>
          <w:b/>
          <w:bCs/>
        </w:rPr>
      </w:pPr>
      <w:r w:rsidRPr="00E37223">
        <w:rPr>
          <w:rFonts w:ascii="Times New Roman" w:hAnsi="Times New Roman" w:cs="Times New Roman"/>
          <w:b/>
          <w:bCs/>
        </w:rPr>
        <w:t xml:space="preserve">3.2.2 </w:t>
      </w:r>
      <w:r w:rsidR="00457452" w:rsidRPr="00E37223">
        <w:rPr>
          <w:rFonts w:ascii="Times New Roman" w:hAnsi="Times New Roman" w:cs="Times New Roman"/>
          <w:b/>
          <w:bCs/>
        </w:rPr>
        <w:t>Difference-in-Difference</w:t>
      </w:r>
      <w:r w:rsidR="00C2049D" w:rsidRPr="00E37223">
        <w:rPr>
          <w:rFonts w:ascii="Times New Roman" w:hAnsi="Times New Roman" w:cs="Times New Roman"/>
          <w:b/>
          <w:bCs/>
        </w:rPr>
        <w:t>s</w:t>
      </w:r>
      <w:r w:rsidR="00457452" w:rsidRPr="00E37223">
        <w:rPr>
          <w:rFonts w:ascii="Times New Roman" w:hAnsi="Times New Roman" w:cs="Times New Roman"/>
          <w:b/>
          <w:bCs/>
        </w:rPr>
        <w:t xml:space="preserve"> evidence from the Brexit referendum</w:t>
      </w:r>
    </w:p>
    <w:p w14:paraId="4CDAAFEA" w14:textId="06F9845E" w:rsidR="002C7CC6" w:rsidRPr="00E37223" w:rsidRDefault="002C7CC6" w:rsidP="00896F65">
      <w:pPr>
        <w:spacing w:line="360" w:lineRule="auto"/>
        <w:rPr>
          <w:rFonts w:ascii="Times New Roman" w:hAnsi="Times New Roman" w:cs="Times New Roman"/>
        </w:rPr>
      </w:pPr>
      <w:r w:rsidRPr="00E37223">
        <w:rPr>
          <w:rFonts w:ascii="Times New Roman" w:hAnsi="Times New Roman" w:cs="Times New Roman"/>
        </w:rPr>
        <w:t xml:space="preserve">As an additional strategy to address endogeneity concerns, we </w:t>
      </w:r>
      <w:r w:rsidR="003F0C94" w:rsidRPr="00E37223">
        <w:rPr>
          <w:rFonts w:ascii="Times New Roman" w:hAnsi="Times New Roman" w:cs="Times New Roman"/>
        </w:rPr>
        <w:t>consider</w:t>
      </w:r>
      <w:r w:rsidRPr="00E37223">
        <w:rPr>
          <w:rFonts w:ascii="Times New Roman" w:hAnsi="Times New Roman" w:cs="Times New Roman"/>
        </w:rPr>
        <w:t xml:space="preserve"> the 2016 Brexit referendum as an exogenous increase in home-country </w:t>
      </w:r>
      <w:r w:rsidR="00582ABB" w:rsidRPr="00E37223">
        <w:rPr>
          <w:rFonts w:ascii="Times New Roman" w:hAnsi="Times New Roman" w:cs="Times New Roman"/>
        </w:rPr>
        <w:t xml:space="preserve">uncertainty </w:t>
      </w:r>
      <w:r w:rsidRPr="00E37223">
        <w:rPr>
          <w:rFonts w:ascii="Times New Roman" w:hAnsi="Times New Roman" w:cs="Times New Roman"/>
        </w:rPr>
        <w:t xml:space="preserve">for UK lenders. The referendum is widely interpreted as a large, discrete shock to beliefs about the future </w:t>
      </w:r>
      <w:r w:rsidR="00C2049D" w:rsidRPr="00E37223">
        <w:rPr>
          <w:rFonts w:ascii="Times New Roman" w:hAnsi="Times New Roman" w:cs="Times New Roman"/>
        </w:rPr>
        <w:t xml:space="preserve">of the </w:t>
      </w:r>
      <w:r w:rsidRPr="00E37223">
        <w:rPr>
          <w:rFonts w:ascii="Times New Roman" w:hAnsi="Times New Roman" w:cs="Times New Roman"/>
        </w:rPr>
        <w:t>UK-EU economic relationship and is commonly modelled as a major uncertainty shock for UK firms and investors (Breinlich et al., 2020).</w:t>
      </w:r>
      <w:r w:rsidR="00E1288C" w:rsidRPr="00E37223">
        <w:rPr>
          <w:rFonts w:ascii="Times New Roman" w:hAnsi="Times New Roman" w:cs="Times New Roman"/>
        </w:rPr>
        <w:t xml:space="preserve"> In</w:t>
      </w:r>
      <w:r w:rsidRPr="00E37223">
        <w:rPr>
          <w:rFonts w:ascii="Times New Roman" w:hAnsi="Times New Roman" w:cs="Times New Roman"/>
        </w:rPr>
        <w:t xml:space="preserve"> </w:t>
      </w:r>
      <w:r w:rsidR="00E1288C" w:rsidRPr="00E37223">
        <w:rPr>
          <w:rFonts w:ascii="Times New Roman" w:hAnsi="Times New Roman" w:cs="Times New Roman"/>
        </w:rPr>
        <w:t xml:space="preserve">our framework, this type of institutional and policy uncertainty translates into a higher level of home-country ambiguity about the future macro-financial environment. </w:t>
      </w:r>
      <w:r w:rsidRPr="00E37223">
        <w:rPr>
          <w:rFonts w:ascii="Times New Roman" w:hAnsi="Times New Roman" w:cs="Times New Roman"/>
        </w:rPr>
        <w:t xml:space="preserve">In line with Breinlich et al. (2020), we restrict the sample to advanced OECD lender countries and exclude emerging markets to ensure comparable banking systems and macro-financial environments. </w:t>
      </w:r>
      <w:r w:rsidR="00722B78" w:rsidRPr="00E37223">
        <w:rPr>
          <w:rFonts w:ascii="Times New Roman" w:hAnsi="Times New Roman" w:cs="Times New Roman"/>
        </w:rPr>
        <w:t>In addition, we focus on the period 2010Q1</w:t>
      </w:r>
      <w:r w:rsidR="007009E3" w:rsidRPr="00E37223">
        <w:rPr>
          <w:rFonts w:ascii="Times New Roman" w:hAnsi="Times New Roman" w:cs="Times New Roman"/>
        </w:rPr>
        <w:t xml:space="preserve"> to </w:t>
      </w:r>
      <w:r w:rsidR="00722B78" w:rsidRPr="00E37223">
        <w:rPr>
          <w:rFonts w:ascii="Times New Roman" w:hAnsi="Times New Roman" w:cs="Times New Roman"/>
        </w:rPr>
        <w:t xml:space="preserve">2019Q4, which excludes the immediate aftermath of the global financial crisis and the onset of the COVID-19 pandemic, providing a more stable pre- and post-referendum window. The treated group comprises UK lenders, while all other advanced lenders serve as controls. </w:t>
      </w:r>
      <w:r w:rsidRPr="00E37223">
        <w:rPr>
          <w:rFonts w:ascii="Times New Roman" w:hAnsi="Times New Roman" w:cs="Times New Roman"/>
        </w:rPr>
        <w:t>Table 5 reports a set of Difference-in</w:t>
      </w:r>
      <w:r w:rsidR="002027E4" w:rsidRPr="00E37223">
        <w:rPr>
          <w:rFonts w:ascii="Times New Roman" w:hAnsi="Times New Roman" w:cs="Times New Roman"/>
        </w:rPr>
        <w:t>-</w:t>
      </w:r>
      <w:r w:rsidRPr="00E37223">
        <w:rPr>
          <w:rFonts w:ascii="Times New Roman" w:hAnsi="Times New Roman" w:cs="Times New Roman"/>
        </w:rPr>
        <w:t>Difference</w:t>
      </w:r>
      <w:r w:rsidR="00C2049D" w:rsidRPr="00E37223">
        <w:rPr>
          <w:rFonts w:ascii="Times New Roman" w:hAnsi="Times New Roman" w:cs="Times New Roman"/>
        </w:rPr>
        <w:t>s</w:t>
      </w:r>
      <w:r w:rsidR="00700B9E" w:rsidRPr="00E37223">
        <w:rPr>
          <w:rFonts w:ascii="Times New Roman" w:hAnsi="Times New Roman" w:cs="Times New Roman"/>
        </w:rPr>
        <w:t xml:space="preserve"> (DiD) </w:t>
      </w:r>
      <w:r w:rsidRPr="00E37223">
        <w:rPr>
          <w:rFonts w:ascii="Times New Roman" w:hAnsi="Times New Roman" w:cs="Times New Roman"/>
        </w:rPr>
        <w:t xml:space="preserve">estimates of the impact of Brexit on cross-border lending. In the baseline DiD specification (column 1), the treatment variable </w:t>
      </w:r>
      <w:r w:rsidR="00127BD1" w:rsidRPr="00E37223">
        <w:rPr>
          <w:rFonts w:ascii="Times New Roman" w:hAnsi="Times New Roman" w:cs="Times New Roman"/>
        </w:rPr>
        <w:t>‘</w:t>
      </w:r>
      <w:r w:rsidRPr="00E37223">
        <w:rPr>
          <w:rFonts w:ascii="Times New Roman" w:hAnsi="Times New Roman" w:cs="Times New Roman"/>
        </w:rPr>
        <w:t>Treat</w:t>
      </w:r>
      <w:r w:rsidR="00127BD1" w:rsidRPr="00E37223">
        <w:rPr>
          <w:rFonts w:ascii="Times New Roman" w:hAnsi="Times New Roman" w:cs="Times New Roman"/>
        </w:rPr>
        <w:t xml:space="preserve"> </w:t>
      </w:r>
      <w:r w:rsidR="00127BD1" w:rsidRPr="00E37223">
        <w:rPr>
          <w:rFonts w:ascii="Times New Roman" w:eastAsia="Times New Roman" w:hAnsi="Times New Roman" w:cs="Times New Roman"/>
        </w:rPr>
        <w:t xml:space="preserve">× </w:t>
      </w:r>
      <w:r w:rsidRPr="00E37223">
        <w:rPr>
          <w:rFonts w:ascii="Times New Roman" w:hAnsi="Times New Roman" w:cs="Times New Roman"/>
        </w:rPr>
        <w:t>Post</w:t>
      </w:r>
      <w:r w:rsidR="00127BD1" w:rsidRPr="00E37223">
        <w:rPr>
          <w:rFonts w:ascii="Times New Roman" w:hAnsi="Times New Roman" w:cs="Times New Roman"/>
        </w:rPr>
        <w:t>’</w:t>
      </w:r>
      <w:r w:rsidRPr="00E37223">
        <w:rPr>
          <w:rFonts w:ascii="Times New Roman" w:hAnsi="Times New Roman" w:cs="Times New Roman"/>
        </w:rPr>
        <w:t xml:space="preserve"> equals one for UK lenders in quarters at or after 2016Q2 (the referendum quarter) and zero otherwise. The estimated coefficient on Treat</w:t>
      </w:r>
      <w:r w:rsidR="00127BD1" w:rsidRPr="00E37223">
        <w:rPr>
          <w:rFonts w:ascii="Times New Roman" w:hAnsi="Times New Roman" w:cs="Times New Roman"/>
        </w:rPr>
        <w:t xml:space="preserve"> </w:t>
      </w:r>
      <w:r w:rsidR="00127BD1" w:rsidRPr="00E37223">
        <w:rPr>
          <w:rFonts w:ascii="Times New Roman" w:eastAsia="Times New Roman" w:hAnsi="Times New Roman" w:cs="Times New Roman"/>
        </w:rPr>
        <w:t xml:space="preserve">× </w:t>
      </w:r>
      <w:r w:rsidRPr="00E37223">
        <w:rPr>
          <w:rFonts w:ascii="Times New Roman" w:hAnsi="Times New Roman" w:cs="Times New Roman"/>
        </w:rPr>
        <w:t xml:space="preserve">Post is </w:t>
      </w:r>
      <w:r w:rsidRPr="00E37223">
        <w:rPr>
          <w:rFonts w:ascii="Times New Roman" w:hAnsi="Times New Roman" w:cs="Times New Roman"/>
        </w:rPr>
        <w:lastRenderedPageBreak/>
        <w:t xml:space="preserve">positive and statistically significant at the 1% level (0.0244), indicating that UK lenders increased their cross-border lending relative to other advanced lenders after the referendum. This effect is robust to alternative DiD implementations based on propensity score matching and entropy balancing (columns 3 and 4), where the treatment coefficients remain positive and statistically significant, in the range 0.0180 to 0.0251. Column (2) reports an event-study of the DiD, where event time is defined relative to </w:t>
      </w:r>
      <w:r w:rsidR="002027E4" w:rsidRPr="00E37223">
        <w:rPr>
          <w:rFonts w:ascii="Times New Roman" w:hAnsi="Times New Roman" w:cs="Times New Roman"/>
          <w:i/>
          <w:iCs/>
        </w:rPr>
        <w:t xml:space="preserve">t </w:t>
      </w:r>
      <w:r w:rsidR="002027E4" w:rsidRPr="00E37223">
        <w:rPr>
          <w:rFonts w:ascii="Times New Roman" w:hAnsi="Times New Roman" w:cs="Times New Roman"/>
        </w:rPr>
        <w:t xml:space="preserve">= </w:t>
      </w:r>
      <w:r w:rsidR="0016268E" w:rsidRPr="00E37223">
        <w:rPr>
          <w:rFonts w:ascii="Times New Roman" w:hAnsi="Times New Roman" w:cs="Times New Roman"/>
        </w:rPr>
        <w:t>0 (2016Q2)</w:t>
      </w:r>
      <w:r w:rsidRPr="00E37223">
        <w:rPr>
          <w:rFonts w:ascii="Times New Roman" w:hAnsi="Times New Roman" w:cs="Times New Roman"/>
        </w:rPr>
        <w:t xml:space="preserve"> for UK lenders. The pre-referendum coefficients </w:t>
      </w:r>
      <w:r w:rsidR="0016268E" w:rsidRPr="00E37223">
        <w:rPr>
          <w:rFonts w:ascii="Times New Roman" w:hAnsi="Times New Roman" w:cs="Times New Roman"/>
        </w:rPr>
        <w:t>(</w:t>
      </w:r>
      <w:r w:rsidR="0016268E" w:rsidRPr="00E37223">
        <w:rPr>
          <w:rFonts w:ascii="Times New Roman" w:hAnsi="Times New Roman" w:cs="Times New Roman"/>
          <w:i/>
          <w:iCs/>
        </w:rPr>
        <w:t xml:space="preserve">t </w:t>
      </w:r>
      <w:r w:rsidR="0016268E" w:rsidRPr="00E37223">
        <w:rPr>
          <w:rFonts w:ascii="Times New Roman" w:hAnsi="Times New Roman" w:cs="Times New Roman"/>
        </w:rPr>
        <w:t xml:space="preserve">- 4 to </w:t>
      </w:r>
      <w:r w:rsidR="0016268E" w:rsidRPr="00E37223">
        <w:rPr>
          <w:rFonts w:ascii="Times New Roman" w:hAnsi="Times New Roman" w:cs="Times New Roman"/>
          <w:i/>
          <w:iCs/>
        </w:rPr>
        <w:t xml:space="preserve">t </w:t>
      </w:r>
      <w:r w:rsidR="0016268E" w:rsidRPr="00E37223">
        <w:rPr>
          <w:rFonts w:ascii="Times New Roman" w:hAnsi="Times New Roman" w:cs="Times New Roman"/>
        </w:rPr>
        <w:t xml:space="preserve">- 2) </w:t>
      </w:r>
      <w:r w:rsidRPr="00E37223">
        <w:rPr>
          <w:rFonts w:ascii="Times New Roman" w:hAnsi="Times New Roman" w:cs="Times New Roman"/>
        </w:rPr>
        <w:t xml:space="preserve">are statistically insignificant, whereas the post-referendum coefficients for the first two years after the vote </w:t>
      </w:r>
      <w:r w:rsidR="0016268E" w:rsidRPr="00E37223">
        <w:rPr>
          <w:rFonts w:ascii="Times New Roman" w:hAnsi="Times New Roman" w:cs="Times New Roman"/>
        </w:rPr>
        <w:t>(</w:t>
      </w:r>
      <w:r w:rsidR="0016268E" w:rsidRPr="00E37223">
        <w:rPr>
          <w:rFonts w:ascii="Times New Roman" w:hAnsi="Times New Roman" w:cs="Times New Roman"/>
          <w:i/>
          <w:iCs/>
        </w:rPr>
        <w:t xml:space="preserve">t </w:t>
      </w:r>
      <w:r w:rsidR="0016268E" w:rsidRPr="00E37223">
        <w:rPr>
          <w:rFonts w:ascii="Times New Roman" w:hAnsi="Times New Roman" w:cs="Times New Roman"/>
        </w:rPr>
        <w:t xml:space="preserve">+ 1 to </w:t>
      </w:r>
      <w:r w:rsidR="0016268E" w:rsidRPr="00E37223">
        <w:rPr>
          <w:rFonts w:ascii="Times New Roman" w:hAnsi="Times New Roman" w:cs="Times New Roman"/>
          <w:i/>
          <w:iCs/>
        </w:rPr>
        <w:t xml:space="preserve">t </w:t>
      </w:r>
      <w:r w:rsidR="0016268E" w:rsidRPr="00E37223">
        <w:rPr>
          <w:rFonts w:ascii="Times New Roman" w:hAnsi="Times New Roman" w:cs="Times New Roman"/>
        </w:rPr>
        <w:t xml:space="preserve">+ 2) </w:t>
      </w:r>
      <w:r w:rsidRPr="00E37223">
        <w:rPr>
          <w:rFonts w:ascii="Times New Roman" w:hAnsi="Times New Roman" w:cs="Times New Roman"/>
        </w:rPr>
        <w:t xml:space="preserve">are positive and statistically significant, consistent with an increase in cross-border lending by UK </w:t>
      </w:r>
      <w:r w:rsidR="00951347" w:rsidRPr="00E37223">
        <w:rPr>
          <w:rFonts w:ascii="Times New Roman" w:hAnsi="Times New Roman" w:cs="Times New Roman"/>
        </w:rPr>
        <w:t>lenders</w:t>
      </w:r>
      <w:r w:rsidRPr="00E37223">
        <w:rPr>
          <w:rFonts w:ascii="Times New Roman" w:hAnsi="Times New Roman" w:cs="Times New Roman"/>
        </w:rPr>
        <w:t xml:space="preserve"> relative to other advanced lenders following the Brexit-induced </w:t>
      </w:r>
      <w:r w:rsidR="00951347" w:rsidRPr="00E37223">
        <w:rPr>
          <w:rFonts w:ascii="Times New Roman" w:hAnsi="Times New Roman" w:cs="Times New Roman"/>
        </w:rPr>
        <w:t>ambiguity</w:t>
      </w:r>
      <w:r w:rsidRPr="00E37223">
        <w:rPr>
          <w:rFonts w:ascii="Times New Roman" w:hAnsi="Times New Roman" w:cs="Times New Roman"/>
        </w:rPr>
        <w:t xml:space="preserve"> shock. </w:t>
      </w:r>
      <w:bookmarkStart w:id="8" w:name="_Hlk216875551"/>
      <w:r w:rsidRPr="00E37223">
        <w:rPr>
          <w:rFonts w:ascii="Times New Roman" w:hAnsi="Times New Roman" w:cs="Times New Roman"/>
        </w:rPr>
        <w:t xml:space="preserve">Overall, the Brexit DiD results </w:t>
      </w:r>
      <w:r w:rsidR="004C4CBA" w:rsidRPr="00E37223">
        <w:rPr>
          <w:rFonts w:ascii="Times New Roman" w:hAnsi="Times New Roman" w:cs="Times New Roman"/>
        </w:rPr>
        <w:t>support</w:t>
      </w:r>
      <w:r w:rsidRPr="00E37223">
        <w:rPr>
          <w:rFonts w:ascii="Times New Roman" w:hAnsi="Times New Roman" w:cs="Times New Roman"/>
        </w:rPr>
        <w:t xml:space="preserve"> our main finding that increases in home-country ambiguity are associated with greater cross-border lending.</w:t>
      </w:r>
    </w:p>
    <w:bookmarkEnd w:id="8"/>
    <w:p w14:paraId="50FB0CBA" w14:textId="77777777" w:rsidR="00700B9E" w:rsidRPr="00E37223" w:rsidRDefault="00700B9E" w:rsidP="00896F65">
      <w:pPr>
        <w:spacing w:line="360" w:lineRule="auto"/>
        <w:rPr>
          <w:rFonts w:ascii="Times New Roman" w:hAnsi="Times New Roman" w:cs="Times New Roman"/>
        </w:rPr>
      </w:pPr>
    </w:p>
    <w:p w14:paraId="785EE570" w14:textId="00B0FD97" w:rsidR="00D35580" w:rsidRPr="00E37223" w:rsidRDefault="00450088" w:rsidP="00DD3FB5">
      <w:pPr>
        <w:spacing w:line="360" w:lineRule="auto"/>
        <w:rPr>
          <w:rFonts w:ascii="Times New Roman" w:hAnsi="Times New Roman" w:cs="Times New Roman"/>
          <w:b/>
          <w:bCs/>
        </w:rPr>
      </w:pPr>
      <w:r w:rsidRPr="00E37223">
        <w:rPr>
          <w:rFonts w:ascii="Times New Roman" w:hAnsi="Times New Roman" w:cs="Times New Roman"/>
          <w:b/>
          <w:bCs/>
        </w:rPr>
        <w:t xml:space="preserve">3.3 </w:t>
      </w:r>
      <w:r w:rsidR="008C61C6" w:rsidRPr="00E37223">
        <w:rPr>
          <w:rFonts w:ascii="Times New Roman" w:hAnsi="Times New Roman" w:cs="Times New Roman"/>
          <w:b/>
          <w:bCs/>
        </w:rPr>
        <w:t xml:space="preserve"> </w:t>
      </w:r>
      <w:r w:rsidR="00ED3D66" w:rsidRPr="00E37223">
        <w:rPr>
          <w:rFonts w:ascii="Times New Roman" w:hAnsi="Times New Roman" w:cs="Times New Roman"/>
          <w:b/>
          <w:bCs/>
        </w:rPr>
        <w:t>L</w:t>
      </w:r>
      <w:r w:rsidR="00D35580" w:rsidRPr="00E37223">
        <w:rPr>
          <w:rFonts w:ascii="Times New Roman" w:hAnsi="Times New Roman" w:cs="Times New Roman"/>
          <w:b/>
          <w:bCs/>
        </w:rPr>
        <w:t>ender level cross-border lending</w:t>
      </w:r>
    </w:p>
    <w:p w14:paraId="2F91CE65" w14:textId="75DEF0C2" w:rsidR="002A7566" w:rsidRPr="00E37223" w:rsidRDefault="005F7FF5" w:rsidP="00DD3FB5">
      <w:pPr>
        <w:spacing w:line="360" w:lineRule="auto"/>
        <w:rPr>
          <w:rFonts w:ascii="Times New Roman" w:hAnsi="Times New Roman" w:cs="Times New Roman"/>
        </w:rPr>
      </w:pPr>
      <w:r w:rsidRPr="00E37223">
        <w:rPr>
          <w:rFonts w:ascii="Times New Roman" w:hAnsi="Times New Roman" w:cs="Times New Roman"/>
        </w:rPr>
        <w:t xml:space="preserve">In addition to our </w:t>
      </w:r>
      <w:r w:rsidR="007D1653" w:rsidRPr="00E37223">
        <w:rPr>
          <w:rFonts w:ascii="Times New Roman" w:hAnsi="Times New Roman" w:cs="Times New Roman"/>
        </w:rPr>
        <w:t>country-pair level baseline</w:t>
      </w:r>
      <w:r w:rsidRPr="00E37223">
        <w:rPr>
          <w:rFonts w:ascii="Times New Roman" w:hAnsi="Times New Roman" w:cs="Times New Roman"/>
        </w:rPr>
        <w:t xml:space="preserve"> analysis, we conduct further investigations at the bank-country-quarter level, with the </w:t>
      </w:r>
      <w:r w:rsidR="007D1653" w:rsidRPr="00E37223">
        <w:rPr>
          <w:rFonts w:ascii="Times New Roman" w:hAnsi="Times New Roman" w:cs="Times New Roman"/>
        </w:rPr>
        <w:t>results</w:t>
      </w:r>
      <w:r w:rsidRPr="00E37223">
        <w:rPr>
          <w:rFonts w:ascii="Times New Roman" w:hAnsi="Times New Roman" w:cs="Times New Roman"/>
        </w:rPr>
        <w:t xml:space="preserve"> </w:t>
      </w:r>
      <w:r w:rsidR="007D1653" w:rsidRPr="00E37223">
        <w:rPr>
          <w:rFonts w:ascii="Times New Roman" w:hAnsi="Times New Roman" w:cs="Times New Roman"/>
        </w:rPr>
        <w:t>shown</w:t>
      </w:r>
      <w:r w:rsidRPr="00E37223">
        <w:rPr>
          <w:rFonts w:ascii="Times New Roman" w:hAnsi="Times New Roman" w:cs="Times New Roman"/>
        </w:rPr>
        <w:t xml:space="preserve"> in Table </w:t>
      </w:r>
      <w:r w:rsidR="009D42ED" w:rsidRPr="00E37223">
        <w:rPr>
          <w:rFonts w:ascii="Times New Roman" w:hAnsi="Times New Roman" w:cs="Times New Roman"/>
        </w:rPr>
        <w:t>6</w:t>
      </w:r>
      <w:r w:rsidRPr="00E37223">
        <w:rPr>
          <w:rFonts w:ascii="Times New Roman" w:hAnsi="Times New Roman" w:cs="Times New Roman"/>
        </w:rPr>
        <w:t xml:space="preserve">. This analysis </w:t>
      </w:r>
      <w:r w:rsidR="007D1653" w:rsidRPr="00E37223">
        <w:rPr>
          <w:rFonts w:ascii="Times New Roman" w:hAnsi="Times New Roman" w:cs="Times New Roman"/>
        </w:rPr>
        <w:t>employs</w:t>
      </w:r>
      <w:r w:rsidRPr="00E37223">
        <w:rPr>
          <w:rFonts w:ascii="Times New Roman" w:hAnsi="Times New Roman" w:cs="Times New Roman"/>
        </w:rPr>
        <w:t xml:space="preserve"> two dependent variables as </w:t>
      </w:r>
      <w:r w:rsidR="00BC6E8F" w:rsidRPr="00E37223">
        <w:rPr>
          <w:rFonts w:ascii="Times New Roman" w:hAnsi="Times New Roman" w:cs="Times New Roman"/>
        </w:rPr>
        <w:t xml:space="preserve">specified </w:t>
      </w:r>
      <w:r w:rsidRPr="00E37223">
        <w:rPr>
          <w:rFonts w:ascii="Times New Roman" w:hAnsi="Times New Roman" w:cs="Times New Roman"/>
        </w:rPr>
        <w:t xml:space="preserve">in </w:t>
      </w:r>
      <w:r w:rsidR="00E6656D" w:rsidRPr="00E37223">
        <w:rPr>
          <w:rFonts w:ascii="Times New Roman" w:hAnsi="Times New Roman" w:cs="Times New Roman"/>
        </w:rPr>
        <w:t xml:space="preserve">Eq. </w:t>
      </w:r>
      <w:r w:rsidRPr="00E37223">
        <w:rPr>
          <w:rFonts w:ascii="Times New Roman" w:hAnsi="Times New Roman" w:cs="Times New Roman"/>
        </w:rPr>
        <w:t xml:space="preserve">(2): </w:t>
      </w:r>
      <w:r w:rsidR="000F1B35">
        <w:rPr>
          <w:rFonts w:ascii="Times New Roman" w:hAnsi="Times New Roman" w:cs="Times New Roman"/>
          <w:i/>
          <w:iCs/>
        </w:rPr>
        <w:t>AMOUNT</w:t>
      </w:r>
      <w:r w:rsidRPr="00E37223">
        <w:rPr>
          <w:rFonts w:ascii="Times New Roman" w:hAnsi="Times New Roman" w:cs="Times New Roman"/>
        </w:rPr>
        <w:t xml:space="preserve"> and </w:t>
      </w:r>
      <w:r w:rsidRPr="00E37223">
        <w:rPr>
          <w:rFonts w:ascii="Times New Roman" w:hAnsi="Times New Roman" w:cs="Times New Roman"/>
          <w:i/>
          <w:iCs/>
        </w:rPr>
        <w:t>Number</w:t>
      </w:r>
      <w:r w:rsidRPr="00E37223">
        <w:rPr>
          <w:rFonts w:ascii="Times New Roman" w:hAnsi="Times New Roman" w:cs="Times New Roman"/>
        </w:rPr>
        <w:t xml:space="preserve">. Following </w:t>
      </w:r>
      <w:r w:rsidR="005852CB" w:rsidRPr="00E37223">
        <w:rPr>
          <w:rFonts w:ascii="Times New Roman" w:hAnsi="Times New Roman" w:cs="Times New Roman"/>
        </w:rPr>
        <w:t xml:space="preserve">Biswas </w:t>
      </w:r>
      <w:r w:rsidR="003669AE" w:rsidRPr="00E37223">
        <w:rPr>
          <w:rFonts w:ascii="Times New Roman" w:hAnsi="Times New Roman" w:cs="Times New Roman"/>
        </w:rPr>
        <w:t>and</w:t>
      </w:r>
      <w:r w:rsidR="005852CB" w:rsidRPr="00E37223">
        <w:rPr>
          <w:rFonts w:ascii="Times New Roman" w:hAnsi="Times New Roman" w:cs="Times New Roman"/>
        </w:rPr>
        <w:t xml:space="preserve"> Zhai (2021)</w:t>
      </w:r>
      <w:r w:rsidR="003F04D4" w:rsidRPr="00E37223">
        <w:rPr>
          <w:rFonts w:ascii="Times New Roman" w:hAnsi="Times New Roman" w:cs="Times New Roman"/>
        </w:rPr>
        <w:t>,</w:t>
      </w:r>
      <w:r w:rsidRPr="00E37223">
        <w:rPr>
          <w:rFonts w:ascii="Times New Roman" w:hAnsi="Times New Roman" w:cs="Times New Roman"/>
        </w:rPr>
        <w:t xml:space="preserve"> we incorporate various levels of fixed effects into our </w:t>
      </w:r>
      <w:r w:rsidR="00DB207B" w:rsidRPr="00E37223">
        <w:rPr>
          <w:rFonts w:ascii="Times New Roman" w:hAnsi="Times New Roman" w:cs="Times New Roman"/>
        </w:rPr>
        <w:t>empirical specification</w:t>
      </w:r>
      <w:r w:rsidRPr="00E37223">
        <w:rPr>
          <w:rFonts w:ascii="Times New Roman" w:hAnsi="Times New Roman" w:cs="Times New Roman"/>
        </w:rPr>
        <w:t>.</w:t>
      </w:r>
      <w:r w:rsidR="00DB207B" w:rsidRPr="00E37223">
        <w:rPr>
          <w:rFonts w:ascii="Times New Roman" w:hAnsi="Times New Roman" w:cs="Times New Roman"/>
        </w:rPr>
        <w:t xml:space="preserve"> First</w:t>
      </w:r>
      <w:r w:rsidRPr="00E37223">
        <w:rPr>
          <w:rFonts w:ascii="Times New Roman" w:hAnsi="Times New Roman" w:cs="Times New Roman"/>
        </w:rPr>
        <w:t xml:space="preserve">, </w:t>
      </w:r>
      <w:r w:rsidR="00E6656D" w:rsidRPr="00E37223">
        <w:rPr>
          <w:rFonts w:ascii="Times New Roman" w:hAnsi="Times New Roman" w:cs="Times New Roman"/>
        </w:rPr>
        <w:t xml:space="preserve">in </w:t>
      </w:r>
      <w:r w:rsidR="00DB207B" w:rsidRPr="00E37223">
        <w:rPr>
          <w:rFonts w:ascii="Times New Roman" w:hAnsi="Times New Roman" w:cs="Times New Roman"/>
        </w:rPr>
        <w:t>c</w:t>
      </w:r>
      <w:r w:rsidRPr="00E37223">
        <w:rPr>
          <w:rFonts w:ascii="Times New Roman" w:hAnsi="Times New Roman" w:cs="Times New Roman"/>
        </w:rPr>
        <w:t xml:space="preserve">olumns </w:t>
      </w:r>
      <w:r w:rsidR="00DB207B" w:rsidRPr="00E37223">
        <w:rPr>
          <w:rFonts w:ascii="Times New Roman" w:hAnsi="Times New Roman" w:cs="Times New Roman"/>
        </w:rPr>
        <w:t>(</w:t>
      </w:r>
      <w:r w:rsidRPr="00E37223">
        <w:rPr>
          <w:rFonts w:ascii="Times New Roman" w:hAnsi="Times New Roman" w:cs="Times New Roman"/>
        </w:rPr>
        <w:t>1</w:t>
      </w:r>
      <w:r w:rsidR="00DB207B" w:rsidRPr="00E37223">
        <w:rPr>
          <w:rFonts w:ascii="Times New Roman" w:hAnsi="Times New Roman" w:cs="Times New Roman"/>
        </w:rPr>
        <w:t>)</w:t>
      </w:r>
      <w:r w:rsidRPr="00E37223">
        <w:rPr>
          <w:rFonts w:ascii="Times New Roman" w:hAnsi="Times New Roman" w:cs="Times New Roman"/>
        </w:rPr>
        <w:t xml:space="preserve"> and </w:t>
      </w:r>
      <w:r w:rsidR="00DB207B" w:rsidRPr="00E37223">
        <w:rPr>
          <w:rFonts w:ascii="Times New Roman" w:hAnsi="Times New Roman" w:cs="Times New Roman"/>
        </w:rPr>
        <w:t>(</w:t>
      </w:r>
      <w:r w:rsidRPr="00E37223">
        <w:rPr>
          <w:rFonts w:ascii="Times New Roman" w:hAnsi="Times New Roman" w:cs="Times New Roman"/>
        </w:rPr>
        <w:t>2</w:t>
      </w:r>
      <w:r w:rsidR="00DB207B" w:rsidRPr="00E37223">
        <w:rPr>
          <w:rFonts w:ascii="Times New Roman" w:hAnsi="Times New Roman" w:cs="Times New Roman"/>
        </w:rPr>
        <w:t>)</w:t>
      </w:r>
      <w:r w:rsidRPr="00E37223">
        <w:rPr>
          <w:rFonts w:ascii="Times New Roman" w:hAnsi="Times New Roman" w:cs="Times New Roman"/>
        </w:rPr>
        <w:t xml:space="preserve">, </w:t>
      </w:r>
      <w:r w:rsidR="00BC6E8F" w:rsidRPr="00E37223">
        <w:rPr>
          <w:rFonts w:ascii="Times New Roman" w:hAnsi="Times New Roman" w:cs="Times New Roman"/>
        </w:rPr>
        <w:t>the</w:t>
      </w:r>
      <w:r w:rsidRPr="00E37223">
        <w:rPr>
          <w:rFonts w:ascii="Times New Roman" w:hAnsi="Times New Roman" w:cs="Times New Roman"/>
        </w:rPr>
        <w:t xml:space="preserve"> model includes only bank-level and borrower country-quarter fixed effects. This specification aims to capture the basic effects of both the lending bank and the economic conditions of the borrower's country.</w:t>
      </w:r>
      <w:r w:rsidR="00DB207B" w:rsidRPr="00E37223">
        <w:rPr>
          <w:rFonts w:ascii="Times New Roman" w:hAnsi="Times New Roman" w:cs="Times New Roman"/>
        </w:rPr>
        <w:t xml:space="preserve"> In</w:t>
      </w:r>
      <w:r w:rsidRPr="00E37223">
        <w:rPr>
          <w:rFonts w:ascii="Times New Roman" w:hAnsi="Times New Roman" w:cs="Times New Roman"/>
        </w:rPr>
        <w:t xml:space="preserve"> columns </w:t>
      </w:r>
      <w:r w:rsidR="00DB207B" w:rsidRPr="00E37223">
        <w:rPr>
          <w:rFonts w:ascii="Times New Roman" w:hAnsi="Times New Roman" w:cs="Times New Roman"/>
        </w:rPr>
        <w:t>(</w:t>
      </w:r>
      <w:r w:rsidRPr="00E37223">
        <w:rPr>
          <w:rFonts w:ascii="Times New Roman" w:hAnsi="Times New Roman" w:cs="Times New Roman"/>
        </w:rPr>
        <w:t>3</w:t>
      </w:r>
      <w:r w:rsidR="00DB207B" w:rsidRPr="00E37223">
        <w:rPr>
          <w:rFonts w:ascii="Times New Roman" w:hAnsi="Times New Roman" w:cs="Times New Roman"/>
        </w:rPr>
        <w:t>)</w:t>
      </w:r>
      <w:r w:rsidRPr="00E37223">
        <w:rPr>
          <w:rFonts w:ascii="Times New Roman" w:hAnsi="Times New Roman" w:cs="Times New Roman"/>
        </w:rPr>
        <w:t xml:space="preserve"> and </w:t>
      </w:r>
      <w:r w:rsidR="00DB207B" w:rsidRPr="00E37223">
        <w:rPr>
          <w:rFonts w:ascii="Times New Roman" w:hAnsi="Times New Roman" w:cs="Times New Roman"/>
        </w:rPr>
        <w:t>(4)</w:t>
      </w:r>
      <w:r w:rsidRPr="00E37223">
        <w:rPr>
          <w:rFonts w:ascii="Times New Roman" w:hAnsi="Times New Roman" w:cs="Times New Roman"/>
        </w:rPr>
        <w:t xml:space="preserve"> an additional layer of fixed effects</w:t>
      </w:r>
      <w:r w:rsidR="00BC6E8F" w:rsidRPr="00E37223">
        <w:rPr>
          <w:rFonts w:ascii="Times New Roman" w:hAnsi="Times New Roman" w:cs="Times New Roman"/>
        </w:rPr>
        <w:t xml:space="preserve"> is introduced:</w:t>
      </w:r>
      <w:r w:rsidRPr="00E37223">
        <w:rPr>
          <w:rFonts w:ascii="Times New Roman" w:hAnsi="Times New Roman" w:cs="Times New Roman"/>
        </w:rPr>
        <w:t xml:space="preserve"> bank-country * borrower-country. This in</w:t>
      </w:r>
      <w:r w:rsidR="00E6656D" w:rsidRPr="00E37223">
        <w:rPr>
          <w:rFonts w:ascii="Times New Roman" w:hAnsi="Times New Roman" w:cs="Times New Roman"/>
        </w:rPr>
        <w:t xml:space="preserve">teraction </w:t>
      </w:r>
      <w:r w:rsidRPr="00E37223">
        <w:rPr>
          <w:rFonts w:ascii="Times New Roman" w:hAnsi="Times New Roman" w:cs="Times New Roman"/>
        </w:rPr>
        <w:t>is designed to control for potential influences arising from the interplay between the lender and borrower's country, which could shape bank lending decisions.</w:t>
      </w:r>
      <w:r w:rsidR="0092374C" w:rsidRPr="00E37223">
        <w:rPr>
          <w:rFonts w:ascii="Times New Roman" w:hAnsi="Times New Roman" w:cs="Times New Roman"/>
        </w:rPr>
        <w:t xml:space="preserve"> In</w:t>
      </w:r>
      <w:r w:rsidRPr="00E37223">
        <w:rPr>
          <w:rFonts w:ascii="Times New Roman" w:hAnsi="Times New Roman" w:cs="Times New Roman"/>
        </w:rPr>
        <w:t xml:space="preserve"> columns </w:t>
      </w:r>
      <w:r w:rsidR="0092374C" w:rsidRPr="00E37223">
        <w:rPr>
          <w:rFonts w:ascii="Times New Roman" w:hAnsi="Times New Roman" w:cs="Times New Roman"/>
        </w:rPr>
        <w:t>(</w:t>
      </w:r>
      <w:r w:rsidRPr="00E37223">
        <w:rPr>
          <w:rFonts w:ascii="Times New Roman" w:hAnsi="Times New Roman" w:cs="Times New Roman"/>
        </w:rPr>
        <w:t>5</w:t>
      </w:r>
      <w:r w:rsidR="0092374C" w:rsidRPr="00E37223">
        <w:rPr>
          <w:rFonts w:ascii="Times New Roman" w:hAnsi="Times New Roman" w:cs="Times New Roman"/>
        </w:rPr>
        <w:t>)</w:t>
      </w:r>
      <w:r w:rsidRPr="00E37223">
        <w:rPr>
          <w:rFonts w:ascii="Times New Roman" w:hAnsi="Times New Roman" w:cs="Times New Roman"/>
        </w:rPr>
        <w:t xml:space="preserve"> and </w:t>
      </w:r>
      <w:r w:rsidR="0092374C" w:rsidRPr="00E37223">
        <w:rPr>
          <w:rFonts w:ascii="Times New Roman" w:hAnsi="Times New Roman" w:cs="Times New Roman"/>
        </w:rPr>
        <w:t>(</w:t>
      </w:r>
      <w:r w:rsidRPr="00E37223">
        <w:rPr>
          <w:rFonts w:ascii="Times New Roman" w:hAnsi="Times New Roman" w:cs="Times New Roman"/>
        </w:rPr>
        <w:t>6</w:t>
      </w:r>
      <w:r w:rsidR="0092374C" w:rsidRPr="00E37223">
        <w:rPr>
          <w:rFonts w:ascii="Times New Roman" w:hAnsi="Times New Roman" w:cs="Times New Roman"/>
        </w:rPr>
        <w:t>)</w:t>
      </w:r>
      <w:r w:rsidRPr="00E37223">
        <w:rPr>
          <w:rFonts w:ascii="Times New Roman" w:hAnsi="Times New Roman" w:cs="Times New Roman"/>
        </w:rPr>
        <w:t xml:space="preserve"> we </w:t>
      </w:r>
      <w:r w:rsidR="00897F7B" w:rsidRPr="00E37223">
        <w:rPr>
          <w:rFonts w:ascii="Times New Roman" w:hAnsi="Times New Roman" w:cs="Times New Roman"/>
        </w:rPr>
        <w:t xml:space="preserve">incorporate </w:t>
      </w:r>
      <w:r w:rsidRPr="00E37223">
        <w:rPr>
          <w:rFonts w:ascii="Times New Roman" w:hAnsi="Times New Roman" w:cs="Times New Roman"/>
        </w:rPr>
        <w:t xml:space="preserve">bank * borrower-country fixed effects. This adjustment allows us to </w:t>
      </w:r>
      <w:r w:rsidR="00BC6E8F" w:rsidRPr="00E37223">
        <w:rPr>
          <w:rFonts w:ascii="Times New Roman" w:hAnsi="Times New Roman" w:cs="Times New Roman"/>
        </w:rPr>
        <w:t xml:space="preserve">investigate </w:t>
      </w:r>
      <w:r w:rsidRPr="00E37223">
        <w:rPr>
          <w:rFonts w:ascii="Times New Roman" w:hAnsi="Times New Roman" w:cs="Times New Roman"/>
        </w:rPr>
        <w:t xml:space="preserve">how specific relationships between the lender's and borrower's countries impact </w:t>
      </w:r>
      <w:r w:rsidR="00EE6227" w:rsidRPr="00E37223">
        <w:rPr>
          <w:rFonts w:ascii="Times New Roman" w:hAnsi="Times New Roman" w:cs="Times New Roman"/>
        </w:rPr>
        <w:t>cross-border</w:t>
      </w:r>
      <w:r w:rsidRPr="00E37223">
        <w:rPr>
          <w:rFonts w:ascii="Times New Roman" w:hAnsi="Times New Roman" w:cs="Times New Roman"/>
        </w:rPr>
        <w:t xml:space="preserve"> bank's lending.</w:t>
      </w:r>
      <w:r w:rsidR="00EE6227" w:rsidRPr="00E37223">
        <w:rPr>
          <w:rFonts w:ascii="Times New Roman" w:hAnsi="Times New Roman" w:cs="Times New Roman"/>
        </w:rPr>
        <w:t xml:space="preserve"> </w:t>
      </w:r>
      <w:r w:rsidR="00897F7B" w:rsidRPr="00E37223">
        <w:rPr>
          <w:rFonts w:ascii="Times New Roman" w:hAnsi="Times New Roman" w:cs="Times New Roman"/>
        </w:rPr>
        <w:t>Irrespective of the variations in specification, a</w:t>
      </w:r>
      <w:r w:rsidRPr="00E37223">
        <w:rPr>
          <w:rFonts w:ascii="Times New Roman" w:hAnsi="Times New Roman" w:cs="Times New Roman"/>
        </w:rPr>
        <w:t xml:space="preserve">cross all </w:t>
      </w:r>
      <w:r w:rsidR="00D240E3" w:rsidRPr="00E37223">
        <w:rPr>
          <w:rFonts w:ascii="Times New Roman" w:hAnsi="Times New Roman" w:cs="Times New Roman"/>
        </w:rPr>
        <w:t xml:space="preserve">six </w:t>
      </w:r>
      <w:r w:rsidR="002A7566" w:rsidRPr="00E37223">
        <w:rPr>
          <w:rFonts w:ascii="Times New Roman" w:hAnsi="Times New Roman" w:cs="Times New Roman"/>
        </w:rPr>
        <w:t>columns</w:t>
      </w:r>
      <w:r w:rsidRPr="00E37223">
        <w:rPr>
          <w:rFonts w:ascii="Times New Roman" w:hAnsi="Times New Roman" w:cs="Times New Roman"/>
        </w:rPr>
        <w:t>, the results consistently show that ambiguity</w:t>
      </w:r>
      <w:r w:rsidR="00EE6227" w:rsidRPr="00E37223">
        <w:rPr>
          <w:rFonts w:ascii="Times New Roman" w:hAnsi="Times New Roman" w:cs="Times New Roman"/>
        </w:rPr>
        <w:t xml:space="preserve"> (</w:t>
      </w:r>
      <w:r w:rsidR="00EE6227" w:rsidRPr="00E37223">
        <w:rPr>
          <w:rFonts w:ascii="Times New Roman" w:hAnsi="Times New Roman" w:cs="Times New Roman"/>
          <w:i/>
          <w:iCs/>
        </w:rPr>
        <w:t xml:space="preserve">lag </w:t>
      </w:r>
      <w:r w:rsidR="00E257D0" w:rsidRPr="00E37223">
        <w:rPr>
          <w:rFonts w:ascii="Times New Roman" w:hAnsi="Times New Roman" w:cs="Times New Roman"/>
          <w:i/>
          <w:iCs/>
        </w:rPr>
        <w:t>AMB</w:t>
      </w:r>
      <w:r w:rsidR="00EE6227" w:rsidRPr="00E37223">
        <w:rPr>
          <w:rFonts w:ascii="Times New Roman" w:hAnsi="Times New Roman" w:cs="Times New Roman"/>
        </w:rPr>
        <w:t>)</w:t>
      </w:r>
      <w:r w:rsidRPr="00E37223">
        <w:rPr>
          <w:rFonts w:ascii="Times New Roman" w:hAnsi="Times New Roman" w:cs="Times New Roman"/>
        </w:rPr>
        <w:t xml:space="preserve"> </w:t>
      </w:r>
      <w:r w:rsidR="004C23A5" w:rsidRPr="00E37223">
        <w:rPr>
          <w:rFonts w:ascii="Times New Roman" w:hAnsi="Times New Roman" w:cs="Times New Roman"/>
        </w:rPr>
        <w:t>positively</w:t>
      </w:r>
      <w:r w:rsidRPr="00E37223">
        <w:rPr>
          <w:rFonts w:ascii="Times New Roman" w:hAnsi="Times New Roman" w:cs="Times New Roman"/>
        </w:rPr>
        <w:t xml:space="preserve"> and significantly affects both the </w:t>
      </w:r>
      <w:r w:rsidR="000F1B35">
        <w:rPr>
          <w:rFonts w:ascii="Times New Roman" w:hAnsi="Times New Roman" w:cs="Times New Roman"/>
          <w:i/>
          <w:iCs/>
        </w:rPr>
        <w:t>AMOUNT</w:t>
      </w:r>
      <w:r w:rsidRPr="00E37223">
        <w:rPr>
          <w:rFonts w:ascii="Times New Roman" w:hAnsi="Times New Roman" w:cs="Times New Roman"/>
        </w:rPr>
        <w:t xml:space="preserve"> and </w:t>
      </w:r>
      <w:r w:rsidRPr="00E37223">
        <w:rPr>
          <w:rFonts w:ascii="Times New Roman" w:hAnsi="Times New Roman" w:cs="Times New Roman"/>
          <w:i/>
          <w:iCs/>
        </w:rPr>
        <w:t>Number</w:t>
      </w:r>
      <w:r w:rsidRPr="00E37223">
        <w:rPr>
          <w:rFonts w:ascii="Times New Roman" w:hAnsi="Times New Roman" w:cs="Times New Roman"/>
        </w:rPr>
        <w:t xml:space="preserve"> of cross-border bank lending. These findings align with the conclusions drawn from our country-pair level analysis, underscoring the robustness of our </w:t>
      </w:r>
      <w:r w:rsidR="00897F7B" w:rsidRPr="00E37223">
        <w:rPr>
          <w:rFonts w:ascii="Times New Roman" w:hAnsi="Times New Roman" w:cs="Times New Roman"/>
        </w:rPr>
        <w:t xml:space="preserve">inferences about </w:t>
      </w:r>
      <w:r w:rsidRPr="00E37223">
        <w:rPr>
          <w:rFonts w:ascii="Times New Roman" w:hAnsi="Times New Roman" w:cs="Times New Roman"/>
        </w:rPr>
        <w:t xml:space="preserve">the influence of ambiguity on cross-border </w:t>
      </w:r>
      <w:r w:rsidR="00520878" w:rsidRPr="00E37223">
        <w:rPr>
          <w:rFonts w:ascii="Times New Roman" w:hAnsi="Times New Roman" w:cs="Times New Roman"/>
        </w:rPr>
        <w:t>bank lending</w:t>
      </w:r>
      <w:r w:rsidRPr="00E37223">
        <w:rPr>
          <w:rFonts w:ascii="Times New Roman" w:hAnsi="Times New Roman" w:cs="Times New Roman"/>
        </w:rPr>
        <w:t xml:space="preserve"> activities.</w:t>
      </w:r>
    </w:p>
    <w:p w14:paraId="63414A02" w14:textId="77777777" w:rsidR="00845032" w:rsidRPr="001D4CD5" w:rsidRDefault="00845032" w:rsidP="00DD3FB5">
      <w:pPr>
        <w:spacing w:line="360" w:lineRule="auto"/>
        <w:rPr>
          <w:rFonts w:ascii="Times New Roman" w:hAnsi="Times New Roman" w:cs="Times New Roman"/>
        </w:rPr>
      </w:pPr>
    </w:p>
    <w:p w14:paraId="4BDD01BC" w14:textId="1D8C3E45" w:rsidR="002A7566" w:rsidRPr="00127BD1" w:rsidRDefault="00450088" w:rsidP="00DD3FB5">
      <w:pPr>
        <w:spacing w:line="360" w:lineRule="auto"/>
        <w:rPr>
          <w:rFonts w:ascii="Times New Roman" w:hAnsi="Times New Roman" w:cs="Times New Roman"/>
          <w:b/>
          <w:bCs/>
        </w:rPr>
      </w:pPr>
      <w:r w:rsidRPr="00127BD1">
        <w:rPr>
          <w:rFonts w:ascii="Times New Roman" w:hAnsi="Times New Roman" w:cs="Times New Roman"/>
          <w:b/>
          <w:bCs/>
        </w:rPr>
        <w:t xml:space="preserve">3.4 </w:t>
      </w:r>
      <w:r w:rsidR="008C61C6" w:rsidRPr="00127BD1">
        <w:rPr>
          <w:rFonts w:ascii="Times New Roman" w:hAnsi="Times New Roman" w:cs="Times New Roman"/>
          <w:b/>
          <w:bCs/>
        </w:rPr>
        <w:t xml:space="preserve"> </w:t>
      </w:r>
      <w:r w:rsidR="00071C2F" w:rsidRPr="00127BD1">
        <w:rPr>
          <w:rFonts w:ascii="Times New Roman" w:hAnsi="Times New Roman" w:cs="Times New Roman"/>
          <w:b/>
          <w:bCs/>
        </w:rPr>
        <w:t>Further analys</w:t>
      </w:r>
      <w:r w:rsidR="00716520" w:rsidRPr="00127BD1">
        <w:rPr>
          <w:rFonts w:ascii="Times New Roman" w:hAnsi="Times New Roman" w:cs="Times New Roman"/>
          <w:b/>
          <w:bCs/>
        </w:rPr>
        <w:t>e</w:t>
      </w:r>
      <w:r w:rsidR="00071C2F" w:rsidRPr="00127BD1">
        <w:rPr>
          <w:rFonts w:ascii="Times New Roman" w:hAnsi="Times New Roman" w:cs="Times New Roman"/>
          <w:b/>
          <w:bCs/>
        </w:rPr>
        <w:t>s</w:t>
      </w:r>
      <w:r w:rsidR="005631B8" w:rsidRPr="00127BD1">
        <w:rPr>
          <w:rFonts w:ascii="Times New Roman" w:hAnsi="Times New Roman" w:cs="Times New Roman"/>
          <w:b/>
          <w:bCs/>
        </w:rPr>
        <w:t xml:space="preserve">: </w:t>
      </w:r>
      <w:r w:rsidR="003F3C98" w:rsidRPr="00127BD1">
        <w:rPr>
          <w:rFonts w:ascii="Times New Roman" w:hAnsi="Times New Roman" w:cs="Times New Roman"/>
          <w:b/>
          <w:bCs/>
        </w:rPr>
        <w:t>l</w:t>
      </w:r>
      <w:r w:rsidR="00D240E3" w:rsidRPr="00127BD1">
        <w:rPr>
          <w:rFonts w:ascii="Times New Roman" w:hAnsi="Times New Roman" w:cs="Times New Roman"/>
          <w:b/>
          <w:bCs/>
        </w:rPr>
        <w:t>ender-level</w:t>
      </w:r>
      <w:r w:rsidR="005631B8" w:rsidRPr="00127BD1">
        <w:rPr>
          <w:rFonts w:ascii="Times New Roman" w:hAnsi="Times New Roman" w:cs="Times New Roman"/>
          <w:b/>
          <w:bCs/>
        </w:rPr>
        <w:t xml:space="preserve"> cross-border lending</w:t>
      </w:r>
    </w:p>
    <w:p w14:paraId="0281A45A" w14:textId="6B58BEC0" w:rsidR="0039635F" w:rsidRPr="00127BD1" w:rsidRDefault="00BC6E8F" w:rsidP="00DD3FB5">
      <w:pPr>
        <w:spacing w:line="360" w:lineRule="auto"/>
        <w:rPr>
          <w:rFonts w:ascii="Times New Roman" w:hAnsi="Times New Roman" w:cs="Times New Roman"/>
        </w:rPr>
      </w:pPr>
      <w:r w:rsidRPr="00127BD1">
        <w:rPr>
          <w:rFonts w:ascii="Times New Roman" w:hAnsi="Times New Roman" w:cs="Times New Roman"/>
        </w:rPr>
        <w:lastRenderedPageBreak/>
        <w:t xml:space="preserve">The present </w:t>
      </w:r>
      <w:r w:rsidR="00B9620B" w:rsidRPr="00127BD1">
        <w:rPr>
          <w:rFonts w:ascii="Times New Roman" w:hAnsi="Times New Roman" w:cs="Times New Roman"/>
        </w:rPr>
        <w:t xml:space="preserve">analysis </w:t>
      </w:r>
      <w:r w:rsidR="00ED3D66" w:rsidRPr="00127BD1">
        <w:rPr>
          <w:rFonts w:ascii="Times New Roman" w:hAnsi="Times New Roman" w:cs="Times New Roman"/>
        </w:rPr>
        <w:t>would be incomplete w</w:t>
      </w:r>
      <w:r w:rsidR="00B9620B" w:rsidRPr="00127BD1">
        <w:rPr>
          <w:rFonts w:ascii="Times New Roman" w:hAnsi="Times New Roman" w:cs="Times New Roman"/>
        </w:rPr>
        <w:t>ithout conducting a series of robustness</w:t>
      </w:r>
      <w:r w:rsidRPr="00127BD1">
        <w:rPr>
          <w:rFonts w:ascii="Times New Roman" w:hAnsi="Times New Roman" w:cs="Times New Roman"/>
        </w:rPr>
        <w:t xml:space="preserve"> checks </w:t>
      </w:r>
      <w:r w:rsidR="00B9620B" w:rsidRPr="00127BD1">
        <w:rPr>
          <w:rFonts w:ascii="Times New Roman" w:hAnsi="Times New Roman" w:cs="Times New Roman"/>
        </w:rPr>
        <w:t xml:space="preserve">on our lender-level cross-border lending data. These </w:t>
      </w:r>
      <w:r w:rsidRPr="00127BD1">
        <w:rPr>
          <w:rFonts w:ascii="Times New Roman" w:hAnsi="Times New Roman" w:cs="Times New Roman"/>
        </w:rPr>
        <w:t>checks a</w:t>
      </w:r>
      <w:r w:rsidR="00B9620B" w:rsidRPr="00127BD1">
        <w:rPr>
          <w:rFonts w:ascii="Times New Roman" w:hAnsi="Times New Roman" w:cs="Times New Roman"/>
        </w:rPr>
        <w:t xml:space="preserve">re in line with the robustness </w:t>
      </w:r>
      <w:r w:rsidRPr="00127BD1">
        <w:rPr>
          <w:rFonts w:ascii="Times New Roman" w:hAnsi="Times New Roman" w:cs="Times New Roman"/>
        </w:rPr>
        <w:t xml:space="preserve">test </w:t>
      </w:r>
      <w:r w:rsidR="00B9620B" w:rsidRPr="00127BD1">
        <w:rPr>
          <w:rFonts w:ascii="Times New Roman" w:hAnsi="Times New Roman" w:cs="Times New Roman"/>
        </w:rPr>
        <w:t xml:space="preserve">performed for </w:t>
      </w:r>
      <w:r w:rsidR="000D4229" w:rsidRPr="00127BD1">
        <w:rPr>
          <w:rFonts w:ascii="Times New Roman" w:hAnsi="Times New Roman" w:cs="Times New Roman"/>
        </w:rPr>
        <w:t>the</w:t>
      </w:r>
      <w:r w:rsidR="00B9620B" w:rsidRPr="00127BD1">
        <w:rPr>
          <w:rFonts w:ascii="Times New Roman" w:hAnsi="Times New Roman" w:cs="Times New Roman"/>
        </w:rPr>
        <w:t xml:space="preserve"> country-pair level baseline estimations. The results are presented in Table </w:t>
      </w:r>
      <w:r w:rsidR="009D42ED" w:rsidRPr="00FC6C1F">
        <w:rPr>
          <w:rFonts w:ascii="Times New Roman" w:hAnsi="Times New Roman" w:cs="Times New Roman"/>
        </w:rPr>
        <w:t>7</w:t>
      </w:r>
      <w:r w:rsidR="00B9620B" w:rsidRPr="00FC6C1F">
        <w:rPr>
          <w:rFonts w:ascii="Times New Roman" w:hAnsi="Times New Roman" w:cs="Times New Roman"/>
        </w:rPr>
        <w:t>.</w:t>
      </w:r>
      <w:r w:rsidR="00114232" w:rsidRPr="00127BD1">
        <w:rPr>
          <w:rFonts w:ascii="Times New Roman" w:hAnsi="Times New Roman" w:cs="Times New Roman"/>
        </w:rPr>
        <w:t xml:space="preserve"> </w:t>
      </w:r>
      <w:r w:rsidR="00B9620B" w:rsidRPr="00127BD1">
        <w:rPr>
          <w:rFonts w:ascii="Times New Roman" w:hAnsi="Times New Roman" w:cs="Times New Roman"/>
        </w:rPr>
        <w:t xml:space="preserve">In columns </w:t>
      </w:r>
      <w:r w:rsidR="00114232" w:rsidRPr="00127BD1">
        <w:rPr>
          <w:rFonts w:ascii="Times New Roman" w:hAnsi="Times New Roman" w:cs="Times New Roman"/>
        </w:rPr>
        <w:t>(</w:t>
      </w:r>
      <w:r w:rsidR="00B9620B" w:rsidRPr="00127BD1">
        <w:rPr>
          <w:rFonts w:ascii="Times New Roman" w:hAnsi="Times New Roman" w:cs="Times New Roman"/>
        </w:rPr>
        <w:t>1</w:t>
      </w:r>
      <w:r w:rsidR="00114232" w:rsidRPr="00127BD1">
        <w:rPr>
          <w:rFonts w:ascii="Times New Roman" w:hAnsi="Times New Roman" w:cs="Times New Roman"/>
        </w:rPr>
        <w:t>)</w:t>
      </w:r>
      <w:r w:rsidR="00B9620B" w:rsidRPr="00127BD1">
        <w:rPr>
          <w:rFonts w:ascii="Times New Roman" w:hAnsi="Times New Roman" w:cs="Times New Roman"/>
        </w:rPr>
        <w:t xml:space="preserve"> and </w:t>
      </w:r>
      <w:r w:rsidR="00114232" w:rsidRPr="00127BD1">
        <w:rPr>
          <w:rFonts w:ascii="Times New Roman" w:hAnsi="Times New Roman" w:cs="Times New Roman"/>
        </w:rPr>
        <w:t>(</w:t>
      </w:r>
      <w:r w:rsidR="00B9620B" w:rsidRPr="00127BD1">
        <w:rPr>
          <w:rFonts w:ascii="Times New Roman" w:hAnsi="Times New Roman" w:cs="Times New Roman"/>
        </w:rPr>
        <w:t>2</w:t>
      </w:r>
      <w:r w:rsidR="00114232" w:rsidRPr="00127BD1">
        <w:rPr>
          <w:rFonts w:ascii="Times New Roman" w:hAnsi="Times New Roman" w:cs="Times New Roman"/>
        </w:rPr>
        <w:t>)</w:t>
      </w:r>
      <w:r w:rsidR="00B9620B" w:rsidRPr="00127BD1">
        <w:rPr>
          <w:rFonts w:ascii="Times New Roman" w:hAnsi="Times New Roman" w:cs="Times New Roman"/>
        </w:rPr>
        <w:t xml:space="preserve"> </w:t>
      </w:r>
      <w:r w:rsidR="0043520E" w:rsidRPr="00127BD1">
        <w:rPr>
          <w:rFonts w:ascii="Times New Roman" w:hAnsi="Times New Roman" w:cs="Times New Roman"/>
        </w:rPr>
        <w:t xml:space="preserve">we </w:t>
      </w:r>
      <w:r w:rsidR="00F82D73" w:rsidRPr="00127BD1">
        <w:rPr>
          <w:rFonts w:ascii="Times New Roman" w:hAnsi="Times New Roman" w:cs="Times New Roman"/>
        </w:rPr>
        <w:t xml:space="preserve">include </w:t>
      </w:r>
      <w:r w:rsidR="00B9620B" w:rsidRPr="00127BD1">
        <w:rPr>
          <w:rFonts w:ascii="Times New Roman" w:hAnsi="Times New Roman" w:cs="Times New Roman"/>
        </w:rPr>
        <w:t xml:space="preserve">lagged sigma as a proxy for uncertainty. </w:t>
      </w:r>
      <w:r w:rsidR="00114232" w:rsidRPr="00127BD1">
        <w:rPr>
          <w:rFonts w:ascii="Times New Roman" w:hAnsi="Times New Roman" w:cs="Times New Roman"/>
        </w:rPr>
        <w:t>I</w:t>
      </w:r>
      <w:r w:rsidR="00B9620B" w:rsidRPr="00127BD1">
        <w:rPr>
          <w:rFonts w:ascii="Times New Roman" w:hAnsi="Times New Roman" w:cs="Times New Roman"/>
        </w:rPr>
        <w:t xml:space="preserve">n columns </w:t>
      </w:r>
      <w:r w:rsidR="00114232" w:rsidRPr="00127BD1">
        <w:rPr>
          <w:rFonts w:ascii="Times New Roman" w:hAnsi="Times New Roman" w:cs="Times New Roman"/>
        </w:rPr>
        <w:t>(</w:t>
      </w:r>
      <w:r w:rsidR="00B9620B" w:rsidRPr="00127BD1">
        <w:rPr>
          <w:rFonts w:ascii="Times New Roman" w:hAnsi="Times New Roman" w:cs="Times New Roman"/>
        </w:rPr>
        <w:t>3</w:t>
      </w:r>
      <w:r w:rsidR="00114232" w:rsidRPr="00127BD1">
        <w:rPr>
          <w:rFonts w:ascii="Times New Roman" w:hAnsi="Times New Roman" w:cs="Times New Roman"/>
        </w:rPr>
        <w:t>)</w:t>
      </w:r>
      <w:r w:rsidR="00B9620B" w:rsidRPr="00127BD1">
        <w:rPr>
          <w:rFonts w:ascii="Times New Roman" w:hAnsi="Times New Roman" w:cs="Times New Roman"/>
        </w:rPr>
        <w:t xml:space="preserve"> and </w:t>
      </w:r>
      <w:r w:rsidR="00114232" w:rsidRPr="00127BD1">
        <w:rPr>
          <w:rFonts w:ascii="Times New Roman" w:hAnsi="Times New Roman" w:cs="Times New Roman"/>
        </w:rPr>
        <w:t>(</w:t>
      </w:r>
      <w:r w:rsidR="00B9620B" w:rsidRPr="00127BD1">
        <w:rPr>
          <w:rFonts w:ascii="Times New Roman" w:hAnsi="Times New Roman" w:cs="Times New Roman"/>
        </w:rPr>
        <w:t>4</w:t>
      </w:r>
      <w:r w:rsidR="00114232" w:rsidRPr="00127BD1">
        <w:rPr>
          <w:rFonts w:ascii="Times New Roman" w:hAnsi="Times New Roman" w:cs="Times New Roman"/>
        </w:rPr>
        <w:t>)</w:t>
      </w:r>
      <w:r w:rsidR="00B9620B" w:rsidRPr="00127BD1">
        <w:rPr>
          <w:rFonts w:ascii="Times New Roman" w:hAnsi="Times New Roman" w:cs="Times New Roman"/>
        </w:rPr>
        <w:t xml:space="preserve"> </w:t>
      </w:r>
      <w:r w:rsidRPr="00127BD1">
        <w:rPr>
          <w:rFonts w:ascii="Times New Roman" w:hAnsi="Times New Roman" w:cs="Times New Roman"/>
        </w:rPr>
        <w:t>the t</w:t>
      </w:r>
      <w:r w:rsidR="00897F7B" w:rsidRPr="00127BD1">
        <w:rPr>
          <w:rFonts w:ascii="Times New Roman" w:hAnsi="Times New Roman" w:cs="Times New Roman"/>
        </w:rPr>
        <w:t xml:space="preserve">emporal </w:t>
      </w:r>
      <w:r w:rsidR="00B9620B" w:rsidRPr="00127BD1">
        <w:rPr>
          <w:rFonts w:ascii="Times New Roman" w:hAnsi="Times New Roman" w:cs="Times New Roman"/>
        </w:rPr>
        <w:t xml:space="preserve">analysis </w:t>
      </w:r>
      <w:r w:rsidRPr="00127BD1">
        <w:rPr>
          <w:rFonts w:ascii="Times New Roman" w:hAnsi="Times New Roman" w:cs="Times New Roman"/>
        </w:rPr>
        <w:t xml:space="preserve">is refined </w:t>
      </w:r>
      <w:r w:rsidR="00B9620B" w:rsidRPr="00127BD1">
        <w:rPr>
          <w:rFonts w:ascii="Times New Roman" w:hAnsi="Times New Roman" w:cs="Times New Roman"/>
        </w:rPr>
        <w:t xml:space="preserve">by excluding </w:t>
      </w:r>
      <w:r w:rsidR="0043520E" w:rsidRPr="00127BD1">
        <w:rPr>
          <w:rFonts w:ascii="Times New Roman" w:hAnsi="Times New Roman" w:cs="Times New Roman"/>
        </w:rPr>
        <w:t xml:space="preserve">financial crisis </w:t>
      </w:r>
      <w:r w:rsidR="00B9620B" w:rsidRPr="00127BD1">
        <w:rPr>
          <w:rFonts w:ascii="Times New Roman" w:hAnsi="Times New Roman" w:cs="Times New Roman"/>
        </w:rPr>
        <w:t xml:space="preserve">periods. </w:t>
      </w:r>
      <w:r w:rsidR="00114232" w:rsidRPr="00127BD1">
        <w:rPr>
          <w:rFonts w:ascii="Times New Roman" w:hAnsi="Times New Roman" w:cs="Times New Roman"/>
        </w:rPr>
        <w:t>I</w:t>
      </w:r>
      <w:r w:rsidR="00B9620B" w:rsidRPr="00127BD1">
        <w:rPr>
          <w:rFonts w:ascii="Times New Roman" w:hAnsi="Times New Roman" w:cs="Times New Roman"/>
        </w:rPr>
        <w:t xml:space="preserve">n columns </w:t>
      </w:r>
      <w:r w:rsidR="00114232" w:rsidRPr="00127BD1">
        <w:rPr>
          <w:rFonts w:ascii="Times New Roman" w:hAnsi="Times New Roman" w:cs="Times New Roman"/>
        </w:rPr>
        <w:t>(</w:t>
      </w:r>
      <w:r w:rsidR="00B9620B" w:rsidRPr="00127BD1">
        <w:rPr>
          <w:rFonts w:ascii="Times New Roman" w:hAnsi="Times New Roman" w:cs="Times New Roman"/>
        </w:rPr>
        <w:t>5</w:t>
      </w:r>
      <w:r w:rsidR="00114232" w:rsidRPr="00127BD1">
        <w:rPr>
          <w:rFonts w:ascii="Times New Roman" w:hAnsi="Times New Roman" w:cs="Times New Roman"/>
        </w:rPr>
        <w:t>)</w:t>
      </w:r>
      <w:r w:rsidR="00B9620B" w:rsidRPr="00127BD1">
        <w:rPr>
          <w:rFonts w:ascii="Times New Roman" w:hAnsi="Times New Roman" w:cs="Times New Roman"/>
        </w:rPr>
        <w:t xml:space="preserve"> and </w:t>
      </w:r>
      <w:r w:rsidR="00114232" w:rsidRPr="00127BD1">
        <w:rPr>
          <w:rFonts w:ascii="Times New Roman" w:hAnsi="Times New Roman" w:cs="Times New Roman"/>
        </w:rPr>
        <w:t>(</w:t>
      </w:r>
      <w:r w:rsidR="00B9620B" w:rsidRPr="00127BD1">
        <w:rPr>
          <w:rFonts w:ascii="Times New Roman" w:hAnsi="Times New Roman" w:cs="Times New Roman"/>
        </w:rPr>
        <w:t>6</w:t>
      </w:r>
      <w:r w:rsidR="00114232" w:rsidRPr="00127BD1">
        <w:rPr>
          <w:rFonts w:ascii="Times New Roman" w:hAnsi="Times New Roman" w:cs="Times New Roman"/>
        </w:rPr>
        <w:t>)</w:t>
      </w:r>
      <w:r w:rsidR="00B9620B" w:rsidRPr="00127BD1">
        <w:rPr>
          <w:rFonts w:ascii="Times New Roman" w:hAnsi="Times New Roman" w:cs="Times New Roman"/>
        </w:rPr>
        <w:t xml:space="preserve"> gravity</w:t>
      </w:r>
      <w:r w:rsidR="0043520E" w:rsidRPr="00127BD1">
        <w:rPr>
          <w:rFonts w:ascii="Times New Roman" w:hAnsi="Times New Roman" w:cs="Times New Roman"/>
        </w:rPr>
        <w:t xml:space="preserve">-type </w:t>
      </w:r>
      <w:r w:rsidR="00B9620B" w:rsidRPr="00127BD1">
        <w:rPr>
          <w:rFonts w:ascii="Times New Roman" w:hAnsi="Times New Roman" w:cs="Times New Roman"/>
        </w:rPr>
        <w:t xml:space="preserve">variables </w:t>
      </w:r>
      <w:r w:rsidRPr="00127BD1">
        <w:rPr>
          <w:rFonts w:ascii="Times New Roman" w:hAnsi="Times New Roman" w:cs="Times New Roman"/>
        </w:rPr>
        <w:t>are incorporated into the</w:t>
      </w:r>
      <w:r w:rsidR="00B9620B" w:rsidRPr="00127BD1">
        <w:rPr>
          <w:rFonts w:ascii="Times New Roman" w:hAnsi="Times New Roman" w:cs="Times New Roman"/>
        </w:rPr>
        <w:t xml:space="preserve"> model. </w:t>
      </w:r>
      <w:r w:rsidR="00F82D73" w:rsidRPr="00127BD1">
        <w:rPr>
          <w:rFonts w:ascii="Times New Roman" w:hAnsi="Times New Roman" w:cs="Times New Roman"/>
        </w:rPr>
        <w:t>A</w:t>
      </w:r>
      <w:r w:rsidR="00B9620B" w:rsidRPr="00127BD1">
        <w:rPr>
          <w:rFonts w:ascii="Times New Roman" w:hAnsi="Times New Roman" w:cs="Times New Roman"/>
        </w:rPr>
        <w:t xml:space="preserve">cross all six columns of Table </w:t>
      </w:r>
      <w:r w:rsidR="0043520E" w:rsidRPr="00127BD1">
        <w:rPr>
          <w:rFonts w:ascii="Times New Roman" w:hAnsi="Times New Roman" w:cs="Times New Roman"/>
        </w:rPr>
        <w:t>6</w:t>
      </w:r>
      <w:r w:rsidR="00B9620B" w:rsidRPr="00127BD1">
        <w:rPr>
          <w:rFonts w:ascii="Times New Roman" w:hAnsi="Times New Roman" w:cs="Times New Roman"/>
        </w:rPr>
        <w:t xml:space="preserve">, </w:t>
      </w:r>
      <w:r w:rsidRPr="00127BD1">
        <w:rPr>
          <w:rFonts w:ascii="Times New Roman" w:hAnsi="Times New Roman" w:cs="Times New Roman"/>
        </w:rPr>
        <w:t>the</w:t>
      </w:r>
      <w:r w:rsidR="00B9620B" w:rsidRPr="00127BD1">
        <w:rPr>
          <w:rFonts w:ascii="Times New Roman" w:hAnsi="Times New Roman" w:cs="Times New Roman"/>
        </w:rPr>
        <w:t xml:space="preserve"> results </w:t>
      </w:r>
      <w:r w:rsidR="00F82D73" w:rsidRPr="00127BD1">
        <w:rPr>
          <w:rFonts w:ascii="Times New Roman" w:hAnsi="Times New Roman" w:cs="Times New Roman"/>
        </w:rPr>
        <w:t xml:space="preserve">consistently </w:t>
      </w:r>
      <w:r w:rsidR="00B9620B" w:rsidRPr="00127BD1">
        <w:rPr>
          <w:rFonts w:ascii="Times New Roman" w:hAnsi="Times New Roman" w:cs="Times New Roman"/>
        </w:rPr>
        <w:t xml:space="preserve">show that ambiguity maintains a positive impact on both the </w:t>
      </w:r>
      <w:r w:rsidR="000F1B35">
        <w:rPr>
          <w:rFonts w:ascii="Times New Roman" w:hAnsi="Times New Roman" w:cs="Times New Roman"/>
          <w:i/>
          <w:iCs/>
        </w:rPr>
        <w:t>AMOUNT</w:t>
      </w:r>
      <w:r w:rsidR="00B9620B" w:rsidRPr="00127BD1">
        <w:rPr>
          <w:rFonts w:ascii="Times New Roman" w:hAnsi="Times New Roman" w:cs="Times New Roman"/>
        </w:rPr>
        <w:t xml:space="preserve"> and </w:t>
      </w:r>
      <w:r w:rsidR="00114232" w:rsidRPr="00127BD1">
        <w:rPr>
          <w:rFonts w:ascii="Times New Roman" w:hAnsi="Times New Roman" w:cs="Times New Roman"/>
          <w:i/>
          <w:iCs/>
        </w:rPr>
        <w:t>N</w:t>
      </w:r>
      <w:r w:rsidR="00B9620B" w:rsidRPr="00127BD1">
        <w:rPr>
          <w:rFonts w:ascii="Times New Roman" w:hAnsi="Times New Roman" w:cs="Times New Roman"/>
          <w:i/>
          <w:iCs/>
        </w:rPr>
        <w:t>umber</w:t>
      </w:r>
      <w:r w:rsidR="00B9620B" w:rsidRPr="00127BD1">
        <w:rPr>
          <w:rFonts w:ascii="Times New Roman" w:hAnsi="Times New Roman" w:cs="Times New Roman"/>
        </w:rPr>
        <w:t xml:space="preserve"> of cross-border lending. This consistency across various robustness </w:t>
      </w:r>
      <w:r w:rsidR="00114232" w:rsidRPr="00127BD1">
        <w:rPr>
          <w:rFonts w:ascii="Times New Roman" w:hAnsi="Times New Roman" w:cs="Times New Roman"/>
        </w:rPr>
        <w:t>tests</w:t>
      </w:r>
      <w:r w:rsidR="00B9620B" w:rsidRPr="00127BD1">
        <w:rPr>
          <w:rFonts w:ascii="Times New Roman" w:hAnsi="Times New Roman" w:cs="Times New Roman"/>
        </w:rPr>
        <w:t xml:space="preserve"> </w:t>
      </w:r>
      <w:r w:rsidR="00114232" w:rsidRPr="00127BD1">
        <w:rPr>
          <w:rFonts w:ascii="Times New Roman" w:hAnsi="Times New Roman" w:cs="Times New Roman"/>
        </w:rPr>
        <w:t>confirms</w:t>
      </w:r>
      <w:r w:rsidR="00897F7B" w:rsidRPr="00127BD1">
        <w:rPr>
          <w:rFonts w:ascii="Times New Roman" w:hAnsi="Times New Roman" w:cs="Times New Roman"/>
        </w:rPr>
        <w:t xml:space="preserve">, once again, </w:t>
      </w:r>
      <w:r w:rsidR="00B9620B" w:rsidRPr="00127BD1">
        <w:rPr>
          <w:rFonts w:ascii="Times New Roman" w:hAnsi="Times New Roman" w:cs="Times New Roman"/>
        </w:rPr>
        <w:t xml:space="preserve">the reliability of </w:t>
      </w:r>
      <w:r w:rsidR="000D4229" w:rsidRPr="00127BD1">
        <w:rPr>
          <w:rFonts w:ascii="Times New Roman" w:hAnsi="Times New Roman" w:cs="Times New Roman"/>
        </w:rPr>
        <w:t xml:space="preserve">the </w:t>
      </w:r>
      <w:r w:rsidR="00B9620B" w:rsidRPr="00127BD1">
        <w:rPr>
          <w:rFonts w:ascii="Times New Roman" w:hAnsi="Times New Roman" w:cs="Times New Roman"/>
        </w:rPr>
        <w:t>initial findings.</w:t>
      </w:r>
    </w:p>
    <w:p w14:paraId="321B1995" w14:textId="77777777" w:rsidR="00B447A3" w:rsidRPr="00127BD1" w:rsidRDefault="00B447A3" w:rsidP="00DD3FB5">
      <w:pPr>
        <w:spacing w:line="360" w:lineRule="auto"/>
        <w:rPr>
          <w:rFonts w:ascii="Times New Roman" w:hAnsi="Times New Roman" w:cs="Times New Roman"/>
        </w:rPr>
      </w:pPr>
    </w:p>
    <w:p w14:paraId="1245667F" w14:textId="2E7FD38B" w:rsidR="00EC0F79" w:rsidRPr="00127BD1" w:rsidRDefault="00450088" w:rsidP="00DD3FB5">
      <w:pPr>
        <w:spacing w:line="360" w:lineRule="auto"/>
        <w:rPr>
          <w:rFonts w:ascii="Times New Roman" w:hAnsi="Times New Roman" w:cs="Times New Roman"/>
          <w:b/>
          <w:bCs/>
        </w:rPr>
      </w:pPr>
      <w:r w:rsidRPr="00127BD1">
        <w:rPr>
          <w:rFonts w:ascii="Times New Roman" w:hAnsi="Times New Roman" w:cs="Times New Roman"/>
          <w:b/>
          <w:bCs/>
        </w:rPr>
        <w:t xml:space="preserve">3.5 </w:t>
      </w:r>
      <w:r w:rsidR="008C61C6" w:rsidRPr="00127BD1">
        <w:rPr>
          <w:rFonts w:ascii="Times New Roman" w:hAnsi="Times New Roman" w:cs="Times New Roman"/>
          <w:b/>
          <w:bCs/>
        </w:rPr>
        <w:t xml:space="preserve"> </w:t>
      </w:r>
      <w:r w:rsidR="00EC0F79" w:rsidRPr="00127BD1">
        <w:rPr>
          <w:rFonts w:ascii="Times New Roman" w:hAnsi="Times New Roman" w:cs="Times New Roman"/>
          <w:b/>
          <w:bCs/>
        </w:rPr>
        <w:t xml:space="preserve">Robustness </w:t>
      </w:r>
      <w:r w:rsidR="002D145C" w:rsidRPr="00127BD1">
        <w:rPr>
          <w:rFonts w:ascii="Times New Roman" w:hAnsi="Times New Roman" w:cs="Times New Roman"/>
          <w:b/>
          <w:bCs/>
        </w:rPr>
        <w:t>2SLS</w:t>
      </w:r>
      <w:r w:rsidR="00EC0F79" w:rsidRPr="00127BD1">
        <w:rPr>
          <w:rFonts w:ascii="Times New Roman" w:hAnsi="Times New Roman" w:cs="Times New Roman"/>
          <w:b/>
          <w:bCs/>
        </w:rPr>
        <w:t xml:space="preserve"> and GMM</w:t>
      </w:r>
      <w:r w:rsidR="002D145C" w:rsidRPr="00127BD1">
        <w:rPr>
          <w:rFonts w:ascii="Times New Roman" w:hAnsi="Times New Roman" w:cs="Times New Roman"/>
          <w:b/>
          <w:bCs/>
        </w:rPr>
        <w:t xml:space="preserve"> approaches</w:t>
      </w:r>
    </w:p>
    <w:p w14:paraId="2E613072" w14:textId="7FC43BC3" w:rsidR="00F82D73" w:rsidRPr="00127BD1" w:rsidRDefault="00853696" w:rsidP="00DD3FB5">
      <w:pPr>
        <w:spacing w:line="360" w:lineRule="auto"/>
        <w:rPr>
          <w:rFonts w:ascii="Times New Roman" w:hAnsi="Times New Roman" w:cs="Times New Roman"/>
        </w:rPr>
      </w:pPr>
      <w:r w:rsidRPr="00127BD1">
        <w:rPr>
          <w:rFonts w:ascii="Times New Roman" w:hAnsi="Times New Roman" w:cs="Times New Roman"/>
        </w:rPr>
        <w:t>Our study has thoroughly addressed potential endogeneity issues, such as controlling for stock market volatility and excluding financial crisis periods. However, the possibility remains that unobserved factors could simultaneously drive ambiguity in a source country and cross-border banking flows.</w:t>
      </w:r>
      <w:r w:rsidR="003D4DAD" w:rsidRPr="00127BD1">
        <w:rPr>
          <w:rFonts w:ascii="Times New Roman" w:hAnsi="Times New Roman" w:cs="Times New Roman"/>
        </w:rPr>
        <w:t xml:space="preserve"> </w:t>
      </w:r>
      <w:r w:rsidR="000E70BD" w:rsidRPr="00127BD1">
        <w:rPr>
          <w:rFonts w:ascii="Times New Roman" w:hAnsi="Times New Roman" w:cs="Times New Roman"/>
        </w:rPr>
        <w:t xml:space="preserve">To </w:t>
      </w:r>
      <w:r w:rsidR="00ED3D66" w:rsidRPr="00127BD1">
        <w:rPr>
          <w:rFonts w:ascii="Times New Roman" w:hAnsi="Times New Roman" w:cs="Times New Roman"/>
        </w:rPr>
        <w:t xml:space="preserve">further validate </w:t>
      </w:r>
      <w:r w:rsidR="000E70BD" w:rsidRPr="00127BD1">
        <w:rPr>
          <w:rFonts w:ascii="Times New Roman" w:hAnsi="Times New Roman" w:cs="Times New Roman"/>
        </w:rPr>
        <w:t xml:space="preserve">our analysis, </w:t>
      </w:r>
      <w:r w:rsidR="00ED3D66" w:rsidRPr="00127BD1">
        <w:rPr>
          <w:rFonts w:ascii="Times New Roman" w:hAnsi="Times New Roman" w:cs="Times New Roman"/>
        </w:rPr>
        <w:t xml:space="preserve">therefore, </w:t>
      </w:r>
      <w:r w:rsidR="000E70BD" w:rsidRPr="00127BD1">
        <w:rPr>
          <w:rFonts w:ascii="Times New Roman" w:hAnsi="Times New Roman" w:cs="Times New Roman"/>
        </w:rPr>
        <w:t xml:space="preserve">we additionally conduct robustness tests using </w:t>
      </w:r>
      <w:r w:rsidR="00F82D73" w:rsidRPr="00127BD1">
        <w:rPr>
          <w:rFonts w:ascii="Times New Roman" w:hAnsi="Times New Roman" w:cs="Times New Roman"/>
        </w:rPr>
        <w:t xml:space="preserve">the </w:t>
      </w:r>
      <w:r w:rsidR="000E70BD" w:rsidRPr="00127BD1">
        <w:rPr>
          <w:rFonts w:ascii="Times New Roman" w:hAnsi="Times New Roman" w:cs="Times New Roman"/>
        </w:rPr>
        <w:t xml:space="preserve">two-stage least squares (2SLS) and the generalized method of moments (GMM). </w:t>
      </w:r>
      <w:r w:rsidR="005B11AA" w:rsidRPr="00127BD1">
        <w:rPr>
          <w:rFonts w:ascii="Times New Roman" w:hAnsi="Times New Roman" w:cs="Times New Roman"/>
        </w:rPr>
        <w:t xml:space="preserve">Our selection of 2SLS and GMM methods is informed by the data structures of our two main datasets. </w:t>
      </w:r>
    </w:p>
    <w:p w14:paraId="155FBBB4" w14:textId="476F894C" w:rsidR="00F82D73" w:rsidRPr="00127BD1" w:rsidRDefault="005B11AA" w:rsidP="00DD3FB5">
      <w:pPr>
        <w:spacing w:line="360" w:lineRule="auto"/>
        <w:ind w:firstLine="720"/>
        <w:rPr>
          <w:rFonts w:ascii="Times New Roman" w:hAnsi="Times New Roman" w:cs="Times New Roman"/>
        </w:rPr>
      </w:pPr>
      <w:r w:rsidRPr="00127BD1">
        <w:rPr>
          <w:rFonts w:ascii="Times New Roman" w:hAnsi="Times New Roman" w:cs="Times New Roman"/>
        </w:rPr>
        <w:t xml:space="preserve">The country-pair quarterly level data, </w:t>
      </w:r>
      <w:r w:rsidR="00FC6C1F" w:rsidRPr="00127BD1">
        <w:rPr>
          <w:rFonts w:ascii="Times New Roman" w:hAnsi="Times New Roman" w:cs="Times New Roman"/>
        </w:rPr>
        <w:t>characterized</w:t>
      </w:r>
      <w:r w:rsidRPr="00127BD1">
        <w:rPr>
          <w:rFonts w:ascii="Times New Roman" w:hAnsi="Times New Roman" w:cs="Times New Roman"/>
        </w:rPr>
        <w:t xml:space="preserve"> by a smaller N (number of cross-sections) but a larger T (time dimension), does not ideally lend itself to GMM application. Conversely, our lender-level cross-border data, which has a larger N, is well-suited </w:t>
      </w:r>
      <w:r w:rsidR="0043520E" w:rsidRPr="00127BD1">
        <w:rPr>
          <w:rFonts w:ascii="Times New Roman" w:hAnsi="Times New Roman" w:cs="Times New Roman"/>
        </w:rPr>
        <w:t>to</w:t>
      </w:r>
      <w:r w:rsidRPr="00127BD1">
        <w:rPr>
          <w:rFonts w:ascii="Times New Roman" w:hAnsi="Times New Roman" w:cs="Times New Roman"/>
        </w:rPr>
        <w:t xml:space="preserve"> the GMM approach. This differentiation in methodologies aligns with the distinct statistical properties and requirements of each dataset, ensuring that our analytical methods are appropriately tailored to the nature of the data.</w:t>
      </w:r>
      <w:r w:rsidR="00471960" w:rsidRPr="00127BD1">
        <w:rPr>
          <w:rFonts w:ascii="Times New Roman" w:hAnsi="Times New Roman" w:cs="Times New Roman"/>
        </w:rPr>
        <w:t xml:space="preserve"> </w:t>
      </w:r>
      <w:r w:rsidR="00AB18F8" w:rsidRPr="00127BD1">
        <w:rPr>
          <w:rFonts w:ascii="Times New Roman" w:hAnsi="Times New Roman" w:cs="Times New Roman"/>
        </w:rPr>
        <w:t xml:space="preserve">Following the study </w:t>
      </w:r>
      <w:r w:rsidR="00897F7B" w:rsidRPr="00127BD1">
        <w:rPr>
          <w:rFonts w:ascii="Times New Roman" w:hAnsi="Times New Roman" w:cs="Times New Roman"/>
        </w:rPr>
        <w:t>o</w:t>
      </w:r>
      <w:r w:rsidR="00DD5D67" w:rsidRPr="00127BD1">
        <w:rPr>
          <w:rFonts w:ascii="Times New Roman" w:hAnsi="Times New Roman" w:cs="Times New Roman"/>
        </w:rPr>
        <w:t>f</w:t>
      </w:r>
      <w:r w:rsidR="00471960" w:rsidRPr="00127BD1">
        <w:rPr>
          <w:rFonts w:ascii="Times New Roman" w:hAnsi="Times New Roman" w:cs="Times New Roman"/>
        </w:rPr>
        <w:t xml:space="preserve"> </w:t>
      </w:r>
      <w:r w:rsidR="005852CB" w:rsidRPr="00127BD1">
        <w:rPr>
          <w:rFonts w:ascii="Times New Roman" w:hAnsi="Times New Roman" w:cs="Times New Roman"/>
        </w:rPr>
        <w:t xml:space="preserve">Choi </w:t>
      </w:r>
      <w:r w:rsidR="0043520E" w:rsidRPr="00127BD1">
        <w:rPr>
          <w:rFonts w:ascii="Times New Roman" w:hAnsi="Times New Roman" w:cs="Times New Roman"/>
        </w:rPr>
        <w:t>and</w:t>
      </w:r>
      <w:r w:rsidR="005852CB" w:rsidRPr="00127BD1">
        <w:rPr>
          <w:rFonts w:ascii="Times New Roman" w:hAnsi="Times New Roman" w:cs="Times New Roman"/>
        </w:rPr>
        <w:t xml:space="preserve"> Furceri (2019)</w:t>
      </w:r>
      <w:r w:rsidR="00ED3D66" w:rsidRPr="00127BD1">
        <w:rPr>
          <w:rFonts w:ascii="Times New Roman" w:hAnsi="Times New Roman" w:cs="Times New Roman"/>
        </w:rPr>
        <w:t xml:space="preserve">, </w:t>
      </w:r>
      <w:r w:rsidR="00897F7B" w:rsidRPr="00127BD1">
        <w:rPr>
          <w:rFonts w:ascii="Times New Roman" w:hAnsi="Times New Roman" w:cs="Times New Roman"/>
        </w:rPr>
        <w:t xml:space="preserve">and </w:t>
      </w:r>
      <w:r w:rsidR="005852CB" w:rsidRPr="00127BD1">
        <w:rPr>
          <w:rFonts w:ascii="Times New Roman" w:hAnsi="Times New Roman" w:cs="Times New Roman"/>
        </w:rPr>
        <w:t xml:space="preserve">Baker </w:t>
      </w:r>
      <w:r w:rsidR="0043520E" w:rsidRPr="00127BD1">
        <w:rPr>
          <w:rFonts w:ascii="Times New Roman" w:hAnsi="Times New Roman" w:cs="Times New Roman"/>
        </w:rPr>
        <w:t>and</w:t>
      </w:r>
      <w:r w:rsidR="005852CB" w:rsidRPr="00127BD1">
        <w:rPr>
          <w:rFonts w:ascii="Times New Roman" w:hAnsi="Times New Roman" w:cs="Times New Roman"/>
        </w:rPr>
        <w:t xml:space="preserve"> Bloom (2013)</w:t>
      </w:r>
      <w:r w:rsidR="00897F7B" w:rsidRPr="00127BD1">
        <w:rPr>
          <w:rFonts w:ascii="Times New Roman" w:hAnsi="Times New Roman" w:cs="Times New Roman"/>
        </w:rPr>
        <w:t xml:space="preserve"> before them</w:t>
      </w:r>
      <w:r w:rsidR="00EF6F6D" w:rsidRPr="00127BD1">
        <w:rPr>
          <w:rFonts w:ascii="Times New Roman" w:hAnsi="Times New Roman" w:cs="Times New Roman"/>
        </w:rPr>
        <w:t xml:space="preserve">, </w:t>
      </w:r>
      <w:r w:rsidR="00471960" w:rsidRPr="00127BD1">
        <w:rPr>
          <w:rFonts w:ascii="Times New Roman" w:hAnsi="Times New Roman" w:cs="Times New Roman"/>
        </w:rPr>
        <w:t xml:space="preserve">we use </w:t>
      </w:r>
      <w:r w:rsidR="00897F7B" w:rsidRPr="00127BD1">
        <w:rPr>
          <w:rFonts w:ascii="Times New Roman" w:hAnsi="Times New Roman" w:cs="Times New Roman"/>
        </w:rPr>
        <w:t xml:space="preserve">a </w:t>
      </w:r>
      <w:r w:rsidR="00471960" w:rsidRPr="00127BD1">
        <w:rPr>
          <w:rFonts w:ascii="Times New Roman" w:hAnsi="Times New Roman" w:cs="Times New Roman"/>
        </w:rPr>
        <w:t>natural disasters</w:t>
      </w:r>
      <w:r w:rsidR="001516EB" w:rsidRPr="00127BD1">
        <w:rPr>
          <w:rFonts w:ascii="Times New Roman" w:hAnsi="Times New Roman" w:cs="Times New Roman"/>
        </w:rPr>
        <w:t xml:space="preserve"> variable</w:t>
      </w:r>
      <w:r w:rsidR="00B16C06" w:rsidRPr="00127BD1">
        <w:rPr>
          <w:rFonts w:ascii="Times New Roman" w:hAnsi="Times New Roman" w:cs="Times New Roman"/>
        </w:rPr>
        <w:t xml:space="preserve"> from the Centre for Research on the Epidemiology of Disasters (CRED) </w:t>
      </w:r>
      <w:r w:rsidR="001516EB" w:rsidRPr="00127BD1">
        <w:rPr>
          <w:rFonts w:ascii="Times New Roman" w:hAnsi="Times New Roman" w:cs="Times New Roman"/>
        </w:rPr>
        <w:t xml:space="preserve">and jointly with </w:t>
      </w:r>
      <w:r w:rsidR="00F82D73" w:rsidRPr="00127BD1">
        <w:rPr>
          <w:rFonts w:ascii="Times New Roman" w:hAnsi="Times New Roman" w:cs="Times New Roman"/>
        </w:rPr>
        <w:t xml:space="preserve">the </w:t>
      </w:r>
      <w:r w:rsidR="00B16C06" w:rsidRPr="00127BD1">
        <w:rPr>
          <w:rFonts w:ascii="Times New Roman" w:hAnsi="Times New Roman" w:cs="Times New Roman"/>
        </w:rPr>
        <w:t>second lag of ambiguity</w:t>
      </w:r>
      <w:r w:rsidR="00471960" w:rsidRPr="00127BD1">
        <w:rPr>
          <w:rFonts w:ascii="Times New Roman" w:hAnsi="Times New Roman" w:cs="Times New Roman"/>
        </w:rPr>
        <w:t xml:space="preserve"> </w:t>
      </w:r>
      <w:r w:rsidR="00EF6F6D" w:rsidRPr="00127BD1">
        <w:rPr>
          <w:rFonts w:ascii="Times New Roman" w:hAnsi="Times New Roman" w:cs="Times New Roman"/>
        </w:rPr>
        <w:t xml:space="preserve">as </w:t>
      </w:r>
      <w:r w:rsidR="00897F7B" w:rsidRPr="00127BD1">
        <w:rPr>
          <w:rFonts w:ascii="Times New Roman" w:hAnsi="Times New Roman" w:cs="Times New Roman"/>
        </w:rPr>
        <w:t xml:space="preserve">an </w:t>
      </w:r>
      <w:r w:rsidR="00EF6F6D" w:rsidRPr="00127BD1">
        <w:rPr>
          <w:rFonts w:ascii="Times New Roman" w:hAnsi="Times New Roman" w:cs="Times New Roman"/>
        </w:rPr>
        <w:t>instrument variable</w:t>
      </w:r>
      <w:r w:rsidR="00AB18F8" w:rsidRPr="00127BD1">
        <w:rPr>
          <w:rFonts w:ascii="Times New Roman" w:hAnsi="Times New Roman" w:cs="Times New Roman"/>
        </w:rPr>
        <w:t xml:space="preserve"> </w:t>
      </w:r>
      <w:r w:rsidR="007D7EDE" w:rsidRPr="00127BD1">
        <w:rPr>
          <w:rFonts w:ascii="Times New Roman" w:hAnsi="Times New Roman" w:cs="Times New Roman"/>
        </w:rPr>
        <w:t xml:space="preserve">for </w:t>
      </w:r>
      <w:r w:rsidR="00471960" w:rsidRPr="00127BD1">
        <w:rPr>
          <w:rFonts w:ascii="Times New Roman" w:hAnsi="Times New Roman" w:cs="Times New Roman"/>
        </w:rPr>
        <w:t xml:space="preserve">2SLS analysis. We </w:t>
      </w:r>
      <w:r w:rsidR="00F82D73" w:rsidRPr="00127BD1">
        <w:rPr>
          <w:rFonts w:ascii="Times New Roman" w:hAnsi="Times New Roman" w:cs="Times New Roman"/>
        </w:rPr>
        <w:t xml:space="preserve">rely </w:t>
      </w:r>
      <w:r w:rsidR="00D14084" w:rsidRPr="00127BD1">
        <w:rPr>
          <w:rFonts w:ascii="Times New Roman" w:hAnsi="Times New Roman" w:cs="Times New Roman" w:hint="eastAsia"/>
        </w:rPr>
        <w:t>on</w:t>
      </w:r>
      <w:r w:rsidR="00D14084" w:rsidRPr="00127BD1">
        <w:rPr>
          <w:rFonts w:ascii="Times New Roman" w:hAnsi="Times New Roman" w:cs="Times New Roman"/>
        </w:rPr>
        <w:t xml:space="preserve"> </w:t>
      </w:r>
      <w:r w:rsidR="00897F7B" w:rsidRPr="00127BD1">
        <w:rPr>
          <w:rFonts w:ascii="Times New Roman" w:hAnsi="Times New Roman" w:cs="Times New Roman"/>
        </w:rPr>
        <w:t xml:space="preserve">the </w:t>
      </w:r>
      <w:r w:rsidR="00471960" w:rsidRPr="00127BD1">
        <w:rPr>
          <w:rFonts w:ascii="Times New Roman" w:hAnsi="Times New Roman" w:cs="Times New Roman"/>
        </w:rPr>
        <w:t>Hansen</w:t>
      </w:r>
      <w:r w:rsidR="00897F7B" w:rsidRPr="00127BD1">
        <w:rPr>
          <w:rFonts w:ascii="Times New Roman" w:hAnsi="Times New Roman" w:cs="Times New Roman"/>
        </w:rPr>
        <w:t>-</w:t>
      </w:r>
      <w:r w:rsidR="00471960" w:rsidRPr="00127BD1">
        <w:rPr>
          <w:rFonts w:ascii="Times New Roman" w:hAnsi="Times New Roman" w:cs="Times New Roman"/>
        </w:rPr>
        <w:t xml:space="preserve">J statistics </w:t>
      </w:r>
      <w:r w:rsidR="00F82D73" w:rsidRPr="00127BD1">
        <w:rPr>
          <w:rFonts w:ascii="Times New Roman" w:hAnsi="Times New Roman" w:cs="Times New Roman"/>
        </w:rPr>
        <w:t xml:space="preserve">to validate </w:t>
      </w:r>
      <w:r w:rsidR="00471960" w:rsidRPr="00127BD1">
        <w:rPr>
          <w:rFonts w:ascii="Times New Roman" w:hAnsi="Times New Roman" w:cs="Times New Roman"/>
        </w:rPr>
        <w:t xml:space="preserve">our instruments. The </w:t>
      </w:r>
      <w:r w:rsidR="00243D71" w:rsidRPr="00127BD1">
        <w:rPr>
          <w:rFonts w:ascii="Times New Roman" w:hAnsi="Times New Roman" w:cs="Times New Roman"/>
        </w:rPr>
        <w:t xml:space="preserve">2SLS </w:t>
      </w:r>
      <w:r w:rsidR="00471960" w:rsidRPr="00127BD1">
        <w:rPr>
          <w:rFonts w:ascii="Times New Roman" w:hAnsi="Times New Roman" w:cs="Times New Roman"/>
        </w:rPr>
        <w:t xml:space="preserve">results, as shown in Table </w:t>
      </w:r>
      <w:r w:rsidR="00341D08" w:rsidRPr="00FC6C1F">
        <w:rPr>
          <w:rFonts w:ascii="Times New Roman" w:hAnsi="Times New Roman" w:cs="Times New Roman"/>
        </w:rPr>
        <w:t>8</w:t>
      </w:r>
      <w:r w:rsidR="00471960" w:rsidRPr="00127BD1">
        <w:rPr>
          <w:rFonts w:ascii="Times New Roman" w:hAnsi="Times New Roman" w:cs="Times New Roman"/>
        </w:rPr>
        <w:t xml:space="preserve"> Column (1), are consistent with our primary findings.</w:t>
      </w:r>
      <w:r w:rsidR="00CF74BC" w:rsidRPr="00127BD1">
        <w:rPr>
          <w:rFonts w:ascii="Times New Roman" w:hAnsi="Times New Roman" w:cs="Times New Roman"/>
        </w:rPr>
        <w:t xml:space="preserve"> </w:t>
      </w:r>
    </w:p>
    <w:p w14:paraId="77DFE66C" w14:textId="2BC535F6" w:rsidR="00D944E2" w:rsidRPr="00127BD1" w:rsidRDefault="00860334" w:rsidP="004060CC">
      <w:pPr>
        <w:spacing w:line="360" w:lineRule="auto"/>
        <w:ind w:firstLine="720"/>
        <w:rPr>
          <w:rFonts w:ascii="Times New Roman" w:hAnsi="Times New Roman" w:cs="Times New Roman"/>
        </w:rPr>
      </w:pPr>
      <w:r w:rsidRPr="00127BD1">
        <w:rPr>
          <w:rFonts w:ascii="Times New Roman" w:hAnsi="Times New Roman" w:cs="Times New Roman"/>
        </w:rPr>
        <w:t xml:space="preserve">A final concern </w:t>
      </w:r>
      <w:r w:rsidR="00F82D73" w:rsidRPr="00127BD1">
        <w:rPr>
          <w:rFonts w:ascii="Times New Roman" w:hAnsi="Times New Roman" w:cs="Times New Roman"/>
        </w:rPr>
        <w:t xml:space="preserve">related to our </w:t>
      </w:r>
      <w:r w:rsidRPr="00127BD1">
        <w:rPr>
          <w:rFonts w:ascii="Times New Roman" w:hAnsi="Times New Roman" w:cs="Times New Roman"/>
        </w:rPr>
        <w:t xml:space="preserve">findings </w:t>
      </w:r>
      <w:r w:rsidR="00897F7B" w:rsidRPr="00127BD1">
        <w:rPr>
          <w:rFonts w:ascii="Times New Roman" w:hAnsi="Times New Roman" w:cs="Times New Roman"/>
        </w:rPr>
        <w:t xml:space="preserve">is that they are </w:t>
      </w:r>
      <w:r w:rsidRPr="00127BD1">
        <w:rPr>
          <w:rFonts w:ascii="Times New Roman" w:hAnsi="Times New Roman" w:cs="Times New Roman" w:hint="eastAsia"/>
        </w:rPr>
        <w:t>based</w:t>
      </w:r>
      <w:r w:rsidRPr="00127BD1">
        <w:rPr>
          <w:rFonts w:ascii="Times New Roman" w:hAnsi="Times New Roman" w:cs="Times New Roman"/>
        </w:rPr>
        <w:t xml:space="preserve"> </w:t>
      </w:r>
      <w:r w:rsidRPr="00127BD1">
        <w:rPr>
          <w:rFonts w:ascii="Times New Roman" w:hAnsi="Times New Roman" w:cs="Times New Roman" w:hint="eastAsia"/>
        </w:rPr>
        <w:t>on</w:t>
      </w:r>
      <w:r w:rsidRPr="00127BD1">
        <w:rPr>
          <w:rFonts w:ascii="Times New Roman" w:hAnsi="Times New Roman" w:cs="Times New Roman"/>
        </w:rPr>
        <w:t xml:space="preserve"> lender-level cross-border data</w:t>
      </w:r>
      <w:r w:rsidR="00F82D73" w:rsidRPr="00127BD1">
        <w:rPr>
          <w:rFonts w:ascii="Times New Roman" w:hAnsi="Times New Roman" w:cs="Times New Roman"/>
        </w:rPr>
        <w:t xml:space="preserve">. To address this, </w:t>
      </w:r>
      <w:r w:rsidR="001C7997" w:rsidRPr="00127BD1">
        <w:rPr>
          <w:rFonts w:ascii="Times New Roman" w:hAnsi="Times New Roman" w:cs="Times New Roman"/>
        </w:rPr>
        <w:t xml:space="preserve">we </w:t>
      </w:r>
      <w:r w:rsidRPr="00127BD1">
        <w:rPr>
          <w:rFonts w:ascii="Times New Roman" w:hAnsi="Times New Roman" w:cs="Times New Roman"/>
        </w:rPr>
        <w:t xml:space="preserve">use </w:t>
      </w:r>
      <w:r w:rsidR="001C7997" w:rsidRPr="00127BD1">
        <w:rPr>
          <w:rFonts w:ascii="Times New Roman" w:hAnsi="Times New Roman" w:cs="Times New Roman"/>
        </w:rPr>
        <w:t xml:space="preserve">the dynamic panel system GMM estimator proposed by </w:t>
      </w:r>
      <w:r w:rsidR="005852CB" w:rsidRPr="00127BD1">
        <w:rPr>
          <w:rFonts w:ascii="Times New Roman" w:hAnsi="Times New Roman" w:cs="Times New Roman"/>
        </w:rPr>
        <w:t xml:space="preserve">Arellano </w:t>
      </w:r>
      <w:r w:rsidR="003F3C98" w:rsidRPr="00127BD1">
        <w:rPr>
          <w:rFonts w:ascii="Times New Roman" w:hAnsi="Times New Roman" w:cs="Times New Roman"/>
        </w:rPr>
        <w:t>and</w:t>
      </w:r>
      <w:r w:rsidR="005852CB" w:rsidRPr="00127BD1">
        <w:rPr>
          <w:rFonts w:ascii="Times New Roman" w:hAnsi="Times New Roman" w:cs="Times New Roman"/>
        </w:rPr>
        <w:t xml:space="preserve"> Bover (1995)</w:t>
      </w:r>
      <w:r w:rsidR="001C7997" w:rsidRPr="00127BD1">
        <w:rPr>
          <w:rFonts w:ascii="Times New Roman" w:hAnsi="Times New Roman" w:cs="Times New Roman"/>
        </w:rPr>
        <w:t xml:space="preserve"> and </w:t>
      </w:r>
      <w:r w:rsidR="005852CB" w:rsidRPr="00127BD1">
        <w:rPr>
          <w:rFonts w:ascii="Times New Roman" w:hAnsi="Times New Roman" w:cs="Times New Roman"/>
        </w:rPr>
        <w:t xml:space="preserve">Blundell </w:t>
      </w:r>
      <w:r w:rsidR="003F3C98" w:rsidRPr="00127BD1">
        <w:rPr>
          <w:rFonts w:ascii="Times New Roman" w:hAnsi="Times New Roman" w:cs="Times New Roman"/>
        </w:rPr>
        <w:t>and</w:t>
      </w:r>
      <w:r w:rsidR="005852CB" w:rsidRPr="00127BD1">
        <w:rPr>
          <w:rFonts w:ascii="Times New Roman" w:hAnsi="Times New Roman" w:cs="Times New Roman"/>
        </w:rPr>
        <w:t xml:space="preserve"> Bond (1998)</w:t>
      </w:r>
      <w:r w:rsidR="000B0C3E" w:rsidRPr="00127BD1">
        <w:rPr>
          <w:rFonts w:ascii="Times New Roman" w:hAnsi="Times New Roman" w:cs="Times New Roman"/>
        </w:rPr>
        <w:t xml:space="preserve">, </w:t>
      </w:r>
      <w:r w:rsidR="00D938F4" w:rsidRPr="00127BD1">
        <w:rPr>
          <w:rFonts w:ascii="Times New Roman" w:hAnsi="Times New Roman" w:cs="Times New Roman"/>
        </w:rPr>
        <w:t xml:space="preserve">which can satisfactorily deal with </w:t>
      </w:r>
      <w:r w:rsidR="002D636A" w:rsidRPr="00127BD1">
        <w:rPr>
          <w:rFonts w:ascii="Times New Roman" w:hAnsi="Times New Roman" w:cs="Times New Roman"/>
        </w:rPr>
        <w:t>dynamic endogeneity, unobservable heterogeneity, and simultaneity</w:t>
      </w:r>
      <w:r w:rsidR="00D75BAC" w:rsidRPr="00127BD1">
        <w:rPr>
          <w:rFonts w:ascii="Times New Roman" w:hAnsi="Times New Roman" w:cs="Times New Roman"/>
        </w:rPr>
        <w:t xml:space="preserve"> (</w:t>
      </w:r>
      <w:r w:rsidR="00227D04" w:rsidRPr="00127BD1">
        <w:rPr>
          <w:rFonts w:ascii="Times New Roman" w:hAnsi="Times New Roman" w:cs="Times New Roman"/>
        </w:rPr>
        <w:t>Luo et al</w:t>
      </w:r>
      <w:r w:rsidR="00924103" w:rsidRPr="00127BD1">
        <w:rPr>
          <w:rFonts w:ascii="Times New Roman" w:hAnsi="Times New Roman" w:cs="Times New Roman"/>
        </w:rPr>
        <w:t>.</w:t>
      </w:r>
      <w:r w:rsidR="00227D04" w:rsidRPr="00127BD1">
        <w:rPr>
          <w:rFonts w:ascii="Times New Roman" w:hAnsi="Times New Roman" w:cs="Times New Roman"/>
        </w:rPr>
        <w:t xml:space="preserve"> 2016; </w:t>
      </w:r>
      <w:r w:rsidR="00D75BAC" w:rsidRPr="00127BD1">
        <w:rPr>
          <w:rFonts w:ascii="Times New Roman" w:hAnsi="Times New Roman" w:cs="Times New Roman"/>
        </w:rPr>
        <w:t>De Vita et al. 2018)</w:t>
      </w:r>
      <w:r w:rsidR="002D636A" w:rsidRPr="00127BD1">
        <w:rPr>
          <w:rFonts w:ascii="Times New Roman" w:hAnsi="Times New Roman" w:cs="Times New Roman"/>
        </w:rPr>
        <w:t xml:space="preserve">. </w:t>
      </w:r>
      <w:r w:rsidR="00897F7B" w:rsidRPr="00127BD1">
        <w:rPr>
          <w:rFonts w:ascii="Times New Roman" w:hAnsi="Times New Roman" w:cs="Times New Roman"/>
        </w:rPr>
        <w:t>W</w:t>
      </w:r>
      <w:r w:rsidR="002D145C" w:rsidRPr="00127BD1">
        <w:rPr>
          <w:rFonts w:ascii="Times New Roman" w:hAnsi="Times New Roman" w:cs="Times New Roman"/>
        </w:rPr>
        <w:t xml:space="preserve">e test the overall validity of the instruments using </w:t>
      </w:r>
      <w:r w:rsidR="00F82D73" w:rsidRPr="00127BD1">
        <w:rPr>
          <w:rFonts w:ascii="Times New Roman" w:hAnsi="Times New Roman" w:cs="Times New Roman"/>
        </w:rPr>
        <w:t xml:space="preserve">the </w:t>
      </w:r>
      <w:bookmarkStart w:id="9" w:name="_Hlk216271689"/>
      <w:r w:rsidR="002D145C" w:rsidRPr="00127BD1">
        <w:rPr>
          <w:rFonts w:ascii="Times New Roman" w:hAnsi="Times New Roman" w:cs="Times New Roman"/>
        </w:rPr>
        <w:t>Hansen</w:t>
      </w:r>
      <w:r w:rsidR="00930DAB" w:rsidRPr="00127BD1">
        <w:rPr>
          <w:rFonts w:ascii="Times New Roman" w:hAnsi="Times New Roman" w:cs="Times New Roman"/>
        </w:rPr>
        <w:t xml:space="preserve"> </w:t>
      </w:r>
      <w:r w:rsidR="002D145C" w:rsidRPr="00127BD1">
        <w:rPr>
          <w:rFonts w:ascii="Times New Roman" w:hAnsi="Times New Roman" w:cs="Times New Roman"/>
        </w:rPr>
        <w:t xml:space="preserve">J-test of </w:t>
      </w:r>
      <w:r w:rsidR="002D145C" w:rsidRPr="00127BD1">
        <w:rPr>
          <w:rFonts w:ascii="Times New Roman" w:hAnsi="Times New Roman" w:cs="Times New Roman"/>
        </w:rPr>
        <w:lastRenderedPageBreak/>
        <w:t>overidentifying restrictions. We also report the AR(2) test for no second-order serial correlation</w:t>
      </w:r>
      <w:bookmarkEnd w:id="9"/>
      <w:r w:rsidR="0043520E" w:rsidRPr="00127BD1">
        <w:rPr>
          <w:rFonts w:ascii="Times New Roman" w:hAnsi="Times New Roman" w:cs="Times New Roman"/>
        </w:rPr>
        <w:t>. S</w:t>
      </w:r>
      <w:r w:rsidR="00383847" w:rsidRPr="00127BD1">
        <w:rPr>
          <w:rFonts w:ascii="Times New Roman" w:hAnsi="Times New Roman" w:cs="Times New Roman"/>
        </w:rPr>
        <w:t xml:space="preserve">tandard errors are clustered by </w:t>
      </w:r>
      <w:r w:rsidR="00E03343" w:rsidRPr="00127BD1">
        <w:rPr>
          <w:rFonts w:ascii="Times New Roman" w:hAnsi="Times New Roman" w:cs="Times New Roman"/>
        </w:rPr>
        <w:t xml:space="preserve">source-recipient country pairs </w:t>
      </w:r>
      <w:r w:rsidR="00383847" w:rsidRPr="00127BD1">
        <w:rPr>
          <w:rFonts w:ascii="Times New Roman" w:hAnsi="Times New Roman" w:cs="Times New Roman"/>
        </w:rPr>
        <w:t xml:space="preserve">and incorporate the </w:t>
      </w:r>
      <w:r w:rsidR="005852CB" w:rsidRPr="00127BD1">
        <w:rPr>
          <w:rFonts w:ascii="Times New Roman" w:hAnsi="Times New Roman" w:cs="Times New Roman"/>
        </w:rPr>
        <w:t>Windmeijer (2005)</w:t>
      </w:r>
      <w:r w:rsidR="00383847" w:rsidRPr="00127BD1">
        <w:rPr>
          <w:rFonts w:ascii="Times New Roman" w:hAnsi="Times New Roman" w:cs="Times New Roman"/>
        </w:rPr>
        <w:t xml:space="preserve"> finite sample correction</w:t>
      </w:r>
      <w:r w:rsidR="00331C9A" w:rsidRPr="00127BD1">
        <w:rPr>
          <w:rFonts w:ascii="Times New Roman" w:hAnsi="Times New Roman" w:cs="Times New Roman"/>
        </w:rPr>
        <w:t>. The SYS-GMM results</w:t>
      </w:r>
      <w:r w:rsidR="00897F7B" w:rsidRPr="00127BD1">
        <w:rPr>
          <w:rFonts w:ascii="Times New Roman" w:hAnsi="Times New Roman" w:cs="Times New Roman"/>
        </w:rPr>
        <w:t xml:space="preserve">, </w:t>
      </w:r>
      <w:r w:rsidR="00877910" w:rsidRPr="00127BD1">
        <w:rPr>
          <w:rFonts w:ascii="Times New Roman" w:hAnsi="Times New Roman" w:cs="Times New Roman"/>
        </w:rPr>
        <w:t>reported in</w:t>
      </w:r>
      <w:r w:rsidR="00331C9A" w:rsidRPr="00127BD1">
        <w:rPr>
          <w:rFonts w:ascii="Times New Roman" w:hAnsi="Times New Roman" w:cs="Times New Roman"/>
        </w:rPr>
        <w:t xml:space="preserve"> Table </w:t>
      </w:r>
      <w:r w:rsidR="000276FC">
        <w:rPr>
          <w:rFonts w:ascii="Times New Roman" w:hAnsi="Times New Roman" w:cs="Times New Roman"/>
        </w:rPr>
        <w:t>8</w:t>
      </w:r>
      <w:r w:rsidR="00331C9A" w:rsidRPr="00FC6C1F">
        <w:rPr>
          <w:rFonts w:ascii="Times New Roman" w:hAnsi="Times New Roman" w:cs="Times New Roman"/>
        </w:rPr>
        <w:t xml:space="preserve"> </w:t>
      </w:r>
      <w:r w:rsidR="00331C9A" w:rsidRPr="00127BD1">
        <w:rPr>
          <w:rFonts w:ascii="Times New Roman" w:hAnsi="Times New Roman" w:cs="Times New Roman"/>
        </w:rPr>
        <w:t xml:space="preserve">Column (2) and (3), </w:t>
      </w:r>
      <w:r w:rsidR="00897F7B" w:rsidRPr="00127BD1">
        <w:rPr>
          <w:rFonts w:ascii="Times New Roman" w:hAnsi="Times New Roman" w:cs="Times New Roman"/>
        </w:rPr>
        <w:t xml:space="preserve">further </w:t>
      </w:r>
      <w:r w:rsidR="00331C9A" w:rsidRPr="00127BD1">
        <w:rPr>
          <w:rFonts w:ascii="Times New Roman" w:hAnsi="Times New Roman" w:cs="Times New Roman"/>
        </w:rPr>
        <w:t>reassur</w:t>
      </w:r>
      <w:r w:rsidR="00897F7B" w:rsidRPr="00127BD1">
        <w:rPr>
          <w:rFonts w:ascii="Times New Roman" w:hAnsi="Times New Roman" w:cs="Times New Roman"/>
        </w:rPr>
        <w:t xml:space="preserve">e </w:t>
      </w:r>
      <w:r w:rsidR="0043520E" w:rsidRPr="00127BD1">
        <w:rPr>
          <w:rFonts w:ascii="Times New Roman" w:hAnsi="Times New Roman" w:cs="Times New Roman"/>
        </w:rPr>
        <w:t xml:space="preserve">as to </w:t>
      </w:r>
      <w:r w:rsidR="00897F7B" w:rsidRPr="00127BD1">
        <w:rPr>
          <w:rFonts w:ascii="Times New Roman" w:hAnsi="Times New Roman" w:cs="Times New Roman"/>
        </w:rPr>
        <w:t xml:space="preserve">the robustness of </w:t>
      </w:r>
      <w:r w:rsidR="00331C9A" w:rsidRPr="00127BD1">
        <w:rPr>
          <w:rFonts w:ascii="Times New Roman" w:hAnsi="Times New Roman" w:cs="Times New Roman"/>
        </w:rPr>
        <w:t>our main results.</w:t>
      </w:r>
    </w:p>
    <w:p w14:paraId="705741AA" w14:textId="77777777" w:rsidR="00D944E2" w:rsidRPr="00127BD1" w:rsidRDefault="00D944E2" w:rsidP="00DD3FB5">
      <w:pPr>
        <w:spacing w:line="360" w:lineRule="auto"/>
        <w:rPr>
          <w:rFonts w:ascii="Times New Roman" w:hAnsi="Times New Roman" w:cs="Times New Roman"/>
        </w:rPr>
      </w:pPr>
    </w:p>
    <w:p w14:paraId="4632218A" w14:textId="69D33633" w:rsidR="00D944E2" w:rsidRPr="00127BD1" w:rsidRDefault="00D944E2" w:rsidP="00DD3FB5">
      <w:pPr>
        <w:spacing w:line="360" w:lineRule="auto"/>
        <w:rPr>
          <w:rFonts w:ascii="Times New Roman" w:hAnsi="Times New Roman" w:cs="Times New Roman"/>
        </w:rPr>
      </w:pPr>
      <w:r w:rsidRPr="00127BD1">
        <w:rPr>
          <w:rFonts w:ascii="Times New Roman" w:hAnsi="Times New Roman" w:cs="Times New Roman"/>
          <w:b/>
          <w:bCs/>
        </w:rPr>
        <w:t>4</w:t>
      </w:r>
      <w:r w:rsidR="00A76348" w:rsidRPr="00127BD1">
        <w:rPr>
          <w:rFonts w:ascii="Times New Roman" w:hAnsi="Times New Roman" w:cs="Times New Roman"/>
          <w:b/>
          <w:bCs/>
        </w:rPr>
        <w:t xml:space="preserve"> </w:t>
      </w:r>
      <w:r w:rsidR="008C61C6" w:rsidRPr="00127BD1">
        <w:rPr>
          <w:rFonts w:ascii="Times New Roman" w:hAnsi="Times New Roman" w:cs="Times New Roman"/>
          <w:b/>
          <w:bCs/>
        </w:rPr>
        <w:t xml:space="preserve"> </w:t>
      </w:r>
      <w:r w:rsidR="00A76348" w:rsidRPr="00127BD1">
        <w:rPr>
          <w:rFonts w:ascii="Times New Roman" w:hAnsi="Times New Roman" w:cs="Times New Roman"/>
          <w:b/>
          <w:bCs/>
        </w:rPr>
        <w:t>Conclusion</w:t>
      </w:r>
      <w:r w:rsidRPr="00127BD1">
        <w:rPr>
          <w:rFonts w:ascii="Times New Roman" w:hAnsi="Times New Roman" w:cs="Times New Roman"/>
          <w:b/>
          <w:bCs/>
        </w:rPr>
        <w:br/>
      </w:r>
      <w:r w:rsidR="00923C43" w:rsidRPr="00127BD1">
        <w:rPr>
          <w:rFonts w:ascii="Times New Roman" w:hAnsi="Times New Roman" w:cs="Times New Roman"/>
        </w:rPr>
        <w:t>Our research provides a comprehensive analysis of the impact of ambiguity on global banks' cross-border lending</w:t>
      </w:r>
      <w:r w:rsidR="00C04436" w:rsidRPr="00127BD1">
        <w:rPr>
          <w:rFonts w:ascii="Times New Roman" w:hAnsi="Times New Roman" w:cs="Times New Roman"/>
        </w:rPr>
        <w:t>, filling a</w:t>
      </w:r>
      <w:r w:rsidR="0043520E" w:rsidRPr="00127BD1">
        <w:rPr>
          <w:rFonts w:ascii="Times New Roman" w:hAnsi="Times New Roman" w:cs="Times New Roman"/>
        </w:rPr>
        <w:t xml:space="preserve"> crucial </w:t>
      </w:r>
      <w:r w:rsidR="00C04436" w:rsidRPr="00127BD1">
        <w:rPr>
          <w:rFonts w:ascii="Times New Roman" w:hAnsi="Times New Roman" w:cs="Times New Roman"/>
        </w:rPr>
        <w:t xml:space="preserve">gap in the existing literature. </w:t>
      </w:r>
      <w:r w:rsidR="00F63C89" w:rsidRPr="00127BD1">
        <w:rPr>
          <w:rFonts w:ascii="Times New Roman" w:hAnsi="Times New Roman" w:cs="Times New Roman"/>
        </w:rPr>
        <w:t xml:space="preserve">We </w:t>
      </w:r>
      <w:r w:rsidR="0043520E" w:rsidRPr="00127BD1">
        <w:rPr>
          <w:rFonts w:ascii="Times New Roman" w:hAnsi="Times New Roman" w:cs="Times New Roman"/>
        </w:rPr>
        <w:t xml:space="preserve">use </w:t>
      </w:r>
      <w:r w:rsidR="00F63C89" w:rsidRPr="00127BD1">
        <w:rPr>
          <w:rFonts w:ascii="Times New Roman" w:hAnsi="Times New Roman" w:cs="Times New Roman"/>
        </w:rPr>
        <w:t>data from the Bank for International Settlements and Deal</w:t>
      </w:r>
      <w:r w:rsidR="00B40361" w:rsidRPr="00127BD1">
        <w:rPr>
          <w:rFonts w:ascii="Times New Roman" w:hAnsi="Times New Roman" w:cs="Times New Roman"/>
        </w:rPr>
        <w:t>S</w:t>
      </w:r>
      <w:r w:rsidR="00F63C89" w:rsidRPr="00127BD1">
        <w:rPr>
          <w:rFonts w:ascii="Times New Roman" w:hAnsi="Times New Roman" w:cs="Times New Roman"/>
        </w:rPr>
        <w:t xml:space="preserve">can to </w:t>
      </w:r>
      <w:r w:rsidR="00FC6C1F" w:rsidRPr="00127BD1">
        <w:rPr>
          <w:rFonts w:ascii="Times New Roman" w:hAnsi="Times New Roman" w:cs="Times New Roman"/>
        </w:rPr>
        <w:t>analyze</w:t>
      </w:r>
      <w:r w:rsidR="00F63C89" w:rsidRPr="00127BD1">
        <w:rPr>
          <w:rFonts w:ascii="Times New Roman" w:hAnsi="Times New Roman" w:cs="Times New Roman"/>
        </w:rPr>
        <w:t xml:space="preserve"> how ambiguity in source countries affects global banks' cross-border lending. Our findings indicate that</w:t>
      </w:r>
      <w:r w:rsidR="002201F0" w:rsidRPr="00127BD1">
        <w:rPr>
          <w:rFonts w:ascii="Times New Roman" w:hAnsi="Times New Roman" w:cs="Times New Roman"/>
        </w:rPr>
        <w:t xml:space="preserve"> unlike standard volatility measures of risk, </w:t>
      </w:r>
      <w:r w:rsidR="00F63C89" w:rsidRPr="00127BD1">
        <w:rPr>
          <w:rFonts w:ascii="Times New Roman" w:hAnsi="Times New Roman" w:cs="Times New Roman"/>
        </w:rPr>
        <w:t xml:space="preserve">increased ambiguity positively correlates with </w:t>
      </w:r>
      <w:r w:rsidR="002201F0" w:rsidRPr="00127BD1">
        <w:rPr>
          <w:rFonts w:ascii="Times New Roman" w:hAnsi="Times New Roman" w:cs="Times New Roman"/>
        </w:rPr>
        <w:t xml:space="preserve">higher </w:t>
      </w:r>
      <w:r w:rsidR="00F63C89" w:rsidRPr="00127BD1">
        <w:rPr>
          <w:rFonts w:ascii="Times New Roman" w:hAnsi="Times New Roman" w:cs="Times New Roman"/>
        </w:rPr>
        <w:t xml:space="preserve">cross-border bank lending. </w:t>
      </w:r>
      <w:r w:rsidR="003B48A1" w:rsidRPr="00127BD1">
        <w:rPr>
          <w:rFonts w:ascii="Times New Roman" w:hAnsi="Times New Roman" w:cs="Times New Roman"/>
        </w:rPr>
        <w:t>The results</w:t>
      </w:r>
      <w:r w:rsidR="00314215" w:rsidRPr="00127BD1">
        <w:rPr>
          <w:rFonts w:ascii="Times New Roman" w:hAnsi="Times New Roman" w:cs="Times New Roman"/>
        </w:rPr>
        <w:t xml:space="preserve"> </w:t>
      </w:r>
      <w:r w:rsidR="003B48A1" w:rsidRPr="00127BD1">
        <w:rPr>
          <w:rFonts w:ascii="Times New Roman" w:hAnsi="Times New Roman" w:cs="Times New Roman"/>
        </w:rPr>
        <w:t xml:space="preserve">are </w:t>
      </w:r>
      <w:r w:rsidR="00F63C89" w:rsidRPr="00127BD1">
        <w:rPr>
          <w:rFonts w:ascii="Times New Roman" w:hAnsi="Times New Roman" w:cs="Times New Roman"/>
        </w:rPr>
        <w:t xml:space="preserve">robust </w:t>
      </w:r>
      <w:r w:rsidR="00923C43" w:rsidRPr="00127BD1">
        <w:rPr>
          <w:rFonts w:ascii="Times New Roman" w:hAnsi="Times New Roman" w:cs="Times New Roman"/>
        </w:rPr>
        <w:t xml:space="preserve">across various </w:t>
      </w:r>
      <w:r w:rsidR="00897F7B" w:rsidRPr="00127BD1">
        <w:rPr>
          <w:rFonts w:ascii="Times New Roman" w:hAnsi="Times New Roman" w:cs="Times New Roman"/>
        </w:rPr>
        <w:t xml:space="preserve">model specifications, </w:t>
      </w:r>
      <w:r w:rsidR="00923C43" w:rsidRPr="00127BD1">
        <w:rPr>
          <w:rFonts w:ascii="Times New Roman" w:hAnsi="Times New Roman" w:cs="Times New Roman"/>
        </w:rPr>
        <w:t xml:space="preserve">including controlling for market volatility, crisis periods, and </w:t>
      </w:r>
      <w:r w:rsidR="00897F7B" w:rsidRPr="00127BD1">
        <w:rPr>
          <w:rFonts w:ascii="Times New Roman" w:hAnsi="Times New Roman" w:cs="Times New Roman"/>
        </w:rPr>
        <w:t xml:space="preserve">the inclusion of </w:t>
      </w:r>
      <w:r w:rsidR="00923C43" w:rsidRPr="00127BD1">
        <w:rPr>
          <w:rFonts w:ascii="Times New Roman" w:hAnsi="Times New Roman" w:cs="Times New Roman"/>
        </w:rPr>
        <w:t>gravity</w:t>
      </w:r>
      <w:r w:rsidR="0043520E" w:rsidRPr="00127BD1">
        <w:rPr>
          <w:rFonts w:ascii="Times New Roman" w:hAnsi="Times New Roman" w:cs="Times New Roman"/>
        </w:rPr>
        <w:t>-type variables</w:t>
      </w:r>
      <w:r w:rsidR="00D70902" w:rsidRPr="00127BD1">
        <w:rPr>
          <w:rFonts w:ascii="Times New Roman" w:hAnsi="Times New Roman" w:cs="Times New Roman"/>
        </w:rPr>
        <w:t xml:space="preserve">. The robustness of our findings is further </w:t>
      </w:r>
      <w:r w:rsidR="003B48A1" w:rsidRPr="00127BD1">
        <w:rPr>
          <w:rFonts w:ascii="Times New Roman" w:hAnsi="Times New Roman" w:cs="Times New Roman"/>
        </w:rPr>
        <w:t>strengthened</w:t>
      </w:r>
      <w:r w:rsidR="00D70902" w:rsidRPr="00127BD1">
        <w:rPr>
          <w:rFonts w:ascii="Times New Roman" w:hAnsi="Times New Roman" w:cs="Times New Roman"/>
        </w:rPr>
        <w:t xml:space="preserve"> through </w:t>
      </w:r>
      <w:r w:rsidR="00EA7CC7" w:rsidRPr="00127BD1">
        <w:rPr>
          <w:rFonts w:ascii="Times New Roman" w:hAnsi="Times New Roman" w:cs="Times New Roman"/>
        </w:rPr>
        <w:t xml:space="preserve">estimations using alternative </w:t>
      </w:r>
      <w:r w:rsidR="00D70902" w:rsidRPr="00127BD1">
        <w:rPr>
          <w:rFonts w:ascii="Times New Roman" w:hAnsi="Times New Roman" w:cs="Times New Roman"/>
        </w:rPr>
        <w:t>advanced econometric techniques</w:t>
      </w:r>
      <w:r w:rsidR="003B48A1" w:rsidRPr="00127BD1">
        <w:rPr>
          <w:rFonts w:ascii="Times New Roman" w:hAnsi="Times New Roman" w:cs="Times New Roman"/>
        </w:rPr>
        <w:t>,</w:t>
      </w:r>
      <w:r w:rsidR="00D70902" w:rsidRPr="00127BD1">
        <w:rPr>
          <w:rFonts w:ascii="Times New Roman" w:hAnsi="Times New Roman" w:cs="Times New Roman"/>
        </w:rPr>
        <w:t xml:space="preserve"> </w:t>
      </w:r>
      <w:r w:rsidR="003B48A1" w:rsidRPr="00127BD1">
        <w:rPr>
          <w:rFonts w:ascii="Times New Roman" w:hAnsi="Times New Roman" w:cs="Times New Roman"/>
        </w:rPr>
        <w:t xml:space="preserve">namely </w:t>
      </w:r>
      <w:r w:rsidR="00D70902" w:rsidRPr="00127BD1">
        <w:rPr>
          <w:rFonts w:ascii="Times New Roman" w:hAnsi="Times New Roman" w:cs="Times New Roman"/>
        </w:rPr>
        <w:t xml:space="preserve">2SLS and GMM, addressing potential endogeneity concerns. </w:t>
      </w:r>
    </w:p>
    <w:p w14:paraId="55D05C97" w14:textId="77777777" w:rsidR="0019712F" w:rsidRPr="00127BD1" w:rsidRDefault="00D70902" w:rsidP="00674CE9">
      <w:pPr>
        <w:spacing w:line="360" w:lineRule="auto"/>
        <w:ind w:firstLine="720"/>
        <w:rPr>
          <w:rFonts w:ascii="Times New Roman" w:hAnsi="Times New Roman" w:cs="Times New Roman"/>
        </w:rPr>
      </w:pPr>
      <w:r w:rsidRPr="00127BD1">
        <w:rPr>
          <w:rFonts w:ascii="Times New Roman" w:hAnsi="Times New Roman" w:cs="Times New Roman"/>
        </w:rPr>
        <w:t xml:space="preserve">Our analysis highlights the distinct role of ambiguity, often overlooked in </w:t>
      </w:r>
      <w:r w:rsidR="00A229FA" w:rsidRPr="00127BD1">
        <w:rPr>
          <w:rFonts w:ascii="Times New Roman" w:hAnsi="Times New Roman" w:cs="Times New Roman"/>
        </w:rPr>
        <w:t>favour</w:t>
      </w:r>
      <w:r w:rsidRPr="00127BD1">
        <w:rPr>
          <w:rFonts w:ascii="Times New Roman" w:hAnsi="Times New Roman" w:cs="Times New Roman"/>
        </w:rPr>
        <w:t xml:space="preserve"> of </w:t>
      </w:r>
      <w:r w:rsidR="00EA7CC7" w:rsidRPr="00127BD1">
        <w:rPr>
          <w:rFonts w:ascii="Times New Roman" w:hAnsi="Times New Roman" w:cs="Times New Roman"/>
        </w:rPr>
        <w:t xml:space="preserve">general </w:t>
      </w:r>
      <w:r w:rsidR="00966830" w:rsidRPr="00127BD1">
        <w:rPr>
          <w:rFonts w:ascii="Times New Roman" w:hAnsi="Times New Roman" w:cs="Times New Roman"/>
        </w:rPr>
        <w:t xml:space="preserve">economic </w:t>
      </w:r>
      <w:r w:rsidR="00BC74F7" w:rsidRPr="00127BD1">
        <w:rPr>
          <w:rFonts w:ascii="Times New Roman" w:hAnsi="Times New Roman" w:cs="Times New Roman"/>
        </w:rPr>
        <w:t xml:space="preserve">uncertainty </w:t>
      </w:r>
      <w:r w:rsidRPr="00127BD1">
        <w:rPr>
          <w:rFonts w:ascii="Times New Roman" w:hAnsi="Times New Roman" w:cs="Times New Roman"/>
        </w:rPr>
        <w:t xml:space="preserve">and </w:t>
      </w:r>
      <w:r w:rsidR="00BC74F7" w:rsidRPr="00127BD1">
        <w:rPr>
          <w:rFonts w:ascii="Times New Roman" w:hAnsi="Times New Roman" w:cs="Times New Roman"/>
        </w:rPr>
        <w:t xml:space="preserve">risk </w:t>
      </w:r>
      <w:r w:rsidRPr="00127BD1">
        <w:rPr>
          <w:rFonts w:ascii="Times New Roman" w:hAnsi="Times New Roman" w:cs="Times New Roman"/>
        </w:rPr>
        <w:t xml:space="preserve">volatility measures, in </w:t>
      </w:r>
      <w:r w:rsidR="0043520E" w:rsidRPr="00127BD1">
        <w:rPr>
          <w:rFonts w:ascii="Times New Roman" w:hAnsi="Times New Roman" w:cs="Times New Roman"/>
        </w:rPr>
        <w:t xml:space="preserve">driving </w:t>
      </w:r>
      <w:r w:rsidRPr="00127BD1">
        <w:rPr>
          <w:rFonts w:ascii="Times New Roman" w:hAnsi="Times New Roman" w:cs="Times New Roman"/>
        </w:rPr>
        <w:t xml:space="preserve">bank </w:t>
      </w:r>
      <w:r w:rsidR="00EA7CC7" w:rsidRPr="00127BD1">
        <w:rPr>
          <w:rFonts w:ascii="Times New Roman" w:hAnsi="Times New Roman" w:cs="Times New Roman"/>
        </w:rPr>
        <w:t>lending</w:t>
      </w:r>
      <w:r w:rsidR="00E60BCE" w:rsidRPr="00127BD1">
        <w:rPr>
          <w:rFonts w:ascii="Times New Roman" w:hAnsi="Times New Roman" w:cs="Times New Roman"/>
        </w:rPr>
        <w:t xml:space="preserve"> </w:t>
      </w:r>
      <w:r w:rsidRPr="00127BD1">
        <w:rPr>
          <w:rFonts w:ascii="Times New Roman" w:hAnsi="Times New Roman" w:cs="Times New Roman"/>
        </w:rPr>
        <w:t>across borders.</w:t>
      </w:r>
      <w:r w:rsidR="006B3419" w:rsidRPr="00127BD1">
        <w:rPr>
          <w:rFonts w:ascii="Times New Roman" w:hAnsi="Times New Roman" w:cs="Times New Roman"/>
        </w:rPr>
        <w:t xml:space="preserve"> </w:t>
      </w:r>
      <w:r w:rsidR="00D01DE3" w:rsidRPr="00127BD1">
        <w:rPr>
          <w:rFonts w:ascii="Times New Roman" w:hAnsi="Times New Roman" w:cs="Times New Roman"/>
        </w:rPr>
        <w:t>By focusing on th</w:t>
      </w:r>
      <w:r w:rsidR="0043520E" w:rsidRPr="00127BD1">
        <w:rPr>
          <w:rFonts w:ascii="Times New Roman" w:hAnsi="Times New Roman" w:cs="Times New Roman"/>
        </w:rPr>
        <w:t>e</w:t>
      </w:r>
      <w:r w:rsidR="00D01DE3" w:rsidRPr="00127BD1">
        <w:rPr>
          <w:rFonts w:ascii="Times New Roman" w:hAnsi="Times New Roman" w:cs="Times New Roman"/>
        </w:rPr>
        <w:t xml:space="preserve"> previously </w:t>
      </w:r>
      <w:r w:rsidR="00ED3D66" w:rsidRPr="00127BD1">
        <w:rPr>
          <w:rFonts w:ascii="Times New Roman" w:hAnsi="Times New Roman" w:cs="Times New Roman"/>
        </w:rPr>
        <w:t xml:space="preserve">neglected </w:t>
      </w:r>
      <w:r w:rsidR="00D01DE3" w:rsidRPr="00127BD1">
        <w:rPr>
          <w:rFonts w:ascii="Times New Roman" w:hAnsi="Times New Roman" w:cs="Times New Roman"/>
        </w:rPr>
        <w:t>dimension</w:t>
      </w:r>
      <w:r w:rsidR="00966830" w:rsidRPr="00127BD1">
        <w:rPr>
          <w:rFonts w:ascii="Times New Roman" w:hAnsi="Times New Roman" w:cs="Times New Roman"/>
        </w:rPr>
        <w:t xml:space="preserve"> of Knightian uncertainty o</w:t>
      </w:r>
      <w:r w:rsidR="00D01DE3" w:rsidRPr="00127BD1">
        <w:rPr>
          <w:rFonts w:ascii="Times New Roman" w:hAnsi="Times New Roman" w:cs="Times New Roman"/>
        </w:rPr>
        <w:t xml:space="preserve">ur </w:t>
      </w:r>
      <w:r w:rsidR="00252C8B" w:rsidRPr="00127BD1">
        <w:rPr>
          <w:rFonts w:ascii="Times New Roman" w:hAnsi="Times New Roman" w:cs="Times New Roman"/>
        </w:rPr>
        <w:t xml:space="preserve">study </w:t>
      </w:r>
      <w:r w:rsidR="00D01DE3" w:rsidRPr="00127BD1">
        <w:rPr>
          <w:rFonts w:ascii="Times New Roman" w:hAnsi="Times New Roman" w:cs="Times New Roman"/>
        </w:rPr>
        <w:t xml:space="preserve">provides </w:t>
      </w:r>
      <w:r w:rsidR="00252C8B" w:rsidRPr="00127BD1">
        <w:rPr>
          <w:rFonts w:ascii="Times New Roman" w:hAnsi="Times New Roman" w:cs="Times New Roman"/>
        </w:rPr>
        <w:t xml:space="preserve">unique </w:t>
      </w:r>
      <w:r w:rsidR="00D01DE3" w:rsidRPr="00127BD1">
        <w:rPr>
          <w:rFonts w:ascii="Times New Roman" w:hAnsi="Times New Roman" w:cs="Times New Roman"/>
        </w:rPr>
        <w:t xml:space="preserve">insights </w:t>
      </w:r>
      <w:r w:rsidR="00795C10" w:rsidRPr="00127BD1">
        <w:rPr>
          <w:rFonts w:ascii="Times New Roman" w:hAnsi="Times New Roman" w:cs="Times New Roman"/>
        </w:rPr>
        <w:t xml:space="preserve">for </w:t>
      </w:r>
      <w:r w:rsidR="00252C8B" w:rsidRPr="00127BD1">
        <w:rPr>
          <w:rFonts w:ascii="Times New Roman" w:hAnsi="Times New Roman" w:cs="Times New Roman"/>
        </w:rPr>
        <w:t xml:space="preserve">a better </w:t>
      </w:r>
      <w:r w:rsidR="00795C10" w:rsidRPr="00127BD1">
        <w:rPr>
          <w:rFonts w:ascii="Times New Roman" w:hAnsi="Times New Roman" w:cs="Times New Roman"/>
        </w:rPr>
        <w:t xml:space="preserve">understanding </w:t>
      </w:r>
      <w:r w:rsidR="00252C8B" w:rsidRPr="00127BD1">
        <w:rPr>
          <w:rFonts w:ascii="Times New Roman" w:hAnsi="Times New Roman" w:cs="Times New Roman"/>
        </w:rPr>
        <w:t xml:space="preserve">of </w:t>
      </w:r>
      <w:r w:rsidR="00795C10" w:rsidRPr="00127BD1">
        <w:rPr>
          <w:rFonts w:ascii="Times New Roman" w:hAnsi="Times New Roman" w:cs="Times New Roman"/>
        </w:rPr>
        <w:t xml:space="preserve">how banks respond to </w:t>
      </w:r>
      <w:r w:rsidR="00966830" w:rsidRPr="00127BD1">
        <w:rPr>
          <w:rFonts w:ascii="Times New Roman" w:hAnsi="Times New Roman" w:cs="Times New Roman"/>
        </w:rPr>
        <w:t xml:space="preserve">domestic ambiguity, one consistent with the </w:t>
      </w:r>
      <w:r w:rsidR="00252C8B" w:rsidRPr="00127BD1">
        <w:rPr>
          <w:rFonts w:ascii="Times New Roman" w:hAnsi="Times New Roman" w:cs="Times New Roman"/>
        </w:rPr>
        <w:t xml:space="preserve">idea </w:t>
      </w:r>
      <w:r w:rsidR="00966830" w:rsidRPr="00127BD1">
        <w:rPr>
          <w:rFonts w:ascii="Times New Roman" w:hAnsi="Times New Roman" w:cs="Times New Roman"/>
        </w:rPr>
        <w:t xml:space="preserve">that banks </w:t>
      </w:r>
      <w:r w:rsidR="00252C8B" w:rsidRPr="00127BD1">
        <w:rPr>
          <w:rFonts w:ascii="Times New Roman" w:hAnsi="Times New Roman" w:cs="Times New Roman"/>
        </w:rPr>
        <w:t xml:space="preserve">are fundamentally ambiguity averse and </w:t>
      </w:r>
      <w:r w:rsidR="00966830" w:rsidRPr="00127BD1">
        <w:rPr>
          <w:rFonts w:ascii="Times New Roman" w:hAnsi="Times New Roman" w:cs="Times New Roman"/>
        </w:rPr>
        <w:t xml:space="preserve">prefer a decision-making process with known probabilities. </w:t>
      </w:r>
      <w:r w:rsidR="00BC74F7" w:rsidRPr="00127BD1">
        <w:rPr>
          <w:rFonts w:ascii="Times New Roman" w:hAnsi="Times New Roman" w:cs="Times New Roman"/>
        </w:rPr>
        <w:t>Our key finding is that, unlike measurable risk, h</w:t>
      </w:r>
      <w:r w:rsidR="00966830" w:rsidRPr="00127BD1">
        <w:rPr>
          <w:rFonts w:ascii="Times New Roman" w:hAnsi="Times New Roman" w:cs="Times New Roman"/>
        </w:rPr>
        <w:t xml:space="preserve">eightened ambiguity in the home market </w:t>
      </w:r>
      <w:r w:rsidR="00252C8B" w:rsidRPr="00127BD1">
        <w:rPr>
          <w:rFonts w:ascii="Times New Roman" w:hAnsi="Times New Roman" w:cs="Times New Roman"/>
        </w:rPr>
        <w:t xml:space="preserve">leads </w:t>
      </w:r>
      <w:r w:rsidR="00795C10" w:rsidRPr="00127BD1">
        <w:rPr>
          <w:rFonts w:ascii="Times New Roman" w:hAnsi="Times New Roman" w:cs="Times New Roman"/>
        </w:rPr>
        <w:t>banks to diversify their lending portfolios across borders</w:t>
      </w:r>
      <w:r w:rsidR="00966830" w:rsidRPr="00127BD1">
        <w:rPr>
          <w:rFonts w:ascii="Times New Roman" w:hAnsi="Times New Roman" w:cs="Times New Roman"/>
        </w:rPr>
        <w:t>.</w:t>
      </w:r>
    </w:p>
    <w:p w14:paraId="610BA56D" w14:textId="77777777" w:rsidR="0019712F" w:rsidRPr="00127BD1" w:rsidRDefault="0019712F" w:rsidP="0019712F">
      <w:pPr>
        <w:spacing w:line="360" w:lineRule="auto"/>
        <w:ind w:firstLine="720"/>
        <w:rPr>
          <w:rFonts w:ascii="Times New Roman" w:hAnsi="Times New Roman" w:cs="Times New Roman"/>
        </w:rPr>
      </w:pPr>
      <w:bookmarkStart w:id="10" w:name="_Hlk216281446"/>
      <w:r w:rsidRPr="00127BD1">
        <w:rPr>
          <w:rFonts w:ascii="Times New Roman" w:hAnsi="Times New Roman" w:cs="Times New Roman"/>
        </w:rPr>
        <w:t xml:space="preserve">These findings have important implications for policymakers and banking supervisors as well as banking regulation. Policymakers in source countries should recognize that domestic ambiguity can influence banks' cross-border credit exposure, potentially affecting financial stability. </w:t>
      </w:r>
    </w:p>
    <w:p w14:paraId="36C91FC4" w14:textId="5B3AD534" w:rsidR="0019712F" w:rsidRPr="00127BD1" w:rsidRDefault="0019712F" w:rsidP="0019712F">
      <w:pPr>
        <w:spacing w:line="360" w:lineRule="auto"/>
        <w:ind w:firstLine="720"/>
        <w:rPr>
          <w:rFonts w:ascii="Times New Roman" w:hAnsi="Times New Roman" w:cs="Times New Roman"/>
        </w:rPr>
      </w:pPr>
      <w:r w:rsidRPr="00127BD1">
        <w:rPr>
          <w:rFonts w:ascii="Times New Roman" w:hAnsi="Times New Roman" w:cs="Times New Roman"/>
        </w:rPr>
        <w:t xml:space="preserve">Banking supervisors may need to monitor how banks adjust their portfolios towards foreign exposures during periods of heightened ambiguity, as these adjustments could create wave effects across the international financial system. We also recommend processes designed to strengthen bank governance and oversight. In particular, board directors should be more assertive in monitoring/scrutinizing lending decisions made in ambiguous </w:t>
      </w:r>
      <w:r w:rsidRPr="00127BD1">
        <w:rPr>
          <w:rFonts w:ascii="Times New Roman" w:hAnsi="Times New Roman" w:cs="Times New Roman"/>
        </w:rPr>
        <w:lastRenderedPageBreak/>
        <w:t>environments to ensure congruent alignment with the bank’s overall risk appetite and long-term stability.</w:t>
      </w:r>
    </w:p>
    <w:p w14:paraId="6D19B8CD" w14:textId="371917E0" w:rsidR="0019712F" w:rsidRPr="00127BD1" w:rsidRDefault="0019712F" w:rsidP="0019712F">
      <w:pPr>
        <w:spacing w:line="360" w:lineRule="auto"/>
        <w:ind w:firstLine="720"/>
        <w:rPr>
          <w:rFonts w:ascii="Times New Roman" w:hAnsi="Times New Roman" w:cs="Times New Roman"/>
        </w:rPr>
      </w:pPr>
      <w:r w:rsidRPr="00127BD1">
        <w:rPr>
          <w:rFonts w:ascii="Times New Roman" w:hAnsi="Times New Roman" w:cs="Times New Roman"/>
        </w:rPr>
        <w:t xml:space="preserve">Additionally, insights gained from our results suggest the need for a shift in regulatory focus starting by redefining risk assessment and regulation. On this account, regulators are advised to broaden prudential frameworks, such as Basel III, by integrating ambiguity measures into stress testing and capital allocation strategies. For instance, during periods of elevated ambiguity in the home market, banks might adjust lending terms or capital buffers to mitigate potential losses, highlighting the practical relevance of our approach. Evidently, traditional risk assessment models which exclusively rely on measurable probabilities would be highly inadequate/imprecise if banks are lending in environments where data is scarce or unreliable (as is the case under scenarios of high ambiguity). Global standards for better financial information disclosure may also be needed to reduce ambiguity across countries, through policies mandating more stringent reporting requirements for cross-border transactions. This initiative may make it easier for market participants and regulators alike to better assess true exposures and discourage the exploitation of informational asymmetries. Finally, it may be prudent to </w:t>
      </w:r>
      <w:r w:rsidR="00BD7DD8" w:rsidRPr="00127BD1">
        <w:rPr>
          <w:rFonts w:ascii="Times New Roman" w:hAnsi="Times New Roman" w:cs="Times New Roman"/>
        </w:rPr>
        <w:t>rethink</w:t>
      </w:r>
      <w:r w:rsidRPr="00127BD1">
        <w:rPr>
          <w:rFonts w:ascii="Times New Roman" w:hAnsi="Times New Roman" w:cs="Times New Roman"/>
        </w:rPr>
        <w:t xml:space="preserve"> capital and liquidity requirements as existing levels/thresholds may be insufficient to cover the potentially higher, unquantifiable risks being assumed when banks engag</w:t>
      </w:r>
      <w:r w:rsidR="00924103" w:rsidRPr="00127BD1">
        <w:rPr>
          <w:rFonts w:ascii="Times New Roman" w:hAnsi="Times New Roman" w:cs="Times New Roman"/>
        </w:rPr>
        <w:t>e</w:t>
      </w:r>
      <w:r w:rsidRPr="00127BD1">
        <w:rPr>
          <w:rFonts w:ascii="Times New Roman" w:hAnsi="Times New Roman" w:cs="Times New Roman"/>
        </w:rPr>
        <w:t xml:space="preserve"> in greater lending </w:t>
      </w:r>
      <w:r w:rsidR="00AB546C">
        <w:rPr>
          <w:rFonts w:ascii="Times New Roman" w:hAnsi="Times New Roman" w:cs="Times New Roman"/>
        </w:rPr>
        <w:t xml:space="preserve">volumes </w:t>
      </w:r>
      <w:r w:rsidRPr="00127BD1">
        <w:rPr>
          <w:rFonts w:ascii="Times New Roman" w:hAnsi="Times New Roman" w:cs="Times New Roman"/>
        </w:rPr>
        <w:t>during periods of high ambiguity. This could be addressed by proposals for ambiguity-designated capital buffers or dynamic provisioning that increases during periods of heightened uncertainty.</w:t>
      </w:r>
    </w:p>
    <w:bookmarkEnd w:id="10"/>
    <w:p w14:paraId="35542D49" w14:textId="77777777" w:rsidR="00B40361" w:rsidRPr="00127BD1" w:rsidRDefault="006C7669" w:rsidP="00966830">
      <w:pPr>
        <w:spacing w:line="360" w:lineRule="auto"/>
        <w:ind w:firstLine="720"/>
        <w:rPr>
          <w:rFonts w:ascii="Times New Roman" w:hAnsi="Times New Roman" w:cs="Times New Roman"/>
        </w:rPr>
      </w:pPr>
      <w:r w:rsidRPr="00127BD1">
        <w:rPr>
          <w:rFonts w:ascii="Times New Roman" w:hAnsi="Times New Roman" w:cs="Times New Roman"/>
        </w:rPr>
        <w:t>While our analysis provides a robust framework for empirically examining how ambiguity influences cross-border lending, its integration into practical banking frameworks requires further validation</w:t>
      </w:r>
      <w:r w:rsidR="00B925E2" w:rsidRPr="00127BD1">
        <w:rPr>
          <w:rFonts w:ascii="Times New Roman" w:hAnsi="Times New Roman" w:cs="Times New Roman"/>
        </w:rPr>
        <w:t>. Future research could explore how ambiguity metrics correlate with internal risk assessments and decision-making processes within banks, providing a more comprehensive understanding of its role in real-world applications.</w:t>
      </w:r>
    </w:p>
    <w:p w14:paraId="45ECA885" w14:textId="77777777" w:rsidR="00E56BBD" w:rsidRPr="00127BD1" w:rsidRDefault="00E56BBD" w:rsidP="004060CC">
      <w:pPr>
        <w:spacing w:line="360" w:lineRule="auto"/>
        <w:rPr>
          <w:rFonts w:ascii="Times New Roman" w:hAnsi="Times New Roman" w:cs="Times New Roman"/>
          <w:b/>
          <w:bCs/>
        </w:rPr>
      </w:pPr>
    </w:p>
    <w:p w14:paraId="17929770" w14:textId="77777777" w:rsidR="004544BA" w:rsidRPr="00127BD1" w:rsidRDefault="004544BA" w:rsidP="004060CC">
      <w:pPr>
        <w:spacing w:line="360" w:lineRule="auto"/>
        <w:rPr>
          <w:rFonts w:ascii="Times New Roman" w:hAnsi="Times New Roman" w:cs="Times New Roman"/>
          <w:b/>
          <w:bCs/>
        </w:rPr>
      </w:pPr>
    </w:p>
    <w:p w14:paraId="4FD321F0" w14:textId="0E1519E9" w:rsidR="003F1183" w:rsidRPr="00127BD1" w:rsidRDefault="001D7031" w:rsidP="00674CE9">
      <w:pPr>
        <w:spacing w:line="360" w:lineRule="auto"/>
        <w:rPr>
          <w:rFonts w:ascii="Times New Roman" w:hAnsi="Times New Roman" w:cs="Times New Roman"/>
          <w:b/>
          <w:bCs/>
        </w:rPr>
      </w:pPr>
      <w:r w:rsidRPr="00127BD1">
        <w:rPr>
          <w:rFonts w:ascii="Times New Roman" w:hAnsi="Times New Roman" w:cs="Times New Roman"/>
          <w:b/>
          <w:bCs/>
        </w:rPr>
        <w:t>References</w:t>
      </w:r>
    </w:p>
    <w:p w14:paraId="6EF61375" w14:textId="06B988F7" w:rsidR="007F75C1" w:rsidRPr="00127BD1" w:rsidRDefault="007F75C1" w:rsidP="00674CE9">
      <w:pPr>
        <w:pStyle w:val="EndNoteBibliography"/>
        <w:spacing w:line="360" w:lineRule="auto"/>
        <w:ind w:left="720" w:hanging="720"/>
        <w:rPr>
          <w:rFonts w:ascii="Times New Roman" w:hAnsi="Times New Roman" w:cs="Times New Roman"/>
        </w:rPr>
      </w:pPr>
      <w:r w:rsidRPr="00127BD1">
        <w:rPr>
          <w:rFonts w:ascii="Times New Roman" w:hAnsi="Times New Roman" w:cs="Times New Roman"/>
        </w:rPr>
        <w:t>Albrizio S, Choi S, Furceri D, Yoon C (2020) International bank lending channel of monetary policy. J Int Money Financ 102</w:t>
      </w:r>
      <w:r w:rsidR="005011DC" w:rsidRPr="00127BD1">
        <w:rPr>
          <w:rFonts w:ascii="Times New Roman" w:hAnsi="Times New Roman" w:cs="Times New Roman"/>
        </w:rPr>
        <w:t>:</w:t>
      </w:r>
      <w:r w:rsidRPr="00127BD1">
        <w:rPr>
          <w:rFonts w:ascii="Times New Roman" w:hAnsi="Times New Roman" w:cs="Times New Roman"/>
        </w:rPr>
        <w:t>102124</w:t>
      </w:r>
      <w:r w:rsidR="003D7766" w:rsidRPr="00127BD1">
        <w:rPr>
          <w:rFonts w:ascii="Times New Roman" w:hAnsi="Times New Roman" w:cs="Times New Roman"/>
        </w:rPr>
        <w:t xml:space="preserve"> </w:t>
      </w:r>
    </w:p>
    <w:p w14:paraId="71556EBB" w14:textId="1A553759" w:rsidR="007F75C1" w:rsidRPr="00FC6C1F" w:rsidRDefault="007F75C1" w:rsidP="003F70FB">
      <w:pPr>
        <w:pStyle w:val="EndNoteBibliography"/>
        <w:spacing w:line="360" w:lineRule="auto"/>
        <w:ind w:left="720" w:hanging="720"/>
        <w:rPr>
          <w:rFonts w:ascii="Times New Roman" w:hAnsi="Times New Roman" w:cs="Times New Roman"/>
        </w:rPr>
      </w:pPr>
      <w:r w:rsidRPr="00127BD1">
        <w:rPr>
          <w:rFonts w:ascii="Times New Roman" w:hAnsi="Times New Roman" w:cs="Times New Roman"/>
        </w:rPr>
        <w:t xml:space="preserve">Andersen TG, Bollerslev T, Diebold FX, Ebens H (2001) The </w:t>
      </w:r>
      <w:r w:rsidRPr="00FC6C1F">
        <w:rPr>
          <w:rFonts w:ascii="Times New Roman" w:hAnsi="Times New Roman" w:cs="Times New Roman"/>
        </w:rPr>
        <w:t>distribution of realized stock return volatility. J Financ Econ 61:43</w:t>
      </w:r>
      <w:r w:rsidR="001D2C67" w:rsidRPr="00FC6C1F">
        <w:rPr>
          <w:rFonts w:ascii="Times New Roman" w:hAnsi="Times New Roman" w:cs="Times New Roman"/>
        </w:rPr>
        <w:t>–</w:t>
      </w:r>
      <w:r w:rsidRPr="00FC6C1F">
        <w:rPr>
          <w:rFonts w:ascii="Times New Roman" w:hAnsi="Times New Roman" w:cs="Times New Roman"/>
        </w:rPr>
        <w:t>76</w:t>
      </w:r>
    </w:p>
    <w:p w14:paraId="7514D5D8" w14:textId="244594E4" w:rsidR="00F50000" w:rsidRPr="00FC6C1F" w:rsidRDefault="00F50000" w:rsidP="003F70FB">
      <w:pPr>
        <w:pStyle w:val="EndNoteBibliography"/>
        <w:spacing w:line="360" w:lineRule="auto"/>
        <w:ind w:left="720" w:hanging="720"/>
        <w:rPr>
          <w:rFonts w:ascii="Times New Roman" w:hAnsi="Times New Roman" w:cs="Times New Roman"/>
        </w:rPr>
      </w:pPr>
      <w:r w:rsidRPr="00FC6C1F">
        <w:rPr>
          <w:rFonts w:ascii="Times New Roman" w:hAnsi="Times New Roman" w:cs="Times New Roman"/>
        </w:rPr>
        <w:t>Aldasoro I, Ehlers T (2019)</w:t>
      </w:r>
      <w:r w:rsidR="00BA6DF2" w:rsidRPr="00FC6C1F">
        <w:rPr>
          <w:rFonts w:ascii="Times New Roman" w:hAnsi="Times New Roman" w:cs="Times New Roman"/>
        </w:rPr>
        <w:t xml:space="preserve"> </w:t>
      </w:r>
      <w:r w:rsidRPr="00FC6C1F">
        <w:rPr>
          <w:rFonts w:ascii="Times New Roman" w:hAnsi="Times New Roman" w:cs="Times New Roman"/>
        </w:rPr>
        <w:t xml:space="preserve">Concentration in cross-border banking. </w:t>
      </w:r>
      <w:r w:rsidR="00BA6DF2" w:rsidRPr="00FC6C1F">
        <w:rPr>
          <w:rFonts w:ascii="Times New Roman" w:hAnsi="Times New Roman" w:cs="Times New Roman"/>
        </w:rPr>
        <w:t>BIS Q Rev</w:t>
      </w:r>
      <w:r w:rsidR="00BA055E" w:rsidRPr="00FC6C1F">
        <w:rPr>
          <w:rFonts w:ascii="Times New Roman" w:hAnsi="Times New Roman" w:cs="Times New Roman"/>
        </w:rPr>
        <w:t xml:space="preserve"> </w:t>
      </w:r>
      <w:r w:rsidR="004A5499" w:rsidRPr="00FC6C1F">
        <w:rPr>
          <w:rFonts w:ascii="Times New Roman" w:hAnsi="Times New Roman" w:cs="Times New Roman"/>
        </w:rPr>
        <w:t>June:1–11</w:t>
      </w:r>
    </w:p>
    <w:p w14:paraId="7585E641" w14:textId="4A531C6C" w:rsidR="007F75C1" w:rsidRPr="00127BD1" w:rsidRDefault="007F75C1" w:rsidP="003F70FB">
      <w:pPr>
        <w:pStyle w:val="EndNoteBibliography"/>
        <w:spacing w:line="360" w:lineRule="auto"/>
        <w:ind w:left="720" w:hanging="720"/>
        <w:rPr>
          <w:rFonts w:ascii="Times New Roman" w:hAnsi="Times New Roman" w:cs="Times New Roman"/>
        </w:rPr>
      </w:pPr>
      <w:r w:rsidRPr="00127BD1">
        <w:rPr>
          <w:rFonts w:ascii="Times New Roman" w:hAnsi="Times New Roman" w:cs="Times New Roman"/>
        </w:rPr>
        <w:lastRenderedPageBreak/>
        <w:t>Arellano M, Bover O (1995) Another look at the instrumental variable estimation of error-components models. J Econom 68:29</w:t>
      </w:r>
      <w:r w:rsidR="001D2C67" w:rsidRPr="00127BD1">
        <w:rPr>
          <w:rFonts w:ascii="Times New Roman" w:hAnsi="Times New Roman" w:cs="Times New Roman"/>
        </w:rPr>
        <w:t>–</w:t>
      </w:r>
      <w:r w:rsidRPr="00127BD1">
        <w:rPr>
          <w:rFonts w:ascii="Times New Roman" w:hAnsi="Times New Roman" w:cs="Times New Roman"/>
        </w:rPr>
        <w:t xml:space="preserve">51 </w:t>
      </w:r>
    </w:p>
    <w:p w14:paraId="73D6FA15" w14:textId="00909D30" w:rsidR="00090555" w:rsidRPr="00127BD1" w:rsidRDefault="007F75C1" w:rsidP="00674CE9">
      <w:pPr>
        <w:pStyle w:val="EndNoteBibliography"/>
        <w:spacing w:line="360" w:lineRule="auto"/>
        <w:ind w:left="720" w:hanging="720"/>
        <w:rPr>
          <w:rFonts w:ascii="Times New Roman" w:hAnsi="Times New Roman" w:cs="Times New Roman"/>
        </w:rPr>
      </w:pPr>
      <w:r w:rsidRPr="00127BD1">
        <w:rPr>
          <w:rFonts w:ascii="Times New Roman" w:hAnsi="Times New Roman" w:cs="Times New Roman"/>
        </w:rPr>
        <w:t xml:space="preserve">Baker SR, Bloom N (2013) Does uncertainty reduce growth? Using disasters as natural experiments. </w:t>
      </w:r>
      <w:r w:rsidR="001D2C67" w:rsidRPr="00127BD1">
        <w:rPr>
          <w:rFonts w:ascii="Times New Roman" w:hAnsi="Times New Roman" w:cs="Times New Roman"/>
        </w:rPr>
        <w:t xml:space="preserve">Available at: </w:t>
      </w:r>
      <w:r w:rsidR="008F5BF3" w:rsidRPr="00127BD1">
        <w:rPr>
          <w:rFonts w:ascii="Times New Roman" w:hAnsi="Times New Roman" w:cs="Times New Roman"/>
        </w:rPr>
        <w:t>https://www.nber.org/papers/w19475</w:t>
      </w:r>
    </w:p>
    <w:p w14:paraId="0BFC733B" w14:textId="410D3883" w:rsidR="007F75C1" w:rsidRPr="00127BD1" w:rsidRDefault="007F75C1" w:rsidP="00674CE9">
      <w:pPr>
        <w:pStyle w:val="EndNoteBibliography"/>
        <w:spacing w:line="360" w:lineRule="auto"/>
        <w:ind w:left="720" w:hanging="720"/>
        <w:rPr>
          <w:rFonts w:ascii="Times New Roman" w:hAnsi="Times New Roman" w:cs="Times New Roman"/>
        </w:rPr>
      </w:pPr>
      <w:r w:rsidRPr="00127BD1">
        <w:rPr>
          <w:rFonts w:ascii="Times New Roman" w:hAnsi="Times New Roman" w:cs="Times New Roman"/>
        </w:rPr>
        <w:t>Baker SR, Bloom N, Davis SJ (2016) Measuring economic policy uncertainty. Q J Econ 131:1593</w:t>
      </w:r>
      <w:r w:rsidR="001D2C67" w:rsidRPr="00127BD1">
        <w:rPr>
          <w:rFonts w:ascii="Times New Roman" w:hAnsi="Times New Roman" w:cs="Times New Roman"/>
        </w:rPr>
        <w:t>–</w:t>
      </w:r>
      <w:r w:rsidRPr="00127BD1">
        <w:rPr>
          <w:rFonts w:ascii="Times New Roman" w:hAnsi="Times New Roman" w:cs="Times New Roman"/>
        </w:rPr>
        <w:t>1636</w:t>
      </w:r>
      <w:r w:rsidR="00925B11" w:rsidRPr="00127BD1">
        <w:rPr>
          <w:rFonts w:ascii="Times New Roman" w:hAnsi="Times New Roman" w:cs="Times New Roman"/>
        </w:rPr>
        <w:t xml:space="preserve"> </w:t>
      </w:r>
    </w:p>
    <w:p w14:paraId="6EDD4ED6" w14:textId="442A88A8" w:rsidR="007F75C1" w:rsidRPr="00127BD1" w:rsidRDefault="007F75C1" w:rsidP="00674CE9">
      <w:pPr>
        <w:pStyle w:val="EndNoteBibliography"/>
        <w:spacing w:line="360" w:lineRule="auto"/>
        <w:ind w:left="720" w:hanging="720"/>
        <w:rPr>
          <w:rFonts w:ascii="Times New Roman" w:hAnsi="Times New Roman" w:cs="Times New Roman"/>
        </w:rPr>
      </w:pPr>
      <w:r w:rsidRPr="00127BD1">
        <w:rPr>
          <w:rFonts w:ascii="Times New Roman" w:hAnsi="Times New Roman" w:cs="Times New Roman"/>
        </w:rPr>
        <w:t>Bernanke BS (1983) Irreversibility, uncertainty, and cyclical investment. Q J Econ 98:85</w:t>
      </w:r>
      <w:r w:rsidR="001D2C67" w:rsidRPr="00127BD1">
        <w:rPr>
          <w:rFonts w:ascii="Times New Roman" w:hAnsi="Times New Roman" w:cs="Times New Roman"/>
        </w:rPr>
        <w:t>–</w:t>
      </w:r>
      <w:r w:rsidRPr="00127BD1">
        <w:rPr>
          <w:rFonts w:ascii="Times New Roman" w:hAnsi="Times New Roman" w:cs="Times New Roman"/>
        </w:rPr>
        <w:t xml:space="preserve">106 </w:t>
      </w:r>
    </w:p>
    <w:p w14:paraId="3B264E9F" w14:textId="32C376C3" w:rsidR="007F75C1" w:rsidRPr="00FC6C1F" w:rsidRDefault="007F75C1" w:rsidP="00674CE9">
      <w:pPr>
        <w:pStyle w:val="EndNoteBibliography"/>
        <w:spacing w:line="360" w:lineRule="auto"/>
        <w:ind w:left="720" w:hanging="720"/>
        <w:rPr>
          <w:rFonts w:ascii="Times New Roman" w:hAnsi="Times New Roman" w:cs="Times New Roman"/>
        </w:rPr>
      </w:pPr>
      <w:r w:rsidRPr="00127BD1">
        <w:rPr>
          <w:rFonts w:ascii="Times New Roman" w:hAnsi="Times New Roman" w:cs="Times New Roman"/>
        </w:rPr>
        <w:t xml:space="preserve">Beyhaghi M, Dai R, Saunders A, </w:t>
      </w:r>
      <w:r w:rsidRPr="00FC6C1F">
        <w:rPr>
          <w:rFonts w:ascii="Times New Roman" w:hAnsi="Times New Roman" w:cs="Times New Roman"/>
        </w:rPr>
        <w:t xml:space="preserve">Wald J (2021) International lending: </w:t>
      </w:r>
      <w:r w:rsidR="001D2C67" w:rsidRPr="00FC6C1F">
        <w:rPr>
          <w:rFonts w:ascii="Times New Roman" w:hAnsi="Times New Roman" w:cs="Times New Roman"/>
        </w:rPr>
        <w:t>t</w:t>
      </w:r>
      <w:r w:rsidRPr="00FC6C1F">
        <w:rPr>
          <w:rFonts w:ascii="Times New Roman" w:hAnsi="Times New Roman" w:cs="Times New Roman"/>
        </w:rPr>
        <w:t>he role of lender's home country. J Money Credit Bank 5</w:t>
      </w:r>
      <w:r w:rsidR="0078357F" w:rsidRPr="00FC6C1F">
        <w:rPr>
          <w:rFonts w:ascii="Times New Roman" w:hAnsi="Times New Roman" w:cs="Times New Roman"/>
        </w:rPr>
        <w:t>3</w:t>
      </w:r>
      <w:r w:rsidRPr="00FC6C1F">
        <w:rPr>
          <w:rFonts w:ascii="Times New Roman" w:hAnsi="Times New Roman" w:cs="Times New Roman"/>
        </w:rPr>
        <w:t>:1373</w:t>
      </w:r>
      <w:r w:rsidR="001D2C67" w:rsidRPr="00FC6C1F">
        <w:rPr>
          <w:rFonts w:ascii="Times New Roman" w:hAnsi="Times New Roman" w:cs="Times New Roman"/>
        </w:rPr>
        <w:t>–</w:t>
      </w:r>
      <w:r w:rsidRPr="00FC6C1F">
        <w:rPr>
          <w:rFonts w:ascii="Times New Roman" w:hAnsi="Times New Roman" w:cs="Times New Roman"/>
        </w:rPr>
        <w:t xml:space="preserve">1416 </w:t>
      </w:r>
    </w:p>
    <w:p w14:paraId="158F3A16" w14:textId="6CD6DAFF" w:rsidR="00F26E67" w:rsidRPr="00FC6C1F" w:rsidRDefault="00F26E67" w:rsidP="00674CE9">
      <w:pPr>
        <w:pStyle w:val="EndNoteBibliography"/>
        <w:spacing w:line="360" w:lineRule="auto"/>
        <w:ind w:left="720" w:hanging="720"/>
        <w:rPr>
          <w:rFonts w:ascii="Times New Roman" w:hAnsi="Times New Roman" w:cs="Times New Roman"/>
        </w:rPr>
      </w:pPr>
      <w:r w:rsidRPr="00FC6C1F">
        <w:rPr>
          <w:rFonts w:ascii="Times New Roman" w:hAnsi="Times New Roman" w:cs="Times New Roman"/>
        </w:rPr>
        <w:t>Bank for International Settlements</w:t>
      </w:r>
      <w:r w:rsidR="005E6979" w:rsidRPr="00FC6C1F">
        <w:rPr>
          <w:rFonts w:ascii="Times New Roman" w:hAnsi="Times New Roman" w:cs="Times New Roman"/>
        </w:rPr>
        <w:t xml:space="preserve"> </w:t>
      </w:r>
      <w:r w:rsidRPr="00FC6C1F">
        <w:rPr>
          <w:rFonts w:ascii="Times New Roman" w:hAnsi="Times New Roman" w:cs="Times New Roman"/>
        </w:rPr>
        <w:t xml:space="preserve">(2020) </w:t>
      </w:r>
      <w:r w:rsidR="00B852D5" w:rsidRPr="00FC6C1F">
        <w:rPr>
          <w:rFonts w:ascii="Times New Roman" w:hAnsi="Times New Roman" w:cs="Times New Roman"/>
        </w:rPr>
        <w:t>Global coverage of BIS locational banking statistics</w:t>
      </w:r>
      <w:r w:rsidRPr="00FC6C1F">
        <w:rPr>
          <w:rFonts w:ascii="Times New Roman" w:hAnsi="Times New Roman" w:cs="Times New Roman"/>
        </w:rPr>
        <w:t>. BIS. Available at: https://www.bis.org/statistics/lbs_globalcoverage.pdf</w:t>
      </w:r>
    </w:p>
    <w:p w14:paraId="47A2EC5F" w14:textId="0FAFF853" w:rsidR="007F75C1" w:rsidRPr="00127BD1" w:rsidRDefault="007F75C1" w:rsidP="00674CE9">
      <w:pPr>
        <w:pStyle w:val="EndNoteBibliography"/>
        <w:spacing w:line="360" w:lineRule="auto"/>
        <w:ind w:left="720" w:hanging="720"/>
        <w:rPr>
          <w:rFonts w:ascii="Times New Roman" w:hAnsi="Times New Roman" w:cs="Times New Roman"/>
        </w:rPr>
      </w:pPr>
      <w:r w:rsidRPr="00127BD1">
        <w:rPr>
          <w:rFonts w:ascii="Times New Roman" w:hAnsi="Times New Roman" w:cs="Times New Roman"/>
        </w:rPr>
        <w:t>Biswas S, Zhai W (2021) Economic policy uncertainty and cross-border lending. J Corp Financ 67:101867</w:t>
      </w:r>
    </w:p>
    <w:p w14:paraId="5052E4B5" w14:textId="56C57E55" w:rsidR="007F75C1" w:rsidRPr="00127BD1" w:rsidRDefault="007F75C1" w:rsidP="00674CE9">
      <w:pPr>
        <w:pStyle w:val="EndNoteBibliography"/>
        <w:spacing w:line="360" w:lineRule="auto"/>
        <w:ind w:left="720" w:hanging="720"/>
        <w:rPr>
          <w:rFonts w:ascii="Times New Roman" w:hAnsi="Times New Roman" w:cs="Times New Roman"/>
        </w:rPr>
      </w:pPr>
      <w:r w:rsidRPr="00127BD1">
        <w:rPr>
          <w:rFonts w:ascii="Times New Roman" w:hAnsi="Times New Roman" w:cs="Times New Roman"/>
        </w:rPr>
        <w:t>Blickle K, Fleckenstein Q, Hillenbrand S, Saunders A (2020) The myth of the lead arranger’s share. FRB of New York Staff Report</w:t>
      </w:r>
      <w:r w:rsidR="00090555" w:rsidRPr="00127BD1">
        <w:rPr>
          <w:rFonts w:ascii="Times New Roman" w:hAnsi="Times New Roman" w:cs="Times New Roman"/>
        </w:rPr>
        <w:t xml:space="preserve"> </w:t>
      </w:r>
      <w:r w:rsidRPr="00127BD1">
        <w:rPr>
          <w:rFonts w:ascii="Times New Roman" w:hAnsi="Times New Roman" w:cs="Times New Roman"/>
        </w:rPr>
        <w:t xml:space="preserve">922 </w:t>
      </w:r>
    </w:p>
    <w:p w14:paraId="171CD8AF" w14:textId="55CF12F5" w:rsidR="007F75C1" w:rsidRPr="00FC6C1F" w:rsidRDefault="007F75C1" w:rsidP="00674CE9">
      <w:pPr>
        <w:pStyle w:val="EndNoteBibliography"/>
        <w:spacing w:line="360" w:lineRule="auto"/>
        <w:ind w:left="720" w:hanging="720"/>
        <w:rPr>
          <w:rFonts w:ascii="Times New Roman" w:hAnsi="Times New Roman" w:cs="Times New Roman"/>
        </w:rPr>
      </w:pPr>
      <w:r w:rsidRPr="00127BD1">
        <w:rPr>
          <w:rFonts w:ascii="Times New Roman" w:hAnsi="Times New Roman" w:cs="Times New Roman"/>
        </w:rPr>
        <w:t>Blundell R, Bond S (1998)</w:t>
      </w:r>
      <w:r w:rsidR="005F5F20" w:rsidRPr="00127BD1">
        <w:rPr>
          <w:rFonts w:ascii="Times New Roman" w:hAnsi="Times New Roman" w:cs="Times New Roman"/>
        </w:rPr>
        <w:t xml:space="preserve"> </w:t>
      </w:r>
      <w:r w:rsidRPr="00127BD1">
        <w:rPr>
          <w:rFonts w:ascii="Times New Roman" w:hAnsi="Times New Roman" w:cs="Times New Roman"/>
        </w:rPr>
        <w:t>Initial conditions and moment restrictions in dynamic panel data models. J Econom 87:</w:t>
      </w:r>
      <w:r w:rsidR="0078357F" w:rsidRPr="00127BD1">
        <w:rPr>
          <w:rFonts w:ascii="Times New Roman" w:hAnsi="Times New Roman" w:cs="Times New Roman"/>
        </w:rPr>
        <w:t>1</w:t>
      </w:r>
      <w:r w:rsidRPr="00127BD1">
        <w:rPr>
          <w:rFonts w:ascii="Times New Roman" w:hAnsi="Times New Roman" w:cs="Times New Roman"/>
        </w:rPr>
        <w:t>15</w:t>
      </w:r>
      <w:r w:rsidR="001D2C67" w:rsidRPr="00127BD1">
        <w:rPr>
          <w:rFonts w:ascii="Times New Roman" w:hAnsi="Times New Roman" w:cs="Times New Roman"/>
        </w:rPr>
        <w:t>–</w:t>
      </w:r>
      <w:r w:rsidRPr="00FC6C1F">
        <w:rPr>
          <w:rFonts w:ascii="Times New Roman" w:hAnsi="Times New Roman" w:cs="Times New Roman"/>
        </w:rPr>
        <w:t xml:space="preserve">143 </w:t>
      </w:r>
    </w:p>
    <w:p w14:paraId="189B0564" w14:textId="53ECA310" w:rsidR="00CD43F1" w:rsidRPr="00FC6C1F" w:rsidRDefault="00A24994" w:rsidP="00674CE9">
      <w:pPr>
        <w:pStyle w:val="EndNoteBibliography"/>
        <w:spacing w:line="360" w:lineRule="auto"/>
        <w:ind w:left="720" w:hanging="720"/>
        <w:rPr>
          <w:rFonts w:ascii="Times New Roman" w:hAnsi="Times New Roman" w:cs="Times New Roman"/>
        </w:rPr>
      </w:pPr>
      <w:r w:rsidRPr="00FC6C1F">
        <w:rPr>
          <w:rFonts w:ascii="Times New Roman" w:hAnsi="Times New Roman" w:cs="Times New Roman"/>
        </w:rPr>
        <w:t>Breinlich H, Leromain E, Novy D, Sampson</w:t>
      </w:r>
      <w:r w:rsidR="008E4726" w:rsidRPr="00FC6C1F">
        <w:rPr>
          <w:rFonts w:ascii="Times New Roman" w:hAnsi="Times New Roman" w:cs="Times New Roman"/>
        </w:rPr>
        <w:t xml:space="preserve"> </w:t>
      </w:r>
      <w:r w:rsidRPr="00FC6C1F">
        <w:rPr>
          <w:rFonts w:ascii="Times New Roman" w:hAnsi="Times New Roman" w:cs="Times New Roman"/>
        </w:rPr>
        <w:t xml:space="preserve">T (2020) Voting with their money: Brexit and outward investment by UK firms. </w:t>
      </w:r>
      <w:r w:rsidR="00ED556B" w:rsidRPr="00FC6C1F">
        <w:rPr>
          <w:rFonts w:ascii="Times New Roman" w:hAnsi="Times New Roman" w:cs="Times New Roman"/>
        </w:rPr>
        <w:t>Eur Econ Rev</w:t>
      </w:r>
      <w:r w:rsidRPr="00FC6C1F">
        <w:rPr>
          <w:rFonts w:ascii="Times New Roman" w:hAnsi="Times New Roman" w:cs="Times New Roman"/>
        </w:rPr>
        <w:t xml:space="preserve"> 124:103400</w:t>
      </w:r>
      <w:r w:rsidR="00CD43F1" w:rsidRPr="00FC6C1F">
        <w:rPr>
          <w:rFonts w:ascii="Times New Roman" w:hAnsi="Times New Roman" w:cs="Times New Roman"/>
        </w:rPr>
        <w:t>.</w:t>
      </w:r>
    </w:p>
    <w:p w14:paraId="48B17EC0" w14:textId="439252D0" w:rsidR="007F75C1" w:rsidRPr="00127BD1" w:rsidRDefault="007F75C1" w:rsidP="00674CE9">
      <w:pPr>
        <w:pStyle w:val="EndNoteBibliography"/>
        <w:spacing w:line="360" w:lineRule="auto"/>
        <w:ind w:left="720" w:hanging="720"/>
        <w:rPr>
          <w:rFonts w:ascii="Times New Roman" w:hAnsi="Times New Roman" w:cs="Times New Roman"/>
        </w:rPr>
      </w:pPr>
      <w:r w:rsidRPr="00127BD1">
        <w:rPr>
          <w:rFonts w:ascii="Times New Roman" w:hAnsi="Times New Roman" w:cs="Times New Roman"/>
        </w:rPr>
        <w:t xml:space="preserve">Brenner M, Izhakian Y (2018) Asset pricing and ambiguity: </w:t>
      </w:r>
      <w:r w:rsidR="001D2C67" w:rsidRPr="00127BD1">
        <w:rPr>
          <w:rFonts w:ascii="Times New Roman" w:hAnsi="Times New Roman" w:cs="Times New Roman"/>
        </w:rPr>
        <w:t>e</w:t>
      </w:r>
      <w:r w:rsidRPr="00127BD1">
        <w:rPr>
          <w:rFonts w:ascii="Times New Roman" w:hAnsi="Times New Roman" w:cs="Times New Roman"/>
        </w:rPr>
        <w:t>mpirical evidence. J Financ Econ 130:503</w:t>
      </w:r>
      <w:r w:rsidR="001D2C67" w:rsidRPr="00127BD1">
        <w:rPr>
          <w:rFonts w:ascii="Times New Roman" w:hAnsi="Times New Roman" w:cs="Times New Roman"/>
        </w:rPr>
        <w:t>–</w:t>
      </w:r>
      <w:r w:rsidRPr="00127BD1">
        <w:rPr>
          <w:rFonts w:ascii="Times New Roman" w:hAnsi="Times New Roman" w:cs="Times New Roman"/>
        </w:rPr>
        <w:t xml:space="preserve">531 </w:t>
      </w:r>
    </w:p>
    <w:p w14:paraId="5C586909" w14:textId="292EAD39" w:rsidR="007F75C1" w:rsidRPr="00127BD1" w:rsidRDefault="007F75C1" w:rsidP="00674CE9">
      <w:pPr>
        <w:pStyle w:val="EndNoteBibliography"/>
        <w:spacing w:line="360" w:lineRule="auto"/>
        <w:ind w:left="720" w:hanging="720"/>
        <w:rPr>
          <w:rFonts w:ascii="Times New Roman" w:hAnsi="Times New Roman" w:cs="Times New Roman"/>
        </w:rPr>
      </w:pPr>
      <w:r w:rsidRPr="00127BD1">
        <w:rPr>
          <w:rFonts w:ascii="Times New Roman" w:hAnsi="Times New Roman" w:cs="Times New Roman"/>
        </w:rPr>
        <w:t>Broll U, Welzel P, Wong KP (2018)</w:t>
      </w:r>
      <w:r w:rsidR="001D2C67" w:rsidRPr="00127BD1">
        <w:rPr>
          <w:rFonts w:ascii="Times New Roman" w:hAnsi="Times New Roman" w:cs="Times New Roman"/>
        </w:rPr>
        <w:t xml:space="preserve"> </w:t>
      </w:r>
      <w:r w:rsidRPr="00127BD1">
        <w:rPr>
          <w:rFonts w:ascii="Times New Roman" w:hAnsi="Times New Roman" w:cs="Times New Roman"/>
        </w:rPr>
        <w:t>Ambiguity preferences, risk taking and the banking firm. Eurasian Econ Rev 8:343</w:t>
      </w:r>
      <w:r w:rsidR="001D2C67" w:rsidRPr="00127BD1">
        <w:rPr>
          <w:rFonts w:ascii="Times New Roman" w:hAnsi="Times New Roman" w:cs="Times New Roman"/>
        </w:rPr>
        <w:t>–</w:t>
      </w:r>
      <w:r w:rsidRPr="00127BD1">
        <w:rPr>
          <w:rFonts w:ascii="Times New Roman" w:hAnsi="Times New Roman" w:cs="Times New Roman"/>
        </w:rPr>
        <w:t xml:space="preserve">353 </w:t>
      </w:r>
    </w:p>
    <w:p w14:paraId="46C25D94" w14:textId="546B54C1" w:rsidR="007F75C1" w:rsidRPr="00127BD1" w:rsidRDefault="007F75C1" w:rsidP="00674CE9">
      <w:pPr>
        <w:pStyle w:val="EndNoteBibliography"/>
        <w:spacing w:line="360" w:lineRule="auto"/>
        <w:ind w:left="720" w:hanging="720"/>
        <w:rPr>
          <w:rFonts w:ascii="Times New Roman" w:hAnsi="Times New Roman" w:cs="Times New Roman"/>
        </w:rPr>
      </w:pPr>
      <w:r w:rsidRPr="00127BD1">
        <w:rPr>
          <w:rFonts w:ascii="Times New Roman" w:hAnsi="Times New Roman" w:cs="Times New Roman"/>
        </w:rPr>
        <w:t>Bruno V, Shin HS (2014) Cross-</w:t>
      </w:r>
      <w:r w:rsidR="001D2C67" w:rsidRPr="00127BD1">
        <w:rPr>
          <w:rFonts w:ascii="Times New Roman" w:hAnsi="Times New Roman" w:cs="Times New Roman"/>
        </w:rPr>
        <w:t>b</w:t>
      </w:r>
      <w:r w:rsidRPr="00127BD1">
        <w:rPr>
          <w:rFonts w:ascii="Times New Roman" w:hAnsi="Times New Roman" w:cs="Times New Roman"/>
        </w:rPr>
        <w:t xml:space="preserve">order </w:t>
      </w:r>
      <w:r w:rsidR="001D2C67" w:rsidRPr="00127BD1">
        <w:rPr>
          <w:rFonts w:ascii="Times New Roman" w:hAnsi="Times New Roman" w:cs="Times New Roman"/>
        </w:rPr>
        <w:t>b</w:t>
      </w:r>
      <w:r w:rsidRPr="00127BD1">
        <w:rPr>
          <w:rFonts w:ascii="Times New Roman" w:hAnsi="Times New Roman" w:cs="Times New Roman"/>
        </w:rPr>
        <w:t xml:space="preserve">anking and </w:t>
      </w:r>
      <w:r w:rsidR="001D2C67" w:rsidRPr="00127BD1">
        <w:rPr>
          <w:rFonts w:ascii="Times New Roman" w:hAnsi="Times New Roman" w:cs="Times New Roman"/>
        </w:rPr>
        <w:t>g</w:t>
      </w:r>
      <w:r w:rsidRPr="00127BD1">
        <w:rPr>
          <w:rFonts w:ascii="Times New Roman" w:hAnsi="Times New Roman" w:cs="Times New Roman"/>
        </w:rPr>
        <w:t xml:space="preserve">lobal </w:t>
      </w:r>
      <w:r w:rsidR="001D2C67" w:rsidRPr="00127BD1">
        <w:rPr>
          <w:rFonts w:ascii="Times New Roman" w:hAnsi="Times New Roman" w:cs="Times New Roman"/>
        </w:rPr>
        <w:t>l</w:t>
      </w:r>
      <w:r w:rsidRPr="00127BD1">
        <w:rPr>
          <w:rFonts w:ascii="Times New Roman" w:hAnsi="Times New Roman" w:cs="Times New Roman"/>
        </w:rPr>
        <w:t>iquidity. Rev Econ 82:535</w:t>
      </w:r>
      <w:r w:rsidR="001D2C67" w:rsidRPr="00127BD1">
        <w:rPr>
          <w:rFonts w:ascii="Times New Roman" w:hAnsi="Times New Roman" w:cs="Times New Roman"/>
        </w:rPr>
        <w:t>–</w:t>
      </w:r>
      <w:r w:rsidRPr="00127BD1">
        <w:rPr>
          <w:rFonts w:ascii="Times New Roman" w:hAnsi="Times New Roman" w:cs="Times New Roman"/>
        </w:rPr>
        <w:t xml:space="preserve">564 </w:t>
      </w:r>
    </w:p>
    <w:p w14:paraId="298CD268" w14:textId="4A31AE48" w:rsidR="007F75C1" w:rsidRPr="00127BD1" w:rsidRDefault="007F75C1" w:rsidP="00674CE9">
      <w:pPr>
        <w:pStyle w:val="EndNoteBibliography"/>
        <w:spacing w:line="360" w:lineRule="auto"/>
        <w:ind w:left="720" w:hanging="720"/>
        <w:rPr>
          <w:rFonts w:ascii="Times New Roman" w:hAnsi="Times New Roman" w:cs="Times New Roman"/>
        </w:rPr>
      </w:pPr>
      <w:r w:rsidRPr="00127BD1">
        <w:rPr>
          <w:rFonts w:ascii="Times New Roman" w:hAnsi="Times New Roman" w:cs="Times New Roman"/>
        </w:rPr>
        <w:t xml:space="preserve">Cerutti E, Claessens S, Ratnovski L (2017) Global liquidity and cross-border bank flows. Econ Policy 32:81-125 </w:t>
      </w:r>
    </w:p>
    <w:p w14:paraId="1A7098E1" w14:textId="6EF7D619" w:rsidR="007F75C1" w:rsidRPr="00127BD1" w:rsidRDefault="007F75C1" w:rsidP="00674CE9">
      <w:pPr>
        <w:pStyle w:val="EndNoteBibliography"/>
        <w:spacing w:line="360" w:lineRule="auto"/>
        <w:ind w:left="720" w:hanging="720"/>
        <w:rPr>
          <w:rFonts w:ascii="Times New Roman" w:hAnsi="Times New Roman" w:cs="Times New Roman"/>
        </w:rPr>
      </w:pPr>
      <w:r w:rsidRPr="00127BD1">
        <w:rPr>
          <w:rFonts w:ascii="Times New Roman" w:hAnsi="Times New Roman" w:cs="Times New Roman"/>
        </w:rPr>
        <w:t>Choi S, Furceri D (2019) Uncertainty and cross-border banking flows</w:t>
      </w:r>
      <w:r w:rsidR="003A2256" w:rsidRPr="00127BD1">
        <w:rPr>
          <w:rFonts w:ascii="Times New Roman" w:hAnsi="Times New Roman" w:cs="Times New Roman"/>
        </w:rPr>
        <w:t xml:space="preserve">. </w:t>
      </w:r>
      <w:r w:rsidRPr="00127BD1">
        <w:rPr>
          <w:rFonts w:ascii="Times New Roman" w:hAnsi="Times New Roman" w:cs="Times New Roman"/>
        </w:rPr>
        <w:t>J Int Money Financ</w:t>
      </w:r>
      <w:r w:rsidRPr="00127BD1">
        <w:rPr>
          <w:rFonts w:ascii="Times New Roman" w:hAnsi="Times New Roman" w:cs="Times New Roman"/>
          <w:i/>
        </w:rPr>
        <w:t xml:space="preserve"> </w:t>
      </w:r>
      <w:r w:rsidRPr="00127BD1">
        <w:rPr>
          <w:rFonts w:ascii="Times New Roman" w:hAnsi="Times New Roman" w:cs="Times New Roman"/>
          <w:iCs/>
        </w:rPr>
        <w:t>93</w:t>
      </w:r>
      <w:r w:rsidR="00090555" w:rsidRPr="00127BD1">
        <w:rPr>
          <w:rFonts w:ascii="Times New Roman" w:hAnsi="Times New Roman" w:cs="Times New Roman"/>
          <w:iCs/>
        </w:rPr>
        <w:t>:</w:t>
      </w:r>
      <w:r w:rsidRPr="00127BD1">
        <w:rPr>
          <w:rFonts w:ascii="Times New Roman" w:hAnsi="Times New Roman" w:cs="Times New Roman"/>
        </w:rPr>
        <w:t>260</w:t>
      </w:r>
      <w:r w:rsidR="001D2C67" w:rsidRPr="00127BD1">
        <w:rPr>
          <w:rFonts w:ascii="Times New Roman" w:hAnsi="Times New Roman" w:cs="Times New Roman"/>
        </w:rPr>
        <w:t>–</w:t>
      </w:r>
      <w:r w:rsidRPr="00127BD1">
        <w:rPr>
          <w:rFonts w:ascii="Times New Roman" w:hAnsi="Times New Roman" w:cs="Times New Roman"/>
        </w:rPr>
        <w:t xml:space="preserve">274 </w:t>
      </w:r>
    </w:p>
    <w:p w14:paraId="6CA5B2F2" w14:textId="30B95494" w:rsidR="007F75C1" w:rsidRPr="00127BD1" w:rsidRDefault="007F75C1" w:rsidP="00674CE9">
      <w:pPr>
        <w:pStyle w:val="EndNoteBibliography"/>
        <w:spacing w:line="360" w:lineRule="auto"/>
        <w:ind w:left="720" w:hanging="720"/>
        <w:rPr>
          <w:rFonts w:ascii="Times New Roman" w:hAnsi="Times New Roman" w:cs="Times New Roman"/>
        </w:rPr>
      </w:pPr>
      <w:r w:rsidRPr="00127BD1">
        <w:rPr>
          <w:rFonts w:ascii="Times New Roman" w:hAnsi="Times New Roman" w:cs="Times New Roman"/>
        </w:rPr>
        <w:t>Correa R, Paligorova T, Sapriza H, Zlate A (2021) Cross-</w:t>
      </w:r>
      <w:r w:rsidR="00227D04" w:rsidRPr="00127BD1">
        <w:rPr>
          <w:rFonts w:ascii="Times New Roman" w:hAnsi="Times New Roman" w:cs="Times New Roman"/>
        </w:rPr>
        <w:t>b</w:t>
      </w:r>
      <w:r w:rsidRPr="00127BD1">
        <w:rPr>
          <w:rFonts w:ascii="Times New Roman" w:hAnsi="Times New Roman" w:cs="Times New Roman"/>
        </w:rPr>
        <w:t>order bank flows and monetary policy. Rev Financ Stud 35:438</w:t>
      </w:r>
      <w:r w:rsidR="001D2C67" w:rsidRPr="00127BD1">
        <w:rPr>
          <w:rFonts w:ascii="Times New Roman" w:hAnsi="Times New Roman" w:cs="Times New Roman"/>
        </w:rPr>
        <w:t>–</w:t>
      </w:r>
      <w:r w:rsidRPr="00127BD1">
        <w:rPr>
          <w:rFonts w:ascii="Times New Roman" w:hAnsi="Times New Roman" w:cs="Times New Roman"/>
        </w:rPr>
        <w:t xml:space="preserve">481 </w:t>
      </w:r>
    </w:p>
    <w:p w14:paraId="2BCEEB7F" w14:textId="61E7D3DA" w:rsidR="007F75C1" w:rsidRPr="00127BD1" w:rsidRDefault="007F75C1" w:rsidP="00674CE9">
      <w:pPr>
        <w:pStyle w:val="EndNoteBibliography"/>
        <w:spacing w:line="360" w:lineRule="auto"/>
        <w:ind w:left="720" w:hanging="720"/>
        <w:rPr>
          <w:rFonts w:ascii="Times New Roman" w:hAnsi="Times New Roman" w:cs="Times New Roman"/>
        </w:rPr>
      </w:pPr>
      <w:r w:rsidRPr="00127BD1">
        <w:rPr>
          <w:rFonts w:ascii="Times New Roman" w:hAnsi="Times New Roman" w:cs="Times New Roman"/>
        </w:rPr>
        <w:t xml:space="preserve">De Haas R, Van Horen N (2013) Running for the </w:t>
      </w:r>
      <w:r w:rsidR="00227D04" w:rsidRPr="00127BD1">
        <w:rPr>
          <w:rFonts w:ascii="Times New Roman" w:hAnsi="Times New Roman" w:cs="Times New Roman"/>
        </w:rPr>
        <w:t>e</w:t>
      </w:r>
      <w:r w:rsidRPr="00127BD1">
        <w:rPr>
          <w:rFonts w:ascii="Times New Roman" w:hAnsi="Times New Roman" w:cs="Times New Roman"/>
        </w:rPr>
        <w:t xml:space="preserve">xit? International </w:t>
      </w:r>
      <w:r w:rsidR="00227D04" w:rsidRPr="00127BD1">
        <w:rPr>
          <w:rFonts w:ascii="Times New Roman" w:hAnsi="Times New Roman" w:cs="Times New Roman"/>
        </w:rPr>
        <w:t>b</w:t>
      </w:r>
      <w:r w:rsidRPr="00127BD1">
        <w:rPr>
          <w:rFonts w:ascii="Times New Roman" w:hAnsi="Times New Roman" w:cs="Times New Roman"/>
        </w:rPr>
        <w:t xml:space="preserve">ank </w:t>
      </w:r>
      <w:r w:rsidR="00227D04" w:rsidRPr="00127BD1">
        <w:rPr>
          <w:rFonts w:ascii="Times New Roman" w:hAnsi="Times New Roman" w:cs="Times New Roman"/>
        </w:rPr>
        <w:t>l</w:t>
      </w:r>
      <w:r w:rsidRPr="00127BD1">
        <w:rPr>
          <w:rFonts w:ascii="Times New Roman" w:hAnsi="Times New Roman" w:cs="Times New Roman"/>
        </w:rPr>
        <w:t xml:space="preserve">ending </w:t>
      </w:r>
      <w:r w:rsidR="00227D04" w:rsidRPr="00127BD1">
        <w:rPr>
          <w:rFonts w:ascii="Times New Roman" w:hAnsi="Times New Roman" w:cs="Times New Roman"/>
        </w:rPr>
        <w:t>d</w:t>
      </w:r>
      <w:r w:rsidRPr="00127BD1">
        <w:rPr>
          <w:rFonts w:ascii="Times New Roman" w:hAnsi="Times New Roman" w:cs="Times New Roman"/>
        </w:rPr>
        <w:t xml:space="preserve">uring a </w:t>
      </w:r>
      <w:r w:rsidR="00227D04" w:rsidRPr="00127BD1">
        <w:rPr>
          <w:rFonts w:ascii="Times New Roman" w:hAnsi="Times New Roman" w:cs="Times New Roman"/>
        </w:rPr>
        <w:t>f</w:t>
      </w:r>
      <w:r w:rsidRPr="00127BD1">
        <w:rPr>
          <w:rFonts w:ascii="Times New Roman" w:hAnsi="Times New Roman" w:cs="Times New Roman"/>
        </w:rPr>
        <w:t xml:space="preserve">inancial </w:t>
      </w:r>
      <w:r w:rsidR="00227D04" w:rsidRPr="00127BD1">
        <w:rPr>
          <w:rFonts w:ascii="Times New Roman" w:hAnsi="Times New Roman" w:cs="Times New Roman"/>
        </w:rPr>
        <w:t>c</w:t>
      </w:r>
      <w:r w:rsidRPr="00127BD1">
        <w:rPr>
          <w:rFonts w:ascii="Times New Roman" w:hAnsi="Times New Roman" w:cs="Times New Roman"/>
        </w:rPr>
        <w:t>risis. Rev Financ Stud</w:t>
      </w:r>
      <w:r w:rsidRPr="00127BD1">
        <w:rPr>
          <w:rFonts w:ascii="Times New Roman" w:hAnsi="Times New Roman" w:cs="Times New Roman"/>
          <w:i/>
        </w:rPr>
        <w:t xml:space="preserve"> </w:t>
      </w:r>
      <w:r w:rsidRPr="00127BD1">
        <w:rPr>
          <w:rFonts w:ascii="Times New Roman" w:hAnsi="Times New Roman" w:cs="Times New Roman"/>
          <w:iCs/>
        </w:rPr>
        <w:t>26</w:t>
      </w:r>
      <w:r w:rsidRPr="00127BD1">
        <w:rPr>
          <w:rFonts w:ascii="Times New Roman" w:hAnsi="Times New Roman" w:cs="Times New Roman"/>
        </w:rPr>
        <w:t>:244</w:t>
      </w:r>
      <w:r w:rsidR="001D2C67" w:rsidRPr="00127BD1">
        <w:rPr>
          <w:rFonts w:ascii="Times New Roman" w:hAnsi="Times New Roman" w:cs="Times New Roman"/>
        </w:rPr>
        <w:t>–</w:t>
      </w:r>
      <w:r w:rsidRPr="00127BD1">
        <w:rPr>
          <w:rFonts w:ascii="Times New Roman" w:hAnsi="Times New Roman" w:cs="Times New Roman"/>
        </w:rPr>
        <w:t>285</w:t>
      </w:r>
    </w:p>
    <w:p w14:paraId="32655C25" w14:textId="77777777" w:rsidR="003F70FB" w:rsidRDefault="00D75BAC" w:rsidP="003F70FB">
      <w:pPr>
        <w:pStyle w:val="EndNoteBibliography"/>
        <w:spacing w:line="360" w:lineRule="auto"/>
        <w:ind w:left="720" w:hanging="720"/>
        <w:rPr>
          <w:rFonts w:ascii="Times New Roman" w:hAnsi="Times New Roman"/>
        </w:rPr>
      </w:pPr>
      <w:r w:rsidRPr="00127BD1">
        <w:rPr>
          <w:rFonts w:ascii="Times New Roman" w:hAnsi="Times New Roman" w:cs="Times New Roman"/>
        </w:rPr>
        <w:lastRenderedPageBreak/>
        <w:t xml:space="preserve">De Vita G, </w:t>
      </w:r>
      <w:r w:rsidRPr="00127BD1">
        <w:rPr>
          <w:rFonts w:ascii="Times New Roman" w:hAnsi="Times New Roman"/>
        </w:rPr>
        <w:t xml:space="preserve">Trachanas E, Luo Y (2018) Revisiting the bi-directional causality between debt and growth: evidence from linear and nonlinear tests. </w:t>
      </w:r>
      <w:r w:rsidRPr="00127BD1">
        <w:rPr>
          <w:rFonts w:ascii="Times New Roman" w:hAnsi="Times New Roman" w:cs="Times New Roman"/>
        </w:rPr>
        <w:t xml:space="preserve">J Int Money Financ </w:t>
      </w:r>
      <w:r w:rsidRPr="00127BD1">
        <w:rPr>
          <w:rFonts w:ascii="Times New Roman" w:hAnsi="Times New Roman"/>
          <w:color w:val="000000"/>
        </w:rPr>
        <w:t>83:55</w:t>
      </w:r>
      <w:r w:rsidRPr="00127BD1">
        <w:rPr>
          <w:rFonts w:ascii="Times New Roman" w:hAnsi="Times New Roman" w:cs="Times New Roman"/>
        </w:rPr>
        <w:t>–</w:t>
      </w:r>
      <w:r w:rsidRPr="00127BD1">
        <w:rPr>
          <w:rFonts w:ascii="Times New Roman" w:hAnsi="Times New Roman"/>
        </w:rPr>
        <w:t>74</w:t>
      </w:r>
    </w:p>
    <w:p w14:paraId="7D83DB15" w14:textId="2178CD36" w:rsidR="003F70FB" w:rsidRPr="003F70FB" w:rsidRDefault="003F70FB" w:rsidP="003F70FB">
      <w:pPr>
        <w:pStyle w:val="EndNoteBibliography"/>
        <w:spacing w:line="360" w:lineRule="auto"/>
        <w:ind w:left="720" w:hanging="720"/>
        <w:rPr>
          <w:rFonts w:ascii="Times New Roman" w:hAnsi="Times New Roman"/>
        </w:rPr>
      </w:pPr>
      <w:r w:rsidRPr="00F24B24">
        <w:rPr>
          <w:rFonts w:ascii="Times New Roman" w:eastAsia="Times New Roman" w:hAnsi="Times New Roman" w:cs="Times New Roman"/>
          <w:lang w:eastAsia="en-GB"/>
        </w:rPr>
        <w:t xml:space="preserve">Greinecker M, Kuzmics C (2026) Limit orders and Knightian uncertainty. Int Econ Rev </w:t>
      </w:r>
    </w:p>
    <w:p w14:paraId="6FE5F755" w14:textId="1D6D19CF" w:rsidR="003F70FB" w:rsidRPr="00F24B24" w:rsidRDefault="003F70FB" w:rsidP="003F70FB">
      <w:pPr>
        <w:shd w:val="clear" w:color="auto" w:fill="FFFFFF"/>
        <w:spacing w:line="360" w:lineRule="auto"/>
        <w:ind w:firstLine="720"/>
        <w:textAlignment w:val="baseline"/>
        <w:rPr>
          <w:rFonts w:ascii="Times New Roman" w:eastAsia="Times New Roman" w:hAnsi="Times New Roman" w:cs="Times New Roman"/>
          <w:lang w:eastAsia="en-GB"/>
        </w:rPr>
      </w:pPr>
      <w:r w:rsidRPr="00F24B24">
        <w:rPr>
          <w:rFonts w:ascii="Times New Roman" w:eastAsia="Times New Roman" w:hAnsi="Times New Roman" w:cs="Times New Roman"/>
          <w:lang w:eastAsia="en-GB"/>
        </w:rPr>
        <w:t>67:353</w:t>
      </w:r>
      <w:r w:rsidRPr="00F24B24">
        <w:rPr>
          <w:rFonts w:ascii="Times New Roman" w:hAnsi="Times New Roman" w:cs="Times New Roman"/>
        </w:rPr>
        <w:t>–</w:t>
      </w:r>
      <w:r w:rsidRPr="00F24B24">
        <w:rPr>
          <w:rFonts w:ascii="Times New Roman" w:eastAsia="Times New Roman" w:hAnsi="Times New Roman" w:cs="Times New Roman"/>
          <w:lang w:eastAsia="en-GB"/>
        </w:rPr>
        <w:t xml:space="preserve">363    </w:t>
      </w:r>
    </w:p>
    <w:p w14:paraId="3C2D2B19" w14:textId="74EFB4D3" w:rsidR="007F75C1" w:rsidRPr="00127BD1" w:rsidRDefault="007F75C1" w:rsidP="00674CE9">
      <w:pPr>
        <w:pStyle w:val="EndNoteBibliography"/>
        <w:spacing w:line="360" w:lineRule="auto"/>
        <w:ind w:left="720" w:hanging="720"/>
        <w:rPr>
          <w:rFonts w:ascii="Times New Roman" w:hAnsi="Times New Roman" w:cs="Times New Roman"/>
        </w:rPr>
      </w:pPr>
      <w:r w:rsidRPr="00127BD1">
        <w:rPr>
          <w:rFonts w:ascii="Times New Roman" w:hAnsi="Times New Roman" w:cs="Times New Roman"/>
        </w:rPr>
        <w:t xml:space="preserve">Izhakian Y (2020) A theoretical foundation of ambiguity measurement. J Econ Theory 187:105001 </w:t>
      </w:r>
    </w:p>
    <w:p w14:paraId="2BDB2E42" w14:textId="0EEE7BC3" w:rsidR="007F75C1" w:rsidRPr="00127BD1" w:rsidRDefault="007F75C1" w:rsidP="00674CE9">
      <w:pPr>
        <w:pStyle w:val="EndNoteBibliography"/>
        <w:spacing w:line="360" w:lineRule="auto"/>
        <w:ind w:left="720" w:hanging="720"/>
        <w:rPr>
          <w:rFonts w:ascii="Times New Roman" w:hAnsi="Times New Roman" w:cs="Times New Roman"/>
        </w:rPr>
      </w:pPr>
      <w:r w:rsidRPr="00127BD1">
        <w:rPr>
          <w:rFonts w:ascii="Times New Roman" w:hAnsi="Times New Roman" w:cs="Times New Roman"/>
        </w:rPr>
        <w:t>Izhakian Y, Yermack D (2017) Risk, ambiguity, and the exercise of employee stock options. J Financ Econ 124:65</w:t>
      </w:r>
      <w:bookmarkStart w:id="11" w:name="_Hlk226274622"/>
      <w:r w:rsidR="001D2C67" w:rsidRPr="00127BD1">
        <w:rPr>
          <w:rFonts w:ascii="Times New Roman" w:hAnsi="Times New Roman" w:cs="Times New Roman"/>
        </w:rPr>
        <w:t>–</w:t>
      </w:r>
      <w:bookmarkEnd w:id="11"/>
      <w:r w:rsidRPr="00127BD1">
        <w:rPr>
          <w:rFonts w:ascii="Times New Roman" w:hAnsi="Times New Roman" w:cs="Times New Roman"/>
        </w:rPr>
        <w:t xml:space="preserve">85 </w:t>
      </w:r>
    </w:p>
    <w:p w14:paraId="399B7F3D" w14:textId="77777777" w:rsidR="003F70FB" w:rsidRDefault="003F70FB" w:rsidP="003F70FB">
      <w:pPr>
        <w:shd w:val="clear" w:color="auto" w:fill="FFFFFF"/>
        <w:spacing w:line="360" w:lineRule="auto"/>
        <w:textAlignment w:val="baseline"/>
        <w:rPr>
          <w:rFonts w:ascii="Times New Roman" w:eastAsia="Times New Roman" w:hAnsi="Times New Roman" w:cs="Times New Roman"/>
          <w:color w:val="000000"/>
          <w:lang w:eastAsia="en-GB"/>
        </w:rPr>
      </w:pPr>
      <w:r w:rsidRPr="00B549E3">
        <w:rPr>
          <w:rFonts w:ascii="Times New Roman" w:eastAsia="Times New Roman" w:hAnsi="Times New Roman" w:cs="Times New Roman"/>
          <w:color w:val="000000"/>
          <w:lang w:eastAsia="en-GB"/>
        </w:rPr>
        <w:t xml:space="preserve">Karahan CC (2025) Knight in shining armor: ambiguity and gold prices. Econ Lett </w:t>
      </w:r>
    </w:p>
    <w:p w14:paraId="7331EA1A" w14:textId="1D1494C1" w:rsidR="003F70FB" w:rsidRDefault="003F70FB" w:rsidP="003F70FB">
      <w:pPr>
        <w:shd w:val="clear" w:color="auto" w:fill="FFFFFF"/>
        <w:spacing w:line="360" w:lineRule="auto"/>
        <w:ind w:firstLine="720"/>
        <w:textAlignment w:val="baseline"/>
        <w:rPr>
          <w:rFonts w:ascii="Times New Roman" w:eastAsia="Times New Roman" w:hAnsi="Times New Roman" w:cs="Times New Roman"/>
          <w:color w:val="000000"/>
          <w:lang w:eastAsia="en-GB"/>
        </w:rPr>
      </w:pPr>
      <w:r w:rsidRPr="00B549E3">
        <w:rPr>
          <w:rFonts w:ascii="Times New Roman" w:eastAsia="Times New Roman" w:hAnsi="Times New Roman" w:cs="Times New Roman"/>
          <w:color w:val="000000"/>
          <w:lang w:eastAsia="en-GB"/>
        </w:rPr>
        <w:t>248:112218. </w:t>
      </w:r>
      <w:hyperlink r:id="rId16" w:history="1">
        <w:r w:rsidRPr="00B549E3">
          <w:rPr>
            <w:rStyle w:val="Hyperlink"/>
            <w:rFonts w:ascii="Times New Roman" w:eastAsia="Times New Roman" w:hAnsi="Times New Roman" w:cs="Times New Roman"/>
            <w:bdr w:val="none" w:sz="0" w:space="0" w:color="auto" w:frame="1"/>
            <w:lang w:eastAsia="en-GB"/>
          </w:rPr>
          <w:t>https://doi</w:t>
        </w:r>
        <w:r w:rsidRPr="00B549E3">
          <w:rPr>
            <w:rStyle w:val="Hyperlink"/>
            <w:rFonts w:ascii="Times New Roman" w:eastAsia="Times New Roman" w:hAnsi="Times New Roman" w:cs="Times New Roman"/>
            <w:lang w:eastAsia="en-GB"/>
          </w:rPr>
          <w:t>.org/10.1016/j.econlet.2025.11221</w:t>
        </w:r>
        <w:r w:rsidRPr="00DB10F0">
          <w:rPr>
            <w:rStyle w:val="Hyperlink"/>
            <w:rFonts w:ascii="Times New Roman" w:eastAsia="Times New Roman" w:hAnsi="Times New Roman" w:cs="Times New Roman"/>
            <w:lang w:eastAsia="en-GB"/>
          </w:rPr>
          <w:t>8</w:t>
        </w:r>
      </w:hyperlink>
    </w:p>
    <w:p w14:paraId="128A5B18" w14:textId="6E0E9FA9" w:rsidR="007F75C1" w:rsidRPr="00127BD1" w:rsidRDefault="007F75C1" w:rsidP="00674CE9">
      <w:pPr>
        <w:pStyle w:val="EndNoteBibliography"/>
        <w:spacing w:line="360" w:lineRule="auto"/>
        <w:ind w:left="720" w:hanging="720"/>
        <w:rPr>
          <w:rFonts w:ascii="Times New Roman" w:hAnsi="Times New Roman" w:cs="Times New Roman"/>
        </w:rPr>
      </w:pPr>
      <w:r w:rsidRPr="00127BD1">
        <w:rPr>
          <w:rFonts w:ascii="Times New Roman" w:hAnsi="Times New Roman" w:cs="Times New Roman"/>
        </w:rPr>
        <w:t>Kleimeier S, Sander H,</w:t>
      </w:r>
      <w:r w:rsidR="001D2C67" w:rsidRPr="00127BD1">
        <w:rPr>
          <w:rFonts w:ascii="Times New Roman" w:hAnsi="Times New Roman" w:cs="Times New Roman"/>
        </w:rPr>
        <w:t xml:space="preserve"> </w:t>
      </w:r>
      <w:r w:rsidRPr="00127BD1">
        <w:rPr>
          <w:rFonts w:ascii="Times New Roman" w:hAnsi="Times New Roman" w:cs="Times New Roman"/>
        </w:rPr>
        <w:t>Heuchemer S (2013)</w:t>
      </w:r>
      <w:r w:rsidR="001D2C67" w:rsidRPr="00127BD1">
        <w:rPr>
          <w:rFonts w:ascii="Times New Roman" w:hAnsi="Times New Roman" w:cs="Times New Roman"/>
        </w:rPr>
        <w:t xml:space="preserve"> </w:t>
      </w:r>
      <w:r w:rsidRPr="00127BD1">
        <w:rPr>
          <w:rFonts w:ascii="Times New Roman" w:hAnsi="Times New Roman" w:cs="Times New Roman"/>
        </w:rPr>
        <w:t xml:space="preserve">Financial crises and cross-border banking: </w:t>
      </w:r>
      <w:r w:rsidR="001D2C67" w:rsidRPr="00127BD1">
        <w:rPr>
          <w:rFonts w:ascii="Times New Roman" w:hAnsi="Times New Roman" w:cs="Times New Roman"/>
        </w:rPr>
        <w:t>n</w:t>
      </w:r>
      <w:r w:rsidRPr="00127BD1">
        <w:rPr>
          <w:rFonts w:ascii="Times New Roman" w:hAnsi="Times New Roman" w:cs="Times New Roman"/>
        </w:rPr>
        <w:t>ew evidence. J Int Money Financ 32</w:t>
      </w:r>
      <w:r w:rsidR="00090555" w:rsidRPr="00127BD1">
        <w:rPr>
          <w:rFonts w:ascii="Times New Roman" w:hAnsi="Times New Roman" w:cs="Times New Roman"/>
        </w:rPr>
        <w:t>:</w:t>
      </w:r>
      <w:r w:rsidRPr="00127BD1">
        <w:rPr>
          <w:rFonts w:ascii="Times New Roman" w:hAnsi="Times New Roman" w:cs="Times New Roman"/>
        </w:rPr>
        <w:t>884</w:t>
      </w:r>
      <w:r w:rsidR="001D2C67" w:rsidRPr="00127BD1">
        <w:rPr>
          <w:rFonts w:ascii="Times New Roman" w:hAnsi="Times New Roman" w:cs="Times New Roman"/>
        </w:rPr>
        <w:t>–</w:t>
      </w:r>
      <w:r w:rsidRPr="00127BD1">
        <w:rPr>
          <w:rFonts w:ascii="Times New Roman" w:hAnsi="Times New Roman" w:cs="Times New Roman"/>
        </w:rPr>
        <w:t>915</w:t>
      </w:r>
    </w:p>
    <w:p w14:paraId="60D55546" w14:textId="77777777" w:rsidR="007F75C1" w:rsidRPr="00127BD1" w:rsidRDefault="007F75C1" w:rsidP="00674CE9">
      <w:pPr>
        <w:pStyle w:val="EndNoteBibliography"/>
        <w:spacing w:line="360" w:lineRule="auto"/>
        <w:ind w:left="720" w:hanging="720"/>
        <w:rPr>
          <w:rFonts w:ascii="Times New Roman" w:hAnsi="Times New Roman" w:cs="Times New Roman"/>
        </w:rPr>
      </w:pPr>
      <w:r w:rsidRPr="00127BD1">
        <w:rPr>
          <w:rFonts w:ascii="Times New Roman" w:hAnsi="Times New Roman" w:cs="Times New Roman"/>
        </w:rPr>
        <w:t>Knight, FH (1921) Risk, uncertainty and profit. New York, Houghton Mifflin Co.</w:t>
      </w:r>
    </w:p>
    <w:p w14:paraId="7335490D" w14:textId="054BBD1D" w:rsidR="007F75C1" w:rsidRPr="00127BD1" w:rsidRDefault="007F75C1" w:rsidP="00674CE9">
      <w:pPr>
        <w:pStyle w:val="EndNoteBibliography"/>
        <w:spacing w:line="360" w:lineRule="auto"/>
        <w:ind w:left="720" w:hanging="720"/>
        <w:rPr>
          <w:rFonts w:ascii="Times New Roman" w:hAnsi="Times New Roman" w:cs="Times New Roman"/>
        </w:rPr>
      </w:pPr>
      <w:r w:rsidRPr="00127BD1">
        <w:rPr>
          <w:rFonts w:ascii="Times New Roman" w:hAnsi="Times New Roman" w:cs="Times New Roman"/>
        </w:rPr>
        <w:t>Li C, Luo Y, De Vita G (202</w:t>
      </w:r>
      <w:r w:rsidR="00090555" w:rsidRPr="00127BD1">
        <w:rPr>
          <w:rFonts w:ascii="Times New Roman" w:hAnsi="Times New Roman" w:cs="Times New Roman"/>
        </w:rPr>
        <w:t>3</w:t>
      </w:r>
      <w:r w:rsidRPr="00127BD1">
        <w:rPr>
          <w:rFonts w:ascii="Times New Roman" w:hAnsi="Times New Roman" w:cs="Times New Roman"/>
        </w:rPr>
        <w:t xml:space="preserve">) Civil </w:t>
      </w:r>
      <w:r w:rsidR="001D2C67" w:rsidRPr="00127BD1">
        <w:rPr>
          <w:rFonts w:ascii="Times New Roman" w:hAnsi="Times New Roman" w:cs="Times New Roman"/>
        </w:rPr>
        <w:t>c</w:t>
      </w:r>
      <w:r w:rsidRPr="00127BD1">
        <w:rPr>
          <w:rFonts w:ascii="Times New Roman" w:hAnsi="Times New Roman" w:cs="Times New Roman"/>
        </w:rPr>
        <w:t xml:space="preserve">onflict and </w:t>
      </w:r>
      <w:r w:rsidR="001D2C67" w:rsidRPr="00127BD1">
        <w:rPr>
          <w:rFonts w:ascii="Times New Roman" w:hAnsi="Times New Roman" w:cs="Times New Roman"/>
        </w:rPr>
        <w:t>c</w:t>
      </w:r>
      <w:r w:rsidRPr="00127BD1">
        <w:rPr>
          <w:rFonts w:ascii="Times New Roman" w:hAnsi="Times New Roman" w:cs="Times New Roman"/>
        </w:rPr>
        <w:t>ross-</w:t>
      </w:r>
      <w:r w:rsidR="001D2C67" w:rsidRPr="00127BD1">
        <w:rPr>
          <w:rFonts w:ascii="Times New Roman" w:hAnsi="Times New Roman" w:cs="Times New Roman"/>
        </w:rPr>
        <w:t>b</w:t>
      </w:r>
      <w:r w:rsidRPr="00127BD1">
        <w:rPr>
          <w:rFonts w:ascii="Times New Roman" w:hAnsi="Times New Roman" w:cs="Times New Roman"/>
        </w:rPr>
        <w:t xml:space="preserve">order </w:t>
      </w:r>
      <w:r w:rsidR="001D2C67" w:rsidRPr="00127BD1">
        <w:rPr>
          <w:rFonts w:ascii="Times New Roman" w:hAnsi="Times New Roman" w:cs="Times New Roman"/>
        </w:rPr>
        <w:t>l</w:t>
      </w:r>
      <w:r w:rsidRPr="00127BD1">
        <w:rPr>
          <w:rFonts w:ascii="Times New Roman" w:hAnsi="Times New Roman" w:cs="Times New Roman"/>
        </w:rPr>
        <w:t xml:space="preserve">ending: </w:t>
      </w:r>
      <w:r w:rsidR="001D2C67" w:rsidRPr="00127BD1">
        <w:rPr>
          <w:rFonts w:ascii="Times New Roman" w:hAnsi="Times New Roman" w:cs="Times New Roman"/>
        </w:rPr>
        <w:t>a</w:t>
      </w:r>
      <w:r w:rsidRPr="00127BD1">
        <w:rPr>
          <w:rFonts w:ascii="Times New Roman" w:hAnsi="Times New Roman" w:cs="Times New Roman"/>
        </w:rPr>
        <w:t xml:space="preserve"> </w:t>
      </w:r>
      <w:r w:rsidR="001D2C67" w:rsidRPr="00127BD1">
        <w:rPr>
          <w:rFonts w:ascii="Times New Roman" w:hAnsi="Times New Roman" w:cs="Times New Roman"/>
        </w:rPr>
        <w:t>s</w:t>
      </w:r>
      <w:r w:rsidRPr="00127BD1">
        <w:rPr>
          <w:rFonts w:ascii="Times New Roman" w:hAnsi="Times New Roman" w:cs="Times New Roman"/>
        </w:rPr>
        <w:t xml:space="preserve">ectoral, </w:t>
      </w:r>
      <w:r w:rsidR="001D2C67" w:rsidRPr="00127BD1">
        <w:rPr>
          <w:rFonts w:ascii="Times New Roman" w:hAnsi="Times New Roman" w:cs="Times New Roman"/>
        </w:rPr>
        <w:t>m</w:t>
      </w:r>
      <w:r w:rsidRPr="00127BD1">
        <w:rPr>
          <w:rFonts w:ascii="Times New Roman" w:hAnsi="Times New Roman" w:cs="Times New Roman"/>
        </w:rPr>
        <w:t xml:space="preserve">icro </w:t>
      </w:r>
      <w:r w:rsidR="001D2C67" w:rsidRPr="00127BD1">
        <w:rPr>
          <w:rFonts w:ascii="Times New Roman" w:hAnsi="Times New Roman" w:cs="Times New Roman"/>
        </w:rPr>
        <w:t>l</w:t>
      </w:r>
      <w:r w:rsidRPr="00127BD1">
        <w:rPr>
          <w:rFonts w:ascii="Times New Roman" w:hAnsi="Times New Roman" w:cs="Times New Roman"/>
        </w:rPr>
        <w:t>ender-</w:t>
      </w:r>
      <w:r w:rsidR="001D2C67" w:rsidRPr="00127BD1">
        <w:rPr>
          <w:rFonts w:ascii="Times New Roman" w:hAnsi="Times New Roman" w:cs="Times New Roman"/>
        </w:rPr>
        <w:t>l</w:t>
      </w:r>
      <w:r w:rsidRPr="00127BD1">
        <w:rPr>
          <w:rFonts w:ascii="Times New Roman" w:hAnsi="Times New Roman" w:cs="Times New Roman"/>
        </w:rPr>
        <w:t xml:space="preserve">evel </w:t>
      </w:r>
      <w:r w:rsidR="001D2C67" w:rsidRPr="00127BD1">
        <w:rPr>
          <w:rFonts w:ascii="Times New Roman" w:hAnsi="Times New Roman" w:cs="Times New Roman"/>
        </w:rPr>
        <w:t>a</w:t>
      </w:r>
      <w:r w:rsidRPr="00127BD1">
        <w:rPr>
          <w:rFonts w:ascii="Times New Roman" w:hAnsi="Times New Roman" w:cs="Times New Roman"/>
        </w:rPr>
        <w:t xml:space="preserve">nalysis of </w:t>
      </w:r>
      <w:r w:rsidR="001D2C67" w:rsidRPr="00127BD1">
        <w:rPr>
          <w:rFonts w:ascii="Times New Roman" w:hAnsi="Times New Roman" w:cs="Times New Roman"/>
        </w:rPr>
        <w:t>s</w:t>
      </w:r>
      <w:r w:rsidRPr="00127BD1">
        <w:rPr>
          <w:rFonts w:ascii="Times New Roman" w:hAnsi="Times New Roman" w:cs="Times New Roman"/>
        </w:rPr>
        <w:t xml:space="preserve">yndicated </w:t>
      </w:r>
      <w:r w:rsidR="001D2C67" w:rsidRPr="00127BD1">
        <w:rPr>
          <w:rFonts w:ascii="Times New Roman" w:hAnsi="Times New Roman" w:cs="Times New Roman"/>
        </w:rPr>
        <w:t>l</w:t>
      </w:r>
      <w:r w:rsidRPr="00127BD1">
        <w:rPr>
          <w:rFonts w:ascii="Times New Roman" w:hAnsi="Times New Roman" w:cs="Times New Roman"/>
        </w:rPr>
        <w:t xml:space="preserve">oans. </w:t>
      </w:r>
      <w:r w:rsidRPr="00127BD1">
        <w:rPr>
          <w:rFonts w:ascii="Times New Roman" w:hAnsi="Times New Roman" w:cs="Times New Roman"/>
          <w:iCs/>
        </w:rPr>
        <w:t>Def Peace Econ</w:t>
      </w:r>
      <w:r w:rsidRPr="00127BD1">
        <w:rPr>
          <w:rFonts w:ascii="Times New Roman" w:hAnsi="Times New Roman" w:cs="Times New Roman"/>
        </w:rPr>
        <w:t xml:space="preserve"> </w:t>
      </w:r>
      <w:r w:rsidR="001D2C67" w:rsidRPr="00127BD1">
        <w:rPr>
          <w:rFonts w:ascii="Times New Roman" w:hAnsi="Times New Roman" w:cs="Times New Roman"/>
        </w:rPr>
        <w:t>35:93</w:t>
      </w:r>
      <w:r w:rsidRPr="00127BD1">
        <w:rPr>
          <w:rFonts w:ascii="Times New Roman" w:hAnsi="Times New Roman" w:cs="Times New Roman"/>
        </w:rPr>
        <w:t>1</w:t>
      </w:r>
      <w:r w:rsidR="001D2C67" w:rsidRPr="00127BD1">
        <w:rPr>
          <w:rFonts w:ascii="Times New Roman" w:hAnsi="Times New Roman" w:cs="Times New Roman"/>
        </w:rPr>
        <w:t>–95</w:t>
      </w:r>
      <w:r w:rsidRPr="00127BD1">
        <w:rPr>
          <w:rFonts w:ascii="Times New Roman" w:hAnsi="Times New Roman" w:cs="Times New Roman"/>
        </w:rPr>
        <w:t xml:space="preserve">6 </w:t>
      </w:r>
    </w:p>
    <w:p w14:paraId="27523DAD" w14:textId="50EE816A" w:rsidR="00227D04" w:rsidRPr="00127BD1" w:rsidRDefault="00227D04" w:rsidP="00227D04">
      <w:pPr>
        <w:pStyle w:val="EndNoteBibliography"/>
        <w:spacing w:line="360" w:lineRule="auto"/>
        <w:ind w:left="720" w:hanging="720"/>
        <w:rPr>
          <w:rFonts w:ascii="Times New Roman" w:hAnsi="Times New Roman" w:cs="Times New Roman"/>
        </w:rPr>
      </w:pPr>
      <w:r w:rsidRPr="00127BD1">
        <w:rPr>
          <w:rFonts w:ascii="Times New Roman" w:hAnsi="Times New Roman" w:cs="Times New Roman"/>
        </w:rPr>
        <w:t xml:space="preserve">Luo Y, Tanna S, De Vita G (2016) </w:t>
      </w:r>
      <w:r w:rsidRPr="00127BD1">
        <w:rPr>
          <w:rFonts w:ascii="Times New Roman" w:hAnsi="Times New Roman"/>
          <w:bCs/>
          <w:kern w:val="32"/>
        </w:rPr>
        <w:t>Financial openness, risk and bank efficiency: cross-country evidence. J Fin Stab</w:t>
      </w:r>
      <w:r w:rsidRPr="00127BD1">
        <w:rPr>
          <w:rFonts w:ascii="Times New Roman" w:hAnsi="Times New Roman"/>
          <w:i/>
        </w:rPr>
        <w:t xml:space="preserve"> </w:t>
      </w:r>
      <w:r w:rsidRPr="00127BD1">
        <w:rPr>
          <w:rFonts w:ascii="Times New Roman" w:hAnsi="Times New Roman"/>
          <w:iCs/>
        </w:rPr>
        <w:t>24:</w:t>
      </w:r>
      <w:r w:rsidRPr="00127BD1">
        <w:rPr>
          <w:rFonts w:ascii="Times New Roman" w:hAnsi="Times New Roman"/>
        </w:rPr>
        <w:t>132</w:t>
      </w:r>
      <w:r w:rsidRPr="00127BD1">
        <w:rPr>
          <w:rFonts w:ascii="Times New Roman" w:hAnsi="Times New Roman" w:cs="Times New Roman"/>
        </w:rPr>
        <w:t>–1</w:t>
      </w:r>
      <w:r w:rsidRPr="00127BD1">
        <w:rPr>
          <w:rFonts w:ascii="Times New Roman" w:hAnsi="Times New Roman"/>
        </w:rPr>
        <w:t>48</w:t>
      </w:r>
    </w:p>
    <w:p w14:paraId="5E4063C5" w14:textId="0BD5E22B" w:rsidR="007F75C1" w:rsidRPr="00127BD1" w:rsidRDefault="007F75C1" w:rsidP="00674CE9">
      <w:pPr>
        <w:pStyle w:val="EndNoteBibliography"/>
        <w:spacing w:line="360" w:lineRule="auto"/>
        <w:ind w:left="720" w:hanging="720"/>
        <w:rPr>
          <w:rFonts w:ascii="Times New Roman" w:hAnsi="Times New Roman" w:cs="Times New Roman"/>
        </w:rPr>
      </w:pPr>
      <w:r w:rsidRPr="00127BD1">
        <w:rPr>
          <w:rFonts w:ascii="Times New Roman" w:hAnsi="Times New Roman" w:cs="Times New Roman"/>
        </w:rPr>
        <w:t xml:space="preserve">Mayer T, Zignago S (2011) Notes on CEPII’s distances measures: </w:t>
      </w:r>
      <w:r w:rsidR="001D2C67" w:rsidRPr="00127BD1">
        <w:rPr>
          <w:rFonts w:ascii="Times New Roman" w:hAnsi="Times New Roman" w:cs="Times New Roman"/>
        </w:rPr>
        <w:t>t</w:t>
      </w:r>
      <w:r w:rsidRPr="00127BD1">
        <w:rPr>
          <w:rFonts w:ascii="Times New Roman" w:hAnsi="Times New Roman" w:cs="Times New Roman"/>
        </w:rPr>
        <w:t xml:space="preserve">he GeoDist database. </w:t>
      </w:r>
      <w:r w:rsidR="0078357F" w:rsidRPr="00127BD1">
        <w:rPr>
          <w:rFonts w:ascii="Times New Roman" w:hAnsi="Times New Roman" w:cs="Times New Roman"/>
        </w:rPr>
        <w:t xml:space="preserve">CEPII Working Paper 25. Available at: </w:t>
      </w:r>
      <w:hyperlink r:id="rId17" w:history="1">
        <w:r w:rsidR="0078357F" w:rsidRPr="00127BD1">
          <w:rPr>
            <w:rStyle w:val="Hyperlink"/>
            <w:rFonts w:ascii="Times New Roman" w:hAnsi="Times New Roman" w:cs="Times New Roman"/>
          </w:rPr>
          <w:t>https://www.cepii.fr/PDF_PUB/wp/2011/wp2011-25.pdf</w:t>
        </w:r>
      </w:hyperlink>
    </w:p>
    <w:p w14:paraId="674053B5" w14:textId="3FECA7D9" w:rsidR="007F75C1" w:rsidRPr="00127BD1" w:rsidRDefault="007F75C1" w:rsidP="00674CE9">
      <w:pPr>
        <w:pStyle w:val="EndNoteBibliography"/>
        <w:spacing w:line="360" w:lineRule="auto"/>
        <w:ind w:left="720" w:hanging="720"/>
        <w:rPr>
          <w:rFonts w:ascii="Times New Roman" w:hAnsi="Times New Roman" w:cs="Times New Roman"/>
        </w:rPr>
      </w:pPr>
      <w:r w:rsidRPr="00127BD1">
        <w:rPr>
          <w:rFonts w:ascii="Times New Roman" w:hAnsi="Times New Roman" w:cs="Times New Roman"/>
        </w:rPr>
        <w:t>McGuire P, Tarashev NA (2008)</w:t>
      </w:r>
      <w:r w:rsidR="00090555" w:rsidRPr="00127BD1">
        <w:rPr>
          <w:rFonts w:ascii="Times New Roman" w:hAnsi="Times New Roman" w:cs="Times New Roman"/>
        </w:rPr>
        <w:t xml:space="preserve"> </w:t>
      </w:r>
      <w:r w:rsidRPr="00127BD1">
        <w:rPr>
          <w:rFonts w:ascii="Times New Roman" w:hAnsi="Times New Roman" w:cs="Times New Roman"/>
        </w:rPr>
        <w:t xml:space="preserve">Global monitoring with the BIS international banking statistics. </w:t>
      </w:r>
      <w:r w:rsidR="001D2C67" w:rsidRPr="00127BD1">
        <w:rPr>
          <w:rFonts w:ascii="Times New Roman" w:hAnsi="Times New Roman" w:cs="Times New Roman"/>
        </w:rPr>
        <w:t xml:space="preserve">Available at: </w:t>
      </w:r>
      <w:hyperlink r:id="rId18" w:history="1">
        <w:r w:rsidR="0078357F" w:rsidRPr="00127BD1">
          <w:rPr>
            <w:rStyle w:val="Hyperlink"/>
            <w:rFonts w:ascii="Times New Roman" w:hAnsi="Times New Roman" w:cs="Times New Roman"/>
          </w:rPr>
          <w:t>https://www.bis.org/publ/work244.pdf</w:t>
        </w:r>
      </w:hyperlink>
    </w:p>
    <w:p w14:paraId="31C2FA5B" w14:textId="77777777" w:rsidR="003F70FB" w:rsidRDefault="003F70FB" w:rsidP="003F70FB">
      <w:pPr>
        <w:shd w:val="clear" w:color="auto" w:fill="FFFFFF"/>
        <w:spacing w:line="360" w:lineRule="auto"/>
        <w:textAlignment w:val="baseline"/>
        <w:rPr>
          <w:rFonts w:ascii="Times New Roman" w:eastAsia="Times New Roman" w:hAnsi="Times New Roman" w:cs="Times New Roman"/>
          <w:color w:val="000000"/>
          <w:bdr w:val="none" w:sz="0" w:space="0" w:color="auto" w:frame="1"/>
          <w:lang w:eastAsia="en-GB"/>
        </w:rPr>
      </w:pPr>
      <w:r w:rsidRPr="00B549E3">
        <w:rPr>
          <w:rFonts w:ascii="Times New Roman" w:eastAsia="Times New Roman" w:hAnsi="Times New Roman" w:cs="Times New Roman"/>
          <w:color w:val="000000"/>
          <w:bdr w:val="none" w:sz="0" w:space="0" w:color="auto" w:frame="1"/>
          <w:lang w:eastAsia="en-GB"/>
        </w:rPr>
        <w:t xml:space="preserve">Poshakwale SS, Qian B, Mandal A (2026) Market frictions, ambiguity and asset pricing: </w:t>
      </w:r>
    </w:p>
    <w:p w14:paraId="6AB3D82F" w14:textId="77777777" w:rsidR="003F70FB" w:rsidRDefault="003F70FB" w:rsidP="003F70FB">
      <w:pPr>
        <w:shd w:val="clear" w:color="auto" w:fill="FFFFFF"/>
        <w:spacing w:line="360" w:lineRule="auto"/>
        <w:ind w:firstLine="720"/>
        <w:textAlignment w:val="baseline"/>
        <w:rPr>
          <w:rFonts w:ascii="Times New Roman" w:eastAsia="Times New Roman" w:hAnsi="Times New Roman" w:cs="Times New Roman"/>
          <w:color w:val="000000"/>
          <w:bdr w:val="none" w:sz="0" w:space="0" w:color="auto" w:frame="1"/>
          <w:lang w:eastAsia="en-GB"/>
        </w:rPr>
      </w:pPr>
      <w:r w:rsidRPr="00B549E3">
        <w:rPr>
          <w:rFonts w:ascii="Times New Roman" w:eastAsia="Times New Roman" w:hAnsi="Times New Roman" w:cs="Times New Roman"/>
          <w:color w:val="000000"/>
          <w:bdr w:val="none" w:sz="0" w:space="0" w:color="auto" w:frame="1"/>
          <w:lang w:eastAsia="en-GB"/>
        </w:rPr>
        <w:t>evidence from China. Rev Quant Finan Acc. </w:t>
      </w:r>
    </w:p>
    <w:p w14:paraId="4E6A35FD" w14:textId="281B07C6" w:rsidR="003F70FB" w:rsidRDefault="003F70FB" w:rsidP="003F70FB">
      <w:pPr>
        <w:shd w:val="clear" w:color="auto" w:fill="FFFFFF"/>
        <w:spacing w:line="360" w:lineRule="auto"/>
        <w:ind w:firstLine="720"/>
        <w:textAlignment w:val="baseline"/>
        <w:rPr>
          <w:rFonts w:ascii="Times New Roman" w:eastAsia="Times New Roman" w:hAnsi="Times New Roman" w:cs="Times New Roman"/>
          <w:color w:val="0563C1"/>
          <w:bdr w:val="none" w:sz="0" w:space="0" w:color="auto" w:frame="1"/>
          <w:lang w:eastAsia="en-GB"/>
        </w:rPr>
      </w:pPr>
      <w:hyperlink r:id="rId19" w:history="1">
        <w:r w:rsidRPr="00B549E3">
          <w:rPr>
            <w:rStyle w:val="Hyperlink"/>
            <w:rFonts w:ascii="Times New Roman" w:eastAsia="Times New Roman" w:hAnsi="Times New Roman" w:cs="Times New Roman"/>
            <w:bdr w:val="none" w:sz="0" w:space="0" w:color="auto" w:frame="1"/>
            <w:lang w:eastAsia="en-GB"/>
          </w:rPr>
          <w:t>https://doi.org/10.1007/s11156-026-01508-</w:t>
        </w:r>
        <w:r w:rsidRPr="00DB10F0">
          <w:rPr>
            <w:rStyle w:val="Hyperlink"/>
            <w:rFonts w:ascii="Times New Roman" w:eastAsia="Times New Roman" w:hAnsi="Times New Roman" w:cs="Times New Roman"/>
            <w:bdr w:val="none" w:sz="0" w:space="0" w:color="auto" w:frame="1"/>
            <w:lang w:eastAsia="en-GB"/>
          </w:rPr>
          <w:t>7</w:t>
        </w:r>
      </w:hyperlink>
    </w:p>
    <w:p w14:paraId="29D82A1C" w14:textId="72BCC1F8" w:rsidR="007F75C1" w:rsidRPr="00127BD1" w:rsidRDefault="003F70FB" w:rsidP="00674CE9">
      <w:pPr>
        <w:pStyle w:val="EndNoteBibliography"/>
        <w:spacing w:line="360" w:lineRule="auto"/>
        <w:ind w:left="720" w:hanging="720"/>
        <w:rPr>
          <w:rFonts w:ascii="Times New Roman" w:hAnsi="Times New Roman" w:cs="Times New Roman"/>
        </w:rPr>
      </w:pPr>
      <w:r>
        <w:rPr>
          <w:rFonts w:ascii="Times New Roman" w:hAnsi="Times New Roman" w:cs="Times New Roman"/>
        </w:rPr>
        <w:t>R</w:t>
      </w:r>
      <w:r w:rsidR="007F75C1" w:rsidRPr="00127BD1">
        <w:rPr>
          <w:rFonts w:ascii="Times New Roman" w:hAnsi="Times New Roman" w:cs="Times New Roman"/>
        </w:rPr>
        <w:t>othschild M, Stiglitz JE (1970) Increasing risk: I. A definition. J Econ Theory 2:225</w:t>
      </w:r>
      <w:r w:rsidR="00090555" w:rsidRPr="00127BD1">
        <w:rPr>
          <w:rFonts w:ascii="Times New Roman" w:hAnsi="Times New Roman" w:cs="Times New Roman"/>
        </w:rPr>
        <w:t>–</w:t>
      </w:r>
      <w:r w:rsidR="007F75C1" w:rsidRPr="00127BD1">
        <w:rPr>
          <w:rFonts w:ascii="Times New Roman" w:hAnsi="Times New Roman" w:cs="Times New Roman"/>
        </w:rPr>
        <w:t xml:space="preserve">243 </w:t>
      </w:r>
    </w:p>
    <w:p w14:paraId="64D44877" w14:textId="00ECF3FD" w:rsidR="007F75C1" w:rsidRPr="00127BD1" w:rsidRDefault="007F75C1" w:rsidP="00674CE9">
      <w:pPr>
        <w:pStyle w:val="EndNoteBibliography"/>
        <w:spacing w:line="360" w:lineRule="auto"/>
        <w:ind w:left="720" w:hanging="720"/>
        <w:rPr>
          <w:rFonts w:ascii="Times New Roman" w:hAnsi="Times New Roman" w:cs="Times New Roman"/>
        </w:rPr>
      </w:pPr>
      <w:r w:rsidRPr="00127BD1">
        <w:rPr>
          <w:rFonts w:ascii="Times New Roman" w:hAnsi="Times New Roman" w:cs="Times New Roman"/>
        </w:rPr>
        <w:t xml:space="preserve">Wang Y (2018) Fickle capital flows and retrenchment: </w:t>
      </w:r>
      <w:r w:rsidR="00090555" w:rsidRPr="00127BD1">
        <w:rPr>
          <w:rFonts w:ascii="Times New Roman" w:hAnsi="Times New Roman" w:cs="Times New Roman"/>
        </w:rPr>
        <w:t>e</w:t>
      </w:r>
      <w:r w:rsidRPr="00127BD1">
        <w:rPr>
          <w:rFonts w:ascii="Times New Roman" w:hAnsi="Times New Roman" w:cs="Times New Roman"/>
        </w:rPr>
        <w:t>vidence from bilateral banking data. J Int Money Financ 87</w:t>
      </w:r>
      <w:r w:rsidR="00090555" w:rsidRPr="00127BD1">
        <w:rPr>
          <w:rFonts w:ascii="Times New Roman" w:hAnsi="Times New Roman" w:cs="Times New Roman"/>
        </w:rPr>
        <w:t>:</w:t>
      </w:r>
      <w:r w:rsidRPr="00127BD1">
        <w:rPr>
          <w:rFonts w:ascii="Times New Roman" w:hAnsi="Times New Roman" w:cs="Times New Roman"/>
        </w:rPr>
        <w:t>1</w:t>
      </w:r>
      <w:r w:rsidR="00090555" w:rsidRPr="00127BD1">
        <w:rPr>
          <w:rFonts w:ascii="Times New Roman" w:hAnsi="Times New Roman" w:cs="Times New Roman"/>
        </w:rPr>
        <w:t>–</w:t>
      </w:r>
      <w:r w:rsidRPr="00127BD1">
        <w:rPr>
          <w:rFonts w:ascii="Times New Roman" w:hAnsi="Times New Roman" w:cs="Times New Roman"/>
        </w:rPr>
        <w:t xml:space="preserve">21 </w:t>
      </w:r>
    </w:p>
    <w:p w14:paraId="3EECE455" w14:textId="2D167D8E" w:rsidR="007F75C1" w:rsidRPr="00127BD1" w:rsidRDefault="007F75C1" w:rsidP="00674CE9">
      <w:pPr>
        <w:pStyle w:val="EndNoteBibliography"/>
        <w:spacing w:line="360" w:lineRule="auto"/>
        <w:ind w:left="720" w:hanging="720"/>
        <w:rPr>
          <w:rFonts w:ascii="Times New Roman" w:hAnsi="Times New Roman" w:cs="Times New Roman"/>
        </w:rPr>
      </w:pPr>
      <w:r w:rsidRPr="00127BD1">
        <w:rPr>
          <w:rFonts w:ascii="Times New Roman" w:hAnsi="Times New Roman" w:cs="Times New Roman"/>
        </w:rPr>
        <w:t>Windmeijer F (2005) A finite sample correction for the variance of linear efficient two-step GMM estimators. J Econom 126:25</w:t>
      </w:r>
      <w:r w:rsidR="00090555" w:rsidRPr="00127BD1">
        <w:rPr>
          <w:rFonts w:ascii="Times New Roman" w:hAnsi="Times New Roman" w:cs="Times New Roman"/>
        </w:rPr>
        <w:t>–</w:t>
      </w:r>
      <w:r w:rsidRPr="00127BD1">
        <w:rPr>
          <w:rFonts w:ascii="Times New Roman" w:hAnsi="Times New Roman" w:cs="Times New Roman"/>
        </w:rPr>
        <w:t xml:space="preserve">51 </w:t>
      </w:r>
    </w:p>
    <w:p w14:paraId="79B6639A" w14:textId="52F1182E" w:rsidR="000D0316" w:rsidRPr="00127BD1" w:rsidRDefault="007F75C1" w:rsidP="00227D04">
      <w:pPr>
        <w:pStyle w:val="EndNoteBibliography"/>
        <w:spacing w:line="360" w:lineRule="auto"/>
        <w:ind w:left="720" w:hanging="720"/>
        <w:rPr>
          <w:rFonts w:ascii="Times New Roman" w:hAnsi="Times New Roman" w:cs="Times New Roman"/>
        </w:rPr>
      </w:pPr>
      <w:r w:rsidRPr="00127BD1">
        <w:rPr>
          <w:rFonts w:ascii="Times New Roman" w:hAnsi="Times New Roman" w:cs="Times New Roman"/>
        </w:rPr>
        <w:t>Wu WS, Suardi S (2021) Economic uncertainty and bank lending. J Money Credit Bank 53:2037</w:t>
      </w:r>
      <w:r w:rsidR="00090555" w:rsidRPr="00127BD1">
        <w:rPr>
          <w:rFonts w:ascii="Times New Roman" w:hAnsi="Times New Roman" w:cs="Times New Roman"/>
        </w:rPr>
        <w:t>–</w:t>
      </w:r>
      <w:r w:rsidRPr="00127BD1">
        <w:rPr>
          <w:rFonts w:ascii="Times New Roman" w:hAnsi="Times New Roman" w:cs="Times New Roman"/>
        </w:rPr>
        <w:t>2069</w:t>
      </w:r>
    </w:p>
    <w:p w14:paraId="64BE7601" w14:textId="77777777" w:rsidR="000D0316" w:rsidRPr="00127BD1" w:rsidRDefault="000D0316" w:rsidP="00DD3FB5">
      <w:pPr>
        <w:spacing w:line="360" w:lineRule="auto"/>
        <w:rPr>
          <w:rFonts w:ascii="Times New Roman" w:hAnsi="Times New Roman" w:cs="Times New Roman"/>
        </w:rPr>
      </w:pPr>
    </w:p>
    <w:p w14:paraId="23F5C42A" w14:textId="77777777" w:rsidR="000D0316" w:rsidRPr="00127BD1" w:rsidRDefault="000D0316" w:rsidP="00DD3FB5">
      <w:pPr>
        <w:spacing w:line="360" w:lineRule="auto"/>
        <w:rPr>
          <w:rFonts w:ascii="Times New Roman" w:hAnsi="Times New Roman" w:cs="Times New Roman"/>
        </w:rPr>
        <w:sectPr w:rsidR="000D0316" w:rsidRPr="00127BD1" w:rsidSect="00C8430E">
          <w:pgSz w:w="11900" w:h="16840"/>
          <w:pgMar w:top="1440" w:right="1440" w:bottom="1440" w:left="1440" w:header="708" w:footer="708" w:gutter="0"/>
          <w:cols w:space="708"/>
          <w:docGrid w:linePitch="360"/>
        </w:sectPr>
      </w:pPr>
    </w:p>
    <w:p w14:paraId="04B48AF4" w14:textId="52CD36B8" w:rsidR="00130990" w:rsidRPr="00127BD1" w:rsidRDefault="00130990" w:rsidP="00C31CAA">
      <w:pPr>
        <w:spacing w:line="360" w:lineRule="auto"/>
        <w:rPr>
          <w:rFonts w:ascii="Times New Roman" w:hAnsi="Times New Roman" w:cs="Times New Roman"/>
          <w:sz w:val="22"/>
          <w:szCs w:val="22"/>
        </w:rPr>
      </w:pPr>
      <w:r w:rsidRPr="00127BD1">
        <w:rPr>
          <w:rFonts w:ascii="Times New Roman" w:hAnsi="Times New Roman" w:cs="Times New Roman"/>
          <w:b/>
          <w:bCs/>
          <w:sz w:val="22"/>
          <w:szCs w:val="22"/>
        </w:rPr>
        <w:lastRenderedPageBreak/>
        <w:t>Table 1</w:t>
      </w:r>
      <w:r w:rsidR="00E76D76" w:rsidRPr="00127BD1">
        <w:rPr>
          <w:rFonts w:ascii="Times New Roman" w:hAnsi="Times New Roman" w:cs="Times New Roman"/>
          <w:b/>
          <w:bCs/>
          <w:sz w:val="22"/>
          <w:szCs w:val="22"/>
        </w:rPr>
        <w:t>a</w:t>
      </w:r>
      <w:r w:rsidRPr="00127BD1">
        <w:rPr>
          <w:rFonts w:ascii="Times New Roman" w:hAnsi="Times New Roman" w:cs="Times New Roman"/>
          <w:sz w:val="22"/>
          <w:szCs w:val="22"/>
        </w:rPr>
        <w:t xml:space="preserve"> Summary </w:t>
      </w:r>
      <w:r w:rsidR="008C61C6" w:rsidRPr="00127BD1">
        <w:rPr>
          <w:rFonts w:ascii="Times New Roman" w:hAnsi="Times New Roman" w:cs="Times New Roman"/>
          <w:sz w:val="22"/>
          <w:szCs w:val="22"/>
        </w:rPr>
        <w:t>s</w:t>
      </w:r>
      <w:r w:rsidRPr="00127BD1">
        <w:rPr>
          <w:rFonts w:ascii="Times New Roman" w:hAnsi="Times New Roman" w:cs="Times New Roman"/>
          <w:sz w:val="22"/>
          <w:szCs w:val="22"/>
        </w:rPr>
        <w:t>tatistics</w:t>
      </w:r>
      <w:r w:rsidR="00E76D76" w:rsidRPr="00127BD1">
        <w:rPr>
          <w:rFonts w:ascii="Times New Roman" w:hAnsi="Times New Roman" w:cs="Times New Roman"/>
          <w:sz w:val="22"/>
          <w:szCs w:val="22"/>
        </w:rPr>
        <w:t xml:space="preserve"> (pooled data)</w:t>
      </w:r>
    </w:p>
    <w:tbl>
      <w:tblPr>
        <w:tblW w:w="0" w:type="auto"/>
        <w:tblLook w:val="0000" w:firstRow="0" w:lastRow="0" w:firstColumn="0" w:lastColumn="0" w:noHBand="0" w:noVBand="0"/>
      </w:tblPr>
      <w:tblGrid>
        <w:gridCol w:w="1993"/>
        <w:gridCol w:w="1448"/>
        <w:gridCol w:w="1448"/>
        <w:gridCol w:w="1684"/>
        <w:gridCol w:w="1554"/>
        <w:gridCol w:w="1619"/>
      </w:tblGrid>
      <w:tr w:rsidR="00130990" w:rsidRPr="00127BD1" w14:paraId="0FA4E2B9" w14:textId="77777777" w:rsidTr="00EC4DE0">
        <w:tc>
          <w:tcPr>
            <w:tcW w:w="0" w:type="auto"/>
            <w:tcBorders>
              <w:top w:val="single" w:sz="4" w:space="0" w:color="auto"/>
              <w:left w:val="nil"/>
              <w:bottom w:val="single" w:sz="10" w:space="0" w:color="auto"/>
              <w:right w:val="nil"/>
            </w:tcBorders>
          </w:tcPr>
          <w:p w14:paraId="1D437674"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Variable</w:t>
            </w:r>
          </w:p>
        </w:tc>
        <w:tc>
          <w:tcPr>
            <w:tcW w:w="0" w:type="auto"/>
            <w:tcBorders>
              <w:top w:val="single" w:sz="4" w:space="0" w:color="auto"/>
              <w:left w:val="nil"/>
              <w:bottom w:val="single" w:sz="10" w:space="0" w:color="auto"/>
              <w:right w:val="nil"/>
            </w:tcBorders>
          </w:tcPr>
          <w:p w14:paraId="40240261"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 xml:space="preserve"> Obs</w:t>
            </w:r>
          </w:p>
        </w:tc>
        <w:tc>
          <w:tcPr>
            <w:tcW w:w="0" w:type="auto"/>
            <w:tcBorders>
              <w:top w:val="single" w:sz="4" w:space="0" w:color="auto"/>
              <w:left w:val="nil"/>
              <w:bottom w:val="single" w:sz="10" w:space="0" w:color="auto"/>
              <w:right w:val="nil"/>
            </w:tcBorders>
          </w:tcPr>
          <w:p w14:paraId="407C0C98"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 xml:space="preserve"> Mean</w:t>
            </w:r>
          </w:p>
        </w:tc>
        <w:tc>
          <w:tcPr>
            <w:tcW w:w="0" w:type="auto"/>
            <w:tcBorders>
              <w:top w:val="single" w:sz="4" w:space="0" w:color="auto"/>
              <w:left w:val="nil"/>
              <w:bottom w:val="single" w:sz="10" w:space="0" w:color="auto"/>
              <w:right w:val="nil"/>
            </w:tcBorders>
          </w:tcPr>
          <w:p w14:paraId="71FBF663"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 xml:space="preserve"> Std. Dev.</w:t>
            </w:r>
          </w:p>
        </w:tc>
        <w:tc>
          <w:tcPr>
            <w:tcW w:w="0" w:type="auto"/>
            <w:tcBorders>
              <w:top w:val="single" w:sz="4" w:space="0" w:color="auto"/>
              <w:left w:val="nil"/>
              <w:bottom w:val="single" w:sz="10" w:space="0" w:color="auto"/>
              <w:right w:val="nil"/>
            </w:tcBorders>
          </w:tcPr>
          <w:p w14:paraId="6A2825A1"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 xml:space="preserve"> Min</w:t>
            </w:r>
          </w:p>
        </w:tc>
        <w:tc>
          <w:tcPr>
            <w:tcW w:w="0" w:type="auto"/>
            <w:tcBorders>
              <w:top w:val="single" w:sz="4" w:space="0" w:color="auto"/>
              <w:left w:val="nil"/>
              <w:bottom w:val="single" w:sz="10" w:space="0" w:color="auto"/>
              <w:right w:val="nil"/>
            </w:tcBorders>
          </w:tcPr>
          <w:p w14:paraId="21388076"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 xml:space="preserve"> Max</w:t>
            </w:r>
          </w:p>
        </w:tc>
      </w:tr>
      <w:tr w:rsidR="00130990" w:rsidRPr="00127BD1" w14:paraId="3F9E473E" w14:textId="77777777" w:rsidTr="00EC4DE0">
        <w:tc>
          <w:tcPr>
            <w:tcW w:w="0" w:type="auto"/>
            <w:tcBorders>
              <w:top w:val="nil"/>
              <w:left w:val="nil"/>
              <w:bottom w:val="nil"/>
              <w:right w:val="nil"/>
            </w:tcBorders>
          </w:tcPr>
          <w:p w14:paraId="439A7AFE"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 xml:space="preserve"> GCLAIM</w:t>
            </w:r>
          </w:p>
        </w:tc>
        <w:tc>
          <w:tcPr>
            <w:tcW w:w="0" w:type="auto"/>
            <w:tcBorders>
              <w:top w:val="nil"/>
              <w:left w:val="nil"/>
              <w:bottom w:val="nil"/>
              <w:right w:val="nil"/>
            </w:tcBorders>
          </w:tcPr>
          <w:p w14:paraId="186D4D6C"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138,377</w:t>
            </w:r>
          </w:p>
        </w:tc>
        <w:tc>
          <w:tcPr>
            <w:tcW w:w="0" w:type="auto"/>
            <w:tcBorders>
              <w:top w:val="nil"/>
              <w:left w:val="nil"/>
              <w:bottom w:val="nil"/>
              <w:right w:val="nil"/>
            </w:tcBorders>
          </w:tcPr>
          <w:p w14:paraId="343FF855"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0.0390</w:t>
            </w:r>
          </w:p>
        </w:tc>
        <w:tc>
          <w:tcPr>
            <w:tcW w:w="0" w:type="auto"/>
            <w:tcBorders>
              <w:top w:val="nil"/>
              <w:left w:val="nil"/>
              <w:bottom w:val="nil"/>
              <w:right w:val="nil"/>
            </w:tcBorders>
          </w:tcPr>
          <w:p w14:paraId="1526B564"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0.3363</w:t>
            </w:r>
          </w:p>
        </w:tc>
        <w:tc>
          <w:tcPr>
            <w:tcW w:w="0" w:type="auto"/>
            <w:tcBorders>
              <w:top w:val="nil"/>
              <w:left w:val="nil"/>
              <w:bottom w:val="nil"/>
              <w:right w:val="nil"/>
            </w:tcBorders>
          </w:tcPr>
          <w:p w14:paraId="09096F02"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-0.8115</w:t>
            </w:r>
          </w:p>
        </w:tc>
        <w:tc>
          <w:tcPr>
            <w:tcW w:w="0" w:type="auto"/>
            <w:tcBorders>
              <w:top w:val="nil"/>
              <w:left w:val="nil"/>
              <w:bottom w:val="nil"/>
              <w:right w:val="nil"/>
            </w:tcBorders>
          </w:tcPr>
          <w:p w14:paraId="49F4639C"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1.6754</w:t>
            </w:r>
          </w:p>
        </w:tc>
      </w:tr>
      <w:tr w:rsidR="00130990" w:rsidRPr="00127BD1" w14:paraId="2E11EE00" w14:textId="77777777" w:rsidTr="00EC4DE0">
        <w:tc>
          <w:tcPr>
            <w:tcW w:w="0" w:type="auto"/>
            <w:tcBorders>
              <w:top w:val="nil"/>
              <w:left w:val="nil"/>
              <w:bottom w:val="nil"/>
              <w:right w:val="nil"/>
            </w:tcBorders>
          </w:tcPr>
          <w:p w14:paraId="361FDAC2"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 xml:space="preserve"> AMB</w:t>
            </w:r>
          </w:p>
        </w:tc>
        <w:tc>
          <w:tcPr>
            <w:tcW w:w="0" w:type="auto"/>
            <w:tcBorders>
              <w:top w:val="nil"/>
              <w:left w:val="nil"/>
              <w:bottom w:val="nil"/>
              <w:right w:val="nil"/>
            </w:tcBorders>
          </w:tcPr>
          <w:p w14:paraId="7F181805"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187,443</w:t>
            </w:r>
          </w:p>
        </w:tc>
        <w:tc>
          <w:tcPr>
            <w:tcW w:w="0" w:type="auto"/>
            <w:tcBorders>
              <w:top w:val="nil"/>
              <w:left w:val="nil"/>
              <w:bottom w:val="nil"/>
              <w:right w:val="nil"/>
            </w:tcBorders>
          </w:tcPr>
          <w:p w14:paraId="5A5E65F6"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0.9822</w:t>
            </w:r>
          </w:p>
        </w:tc>
        <w:tc>
          <w:tcPr>
            <w:tcW w:w="0" w:type="auto"/>
            <w:tcBorders>
              <w:top w:val="nil"/>
              <w:left w:val="nil"/>
              <w:bottom w:val="nil"/>
              <w:right w:val="nil"/>
            </w:tcBorders>
          </w:tcPr>
          <w:p w14:paraId="727A68CE"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0.3431</w:t>
            </w:r>
          </w:p>
        </w:tc>
        <w:tc>
          <w:tcPr>
            <w:tcW w:w="0" w:type="auto"/>
            <w:tcBorders>
              <w:top w:val="nil"/>
              <w:left w:val="nil"/>
              <w:bottom w:val="nil"/>
              <w:right w:val="nil"/>
            </w:tcBorders>
          </w:tcPr>
          <w:p w14:paraId="5D1389E4"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0.3783</w:t>
            </w:r>
          </w:p>
        </w:tc>
        <w:tc>
          <w:tcPr>
            <w:tcW w:w="0" w:type="auto"/>
            <w:tcBorders>
              <w:top w:val="nil"/>
              <w:left w:val="nil"/>
              <w:bottom w:val="nil"/>
              <w:right w:val="nil"/>
            </w:tcBorders>
          </w:tcPr>
          <w:p w14:paraId="519DCEC3"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2.7651</w:t>
            </w:r>
          </w:p>
        </w:tc>
      </w:tr>
      <w:tr w:rsidR="00130990" w:rsidRPr="00127BD1" w14:paraId="272ADA3F" w14:textId="77777777" w:rsidTr="00EC4DE0">
        <w:tc>
          <w:tcPr>
            <w:tcW w:w="0" w:type="auto"/>
            <w:tcBorders>
              <w:top w:val="nil"/>
              <w:left w:val="nil"/>
              <w:bottom w:val="nil"/>
              <w:right w:val="nil"/>
            </w:tcBorders>
          </w:tcPr>
          <w:p w14:paraId="00E443B4"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 xml:space="preserve"> </w:t>
            </w:r>
            <w:r w:rsidRPr="00127BD1">
              <w:rPr>
                <w:rFonts w:ascii="Times New Roman" w:eastAsia="Times New Roman" w:hAnsi="Times New Roman" w:cs="Times New Roman"/>
                <w:color w:val="000000"/>
                <w:sz w:val="22"/>
                <w:szCs w:val="22"/>
              </w:rPr>
              <w:t>RGDPG</w:t>
            </w:r>
          </w:p>
        </w:tc>
        <w:tc>
          <w:tcPr>
            <w:tcW w:w="0" w:type="auto"/>
            <w:tcBorders>
              <w:top w:val="nil"/>
              <w:left w:val="nil"/>
              <w:bottom w:val="nil"/>
              <w:right w:val="nil"/>
            </w:tcBorders>
          </w:tcPr>
          <w:p w14:paraId="500611BA"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187,443</w:t>
            </w:r>
          </w:p>
        </w:tc>
        <w:tc>
          <w:tcPr>
            <w:tcW w:w="0" w:type="auto"/>
            <w:tcBorders>
              <w:top w:val="nil"/>
              <w:left w:val="nil"/>
              <w:bottom w:val="nil"/>
              <w:right w:val="nil"/>
            </w:tcBorders>
          </w:tcPr>
          <w:p w14:paraId="13E2F566"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0.4982</w:t>
            </w:r>
          </w:p>
        </w:tc>
        <w:tc>
          <w:tcPr>
            <w:tcW w:w="0" w:type="auto"/>
            <w:tcBorders>
              <w:top w:val="nil"/>
              <w:left w:val="nil"/>
              <w:bottom w:val="nil"/>
              <w:right w:val="nil"/>
            </w:tcBorders>
          </w:tcPr>
          <w:p w14:paraId="04ED0D6B"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2.2176</w:t>
            </w:r>
          </w:p>
        </w:tc>
        <w:tc>
          <w:tcPr>
            <w:tcW w:w="0" w:type="auto"/>
            <w:tcBorders>
              <w:top w:val="nil"/>
              <w:left w:val="nil"/>
              <w:bottom w:val="nil"/>
              <w:right w:val="nil"/>
            </w:tcBorders>
          </w:tcPr>
          <w:p w14:paraId="152880AA"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-20.9914</w:t>
            </w:r>
          </w:p>
        </w:tc>
        <w:tc>
          <w:tcPr>
            <w:tcW w:w="0" w:type="auto"/>
            <w:tcBorders>
              <w:top w:val="nil"/>
              <w:left w:val="nil"/>
              <w:bottom w:val="nil"/>
              <w:right w:val="nil"/>
            </w:tcBorders>
          </w:tcPr>
          <w:p w14:paraId="4DDCB57A"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20.9949</w:t>
            </w:r>
          </w:p>
        </w:tc>
      </w:tr>
      <w:tr w:rsidR="00130990" w:rsidRPr="00127BD1" w14:paraId="0DC514EC" w14:textId="77777777" w:rsidTr="00EC4DE0">
        <w:tc>
          <w:tcPr>
            <w:tcW w:w="0" w:type="auto"/>
            <w:tcBorders>
              <w:top w:val="nil"/>
              <w:left w:val="nil"/>
              <w:bottom w:val="nil"/>
              <w:right w:val="nil"/>
            </w:tcBorders>
          </w:tcPr>
          <w:p w14:paraId="32035CF5"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 xml:space="preserve"> INFLA</w:t>
            </w:r>
          </w:p>
        </w:tc>
        <w:tc>
          <w:tcPr>
            <w:tcW w:w="0" w:type="auto"/>
            <w:tcBorders>
              <w:top w:val="nil"/>
              <w:left w:val="nil"/>
              <w:bottom w:val="nil"/>
              <w:right w:val="nil"/>
            </w:tcBorders>
          </w:tcPr>
          <w:p w14:paraId="4611F414"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183,148</w:t>
            </w:r>
          </w:p>
        </w:tc>
        <w:tc>
          <w:tcPr>
            <w:tcW w:w="0" w:type="auto"/>
            <w:tcBorders>
              <w:top w:val="nil"/>
              <w:left w:val="nil"/>
              <w:bottom w:val="nil"/>
              <w:right w:val="nil"/>
            </w:tcBorders>
          </w:tcPr>
          <w:p w14:paraId="39CD6B46"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99.7627</w:t>
            </w:r>
          </w:p>
        </w:tc>
        <w:tc>
          <w:tcPr>
            <w:tcW w:w="0" w:type="auto"/>
            <w:tcBorders>
              <w:top w:val="nil"/>
              <w:left w:val="nil"/>
              <w:bottom w:val="nil"/>
              <w:right w:val="nil"/>
            </w:tcBorders>
          </w:tcPr>
          <w:p w14:paraId="18992543"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16.3988</w:t>
            </w:r>
          </w:p>
        </w:tc>
        <w:tc>
          <w:tcPr>
            <w:tcW w:w="0" w:type="auto"/>
            <w:tcBorders>
              <w:top w:val="nil"/>
              <w:left w:val="nil"/>
              <w:bottom w:val="nil"/>
              <w:right w:val="nil"/>
            </w:tcBorders>
          </w:tcPr>
          <w:p w14:paraId="46374418"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64.8748</w:t>
            </w:r>
          </w:p>
        </w:tc>
        <w:tc>
          <w:tcPr>
            <w:tcW w:w="0" w:type="auto"/>
            <w:tcBorders>
              <w:top w:val="nil"/>
              <w:left w:val="nil"/>
              <w:bottom w:val="nil"/>
              <w:right w:val="nil"/>
            </w:tcBorders>
          </w:tcPr>
          <w:p w14:paraId="513C34DE"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344.0579</w:t>
            </w:r>
          </w:p>
        </w:tc>
      </w:tr>
      <w:tr w:rsidR="00130990" w:rsidRPr="00127BD1" w14:paraId="2B6E1FBF" w14:textId="77777777" w:rsidTr="00EC4DE0">
        <w:tc>
          <w:tcPr>
            <w:tcW w:w="0" w:type="auto"/>
            <w:tcBorders>
              <w:top w:val="nil"/>
              <w:left w:val="nil"/>
              <w:bottom w:val="nil"/>
              <w:right w:val="nil"/>
            </w:tcBorders>
          </w:tcPr>
          <w:p w14:paraId="5CC06744"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 xml:space="preserve"> </w:t>
            </w:r>
            <w:r w:rsidRPr="00127BD1">
              <w:rPr>
                <w:rFonts w:ascii="Times New Roman" w:eastAsia="Times New Roman" w:hAnsi="Times New Roman" w:cs="Times New Roman"/>
                <w:color w:val="000000"/>
                <w:sz w:val="22"/>
                <w:szCs w:val="22"/>
              </w:rPr>
              <w:t>EXGG</w:t>
            </w:r>
          </w:p>
        </w:tc>
        <w:tc>
          <w:tcPr>
            <w:tcW w:w="0" w:type="auto"/>
            <w:tcBorders>
              <w:top w:val="nil"/>
              <w:left w:val="nil"/>
              <w:bottom w:val="nil"/>
              <w:right w:val="nil"/>
            </w:tcBorders>
          </w:tcPr>
          <w:p w14:paraId="5C468B1F"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183,505</w:t>
            </w:r>
          </w:p>
        </w:tc>
        <w:tc>
          <w:tcPr>
            <w:tcW w:w="0" w:type="auto"/>
            <w:tcBorders>
              <w:top w:val="nil"/>
              <w:left w:val="nil"/>
              <w:bottom w:val="nil"/>
              <w:right w:val="nil"/>
            </w:tcBorders>
          </w:tcPr>
          <w:p w14:paraId="195401ED"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0.0022</w:t>
            </w:r>
          </w:p>
        </w:tc>
        <w:tc>
          <w:tcPr>
            <w:tcW w:w="0" w:type="auto"/>
            <w:tcBorders>
              <w:top w:val="nil"/>
              <w:left w:val="nil"/>
              <w:bottom w:val="nil"/>
              <w:right w:val="nil"/>
            </w:tcBorders>
          </w:tcPr>
          <w:p w14:paraId="46DA9685"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0.0405</w:t>
            </w:r>
          </w:p>
        </w:tc>
        <w:tc>
          <w:tcPr>
            <w:tcW w:w="0" w:type="auto"/>
            <w:tcBorders>
              <w:top w:val="nil"/>
              <w:left w:val="nil"/>
              <w:bottom w:val="nil"/>
              <w:right w:val="nil"/>
            </w:tcBorders>
          </w:tcPr>
          <w:p w14:paraId="4ACD59B6"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-0.1464</w:t>
            </w:r>
          </w:p>
        </w:tc>
        <w:tc>
          <w:tcPr>
            <w:tcW w:w="0" w:type="auto"/>
            <w:tcBorders>
              <w:top w:val="nil"/>
              <w:left w:val="nil"/>
              <w:bottom w:val="nil"/>
              <w:right w:val="nil"/>
            </w:tcBorders>
          </w:tcPr>
          <w:p w14:paraId="42F77C73"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0.3738</w:t>
            </w:r>
          </w:p>
        </w:tc>
      </w:tr>
      <w:tr w:rsidR="00130990" w:rsidRPr="00127BD1" w14:paraId="2ED0CE4A" w14:textId="77777777" w:rsidTr="00EC4DE0">
        <w:tc>
          <w:tcPr>
            <w:tcW w:w="0" w:type="auto"/>
            <w:tcBorders>
              <w:top w:val="nil"/>
              <w:left w:val="nil"/>
              <w:bottom w:val="nil"/>
              <w:right w:val="nil"/>
            </w:tcBorders>
          </w:tcPr>
          <w:p w14:paraId="3AC49F4E"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 xml:space="preserve"> LRATE</w:t>
            </w:r>
          </w:p>
        </w:tc>
        <w:tc>
          <w:tcPr>
            <w:tcW w:w="0" w:type="auto"/>
            <w:tcBorders>
              <w:top w:val="nil"/>
              <w:left w:val="nil"/>
              <w:bottom w:val="nil"/>
              <w:right w:val="nil"/>
            </w:tcBorders>
          </w:tcPr>
          <w:p w14:paraId="242040AA"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97,758</w:t>
            </w:r>
          </w:p>
        </w:tc>
        <w:tc>
          <w:tcPr>
            <w:tcW w:w="0" w:type="auto"/>
            <w:tcBorders>
              <w:top w:val="nil"/>
              <w:left w:val="nil"/>
              <w:bottom w:val="nil"/>
              <w:right w:val="nil"/>
            </w:tcBorders>
          </w:tcPr>
          <w:p w14:paraId="045D7E9F"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2.0916</w:t>
            </w:r>
          </w:p>
        </w:tc>
        <w:tc>
          <w:tcPr>
            <w:tcW w:w="0" w:type="auto"/>
            <w:tcBorders>
              <w:top w:val="nil"/>
              <w:left w:val="nil"/>
              <w:bottom w:val="nil"/>
              <w:right w:val="nil"/>
            </w:tcBorders>
          </w:tcPr>
          <w:p w14:paraId="11CF4A78"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2.9055</w:t>
            </w:r>
          </w:p>
        </w:tc>
        <w:tc>
          <w:tcPr>
            <w:tcW w:w="0" w:type="auto"/>
            <w:tcBorders>
              <w:top w:val="nil"/>
              <w:left w:val="nil"/>
              <w:bottom w:val="nil"/>
              <w:right w:val="nil"/>
            </w:tcBorders>
          </w:tcPr>
          <w:p w14:paraId="5868939E"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-0.7500</w:t>
            </w:r>
          </w:p>
        </w:tc>
        <w:tc>
          <w:tcPr>
            <w:tcW w:w="0" w:type="auto"/>
            <w:tcBorders>
              <w:top w:val="nil"/>
              <w:left w:val="nil"/>
              <w:bottom w:val="nil"/>
              <w:right w:val="nil"/>
            </w:tcBorders>
          </w:tcPr>
          <w:p w14:paraId="3EF3ECD0"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26.3333</w:t>
            </w:r>
          </w:p>
        </w:tc>
      </w:tr>
      <w:tr w:rsidR="00130990" w:rsidRPr="00127BD1" w14:paraId="3DC702A1" w14:textId="77777777" w:rsidTr="00EC4DE0">
        <w:tc>
          <w:tcPr>
            <w:tcW w:w="0" w:type="auto"/>
            <w:tcBorders>
              <w:top w:val="nil"/>
              <w:left w:val="nil"/>
              <w:bottom w:val="nil"/>
              <w:right w:val="nil"/>
            </w:tcBorders>
          </w:tcPr>
          <w:p w14:paraId="1B86C7D9"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 xml:space="preserve"> </w:t>
            </w:r>
            <w:r w:rsidRPr="00127BD1">
              <w:rPr>
                <w:rFonts w:ascii="Times New Roman" w:eastAsia="Times New Roman" w:hAnsi="Times New Roman" w:cs="Times New Roman"/>
                <w:color w:val="000000"/>
                <w:sz w:val="22"/>
                <w:szCs w:val="22"/>
              </w:rPr>
              <w:t>DEBTGDP</w:t>
            </w:r>
          </w:p>
        </w:tc>
        <w:tc>
          <w:tcPr>
            <w:tcW w:w="0" w:type="auto"/>
            <w:tcBorders>
              <w:top w:val="nil"/>
              <w:left w:val="nil"/>
              <w:bottom w:val="nil"/>
              <w:right w:val="nil"/>
            </w:tcBorders>
          </w:tcPr>
          <w:p w14:paraId="1CAD96F1"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168,538</w:t>
            </w:r>
          </w:p>
        </w:tc>
        <w:tc>
          <w:tcPr>
            <w:tcW w:w="0" w:type="auto"/>
            <w:tcBorders>
              <w:top w:val="nil"/>
              <w:left w:val="nil"/>
              <w:bottom w:val="nil"/>
              <w:right w:val="nil"/>
            </w:tcBorders>
          </w:tcPr>
          <w:p w14:paraId="4A845D7D"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90.0171</w:t>
            </w:r>
          </w:p>
        </w:tc>
        <w:tc>
          <w:tcPr>
            <w:tcW w:w="0" w:type="auto"/>
            <w:tcBorders>
              <w:top w:val="nil"/>
              <w:left w:val="nil"/>
              <w:bottom w:val="nil"/>
              <w:right w:val="nil"/>
            </w:tcBorders>
          </w:tcPr>
          <w:p w14:paraId="53035841"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41.7036</w:t>
            </w:r>
          </w:p>
        </w:tc>
        <w:tc>
          <w:tcPr>
            <w:tcW w:w="0" w:type="auto"/>
            <w:tcBorders>
              <w:top w:val="nil"/>
              <w:left w:val="nil"/>
              <w:bottom w:val="nil"/>
              <w:right w:val="nil"/>
            </w:tcBorders>
          </w:tcPr>
          <w:p w14:paraId="425D9945"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20.9000</w:t>
            </w:r>
          </w:p>
        </w:tc>
        <w:tc>
          <w:tcPr>
            <w:tcW w:w="0" w:type="auto"/>
            <w:tcBorders>
              <w:top w:val="nil"/>
              <w:left w:val="nil"/>
              <w:bottom w:val="nil"/>
              <w:right w:val="nil"/>
            </w:tcBorders>
          </w:tcPr>
          <w:p w14:paraId="1BCDB5E0"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237.3000</w:t>
            </w:r>
          </w:p>
        </w:tc>
      </w:tr>
      <w:tr w:rsidR="00130990" w:rsidRPr="00127BD1" w14:paraId="116FE299" w14:textId="77777777" w:rsidTr="00EC4DE0">
        <w:tc>
          <w:tcPr>
            <w:tcW w:w="0" w:type="auto"/>
            <w:tcBorders>
              <w:top w:val="nil"/>
              <w:left w:val="nil"/>
              <w:bottom w:val="nil"/>
              <w:right w:val="nil"/>
            </w:tcBorders>
          </w:tcPr>
          <w:p w14:paraId="16BCB36E" w14:textId="007B53CA"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 xml:space="preserve"> </w:t>
            </w:r>
            <w:r w:rsidR="000F1B35">
              <w:rPr>
                <w:rFonts w:ascii="Times New Roman" w:hAnsi="Times New Roman" w:cs="Times New Roman"/>
                <w:sz w:val="22"/>
                <w:szCs w:val="22"/>
              </w:rPr>
              <w:t>AMOUNT</w:t>
            </w:r>
          </w:p>
        </w:tc>
        <w:tc>
          <w:tcPr>
            <w:tcW w:w="0" w:type="auto"/>
            <w:tcBorders>
              <w:top w:val="nil"/>
              <w:left w:val="nil"/>
              <w:bottom w:val="nil"/>
              <w:right w:val="nil"/>
            </w:tcBorders>
          </w:tcPr>
          <w:p w14:paraId="603C4DBD"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32,502</w:t>
            </w:r>
          </w:p>
        </w:tc>
        <w:tc>
          <w:tcPr>
            <w:tcW w:w="0" w:type="auto"/>
            <w:tcBorders>
              <w:top w:val="nil"/>
              <w:left w:val="nil"/>
              <w:bottom w:val="nil"/>
              <w:right w:val="nil"/>
            </w:tcBorders>
          </w:tcPr>
          <w:p w14:paraId="047F3025"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4.5953</w:t>
            </w:r>
          </w:p>
        </w:tc>
        <w:tc>
          <w:tcPr>
            <w:tcW w:w="0" w:type="auto"/>
            <w:tcBorders>
              <w:top w:val="nil"/>
              <w:left w:val="nil"/>
              <w:bottom w:val="nil"/>
              <w:right w:val="nil"/>
            </w:tcBorders>
          </w:tcPr>
          <w:p w14:paraId="1E669ECF"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1.7395</w:t>
            </w:r>
          </w:p>
        </w:tc>
        <w:tc>
          <w:tcPr>
            <w:tcW w:w="0" w:type="auto"/>
            <w:tcBorders>
              <w:top w:val="nil"/>
              <w:left w:val="nil"/>
              <w:bottom w:val="nil"/>
              <w:right w:val="nil"/>
            </w:tcBorders>
          </w:tcPr>
          <w:p w14:paraId="61E73AD9"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0.0000</w:t>
            </w:r>
          </w:p>
        </w:tc>
        <w:tc>
          <w:tcPr>
            <w:tcW w:w="0" w:type="auto"/>
            <w:tcBorders>
              <w:top w:val="nil"/>
              <w:left w:val="nil"/>
              <w:bottom w:val="nil"/>
              <w:right w:val="nil"/>
            </w:tcBorders>
          </w:tcPr>
          <w:p w14:paraId="7EC973E4"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10.4463</w:t>
            </w:r>
          </w:p>
        </w:tc>
      </w:tr>
      <w:tr w:rsidR="00130990" w:rsidRPr="00127BD1" w14:paraId="34471A0F" w14:textId="77777777" w:rsidTr="00EC4DE0">
        <w:tc>
          <w:tcPr>
            <w:tcW w:w="0" w:type="auto"/>
            <w:tcBorders>
              <w:top w:val="nil"/>
              <w:left w:val="nil"/>
              <w:bottom w:val="nil"/>
              <w:right w:val="nil"/>
            </w:tcBorders>
          </w:tcPr>
          <w:p w14:paraId="0C54C94C"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 xml:space="preserve"> </w:t>
            </w:r>
            <w:r w:rsidRPr="00127BD1">
              <w:rPr>
                <w:rFonts w:ascii="Times New Roman" w:hAnsi="Times New Roman" w:cs="Times New Roman" w:hint="eastAsia"/>
                <w:sz w:val="22"/>
                <w:szCs w:val="22"/>
              </w:rPr>
              <w:t>NUMBER</w:t>
            </w:r>
          </w:p>
        </w:tc>
        <w:tc>
          <w:tcPr>
            <w:tcW w:w="0" w:type="auto"/>
            <w:tcBorders>
              <w:top w:val="nil"/>
              <w:left w:val="nil"/>
              <w:bottom w:val="nil"/>
              <w:right w:val="nil"/>
            </w:tcBorders>
          </w:tcPr>
          <w:p w14:paraId="2BBB278D"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33,388</w:t>
            </w:r>
          </w:p>
        </w:tc>
        <w:tc>
          <w:tcPr>
            <w:tcW w:w="0" w:type="auto"/>
            <w:tcBorders>
              <w:top w:val="nil"/>
              <w:left w:val="nil"/>
              <w:bottom w:val="nil"/>
              <w:right w:val="nil"/>
            </w:tcBorders>
          </w:tcPr>
          <w:p w14:paraId="45E915E1"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1.5571</w:t>
            </w:r>
          </w:p>
        </w:tc>
        <w:tc>
          <w:tcPr>
            <w:tcW w:w="0" w:type="auto"/>
            <w:tcBorders>
              <w:top w:val="nil"/>
              <w:left w:val="nil"/>
              <w:bottom w:val="nil"/>
              <w:right w:val="nil"/>
            </w:tcBorders>
          </w:tcPr>
          <w:p w14:paraId="19F9216C"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0.</w:t>
            </w:r>
            <w:r w:rsidRPr="00127BD1">
              <w:rPr>
                <w:rFonts w:ascii="Times New Roman" w:hAnsi="Times New Roman" w:cs="Times New Roman" w:hint="eastAsia"/>
                <w:sz w:val="22"/>
                <w:szCs w:val="22"/>
              </w:rPr>
              <w:t>8</w:t>
            </w:r>
            <w:r w:rsidRPr="00127BD1">
              <w:rPr>
                <w:rFonts w:ascii="Times New Roman" w:hAnsi="Times New Roman" w:cs="Times New Roman"/>
                <w:sz w:val="22"/>
                <w:szCs w:val="22"/>
              </w:rPr>
              <w:t>688</w:t>
            </w:r>
          </w:p>
        </w:tc>
        <w:tc>
          <w:tcPr>
            <w:tcW w:w="0" w:type="auto"/>
            <w:tcBorders>
              <w:top w:val="nil"/>
              <w:left w:val="nil"/>
              <w:bottom w:val="nil"/>
              <w:right w:val="nil"/>
            </w:tcBorders>
          </w:tcPr>
          <w:p w14:paraId="0583E70F"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0.6931</w:t>
            </w:r>
          </w:p>
        </w:tc>
        <w:tc>
          <w:tcPr>
            <w:tcW w:w="0" w:type="auto"/>
            <w:tcBorders>
              <w:top w:val="nil"/>
              <w:left w:val="nil"/>
              <w:bottom w:val="nil"/>
              <w:right w:val="nil"/>
            </w:tcBorders>
          </w:tcPr>
          <w:p w14:paraId="3043CE1E" w14:textId="77777777" w:rsidR="00130990" w:rsidRPr="00127BD1" w:rsidRDefault="00130990" w:rsidP="00EC4DE0">
            <w:pPr>
              <w:widowControl w:val="0"/>
              <w:autoSpaceDE w:val="0"/>
              <w:autoSpaceDN w:val="0"/>
              <w:adjustRightInd w:val="0"/>
              <w:rPr>
                <w:rFonts w:ascii="Times New Roman" w:hAnsi="Times New Roman" w:cs="Times New Roman"/>
                <w:sz w:val="22"/>
                <w:szCs w:val="22"/>
              </w:rPr>
            </w:pPr>
            <w:r w:rsidRPr="00127BD1">
              <w:rPr>
                <w:rFonts w:ascii="Times New Roman" w:hAnsi="Times New Roman" w:cs="Times New Roman"/>
                <w:sz w:val="22"/>
                <w:szCs w:val="22"/>
              </w:rPr>
              <w:t>6.1759</w:t>
            </w:r>
          </w:p>
        </w:tc>
      </w:tr>
      <w:tr w:rsidR="00130990" w:rsidRPr="00127BD1" w14:paraId="1B529E73" w14:textId="77777777" w:rsidTr="00EC4DE0">
        <w:trPr>
          <w:trHeight w:val="72"/>
        </w:trPr>
        <w:tc>
          <w:tcPr>
            <w:tcW w:w="0" w:type="auto"/>
            <w:gridSpan w:val="6"/>
            <w:tcBorders>
              <w:top w:val="single" w:sz="6" w:space="0" w:color="auto"/>
              <w:left w:val="nil"/>
              <w:bottom w:val="nil"/>
              <w:right w:val="nil"/>
            </w:tcBorders>
          </w:tcPr>
          <w:p w14:paraId="7DA6F905" w14:textId="77777777" w:rsidR="00130990" w:rsidRPr="00127BD1" w:rsidRDefault="00130990" w:rsidP="00EC4DE0">
            <w:pPr>
              <w:widowControl w:val="0"/>
              <w:autoSpaceDE w:val="0"/>
              <w:autoSpaceDN w:val="0"/>
              <w:adjustRightInd w:val="0"/>
              <w:rPr>
                <w:rFonts w:ascii="Times New Roman" w:hAnsi="Times New Roman" w:cs="Times New Roman"/>
                <w:sz w:val="20"/>
                <w:szCs w:val="20"/>
              </w:rPr>
            </w:pPr>
            <w:r w:rsidRPr="00127BD1">
              <w:rPr>
                <w:rFonts w:ascii="Times New Roman" w:hAnsi="Times New Roman" w:cs="Times New Roman"/>
                <w:sz w:val="20"/>
                <w:szCs w:val="20"/>
              </w:rPr>
              <w:t>Note: All variables are specified in</w:t>
            </w:r>
            <w:r w:rsidR="004D58AF" w:rsidRPr="00127BD1">
              <w:rPr>
                <w:rFonts w:ascii="Times New Roman" w:hAnsi="Times New Roman" w:cs="Times New Roman"/>
                <w:sz w:val="20"/>
                <w:szCs w:val="20"/>
              </w:rPr>
              <w:t xml:space="preserve"> the </w:t>
            </w:r>
            <w:r w:rsidRPr="00127BD1">
              <w:rPr>
                <w:rFonts w:ascii="Times New Roman" w:hAnsi="Times New Roman" w:cs="Times New Roman"/>
                <w:sz w:val="20"/>
                <w:szCs w:val="20"/>
              </w:rPr>
              <w:t>Appendix</w:t>
            </w:r>
            <w:r w:rsidR="004D58AF" w:rsidRPr="00127BD1">
              <w:rPr>
                <w:rFonts w:ascii="Times New Roman" w:hAnsi="Times New Roman" w:cs="Times New Roman"/>
                <w:sz w:val="20"/>
                <w:szCs w:val="20"/>
              </w:rPr>
              <w:t>.</w:t>
            </w:r>
            <w:r w:rsidRPr="00127BD1">
              <w:rPr>
                <w:rFonts w:ascii="Times New Roman" w:hAnsi="Times New Roman" w:cs="Times New Roman"/>
                <w:sz w:val="20"/>
                <w:szCs w:val="20"/>
              </w:rPr>
              <w:t xml:space="preserve"> Except for the AMB, all other variables are expressed in percentage points.</w:t>
            </w:r>
          </w:p>
          <w:p w14:paraId="2E9A7138" w14:textId="77777777" w:rsidR="000A2491" w:rsidRPr="00127BD1" w:rsidRDefault="000A2491" w:rsidP="00EC4DE0">
            <w:pPr>
              <w:widowControl w:val="0"/>
              <w:autoSpaceDE w:val="0"/>
              <w:autoSpaceDN w:val="0"/>
              <w:adjustRightInd w:val="0"/>
              <w:rPr>
                <w:rFonts w:ascii="Times New Roman" w:hAnsi="Times New Roman" w:cs="Times New Roman"/>
                <w:sz w:val="22"/>
                <w:szCs w:val="22"/>
              </w:rPr>
            </w:pPr>
          </w:p>
          <w:p w14:paraId="26BF7E07" w14:textId="255BF951" w:rsidR="000A2491" w:rsidRPr="00127BD1" w:rsidRDefault="000A2491" w:rsidP="00EC4DE0">
            <w:pPr>
              <w:widowControl w:val="0"/>
              <w:autoSpaceDE w:val="0"/>
              <w:autoSpaceDN w:val="0"/>
              <w:adjustRightInd w:val="0"/>
              <w:rPr>
                <w:rFonts w:ascii="Times New Roman" w:hAnsi="Times New Roman" w:cs="Times New Roman"/>
                <w:sz w:val="22"/>
                <w:szCs w:val="22"/>
              </w:rPr>
            </w:pPr>
          </w:p>
        </w:tc>
      </w:tr>
    </w:tbl>
    <w:p w14:paraId="69EB50CB" w14:textId="77777777" w:rsidR="00130990" w:rsidRPr="00127BD1" w:rsidRDefault="00130990" w:rsidP="00130990">
      <w:pPr>
        <w:rPr>
          <w:rFonts w:ascii="Times New Roman" w:hAnsi="Times New Roman" w:cs="Times New Roman"/>
          <w:sz w:val="22"/>
          <w:szCs w:val="22"/>
        </w:rPr>
      </w:pPr>
    </w:p>
    <w:p w14:paraId="2334B3BC" w14:textId="7349018B" w:rsidR="00E76D76" w:rsidRPr="00127BD1" w:rsidRDefault="00E76D76" w:rsidP="00C31CAA">
      <w:pPr>
        <w:spacing w:line="360" w:lineRule="auto"/>
        <w:rPr>
          <w:rFonts w:ascii="Times New Roman" w:hAnsi="Times New Roman" w:cs="Times New Roman"/>
          <w:sz w:val="22"/>
          <w:szCs w:val="22"/>
        </w:rPr>
      </w:pPr>
      <w:r w:rsidRPr="00127BD1">
        <w:rPr>
          <w:rFonts w:ascii="Times New Roman" w:hAnsi="Times New Roman" w:cs="Times New Roman"/>
          <w:b/>
          <w:bCs/>
          <w:sz w:val="22"/>
          <w:szCs w:val="22"/>
        </w:rPr>
        <w:t>Table 1b</w:t>
      </w:r>
      <w:r w:rsidRPr="00127BD1">
        <w:rPr>
          <w:rFonts w:ascii="Times New Roman" w:hAnsi="Times New Roman" w:cs="Times New Roman"/>
          <w:sz w:val="22"/>
          <w:szCs w:val="22"/>
        </w:rPr>
        <w:t xml:space="preserve"> Summary </w:t>
      </w:r>
      <w:r w:rsidR="008C61C6" w:rsidRPr="00127BD1">
        <w:rPr>
          <w:rFonts w:ascii="Times New Roman" w:hAnsi="Times New Roman" w:cs="Times New Roman"/>
          <w:sz w:val="22"/>
          <w:szCs w:val="22"/>
        </w:rPr>
        <w:t>s</w:t>
      </w:r>
      <w:r w:rsidRPr="00127BD1">
        <w:rPr>
          <w:rFonts w:ascii="Times New Roman" w:hAnsi="Times New Roman" w:cs="Times New Roman"/>
          <w:sz w:val="22"/>
          <w:szCs w:val="22"/>
        </w:rPr>
        <w:t>tatistics (panel data)</w:t>
      </w:r>
    </w:p>
    <w:tbl>
      <w:tblPr>
        <w:tblW w:w="5000" w:type="pct"/>
        <w:tblBorders>
          <w:top w:val="single" w:sz="4" w:space="0" w:color="auto"/>
          <w:bottom w:val="single" w:sz="4" w:space="0" w:color="auto"/>
        </w:tblBorders>
        <w:tblLook w:val="04A0" w:firstRow="1" w:lastRow="0" w:firstColumn="1" w:lastColumn="0" w:noHBand="0" w:noVBand="1"/>
      </w:tblPr>
      <w:tblGrid>
        <w:gridCol w:w="1377"/>
        <w:gridCol w:w="1288"/>
        <w:gridCol w:w="1275"/>
        <w:gridCol w:w="1275"/>
        <w:gridCol w:w="1275"/>
        <w:gridCol w:w="1398"/>
        <w:gridCol w:w="1858"/>
      </w:tblGrid>
      <w:tr w:rsidR="00E76D76" w:rsidRPr="00127BD1" w14:paraId="205C27BD" w14:textId="77777777" w:rsidTr="00E76D76">
        <w:trPr>
          <w:trHeight w:val="300"/>
        </w:trPr>
        <w:tc>
          <w:tcPr>
            <w:tcW w:w="706" w:type="pct"/>
            <w:tcBorders>
              <w:top w:val="single" w:sz="4" w:space="0" w:color="auto"/>
              <w:bottom w:val="single" w:sz="4" w:space="0" w:color="auto"/>
            </w:tcBorders>
            <w:noWrap/>
            <w:vAlign w:val="bottom"/>
            <w:hideMark/>
          </w:tcPr>
          <w:p w14:paraId="37DFFF0D"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Variable</w:t>
            </w:r>
          </w:p>
        </w:tc>
        <w:tc>
          <w:tcPr>
            <w:tcW w:w="661" w:type="pct"/>
            <w:tcBorders>
              <w:top w:val="single" w:sz="4" w:space="0" w:color="auto"/>
              <w:bottom w:val="single" w:sz="4" w:space="0" w:color="auto"/>
            </w:tcBorders>
            <w:noWrap/>
            <w:vAlign w:val="bottom"/>
            <w:hideMark/>
          </w:tcPr>
          <w:p w14:paraId="274861B4" w14:textId="77777777" w:rsidR="00E76D76" w:rsidRPr="00127BD1" w:rsidRDefault="00E76D76" w:rsidP="00E76D76">
            <w:pPr>
              <w:rPr>
                <w:rFonts w:ascii="Times New Roman" w:eastAsia="Times New Roman" w:hAnsi="Times New Roman" w:cs="Times New Roman"/>
                <w:sz w:val="22"/>
                <w:szCs w:val="22"/>
              </w:rPr>
            </w:pPr>
          </w:p>
        </w:tc>
        <w:tc>
          <w:tcPr>
            <w:tcW w:w="654" w:type="pct"/>
            <w:tcBorders>
              <w:top w:val="single" w:sz="4" w:space="0" w:color="auto"/>
              <w:bottom w:val="single" w:sz="4" w:space="0" w:color="auto"/>
            </w:tcBorders>
            <w:noWrap/>
            <w:vAlign w:val="bottom"/>
            <w:hideMark/>
          </w:tcPr>
          <w:p w14:paraId="1ED8F0E9"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Mean</w:t>
            </w:r>
          </w:p>
        </w:tc>
        <w:tc>
          <w:tcPr>
            <w:tcW w:w="654" w:type="pct"/>
            <w:tcBorders>
              <w:top w:val="single" w:sz="4" w:space="0" w:color="auto"/>
              <w:bottom w:val="single" w:sz="4" w:space="0" w:color="auto"/>
            </w:tcBorders>
            <w:noWrap/>
            <w:vAlign w:val="bottom"/>
            <w:hideMark/>
          </w:tcPr>
          <w:p w14:paraId="039EEF2B"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Std. dev.</w:t>
            </w:r>
          </w:p>
        </w:tc>
        <w:tc>
          <w:tcPr>
            <w:tcW w:w="654" w:type="pct"/>
            <w:tcBorders>
              <w:top w:val="single" w:sz="4" w:space="0" w:color="auto"/>
              <w:bottom w:val="single" w:sz="4" w:space="0" w:color="auto"/>
            </w:tcBorders>
            <w:noWrap/>
            <w:vAlign w:val="bottom"/>
            <w:hideMark/>
          </w:tcPr>
          <w:p w14:paraId="0349F3E8"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Min</w:t>
            </w:r>
          </w:p>
        </w:tc>
        <w:tc>
          <w:tcPr>
            <w:tcW w:w="717" w:type="pct"/>
            <w:tcBorders>
              <w:top w:val="single" w:sz="4" w:space="0" w:color="auto"/>
              <w:bottom w:val="single" w:sz="4" w:space="0" w:color="auto"/>
            </w:tcBorders>
            <w:noWrap/>
            <w:vAlign w:val="bottom"/>
            <w:hideMark/>
          </w:tcPr>
          <w:p w14:paraId="471EAFFF"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Max</w:t>
            </w:r>
          </w:p>
        </w:tc>
        <w:tc>
          <w:tcPr>
            <w:tcW w:w="953" w:type="pct"/>
            <w:tcBorders>
              <w:top w:val="single" w:sz="4" w:space="0" w:color="auto"/>
              <w:bottom w:val="single" w:sz="4" w:space="0" w:color="auto"/>
            </w:tcBorders>
            <w:noWrap/>
            <w:vAlign w:val="bottom"/>
            <w:hideMark/>
          </w:tcPr>
          <w:p w14:paraId="7F52A3A0"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Observations</w:t>
            </w:r>
          </w:p>
        </w:tc>
      </w:tr>
      <w:tr w:rsidR="00E76D76" w:rsidRPr="00127BD1" w14:paraId="0075710F" w14:textId="77777777" w:rsidTr="00E76D76">
        <w:trPr>
          <w:trHeight w:val="300"/>
        </w:trPr>
        <w:tc>
          <w:tcPr>
            <w:tcW w:w="706" w:type="pct"/>
            <w:tcBorders>
              <w:top w:val="single" w:sz="4" w:space="0" w:color="auto"/>
            </w:tcBorders>
            <w:noWrap/>
            <w:vAlign w:val="bottom"/>
            <w:hideMark/>
          </w:tcPr>
          <w:p w14:paraId="0A6D45D2"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hAnsi="Times New Roman" w:cs="Times New Roman"/>
                <w:sz w:val="22"/>
                <w:szCs w:val="22"/>
              </w:rPr>
              <w:t>GCLAIM</w:t>
            </w:r>
          </w:p>
        </w:tc>
        <w:tc>
          <w:tcPr>
            <w:tcW w:w="661" w:type="pct"/>
            <w:tcBorders>
              <w:top w:val="single" w:sz="4" w:space="0" w:color="auto"/>
            </w:tcBorders>
            <w:noWrap/>
            <w:vAlign w:val="bottom"/>
            <w:hideMark/>
          </w:tcPr>
          <w:p w14:paraId="1D1C39B2"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overall</w:t>
            </w:r>
          </w:p>
        </w:tc>
        <w:tc>
          <w:tcPr>
            <w:tcW w:w="654" w:type="pct"/>
            <w:tcBorders>
              <w:top w:val="single" w:sz="4" w:space="0" w:color="auto"/>
            </w:tcBorders>
            <w:noWrap/>
            <w:vAlign w:val="bottom"/>
            <w:hideMark/>
          </w:tcPr>
          <w:p w14:paraId="5EDE222D"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0.0390</w:t>
            </w:r>
          </w:p>
        </w:tc>
        <w:tc>
          <w:tcPr>
            <w:tcW w:w="654" w:type="pct"/>
            <w:tcBorders>
              <w:top w:val="single" w:sz="4" w:space="0" w:color="auto"/>
            </w:tcBorders>
            <w:noWrap/>
            <w:vAlign w:val="bottom"/>
            <w:hideMark/>
          </w:tcPr>
          <w:p w14:paraId="0AD20140"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0.3363</w:t>
            </w:r>
          </w:p>
        </w:tc>
        <w:tc>
          <w:tcPr>
            <w:tcW w:w="654" w:type="pct"/>
            <w:tcBorders>
              <w:top w:val="single" w:sz="4" w:space="0" w:color="auto"/>
            </w:tcBorders>
            <w:noWrap/>
            <w:vAlign w:val="bottom"/>
            <w:hideMark/>
          </w:tcPr>
          <w:p w14:paraId="3586B31E"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-0.8115</w:t>
            </w:r>
          </w:p>
        </w:tc>
        <w:tc>
          <w:tcPr>
            <w:tcW w:w="717" w:type="pct"/>
            <w:tcBorders>
              <w:top w:val="single" w:sz="4" w:space="0" w:color="auto"/>
            </w:tcBorders>
            <w:noWrap/>
            <w:vAlign w:val="bottom"/>
            <w:hideMark/>
          </w:tcPr>
          <w:p w14:paraId="0B924897"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1.6754</w:t>
            </w:r>
          </w:p>
        </w:tc>
        <w:tc>
          <w:tcPr>
            <w:tcW w:w="953" w:type="pct"/>
            <w:tcBorders>
              <w:top w:val="single" w:sz="4" w:space="0" w:color="auto"/>
            </w:tcBorders>
            <w:noWrap/>
            <w:vAlign w:val="bottom"/>
            <w:hideMark/>
          </w:tcPr>
          <w:p w14:paraId="05F76F4C"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N = 138,377</w:t>
            </w:r>
          </w:p>
        </w:tc>
      </w:tr>
      <w:tr w:rsidR="00E76D76" w:rsidRPr="00127BD1" w14:paraId="56757D7F" w14:textId="77777777" w:rsidTr="00E76D76">
        <w:trPr>
          <w:trHeight w:val="300"/>
        </w:trPr>
        <w:tc>
          <w:tcPr>
            <w:tcW w:w="706" w:type="pct"/>
            <w:noWrap/>
            <w:vAlign w:val="bottom"/>
            <w:hideMark/>
          </w:tcPr>
          <w:p w14:paraId="347EF3A3" w14:textId="77777777" w:rsidR="00E76D76" w:rsidRPr="00127BD1" w:rsidRDefault="00E76D76" w:rsidP="00E76D76">
            <w:pPr>
              <w:rPr>
                <w:rFonts w:ascii="Times New Roman" w:eastAsia="Times New Roman" w:hAnsi="Times New Roman" w:cs="Times New Roman"/>
                <w:sz w:val="22"/>
                <w:szCs w:val="22"/>
              </w:rPr>
            </w:pPr>
          </w:p>
        </w:tc>
        <w:tc>
          <w:tcPr>
            <w:tcW w:w="661" w:type="pct"/>
            <w:noWrap/>
            <w:vAlign w:val="bottom"/>
            <w:hideMark/>
          </w:tcPr>
          <w:p w14:paraId="05558DFC"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between</w:t>
            </w:r>
          </w:p>
        </w:tc>
        <w:tc>
          <w:tcPr>
            <w:tcW w:w="654" w:type="pct"/>
            <w:noWrap/>
            <w:vAlign w:val="bottom"/>
            <w:hideMark/>
          </w:tcPr>
          <w:p w14:paraId="3E34AC64" w14:textId="77777777" w:rsidR="00E76D76" w:rsidRPr="00127BD1" w:rsidRDefault="00E76D76" w:rsidP="00E76D76">
            <w:pPr>
              <w:rPr>
                <w:rFonts w:ascii="Times New Roman" w:eastAsia="Times New Roman" w:hAnsi="Times New Roman" w:cs="Times New Roman"/>
                <w:sz w:val="22"/>
                <w:szCs w:val="22"/>
              </w:rPr>
            </w:pPr>
          </w:p>
        </w:tc>
        <w:tc>
          <w:tcPr>
            <w:tcW w:w="654" w:type="pct"/>
            <w:noWrap/>
            <w:vAlign w:val="bottom"/>
            <w:hideMark/>
          </w:tcPr>
          <w:p w14:paraId="05C63E21"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0.1122</w:t>
            </w:r>
          </w:p>
        </w:tc>
        <w:tc>
          <w:tcPr>
            <w:tcW w:w="654" w:type="pct"/>
            <w:noWrap/>
            <w:vAlign w:val="bottom"/>
            <w:hideMark/>
          </w:tcPr>
          <w:p w14:paraId="214A1FDA"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-0.8114</w:t>
            </w:r>
          </w:p>
        </w:tc>
        <w:tc>
          <w:tcPr>
            <w:tcW w:w="717" w:type="pct"/>
            <w:noWrap/>
            <w:vAlign w:val="bottom"/>
            <w:hideMark/>
          </w:tcPr>
          <w:p w14:paraId="33B4B9F3"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1.3585</w:t>
            </w:r>
          </w:p>
        </w:tc>
        <w:tc>
          <w:tcPr>
            <w:tcW w:w="953" w:type="pct"/>
            <w:noWrap/>
            <w:vAlign w:val="bottom"/>
            <w:hideMark/>
          </w:tcPr>
          <w:p w14:paraId="374E6B41"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n = 2,525</w:t>
            </w:r>
          </w:p>
        </w:tc>
      </w:tr>
      <w:tr w:rsidR="00E76D76" w:rsidRPr="00127BD1" w14:paraId="5EB2C747" w14:textId="77777777" w:rsidTr="00E76D76">
        <w:trPr>
          <w:trHeight w:val="300"/>
        </w:trPr>
        <w:tc>
          <w:tcPr>
            <w:tcW w:w="706" w:type="pct"/>
            <w:noWrap/>
            <w:vAlign w:val="bottom"/>
            <w:hideMark/>
          </w:tcPr>
          <w:p w14:paraId="745C45A7" w14:textId="77777777" w:rsidR="00E76D76" w:rsidRPr="00127BD1" w:rsidRDefault="00E76D76" w:rsidP="00E76D76">
            <w:pPr>
              <w:rPr>
                <w:rFonts w:ascii="Times New Roman" w:eastAsia="Times New Roman" w:hAnsi="Times New Roman" w:cs="Times New Roman"/>
                <w:sz w:val="22"/>
                <w:szCs w:val="22"/>
              </w:rPr>
            </w:pPr>
          </w:p>
        </w:tc>
        <w:tc>
          <w:tcPr>
            <w:tcW w:w="661" w:type="pct"/>
            <w:noWrap/>
            <w:vAlign w:val="bottom"/>
            <w:hideMark/>
          </w:tcPr>
          <w:p w14:paraId="12E913AD"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within</w:t>
            </w:r>
          </w:p>
        </w:tc>
        <w:tc>
          <w:tcPr>
            <w:tcW w:w="654" w:type="pct"/>
            <w:noWrap/>
            <w:vAlign w:val="bottom"/>
            <w:hideMark/>
          </w:tcPr>
          <w:p w14:paraId="12A49F01" w14:textId="77777777" w:rsidR="00E76D76" w:rsidRPr="00127BD1" w:rsidRDefault="00E76D76" w:rsidP="00E76D76">
            <w:pPr>
              <w:rPr>
                <w:rFonts w:ascii="Times New Roman" w:eastAsia="Times New Roman" w:hAnsi="Times New Roman" w:cs="Times New Roman"/>
                <w:sz w:val="22"/>
                <w:szCs w:val="22"/>
              </w:rPr>
            </w:pPr>
          </w:p>
        </w:tc>
        <w:tc>
          <w:tcPr>
            <w:tcW w:w="654" w:type="pct"/>
            <w:noWrap/>
            <w:vAlign w:val="bottom"/>
            <w:hideMark/>
          </w:tcPr>
          <w:p w14:paraId="5074A3F5"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0.3333</w:t>
            </w:r>
          </w:p>
        </w:tc>
        <w:tc>
          <w:tcPr>
            <w:tcW w:w="654" w:type="pct"/>
            <w:noWrap/>
            <w:vAlign w:val="bottom"/>
            <w:hideMark/>
          </w:tcPr>
          <w:p w14:paraId="25C2C97E"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-1.3427</w:t>
            </w:r>
          </w:p>
        </w:tc>
        <w:tc>
          <w:tcPr>
            <w:tcW w:w="717" w:type="pct"/>
            <w:noWrap/>
            <w:vAlign w:val="bottom"/>
            <w:hideMark/>
          </w:tcPr>
          <w:p w14:paraId="3CB8B84C"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1.9049</w:t>
            </w:r>
          </w:p>
        </w:tc>
        <w:tc>
          <w:tcPr>
            <w:tcW w:w="953" w:type="pct"/>
            <w:noWrap/>
            <w:vAlign w:val="bottom"/>
            <w:hideMark/>
          </w:tcPr>
          <w:p w14:paraId="15830711"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T-bar = 54.8028</w:t>
            </w:r>
          </w:p>
        </w:tc>
      </w:tr>
      <w:tr w:rsidR="00E76D76" w:rsidRPr="00127BD1" w14:paraId="3C33BA8D" w14:textId="77777777" w:rsidTr="00E76D76">
        <w:trPr>
          <w:trHeight w:val="300"/>
        </w:trPr>
        <w:tc>
          <w:tcPr>
            <w:tcW w:w="706" w:type="pct"/>
            <w:noWrap/>
            <w:vAlign w:val="bottom"/>
            <w:hideMark/>
          </w:tcPr>
          <w:p w14:paraId="0B93E02A"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hAnsi="Times New Roman" w:cs="Times New Roman"/>
                <w:sz w:val="22"/>
                <w:szCs w:val="22"/>
              </w:rPr>
              <w:t>AMB</w:t>
            </w:r>
          </w:p>
        </w:tc>
        <w:tc>
          <w:tcPr>
            <w:tcW w:w="661" w:type="pct"/>
            <w:noWrap/>
            <w:vAlign w:val="bottom"/>
            <w:hideMark/>
          </w:tcPr>
          <w:p w14:paraId="430B57EA"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overall</w:t>
            </w:r>
          </w:p>
        </w:tc>
        <w:tc>
          <w:tcPr>
            <w:tcW w:w="654" w:type="pct"/>
            <w:noWrap/>
            <w:vAlign w:val="bottom"/>
            <w:hideMark/>
          </w:tcPr>
          <w:p w14:paraId="25388FBD"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0.9822</w:t>
            </w:r>
          </w:p>
        </w:tc>
        <w:tc>
          <w:tcPr>
            <w:tcW w:w="654" w:type="pct"/>
            <w:noWrap/>
            <w:vAlign w:val="bottom"/>
            <w:hideMark/>
          </w:tcPr>
          <w:p w14:paraId="05EF1670"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0.3431</w:t>
            </w:r>
          </w:p>
        </w:tc>
        <w:tc>
          <w:tcPr>
            <w:tcW w:w="654" w:type="pct"/>
            <w:noWrap/>
            <w:vAlign w:val="bottom"/>
            <w:hideMark/>
          </w:tcPr>
          <w:p w14:paraId="403C72D2"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0.3783</w:t>
            </w:r>
          </w:p>
        </w:tc>
        <w:tc>
          <w:tcPr>
            <w:tcW w:w="717" w:type="pct"/>
            <w:noWrap/>
            <w:vAlign w:val="bottom"/>
            <w:hideMark/>
          </w:tcPr>
          <w:p w14:paraId="6A0DBB9A"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2.7651</w:t>
            </w:r>
          </w:p>
        </w:tc>
        <w:tc>
          <w:tcPr>
            <w:tcW w:w="953" w:type="pct"/>
            <w:noWrap/>
            <w:vAlign w:val="bottom"/>
            <w:hideMark/>
          </w:tcPr>
          <w:p w14:paraId="2BE2F091"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N = 187,443</w:t>
            </w:r>
          </w:p>
        </w:tc>
      </w:tr>
      <w:tr w:rsidR="00E76D76" w:rsidRPr="00127BD1" w14:paraId="1E095868" w14:textId="77777777" w:rsidTr="00E76D76">
        <w:trPr>
          <w:trHeight w:val="300"/>
        </w:trPr>
        <w:tc>
          <w:tcPr>
            <w:tcW w:w="706" w:type="pct"/>
            <w:noWrap/>
            <w:vAlign w:val="bottom"/>
            <w:hideMark/>
          </w:tcPr>
          <w:p w14:paraId="27887ED4" w14:textId="77777777" w:rsidR="00E76D76" w:rsidRPr="00127BD1" w:rsidRDefault="00E76D76" w:rsidP="00E76D76">
            <w:pPr>
              <w:rPr>
                <w:rFonts w:ascii="Times New Roman" w:eastAsia="Times New Roman" w:hAnsi="Times New Roman" w:cs="Times New Roman"/>
                <w:sz w:val="22"/>
                <w:szCs w:val="22"/>
              </w:rPr>
            </w:pPr>
          </w:p>
        </w:tc>
        <w:tc>
          <w:tcPr>
            <w:tcW w:w="661" w:type="pct"/>
            <w:noWrap/>
            <w:vAlign w:val="bottom"/>
            <w:hideMark/>
          </w:tcPr>
          <w:p w14:paraId="3A76490F"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between</w:t>
            </w:r>
          </w:p>
        </w:tc>
        <w:tc>
          <w:tcPr>
            <w:tcW w:w="654" w:type="pct"/>
            <w:noWrap/>
            <w:vAlign w:val="bottom"/>
            <w:hideMark/>
          </w:tcPr>
          <w:p w14:paraId="66DD8735" w14:textId="77777777" w:rsidR="00E76D76" w:rsidRPr="00127BD1" w:rsidRDefault="00E76D76" w:rsidP="00E76D76">
            <w:pPr>
              <w:rPr>
                <w:rFonts w:ascii="Times New Roman" w:eastAsia="Times New Roman" w:hAnsi="Times New Roman" w:cs="Times New Roman"/>
                <w:sz w:val="22"/>
                <w:szCs w:val="22"/>
              </w:rPr>
            </w:pPr>
          </w:p>
        </w:tc>
        <w:tc>
          <w:tcPr>
            <w:tcW w:w="654" w:type="pct"/>
            <w:noWrap/>
            <w:vAlign w:val="bottom"/>
            <w:hideMark/>
          </w:tcPr>
          <w:p w14:paraId="5B98F663"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0.1836</w:t>
            </w:r>
          </w:p>
        </w:tc>
        <w:tc>
          <w:tcPr>
            <w:tcW w:w="654" w:type="pct"/>
            <w:noWrap/>
            <w:vAlign w:val="bottom"/>
            <w:hideMark/>
          </w:tcPr>
          <w:p w14:paraId="163110A7"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0.4426</w:t>
            </w:r>
          </w:p>
        </w:tc>
        <w:tc>
          <w:tcPr>
            <w:tcW w:w="717" w:type="pct"/>
            <w:noWrap/>
            <w:vAlign w:val="bottom"/>
            <w:hideMark/>
          </w:tcPr>
          <w:p w14:paraId="7358A497"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1.7220</w:t>
            </w:r>
          </w:p>
        </w:tc>
        <w:tc>
          <w:tcPr>
            <w:tcW w:w="953" w:type="pct"/>
            <w:noWrap/>
            <w:vAlign w:val="bottom"/>
            <w:hideMark/>
          </w:tcPr>
          <w:p w14:paraId="2AAF3176"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n = 3,513</w:t>
            </w:r>
          </w:p>
        </w:tc>
      </w:tr>
      <w:tr w:rsidR="00E76D76" w:rsidRPr="00127BD1" w14:paraId="563A93D9" w14:textId="77777777" w:rsidTr="00E76D76">
        <w:trPr>
          <w:trHeight w:val="300"/>
        </w:trPr>
        <w:tc>
          <w:tcPr>
            <w:tcW w:w="706" w:type="pct"/>
            <w:noWrap/>
            <w:vAlign w:val="bottom"/>
            <w:hideMark/>
          </w:tcPr>
          <w:p w14:paraId="67914DC5" w14:textId="77777777" w:rsidR="00E76D76" w:rsidRPr="00127BD1" w:rsidRDefault="00E76D76" w:rsidP="00E76D76">
            <w:pPr>
              <w:rPr>
                <w:rFonts w:ascii="Times New Roman" w:eastAsia="Times New Roman" w:hAnsi="Times New Roman" w:cs="Times New Roman"/>
                <w:sz w:val="22"/>
                <w:szCs w:val="22"/>
              </w:rPr>
            </w:pPr>
          </w:p>
        </w:tc>
        <w:tc>
          <w:tcPr>
            <w:tcW w:w="661" w:type="pct"/>
            <w:noWrap/>
            <w:vAlign w:val="bottom"/>
            <w:hideMark/>
          </w:tcPr>
          <w:p w14:paraId="4C615D0D"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within</w:t>
            </w:r>
          </w:p>
        </w:tc>
        <w:tc>
          <w:tcPr>
            <w:tcW w:w="654" w:type="pct"/>
            <w:noWrap/>
            <w:vAlign w:val="bottom"/>
            <w:hideMark/>
          </w:tcPr>
          <w:p w14:paraId="4E3B976F" w14:textId="77777777" w:rsidR="00E76D76" w:rsidRPr="00127BD1" w:rsidRDefault="00E76D76" w:rsidP="00E76D76">
            <w:pPr>
              <w:rPr>
                <w:rFonts w:ascii="Times New Roman" w:eastAsia="Times New Roman" w:hAnsi="Times New Roman" w:cs="Times New Roman"/>
                <w:sz w:val="22"/>
                <w:szCs w:val="22"/>
              </w:rPr>
            </w:pPr>
          </w:p>
        </w:tc>
        <w:tc>
          <w:tcPr>
            <w:tcW w:w="654" w:type="pct"/>
            <w:noWrap/>
            <w:vAlign w:val="bottom"/>
            <w:hideMark/>
          </w:tcPr>
          <w:p w14:paraId="5F2D63C0"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0.3123</w:t>
            </w:r>
          </w:p>
        </w:tc>
        <w:tc>
          <w:tcPr>
            <w:tcW w:w="654" w:type="pct"/>
            <w:noWrap/>
            <w:vAlign w:val="bottom"/>
            <w:hideMark/>
          </w:tcPr>
          <w:p w14:paraId="6B58A233"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-0.0595</w:t>
            </w:r>
          </w:p>
        </w:tc>
        <w:tc>
          <w:tcPr>
            <w:tcW w:w="717" w:type="pct"/>
            <w:noWrap/>
            <w:vAlign w:val="bottom"/>
            <w:hideMark/>
          </w:tcPr>
          <w:p w14:paraId="42537C7B"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2.6556</w:t>
            </w:r>
          </w:p>
        </w:tc>
        <w:tc>
          <w:tcPr>
            <w:tcW w:w="953" w:type="pct"/>
            <w:noWrap/>
            <w:vAlign w:val="bottom"/>
            <w:hideMark/>
          </w:tcPr>
          <w:p w14:paraId="17DB6190"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T-bar = 53.357</w:t>
            </w:r>
          </w:p>
        </w:tc>
      </w:tr>
      <w:tr w:rsidR="00E76D76" w:rsidRPr="00127BD1" w14:paraId="4A0D24D4" w14:textId="77777777" w:rsidTr="00E76D76">
        <w:trPr>
          <w:trHeight w:val="300"/>
        </w:trPr>
        <w:tc>
          <w:tcPr>
            <w:tcW w:w="706" w:type="pct"/>
            <w:noWrap/>
            <w:vAlign w:val="bottom"/>
            <w:hideMark/>
          </w:tcPr>
          <w:p w14:paraId="2046D110"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RGDPG</w:t>
            </w:r>
          </w:p>
        </w:tc>
        <w:tc>
          <w:tcPr>
            <w:tcW w:w="661" w:type="pct"/>
            <w:noWrap/>
            <w:vAlign w:val="bottom"/>
            <w:hideMark/>
          </w:tcPr>
          <w:p w14:paraId="57CF157F"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overall</w:t>
            </w:r>
          </w:p>
        </w:tc>
        <w:tc>
          <w:tcPr>
            <w:tcW w:w="654" w:type="pct"/>
            <w:noWrap/>
            <w:vAlign w:val="bottom"/>
            <w:hideMark/>
          </w:tcPr>
          <w:p w14:paraId="3E789C4D"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0.4982</w:t>
            </w:r>
          </w:p>
        </w:tc>
        <w:tc>
          <w:tcPr>
            <w:tcW w:w="654" w:type="pct"/>
            <w:noWrap/>
            <w:vAlign w:val="bottom"/>
            <w:hideMark/>
          </w:tcPr>
          <w:p w14:paraId="341116C8"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2.2176</w:t>
            </w:r>
          </w:p>
        </w:tc>
        <w:tc>
          <w:tcPr>
            <w:tcW w:w="654" w:type="pct"/>
            <w:noWrap/>
            <w:vAlign w:val="bottom"/>
            <w:hideMark/>
          </w:tcPr>
          <w:p w14:paraId="0EA3C436"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-20.9914</w:t>
            </w:r>
          </w:p>
        </w:tc>
        <w:tc>
          <w:tcPr>
            <w:tcW w:w="717" w:type="pct"/>
            <w:noWrap/>
            <w:vAlign w:val="bottom"/>
            <w:hideMark/>
          </w:tcPr>
          <w:p w14:paraId="3BAAFF05"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20.9949</w:t>
            </w:r>
          </w:p>
        </w:tc>
        <w:tc>
          <w:tcPr>
            <w:tcW w:w="953" w:type="pct"/>
            <w:noWrap/>
            <w:vAlign w:val="bottom"/>
            <w:hideMark/>
          </w:tcPr>
          <w:p w14:paraId="2A062D86"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N = 187,443</w:t>
            </w:r>
          </w:p>
        </w:tc>
      </w:tr>
      <w:tr w:rsidR="00E76D76" w:rsidRPr="00127BD1" w14:paraId="2DC2E07D" w14:textId="77777777" w:rsidTr="00E76D76">
        <w:trPr>
          <w:trHeight w:val="300"/>
        </w:trPr>
        <w:tc>
          <w:tcPr>
            <w:tcW w:w="706" w:type="pct"/>
            <w:noWrap/>
            <w:vAlign w:val="bottom"/>
            <w:hideMark/>
          </w:tcPr>
          <w:p w14:paraId="754AA6DD" w14:textId="77777777" w:rsidR="00E76D76" w:rsidRPr="00127BD1" w:rsidRDefault="00E76D76" w:rsidP="00E76D76">
            <w:pPr>
              <w:rPr>
                <w:rFonts w:ascii="Times New Roman" w:eastAsia="Times New Roman" w:hAnsi="Times New Roman" w:cs="Times New Roman"/>
                <w:sz w:val="22"/>
                <w:szCs w:val="22"/>
              </w:rPr>
            </w:pPr>
          </w:p>
        </w:tc>
        <w:tc>
          <w:tcPr>
            <w:tcW w:w="661" w:type="pct"/>
            <w:noWrap/>
            <w:vAlign w:val="bottom"/>
            <w:hideMark/>
          </w:tcPr>
          <w:p w14:paraId="4BF061EC"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between</w:t>
            </w:r>
          </w:p>
        </w:tc>
        <w:tc>
          <w:tcPr>
            <w:tcW w:w="654" w:type="pct"/>
            <w:noWrap/>
            <w:vAlign w:val="bottom"/>
            <w:hideMark/>
          </w:tcPr>
          <w:p w14:paraId="5FE97B77" w14:textId="77777777" w:rsidR="00E76D76" w:rsidRPr="00127BD1" w:rsidRDefault="00E76D76" w:rsidP="00E76D76">
            <w:pPr>
              <w:rPr>
                <w:rFonts w:ascii="Times New Roman" w:eastAsia="Times New Roman" w:hAnsi="Times New Roman" w:cs="Times New Roman"/>
                <w:sz w:val="22"/>
                <w:szCs w:val="22"/>
              </w:rPr>
            </w:pPr>
          </w:p>
        </w:tc>
        <w:tc>
          <w:tcPr>
            <w:tcW w:w="654" w:type="pct"/>
            <w:noWrap/>
            <w:vAlign w:val="bottom"/>
            <w:hideMark/>
          </w:tcPr>
          <w:p w14:paraId="1B32712E"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0.6108</w:t>
            </w:r>
          </w:p>
        </w:tc>
        <w:tc>
          <w:tcPr>
            <w:tcW w:w="654" w:type="pct"/>
            <w:noWrap/>
            <w:vAlign w:val="bottom"/>
            <w:hideMark/>
          </w:tcPr>
          <w:p w14:paraId="792CA93B"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-9.3965</w:t>
            </w:r>
          </w:p>
        </w:tc>
        <w:tc>
          <w:tcPr>
            <w:tcW w:w="717" w:type="pct"/>
            <w:noWrap/>
            <w:vAlign w:val="bottom"/>
            <w:hideMark/>
          </w:tcPr>
          <w:p w14:paraId="41652D20"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16.6379</w:t>
            </w:r>
          </w:p>
        </w:tc>
        <w:tc>
          <w:tcPr>
            <w:tcW w:w="953" w:type="pct"/>
            <w:noWrap/>
            <w:vAlign w:val="bottom"/>
            <w:hideMark/>
          </w:tcPr>
          <w:p w14:paraId="618105A8"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n = 3,513</w:t>
            </w:r>
          </w:p>
        </w:tc>
      </w:tr>
      <w:tr w:rsidR="00E76D76" w:rsidRPr="00127BD1" w14:paraId="1AFAEA6C" w14:textId="77777777" w:rsidTr="00E76D76">
        <w:trPr>
          <w:trHeight w:val="300"/>
        </w:trPr>
        <w:tc>
          <w:tcPr>
            <w:tcW w:w="706" w:type="pct"/>
            <w:noWrap/>
            <w:vAlign w:val="bottom"/>
            <w:hideMark/>
          </w:tcPr>
          <w:p w14:paraId="282AE8D0" w14:textId="77777777" w:rsidR="00E76D76" w:rsidRPr="00127BD1" w:rsidRDefault="00E76D76" w:rsidP="00E76D76">
            <w:pPr>
              <w:rPr>
                <w:rFonts w:ascii="Times New Roman" w:eastAsia="Times New Roman" w:hAnsi="Times New Roman" w:cs="Times New Roman"/>
                <w:sz w:val="22"/>
                <w:szCs w:val="22"/>
              </w:rPr>
            </w:pPr>
          </w:p>
        </w:tc>
        <w:tc>
          <w:tcPr>
            <w:tcW w:w="661" w:type="pct"/>
            <w:noWrap/>
            <w:vAlign w:val="bottom"/>
            <w:hideMark/>
          </w:tcPr>
          <w:p w14:paraId="11323F65"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within</w:t>
            </w:r>
          </w:p>
        </w:tc>
        <w:tc>
          <w:tcPr>
            <w:tcW w:w="654" w:type="pct"/>
            <w:noWrap/>
            <w:vAlign w:val="bottom"/>
            <w:hideMark/>
          </w:tcPr>
          <w:p w14:paraId="4FB6B246" w14:textId="77777777" w:rsidR="00E76D76" w:rsidRPr="00127BD1" w:rsidRDefault="00E76D76" w:rsidP="00E76D76">
            <w:pPr>
              <w:rPr>
                <w:rFonts w:ascii="Times New Roman" w:eastAsia="Times New Roman" w:hAnsi="Times New Roman" w:cs="Times New Roman"/>
                <w:sz w:val="22"/>
                <w:szCs w:val="22"/>
              </w:rPr>
            </w:pPr>
          </w:p>
        </w:tc>
        <w:tc>
          <w:tcPr>
            <w:tcW w:w="654" w:type="pct"/>
            <w:noWrap/>
            <w:vAlign w:val="bottom"/>
            <w:hideMark/>
          </w:tcPr>
          <w:p w14:paraId="2EE20431"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2.1913</w:t>
            </w:r>
          </w:p>
        </w:tc>
        <w:tc>
          <w:tcPr>
            <w:tcW w:w="654" w:type="pct"/>
            <w:noWrap/>
            <w:vAlign w:val="bottom"/>
            <w:hideMark/>
          </w:tcPr>
          <w:p w14:paraId="2FC7A0B2"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-21.0947</w:t>
            </w:r>
          </w:p>
        </w:tc>
        <w:tc>
          <w:tcPr>
            <w:tcW w:w="717" w:type="pct"/>
            <w:noWrap/>
            <w:vAlign w:val="bottom"/>
            <w:hideMark/>
          </w:tcPr>
          <w:p w14:paraId="186C9ECA"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20.3478</w:t>
            </w:r>
          </w:p>
        </w:tc>
        <w:tc>
          <w:tcPr>
            <w:tcW w:w="953" w:type="pct"/>
            <w:noWrap/>
            <w:vAlign w:val="bottom"/>
            <w:hideMark/>
          </w:tcPr>
          <w:p w14:paraId="1A1461DC"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T-bar = 53.357</w:t>
            </w:r>
          </w:p>
        </w:tc>
      </w:tr>
      <w:tr w:rsidR="00E76D76" w:rsidRPr="00127BD1" w14:paraId="512F391D" w14:textId="77777777" w:rsidTr="00E76D76">
        <w:trPr>
          <w:trHeight w:val="300"/>
        </w:trPr>
        <w:tc>
          <w:tcPr>
            <w:tcW w:w="706" w:type="pct"/>
            <w:noWrap/>
            <w:vAlign w:val="bottom"/>
            <w:hideMark/>
          </w:tcPr>
          <w:p w14:paraId="26FFFF3D"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hAnsi="Times New Roman" w:cs="Times New Roman"/>
                <w:sz w:val="22"/>
                <w:szCs w:val="22"/>
              </w:rPr>
              <w:t>INFLA</w:t>
            </w:r>
          </w:p>
        </w:tc>
        <w:tc>
          <w:tcPr>
            <w:tcW w:w="661" w:type="pct"/>
            <w:noWrap/>
            <w:vAlign w:val="bottom"/>
            <w:hideMark/>
          </w:tcPr>
          <w:p w14:paraId="45EF7E02"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overall</w:t>
            </w:r>
          </w:p>
        </w:tc>
        <w:tc>
          <w:tcPr>
            <w:tcW w:w="654" w:type="pct"/>
            <w:noWrap/>
            <w:vAlign w:val="bottom"/>
            <w:hideMark/>
          </w:tcPr>
          <w:p w14:paraId="0FC1EB12"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99.7627</w:t>
            </w:r>
          </w:p>
        </w:tc>
        <w:tc>
          <w:tcPr>
            <w:tcW w:w="654" w:type="pct"/>
            <w:noWrap/>
            <w:vAlign w:val="bottom"/>
            <w:hideMark/>
          </w:tcPr>
          <w:p w14:paraId="1D63CAF0"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16.3988</w:t>
            </w:r>
          </w:p>
        </w:tc>
        <w:tc>
          <w:tcPr>
            <w:tcW w:w="654" w:type="pct"/>
            <w:noWrap/>
            <w:vAlign w:val="bottom"/>
            <w:hideMark/>
          </w:tcPr>
          <w:p w14:paraId="186D11E9"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64.8748</w:t>
            </w:r>
          </w:p>
        </w:tc>
        <w:tc>
          <w:tcPr>
            <w:tcW w:w="717" w:type="pct"/>
            <w:noWrap/>
            <w:vAlign w:val="bottom"/>
            <w:hideMark/>
          </w:tcPr>
          <w:p w14:paraId="2B54DE61"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344.0579</w:t>
            </w:r>
          </w:p>
        </w:tc>
        <w:tc>
          <w:tcPr>
            <w:tcW w:w="953" w:type="pct"/>
            <w:noWrap/>
            <w:vAlign w:val="bottom"/>
            <w:hideMark/>
          </w:tcPr>
          <w:p w14:paraId="71E3F4B2"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N = 183,148</w:t>
            </w:r>
          </w:p>
        </w:tc>
      </w:tr>
      <w:tr w:rsidR="00E76D76" w:rsidRPr="00127BD1" w14:paraId="534CC77A" w14:textId="77777777" w:rsidTr="00E76D76">
        <w:trPr>
          <w:trHeight w:val="300"/>
        </w:trPr>
        <w:tc>
          <w:tcPr>
            <w:tcW w:w="706" w:type="pct"/>
            <w:noWrap/>
            <w:vAlign w:val="bottom"/>
            <w:hideMark/>
          </w:tcPr>
          <w:p w14:paraId="1BAEEF78" w14:textId="77777777" w:rsidR="00E76D76" w:rsidRPr="00127BD1" w:rsidRDefault="00E76D76" w:rsidP="00E76D76">
            <w:pPr>
              <w:rPr>
                <w:rFonts w:ascii="Times New Roman" w:eastAsia="Times New Roman" w:hAnsi="Times New Roman" w:cs="Times New Roman"/>
                <w:sz w:val="22"/>
                <w:szCs w:val="22"/>
              </w:rPr>
            </w:pPr>
          </w:p>
        </w:tc>
        <w:tc>
          <w:tcPr>
            <w:tcW w:w="661" w:type="pct"/>
            <w:noWrap/>
            <w:vAlign w:val="bottom"/>
            <w:hideMark/>
          </w:tcPr>
          <w:p w14:paraId="21259195"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between</w:t>
            </w:r>
          </w:p>
        </w:tc>
        <w:tc>
          <w:tcPr>
            <w:tcW w:w="654" w:type="pct"/>
            <w:noWrap/>
            <w:vAlign w:val="bottom"/>
            <w:hideMark/>
          </w:tcPr>
          <w:p w14:paraId="394EC371" w14:textId="77777777" w:rsidR="00E76D76" w:rsidRPr="00127BD1" w:rsidRDefault="00E76D76" w:rsidP="00E76D76">
            <w:pPr>
              <w:rPr>
                <w:rFonts w:ascii="Times New Roman" w:eastAsia="Times New Roman" w:hAnsi="Times New Roman" w:cs="Times New Roman"/>
                <w:sz w:val="22"/>
                <w:szCs w:val="22"/>
              </w:rPr>
            </w:pPr>
          </w:p>
        </w:tc>
        <w:tc>
          <w:tcPr>
            <w:tcW w:w="654" w:type="pct"/>
            <w:noWrap/>
            <w:vAlign w:val="bottom"/>
            <w:hideMark/>
          </w:tcPr>
          <w:p w14:paraId="1DAC9660"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14.5285</w:t>
            </w:r>
          </w:p>
        </w:tc>
        <w:tc>
          <w:tcPr>
            <w:tcW w:w="654" w:type="pct"/>
            <w:noWrap/>
            <w:vAlign w:val="bottom"/>
            <w:hideMark/>
          </w:tcPr>
          <w:p w14:paraId="0111AFEE"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67.1242</w:t>
            </w:r>
          </w:p>
        </w:tc>
        <w:tc>
          <w:tcPr>
            <w:tcW w:w="717" w:type="pct"/>
            <w:noWrap/>
            <w:vAlign w:val="bottom"/>
            <w:hideMark/>
          </w:tcPr>
          <w:p w14:paraId="1E96E2C7"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344.0579</w:t>
            </w:r>
          </w:p>
        </w:tc>
        <w:tc>
          <w:tcPr>
            <w:tcW w:w="953" w:type="pct"/>
            <w:noWrap/>
            <w:vAlign w:val="bottom"/>
            <w:hideMark/>
          </w:tcPr>
          <w:p w14:paraId="1D86B14E"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n = 3,500</w:t>
            </w:r>
          </w:p>
        </w:tc>
      </w:tr>
      <w:tr w:rsidR="00E76D76" w:rsidRPr="00127BD1" w14:paraId="66BDEC56" w14:textId="77777777" w:rsidTr="00E76D76">
        <w:trPr>
          <w:trHeight w:val="300"/>
        </w:trPr>
        <w:tc>
          <w:tcPr>
            <w:tcW w:w="706" w:type="pct"/>
            <w:noWrap/>
            <w:vAlign w:val="bottom"/>
            <w:hideMark/>
          </w:tcPr>
          <w:p w14:paraId="438D761D" w14:textId="77777777" w:rsidR="00E76D76" w:rsidRPr="00127BD1" w:rsidRDefault="00E76D76" w:rsidP="00E76D76">
            <w:pPr>
              <w:rPr>
                <w:rFonts w:ascii="Times New Roman" w:eastAsia="Times New Roman" w:hAnsi="Times New Roman" w:cs="Times New Roman"/>
                <w:sz w:val="22"/>
                <w:szCs w:val="22"/>
              </w:rPr>
            </w:pPr>
          </w:p>
        </w:tc>
        <w:tc>
          <w:tcPr>
            <w:tcW w:w="661" w:type="pct"/>
            <w:noWrap/>
            <w:vAlign w:val="bottom"/>
            <w:hideMark/>
          </w:tcPr>
          <w:p w14:paraId="24F91027"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within</w:t>
            </w:r>
          </w:p>
        </w:tc>
        <w:tc>
          <w:tcPr>
            <w:tcW w:w="654" w:type="pct"/>
            <w:noWrap/>
            <w:vAlign w:val="bottom"/>
            <w:hideMark/>
          </w:tcPr>
          <w:p w14:paraId="01ED64F0" w14:textId="77777777" w:rsidR="00E76D76" w:rsidRPr="00127BD1" w:rsidRDefault="00E76D76" w:rsidP="00E76D76">
            <w:pPr>
              <w:rPr>
                <w:rFonts w:ascii="Times New Roman" w:eastAsia="Times New Roman" w:hAnsi="Times New Roman" w:cs="Times New Roman"/>
                <w:sz w:val="22"/>
                <w:szCs w:val="22"/>
              </w:rPr>
            </w:pPr>
          </w:p>
        </w:tc>
        <w:tc>
          <w:tcPr>
            <w:tcW w:w="654" w:type="pct"/>
            <w:noWrap/>
            <w:vAlign w:val="bottom"/>
            <w:hideMark/>
          </w:tcPr>
          <w:p w14:paraId="0B460A95"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14.1017</w:t>
            </w:r>
          </w:p>
        </w:tc>
        <w:tc>
          <w:tcPr>
            <w:tcW w:w="654" w:type="pct"/>
            <w:noWrap/>
            <w:vAlign w:val="bottom"/>
            <w:hideMark/>
          </w:tcPr>
          <w:p w14:paraId="19109CDF"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-75.9300</w:t>
            </w:r>
          </w:p>
        </w:tc>
        <w:tc>
          <w:tcPr>
            <w:tcW w:w="717" w:type="pct"/>
            <w:noWrap/>
            <w:vAlign w:val="bottom"/>
            <w:hideMark/>
          </w:tcPr>
          <w:p w14:paraId="2D5EDDF6"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338.5500</w:t>
            </w:r>
          </w:p>
        </w:tc>
        <w:tc>
          <w:tcPr>
            <w:tcW w:w="953" w:type="pct"/>
            <w:noWrap/>
            <w:vAlign w:val="bottom"/>
            <w:hideMark/>
          </w:tcPr>
          <w:p w14:paraId="2B75F17C"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T-bar = 52.328</w:t>
            </w:r>
          </w:p>
        </w:tc>
      </w:tr>
      <w:tr w:rsidR="00E76D76" w:rsidRPr="00127BD1" w14:paraId="537D3D1B" w14:textId="77777777" w:rsidTr="00E76D76">
        <w:trPr>
          <w:trHeight w:val="300"/>
        </w:trPr>
        <w:tc>
          <w:tcPr>
            <w:tcW w:w="706" w:type="pct"/>
            <w:noWrap/>
            <w:vAlign w:val="bottom"/>
            <w:hideMark/>
          </w:tcPr>
          <w:p w14:paraId="1F208FF9"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EXGG</w:t>
            </w:r>
          </w:p>
        </w:tc>
        <w:tc>
          <w:tcPr>
            <w:tcW w:w="661" w:type="pct"/>
            <w:noWrap/>
            <w:vAlign w:val="bottom"/>
            <w:hideMark/>
          </w:tcPr>
          <w:p w14:paraId="3F4014D4"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overall</w:t>
            </w:r>
          </w:p>
        </w:tc>
        <w:tc>
          <w:tcPr>
            <w:tcW w:w="654" w:type="pct"/>
            <w:noWrap/>
            <w:vAlign w:val="bottom"/>
            <w:hideMark/>
          </w:tcPr>
          <w:p w14:paraId="186BECE6"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0.0022</w:t>
            </w:r>
          </w:p>
        </w:tc>
        <w:tc>
          <w:tcPr>
            <w:tcW w:w="654" w:type="pct"/>
            <w:noWrap/>
            <w:vAlign w:val="bottom"/>
            <w:hideMark/>
          </w:tcPr>
          <w:p w14:paraId="7F6BEBE6"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0.0405</w:t>
            </w:r>
          </w:p>
        </w:tc>
        <w:tc>
          <w:tcPr>
            <w:tcW w:w="654" w:type="pct"/>
            <w:noWrap/>
            <w:vAlign w:val="bottom"/>
            <w:hideMark/>
          </w:tcPr>
          <w:p w14:paraId="6A45C72B"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-0.1464</w:t>
            </w:r>
          </w:p>
        </w:tc>
        <w:tc>
          <w:tcPr>
            <w:tcW w:w="717" w:type="pct"/>
            <w:noWrap/>
            <w:vAlign w:val="bottom"/>
            <w:hideMark/>
          </w:tcPr>
          <w:p w14:paraId="11F6BD20"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0.3738</w:t>
            </w:r>
          </w:p>
        </w:tc>
        <w:tc>
          <w:tcPr>
            <w:tcW w:w="953" w:type="pct"/>
            <w:noWrap/>
            <w:vAlign w:val="bottom"/>
            <w:hideMark/>
          </w:tcPr>
          <w:p w14:paraId="41C23BCF"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N = 183,505</w:t>
            </w:r>
          </w:p>
        </w:tc>
      </w:tr>
      <w:tr w:rsidR="00E76D76" w:rsidRPr="00127BD1" w14:paraId="0C6A1925" w14:textId="77777777" w:rsidTr="00E76D76">
        <w:trPr>
          <w:trHeight w:val="300"/>
        </w:trPr>
        <w:tc>
          <w:tcPr>
            <w:tcW w:w="706" w:type="pct"/>
            <w:noWrap/>
            <w:vAlign w:val="bottom"/>
            <w:hideMark/>
          </w:tcPr>
          <w:p w14:paraId="069E0489" w14:textId="77777777" w:rsidR="00E76D76" w:rsidRPr="00127BD1" w:rsidRDefault="00E76D76" w:rsidP="00E76D76">
            <w:pPr>
              <w:rPr>
                <w:rFonts w:ascii="Times New Roman" w:eastAsia="Times New Roman" w:hAnsi="Times New Roman" w:cs="Times New Roman"/>
                <w:sz w:val="22"/>
                <w:szCs w:val="22"/>
              </w:rPr>
            </w:pPr>
          </w:p>
        </w:tc>
        <w:tc>
          <w:tcPr>
            <w:tcW w:w="661" w:type="pct"/>
            <w:noWrap/>
            <w:vAlign w:val="bottom"/>
            <w:hideMark/>
          </w:tcPr>
          <w:p w14:paraId="7720B96F"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between</w:t>
            </w:r>
          </w:p>
        </w:tc>
        <w:tc>
          <w:tcPr>
            <w:tcW w:w="654" w:type="pct"/>
            <w:noWrap/>
            <w:vAlign w:val="bottom"/>
            <w:hideMark/>
          </w:tcPr>
          <w:p w14:paraId="3D76C3F9" w14:textId="77777777" w:rsidR="00E76D76" w:rsidRPr="00127BD1" w:rsidRDefault="00E76D76" w:rsidP="00E76D76">
            <w:pPr>
              <w:rPr>
                <w:rFonts w:ascii="Times New Roman" w:eastAsia="Times New Roman" w:hAnsi="Times New Roman" w:cs="Times New Roman"/>
                <w:sz w:val="22"/>
                <w:szCs w:val="22"/>
              </w:rPr>
            </w:pPr>
          </w:p>
        </w:tc>
        <w:tc>
          <w:tcPr>
            <w:tcW w:w="654" w:type="pct"/>
            <w:noWrap/>
            <w:vAlign w:val="bottom"/>
            <w:hideMark/>
          </w:tcPr>
          <w:p w14:paraId="1048E99F"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0.0091</w:t>
            </w:r>
          </w:p>
        </w:tc>
        <w:tc>
          <w:tcPr>
            <w:tcW w:w="654" w:type="pct"/>
            <w:noWrap/>
            <w:vAlign w:val="bottom"/>
            <w:hideMark/>
          </w:tcPr>
          <w:p w14:paraId="58373B26"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-0.1444</w:t>
            </w:r>
          </w:p>
        </w:tc>
        <w:tc>
          <w:tcPr>
            <w:tcW w:w="717" w:type="pct"/>
            <w:noWrap/>
            <w:vAlign w:val="bottom"/>
            <w:hideMark/>
          </w:tcPr>
          <w:p w14:paraId="59E4F818"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0.1016</w:t>
            </w:r>
          </w:p>
        </w:tc>
        <w:tc>
          <w:tcPr>
            <w:tcW w:w="953" w:type="pct"/>
            <w:noWrap/>
            <w:vAlign w:val="bottom"/>
            <w:hideMark/>
          </w:tcPr>
          <w:p w14:paraId="400EA203"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n = 3,436</w:t>
            </w:r>
          </w:p>
        </w:tc>
      </w:tr>
      <w:tr w:rsidR="00E76D76" w:rsidRPr="00127BD1" w14:paraId="259EE54E" w14:textId="77777777" w:rsidTr="00E76D76">
        <w:trPr>
          <w:trHeight w:val="300"/>
        </w:trPr>
        <w:tc>
          <w:tcPr>
            <w:tcW w:w="706" w:type="pct"/>
            <w:noWrap/>
            <w:vAlign w:val="bottom"/>
            <w:hideMark/>
          </w:tcPr>
          <w:p w14:paraId="5D5361ED" w14:textId="77777777" w:rsidR="00E76D76" w:rsidRPr="00127BD1" w:rsidRDefault="00E76D76" w:rsidP="00E76D76">
            <w:pPr>
              <w:rPr>
                <w:rFonts w:ascii="Times New Roman" w:eastAsia="Times New Roman" w:hAnsi="Times New Roman" w:cs="Times New Roman"/>
                <w:sz w:val="22"/>
                <w:szCs w:val="22"/>
              </w:rPr>
            </w:pPr>
          </w:p>
        </w:tc>
        <w:tc>
          <w:tcPr>
            <w:tcW w:w="661" w:type="pct"/>
            <w:noWrap/>
            <w:vAlign w:val="bottom"/>
            <w:hideMark/>
          </w:tcPr>
          <w:p w14:paraId="62E0B7DB"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within</w:t>
            </w:r>
          </w:p>
        </w:tc>
        <w:tc>
          <w:tcPr>
            <w:tcW w:w="654" w:type="pct"/>
            <w:noWrap/>
            <w:vAlign w:val="bottom"/>
            <w:hideMark/>
          </w:tcPr>
          <w:p w14:paraId="61FA48F0" w14:textId="77777777" w:rsidR="00E76D76" w:rsidRPr="00127BD1" w:rsidRDefault="00E76D76" w:rsidP="00E76D76">
            <w:pPr>
              <w:rPr>
                <w:rFonts w:ascii="Times New Roman" w:eastAsia="Times New Roman" w:hAnsi="Times New Roman" w:cs="Times New Roman"/>
                <w:sz w:val="22"/>
                <w:szCs w:val="22"/>
              </w:rPr>
            </w:pPr>
          </w:p>
        </w:tc>
        <w:tc>
          <w:tcPr>
            <w:tcW w:w="654" w:type="pct"/>
            <w:noWrap/>
            <w:vAlign w:val="bottom"/>
            <w:hideMark/>
          </w:tcPr>
          <w:p w14:paraId="59CD0D1B"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0.0403</w:t>
            </w:r>
          </w:p>
        </w:tc>
        <w:tc>
          <w:tcPr>
            <w:tcW w:w="654" w:type="pct"/>
            <w:noWrap/>
            <w:vAlign w:val="bottom"/>
            <w:hideMark/>
          </w:tcPr>
          <w:p w14:paraId="2A7CB08F"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-0.1856</w:t>
            </w:r>
          </w:p>
        </w:tc>
        <w:tc>
          <w:tcPr>
            <w:tcW w:w="717" w:type="pct"/>
            <w:noWrap/>
            <w:vAlign w:val="bottom"/>
            <w:hideMark/>
          </w:tcPr>
          <w:p w14:paraId="0C8E1912"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0.3829</w:t>
            </w:r>
          </w:p>
        </w:tc>
        <w:tc>
          <w:tcPr>
            <w:tcW w:w="953" w:type="pct"/>
            <w:noWrap/>
            <w:vAlign w:val="bottom"/>
            <w:hideMark/>
          </w:tcPr>
          <w:p w14:paraId="42648714"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T-bar = 53.4066</w:t>
            </w:r>
          </w:p>
        </w:tc>
      </w:tr>
      <w:tr w:rsidR="00E76D76" w:rsidRPr="00127BD1" w14:paraId="3FA05E2C" w14:textId="77777777" w:rsidTr="00E76D76">
        <w:trPr>
          <w:trHeight w:val="300"/>
        </w:trPr>
        <w:tc>
          <w:tcPr>
            <w:tcW w:w="706" w:type="pct"/>
            <w:noWrap/>
            <w:vAlign w:val="bottom"/>
            <w:hideMark/>
          </w:tcPr>
          <w:p w14:paraId="5BCFAF69"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hAnsi="Times New Roman" w:cs="Times New Roman"/>
                <w:sz w:val="22"/>
                <w:szCs w:val="22"/>
              </w:rPr>
              <w:t>LRATE</w:t>
            </w:r>
          </w:p>
        </w:tc>
        <w:tc>
          <w:tcPr>
            <w:tcW w:w="661" w:type="pct"/>
            <w:noWrap/>
            <w:vAlign w:val="bottom"/>
            <w:hideMark/>
          </w:tcPr>
          <w:p w14:paraId="49893353"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overall</w:t>
            </w:r>
          </w:p>
        </w:tc>
        <w:tc>
          <w:tcPr>
            <w:tcW w:w="654" w:type="pct"/>
            <w:noWrap/>
            <w:vAlign w:val="bottom"/>
            <w:hideMark/>
          </w:tcPr>
          <w:p w14:paraId="2F82CB60"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2.0916</w:t>
            </w:r>
          </w:p>
        </w:tc>
        <w:tc>
          <w:tcPr>
            <w:tcW w:w="654" w:type="pct"/>
            <w:noWrap/>
            <w:vAlign w:val="bottom"/>
            <w:hideMark/>
          </w:tcPr>
          <w:p w14:paraId="47C0DBA5"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2.9055</w:t>
            </w:r>
          </w:p>
        </w:tc>
        <w:tc>
          <w:tcPr>
            <w:tcW w:w="654" w:type="pct"/>
            <w:noWrap/>
            <w:vAlign w:val="bottom"/>
            <w:hideMark/>
          </w:tcPr>
          <w:p w14:paraId="4CB72481"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-0.7500</w:t>
            </w:r>
          </w:p>
        </w:tc>
        <w:tc>
          <w:tcPr>
            <w:tcW w:w="717" w:type="pct"/>
            <w:noWrap/>
            <w:vAlign w:val="bottom"/>
            <w:hideMark/>
          </w:tcPr>
          <w:p w14:paraId="2900415B"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26.3333</w:t>
            </w:r>
          </w:p>
        </w:tc>
        <w:tc>
          <w:tcPr>
            <w:tcW w:w="953" w:type="pct"/>
            <w:noWrap/>
            <w:vAlign w:val="bottom"/>
            <w:hideMark/>
          </w:tcPr>
          <w:p w14:paraId="09D80765"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N = 97,758</w:t>
            </w:r>
          </w:p>
        </w:tc>
      </w:tr>
      <w:tr w:rsidR="00E76D76" w:rsidRPr="00127BD1" w14:paraId="759F90C1" w14:textId="77777777" w:rsidTr="00E76D76">
        <w:trPr>
          <w:trHeight w:val="300"/>
        </w:trPr>
        <w:tc>
          <w:tcPr>
            <w:tcW w:w="706" w:type="pct"/>
            <w:noWrap/>
            <w:vAlign w:val="bottom"/>
            <w:hideMark/>
          </w:tcPr>
          <w:p w14:paraId="06498578" w14:textId="77777777" w:rsidR="00E76D76" w:rsidRPr="00127BD1" w:rsidRDefault="00E76D76" w:rsidP="00E76D76">
            <w:pPr>
              <w:rPr>
                <w:rFonts w:ascii="Times New Roman" w:eastAsia="Times New Roman" w:hAnsi="Times New Roman" w:cs="Times New Roman"/>
                <w:sz w:val="22"/>
                <w:szCs w:val="22"/>
              </w:rPr>
            </w:pPr>
          </w:p>
        </w:tc>
        <w:tc>
          <w:tcPr>
            <w:tcW w:w="661" w:type="pct"/>
            <w:noWrap/>
            <w:vAlign w:val="bottom"/>
            <w:hideMark/>
          </w:tcPr>
          <w:p w14:paraId="4D920B02"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between</w:t>
            </w:r>
          </w:p>
        </w:tc>
        <w:tc>
          <w:tcPr>
            <w:tcW w:w="654" w:type="pct"/>
            <w:noWrap/>
            <w:vAlign w:val="bottom"/>
            <w:hideMark/>
          </w:tcPr>
          <w:p w14:paraId="76BD3154" w14:textId="77777777" w:rsidR="00E76D76" w:rsidRPr="00127BD1" w:rsidRDefault="00E76D76" w:rsidP="00E76D76">
            <w:pPr>
              <w:rPr>
                <w:rFonts w:ascii="Times New Roman" w:eastAsia="Times New Roman" w:hAnsi="Times New Roman" w:cs="Times New Roman"/>
                <w:sz w:val="22"/>
                <w:szCs w:val="22"/>
              </w:rPr>
            </w:pPr>
          </w:p>
        </w:tc>
        <w:tc>
          <w:tcPr>
            <w:tcW w:w="654" w:type="pct"/>
            <w:noWrap/>
            <w:vAlign w:val="bottom"/>
            <w:hideMark/>
          </w:tcPr>
          <w:p w14:paraId="531A490B"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2.6531</w:t>
            </w:r>
          </w:p>
        </w:tc>
        <w:tc>
          <w:tcPr>
            <w:tcW w:w="654" w:type="pct"/>
            <w:noWrap/>
            <w:vAlign w:val="bottom"/>
            <w:hideMark/>
          </w:tcPr>
          <w:p w14:paraId="327109A2"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-0.7500</w:t>
            </w:r>
          </w:p>
        </w:tc>
        <w:tc>
          <w:tcPr>
            <w:tcW w:w="717" w:type="pct"/>
            <w:noWrap/>
            <w:vAlign w:val="bottom"/>
            <w:hideMark/>
          </w:tcPr>
          <w:p w14:paraId="358B4F23"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19.4750</w:t>
            </w:r>
          </w:p>
        </w:tc>
        <w:tc>
          <w:tcPr>
            <w:tcW w:w="953" w:type="pct"/>
            <w:noWrap/>
            <w:vAlign w:val="bottom"/>
            <w:hideMark/>
          </w:tcPr>
          <w:p w14:paraId="3C67CFE6"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n = 1,885</w:t>
            </w:r>
          </w:p>
        </w:tc>
      </w:tr>
      <w:tr w:rsidR="00E76D76" w:rsidRPr="00127BD1" w14:paraId="70241CBD" w14:textId="77777777" w:rsidTr="00E76D76">
        <w:trPr>
          <w:trHeight w:val="300"/>
        </w:trPr>
        <w:tc>
          <w:tcPr>
            <w:tcW w:w="706" w:type="pct"/>
            <w:noWrap/>
            <w:vAlign w:val="bottom"/>
            <w:hideMark/>
          </w:tcPr>
          <w:p w14:paraId="05813307" w14:textId="77777777" w:rsidR="00E76D76" w:rsidRPr="00127BD1" w:rsidRDefault="00E76D76" w:rsidP="00E76D76">
            <w:pPr>
              <w:rPr>
                <w:rFonts w:ascii="Times New Roman" w:eastAsia="Times New Roman" w:hAnsi="Times New Roman" w:cs="Times New Roman"/>
                <w:sz w:val="22"/>
                <w:szCs w:val="22"/>
              </w:rPr>
            </w:pPr>
          </w:p>
        </w:tc>
        <w:tc>
          <w:tcPr>
            <w:tcW w:w="661" w:type="pct"/>
            <w:noWrap/>
            <w:vAlign w:val="bottom"/>
            <w:hideMark/>
          </w:tcPr>
          <w:p w14:paraId="488F5135"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within</w:t>
            </w:r>
          </w:p>
        </w:tc>
        <w:tc>
          <w:tcPr>
            <w:tcW w:w="654" w:type="pct"/>
            <w:noWrap/>
            <w:vAlign w:val="bottom"/>
            <w:hideMark/>
          </w:tcPr>
          <w:p w14:paraId="3D2B4AE7" w14:textId="77777777" w:rsidR="00E76D76" w:rsidRPr="00127BD1" w:rsidRDefault="00E76D76" w:rsidP="00E76D76">
            <w:pPr>
              <w:rPr>
                <w:rFonts w:ascii="Times New Roman" w:eastAsia="Times New Roman" w:hAnsi="Times New Roman" w:cs="Times New Roman"/>
                <w:sz w:val="22"/>
                <w:szCs w:val="22"/>
              </w:rPr>
            </w:pPr>
          </w:p>
        </w:tc>
        <w:tc>
          <w:tcPr>
            <w:tcW w:w="654" w:type="pct"/>
            <w:noWrap/>
            <w:vAlign w:val="bottom"/>
            <w:hideMark/>
          </w:tcPr>
          <w:p w14:paraId="40E541EE"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1.8843</w:t>
            </w:r>
          </w:p>
        </w:tc>
        <w:tc>
          <w:tcPr>
            <w:tcW w:w="654" w:type="pct"/>
            <w:noWrap/>
            <w:vAlign w:val="bottom"/>
            <w:hideMark/>
          </w:tcPr>
          <w:p w14:paraId="361F2246"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-10.4709</w:t>
            </w:r>
          </w:p>
        </w:tc>
        <w:tc>
          <w:tcPr>
            <w:tcW w:w="717" w:type="pct"/>
            <w:noWrap/>
            <w:vAlign w:val="bottom"/>
            <w:hideMark/>
          </w:tcPr>
          <w:p w14:paraId="6372B6F6"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18.3268</w:t>
            </w:r>
          </w:p>
        </w:tc>
        <w:tc>
          <w:tcPr>
            <w:tcW w:w="953" w:type="pct"/>
            <w:noWrap/>
            <w:vAlign w:val="bottom"/>
            <w:hideMark/>
          </w:tcPr>
          <w:p w14:paraId="42E1EBE9"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T-bar = 51.861</w:t>
            </w:r>
          </w:p>
        </w:tc>
      </w:tr>
      <w:tr w:rsidR="00E76D76" w:rsidRPr="00127BD1" w14:paraId="3C28EBC1" w14:textId="77777777" w:rsidTr="00E76D76">
        <w:trPr>
          <w:trHeight w:val="300"/>
        </w:trPr>
        <w:tc>
          <w:tcPr>
            <w:tcW w:w="706" w:type="pct"/>
            <w:noWrap/>
            <w:vAlign w:val="bottom"/>
            <w:hideMark/>
          </w:tcPr>
          <w:p w14:paraId="346F695C"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DEBTGDP</w:t>
            </w:r>
          </w:p>
        </w:tc>
        <w:tc>
          <w:tcPr>
            <w:tcW w:w="661" w:type="pct"/>
            <w:noWrap/>
            <w:vAlign w:val="bottom"/>
            <w:hideMark/>
          </w:tcPr>
          <w:p w14:paraId="3129BB13"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overall</w:t>
            </w:r>
          </w:p>
        </w:tc>
        <w:tc>
          <w:tcPr>
            <w:tcW w:w="654" w:type="pct"/>
            <w:noWrap/>
            <w:vAlign w:val="bottom"/>
            <w:hideMark/>
          </w:tcPr>
          <w:p w14:paraId="28FA9AC6"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90.0171</w:t>
            </w:r>
          </w:p>
        </w:tc>
        <w:tc>
          <w:tcPr>
            <w:tcW w:w="654" w:type="pct"/>
            <w:noWrap/>
            <w:vAlign w:val="bottom"/>
            <w:hideMark/>
          </w:tcPr>
          <w:p w14:paraId="311073B9"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41.7036</w:t>
            </w:r>
          </w:p>
        </w:tc>
        <w:tc>
          <w:tcPr>
            <w:tcW w:w="654" w:type="pct"/>
            <w:noWrap/>
            <w:vAlign w:val="bottom"/>
            <w:hideMark/>
          </w:tcPr>
          <w:p w14:paraId="5F345938"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20.9000</w:t>
            </w:r>
          </w:p>
        </w:tc>
        <w:tc>
          <w:tcPr>
            <w:tcW w:w="717" w:type="pct"/>
            <w:noWrap/>
            <w:vAlign w:val="bottom"/>
            <w:hideMark/>
          </w:tcPr>
          <w:p w14:paraId="764FB173"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237.3000</w:t>
            </w:r>
          </w:p>
        </w:tc>
        <w:tc>
          <w:tcPr>
            <w:tcW w:w="953" w:type="pct"/>
            <w:noWrap/>
            <w:vAlign w:val="bottom"/>
            <w:hideMark/>
          </w:tcPr>
          <w:p w14:paraId="6A578F7F"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N = 168,538</w:t>
            </w:r>
          </w:p>
        </w:tc>
      </w:tr>
      <w:tr w:rsidR="00E76D76" w:rsidRPr="00127BD1" w14:paraId="76A68830" w14:textId="77777777" w:rsidTr="00E76D76">
        <w:trPr>
          <w:trHeight w:val="300"/>
        </w:trPr>
        <w:tc>
          <w:tcPr>
            <w:tcW w:w="706" w:type="pct"/>
            <w:noWrap/>
            <w:vAlign w:val="bottom"/>
            <w:hideMark/>
          </w:tcPr>
          <w:p w14:paraId="08E9252E" w14:textId="77777777" w:rsidR="00E76D76" w:rsidRPr="00127BD1" w:rsidRDefault="00E76D76" w:rsidP="00E76D76">
            <w:pPr>
              <w:rPr>
                <w:rFonts w:ascii="Times New Roman" w:eastAsia="Times New Roman" w:hAnsi="Times New Roman" w:cs="Times New Roman"/>
                <w:sz w:val="22"/>
                <w:szCs w:val="22"/>
              </w:rPr>
            </w:pPr>
          </w:p>
        </w:tc>
        <w:tc>
          <w:tcPr>
            <w:tcW w:w="661" w:type="pct"/>
            <w:noWrap/>
            <w:vAlign w:val="bottom"/>
            <w:hideMark/>
          </w:tcPr>
          <w:p w14:paraId="734415EC"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between</w:t>
            </w:r>
          </w:p>
        </w:tc>
        <w:tc>
          <w:tcPr>
            <w:tcW w:w="654" w:type="pct"/>
            <w:noWrap/>
            <w:vAlign w:val="bottom"/>
            <w:hideMark/>
          </w:tcPr>
          <w:p w14:paraId="1609F220" w14:textId="77777777" w:rsidR="00E76D76" w:rsidRPr="00127BD1" w:rsidRDefault="00E76D76" w:rsidP="00E76D76">
            <w:pPr>
              <w:rPr>
                <w:rFonts w:ascii="Times New Roman" w:eastAsia="Times New Roman" w:hAnsi="Times New Roman" w:cs="Times New Roman"/>
                <w:sz w:val="22"/>
                <w:szCs w:val="22"/>
              </w:rPr>
            </w:pPr>
          </w:p>
        </w:tc>
        <w:tc>
          <w:tcPr>
            <w:tcW w:w="654" w:type="pct"/>
            <w:noWrap/>
            <w:vAlign w:val="bottom"/>
            <w:hideMark/>
          </w:tcPr>
          <w:p w14:paraId="169A84FA"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39.8816</w:t>
            </w:r>
          </w:p>
        </w:tc>
        <w:tc>
          <w:tcPr>
            <w:tcW w:w="654" w:type="pct"/>
            <w:noWrap/>
            <w:vAlign w:val="bottom"/>
            <w:hideMark/>
          </w:tcPr>
          <w:p w14:paraId="40EC2C02"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21.8167</w:t>
            </w:r>
          </w:p>
        </w:tc>
        <w:tc>
          <w:tcPr>
            <w:tcW w:w="717" w:type="pct"/>
            <w:noWrap/>
            <w:vAlign w:val="bottom"/>
            <w:hideMark/>
          </w:tcPr>
          <w:p w14:paraId="3F61239D"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220.6000</w:t>
            </w:r>
          </w:p>
        </w:tc>
        <w:tc>
          <w:tcPr>
            <w:tcW w:w="953" w:type="pct"/>
            <w:noWrap/>
            <w:vAlign w:val="bottom"/>
            <w:hideMark/>
          </w:tcPr>
          <w:p w14:paraId="0CA0248A"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n = 3,390</w:t>
            </w:r>
          </w:p>
        </w:tc>
      </w:tr>
      <w:tr w:rsidR="00E76D76" w:rsidRPr="00127BD1" w14:paraId="1444EADD" w14:textId="77777777" w:rsidTr="00E76D76">
        <w:trPr>
          <w:trHeight w:val="300"/>
        </w:trPr>
        <w:tc>
          <w:tcPr>
            <w:tcW w:w="706" w:type="pct"/>
            <w:noWrap/>
            <w:vAlign w:val="bottom"/>
            <w:hideMark/>
          </w:tcPr>
          <w:p w14:paraId="6DC39345" w14:textId="77777777" w:rsidR="00E76D76" w:rsidRPr="00127BD1" w:rsidRDefault="00E76D76" w:rsidP="00E76D76">
            <w:pPr>
              <w:rPr>
                <w:rFonts w:ascii="Times New Roman" w:eastAsia="Times New Roman" w:hAnsi="Times New Roman" w:cs="Times New Roman"/>
                <w:sz w:val="22"/>
                <w:szCs w:val="22"/>
              </w:rPr>
            </w:pPr>
          </w:p>
        </w:tc>
        <w:tc>
          <w:tcPr>
            <w:tcW w:w="661" w:type="pct"/>
            <w:noWrap/>
            <w:vAlign w:val="bottom"/>
            <w:hideMark/>
          </w:tcPr>
          <w:p w14:paraId="02F5A566"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within</w:t>
            </w:r>
          </w:p>
        </w:tc>
        <w:tc>
          <w:tcPr>
            <w:tcW w:w="654" w:type="pct"/>
            <w:noWrap/>
            <w:vAlign w:val="bottom"/>
            <w:hideMark/>
          </w:tcPr>
          <w:p w14:paraId="24D6D9C0" w14:textId="77777777" w:rsidR="00E76D76" w:rsidRPr="00127BD1" w:rsidRDefault="00E76D76" w:rsidP="00E76D76">
            <w:pPr>
              <w:rPr>
                <w:rFonts w:ascii="Times New Roman" w:eastAsia="Times New Roman" w:hAnsi="Times New Roman" w:cs="Times New Roman"/>
                <w:sz w:val="22"/>
                <w:szCs w:val="22"/>
              </w:rPr>
            </w:pPr>
          </w:p>
        </w:tc>
        <w:tc>
          <w:tcPr>
            <w:tcW w:w="654" w:type="pct"/>
            <w:noWrap/>
            <w:vAlign w:val="bottom"/>
            <w:hideMark/>
          </w:tcPr>
          <w:p w14:paraId="616C6E39"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17.1376</w:t>
            </w:r>
          </w:p>
        </w:tc>
        <w:tc>
          <w:tcPr>
            <w:tcW w:w="654" w:type="pct"/>
            <w:noWrap/>
            <w:vAlign w:val="bottom"/>
            <w:hideMark/>
          </w:tcPr>
          <w:p w14:paraId="17CD5887"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21.1171</w:t>
            </w:r>
          </w:p>
        </w:tc>
        <w:tc>
          <w:tcPr>
            <w:tcW w:w="717" w:type="pct"/>
            <w:noWrap/>
            <w:vAlign w:val="bottom"/>
            <w:hideMark/>
          </w:tcPr>
          <w:p w14:paraId="3BC9E206"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181.9348</w:t>
            </w:r>
          </w:p>
        </w:tc>
        <w:tc>
          <w:tcPr>
            <w:tcW w:w="953" w:type="pct"/>
            <w:noWrap/>
            <w:vAlign w:val="bottom"/>
            <w:hideMark/>
          </w:tcPr>
          <w:p w14:paraId="4AF0D5BF" w14:textId="77777777" w:rsidR="00E76D76" w:rsidRPr="00127BD1" w:rsidRDefault="00E76D76" w:rsidP="00E76D7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T-bar = 49.7162</w:t>
            </w:r>
          </w:p>
        </w:tc>
      </w:tr>
      <w:tr w:rsidR="00280E06" w:rsidRPr="00127BD1" w14:paraId="55B03D99" w14:textId="77777777" w:rsidTr="00E76D76">
        <w:trPr>
          <w:trHeight w:val="300"/>
        </w:trPr>
        <w:tc>
          <w:tcPr>
            <w:tcW w:w="706" w:type="pct"/>
            <w:noWrap/>
            <w:vAlign w:val="bottom"/>
          </w:tcPr>
          <w:p w14:paraId="7443FF0E" w14:textId="34B7EC77" w:rsidR="00280E06" w:rsidRPr="00127BD1" w:rsidRDefault="000F1B35" w:rsidP="00280E06">
            <w:pPr>
              <w:rPr>
                <w:rFonts w:ascii="Times New Roman" w:eastAsia="Times New Roman" w:hAnsi="Times New Roman" w:cs="Times New Roman"/>
                <w:sz w:val="22"/>
                <w:szCs w:val="22"/>
              </w:rPr>
            </w:pPr>
            <w:r>
              <w:rPr>
                <w:rFonts w:ascii="Times New Roman" w:hAnsi="Times New Roman" w:cs="Times New Roman"/>
                <w:sz w:val="22"/>
                <w:szCs w:val="22"/>
              </w:rPr>
              <w:t>AMOUNT</w:t>
            </w:r>
          </w:p>
        </w:tc>
        <w:tc>
          <w:tcPr>
            <w:tcW w:w="661" w:type="pct"/>
            <w:noWrap/>
            <w:vAlign w:val="bottom"/>
          </w:tcPr>
          <w:p w14:paraId="6F9C9F37" w14:textId="02D0BFE9" w:rsidR="00280E06" w:rsidRPr="00127BD1" w:rsidRDefault="00280E06" w:rsidP="00280E0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overall</w:t>
            </w:r>
          </w:p>
        </w:tc>
        <w:tc>
          <w:tcPr>
            <w:tcW w:w="654" w:type="pct"/>
            <w:noWrap/>
            <w:vAlign w:val="bottom"/>
          </w:tcPr>
          <w:p w14:paraId="6694E6CE" w14:textId="2236689C" w:rsidR="00280E06" w:rsidRPr="00127BD1" w:rsidRDefault="00280E06" w:rsidP="00280E06">
            <w:pPr>
              <w:rPr>
                <w:rFonts w:ascii="Times New Roman" w:eastAsia="Times New Roman" w:hAnsi="Times New Roman" w:cs="Times New Roman"/>
                <w:sz w:val="22"/>
                <w:szCs w:val="22"/>
              </w:rPr>
            </w:pPr>
            <w:r w:rsidRPr="00127BD1">
              <w:rPr>
                <w:rFonts w:ascii="Times New Roman" w:hAnsi="Times New Roman" w:cs="Times New Roman"/>
                <w:color w:val="000000"/>
                <w:sz w:val="22"/>
                <w:szCs w:val="22"/>
              </w:rPr>
              <w:t>4.5953</w:t>
            </w:r>
          </w:p>
        </w:tc>
        <w:tc>
          <w:tcPr>
            <w:tcW w:w="654" w:type="pct"/>
            <w:noWrap/>
            <w:vAlign w:val="bottom"/>
          </w:tcPr>
          <w:p w14:paraId="79676757" w14:textId="1C57DA94" w:rsidR="00280E06" w:rsidRPr="00127BD1" w:rsidRDefault="00280E06" w:rsidP="00280E06">
            <w:pPr>
              <w:rPr>
                <w:rFonts w:ascii="Times New Roman" w:eastAsia="Times New Roman" w:hAnsi="Times New Roman" w:cs="Times New Roman"/>
                <w:sz w:val="22"/>
                <w:szCs w:val="22"/>
              </w:rPr>
            </w:pPr>
            <w:r w:rsidRPr="00127BD1">
              <w:rPr>
                <w:rFonts w:ascii="Times New Roman" w:hAnsi="Times New Roman" w:cs="Times New Roman"/>
                <w:color w:val="000000"/>
                <w:sz w:val="22"/>
                <w:szCs w:val="22"/>
              </w:rPr>
              <w:t>1.7395</w:t>
            </w:r>
          </w:p>
        </w:tc>
        <w:tc>
          <w:tcPr>
            <w:tcW w:w="654" w:type="pct"/>
            <w:noWrap/>
            <w:vAlign w:val="bottom"/>
          </w:tcPr>
          <w:p w14:paraId="0EF47423" w14:textId="71691231" w:rsidR="00280E06" w:rsidRPr="00127BD1" w:rsidRDefault="00280E06" w:rsidP="00280E06">
            <w:pPr>
              <w:rPr>
                <w:rFonts w:ascii="Times New Roman" w:eastAsia="Times New Roman" w:hAnsi="Times New Roman" w:cs="Times New Roman"/>
                <w:sz w:val="22"/>
                <w:szCs w:val="22"/>
              </w:rPr>
            </w:pPr>
            <w:r w:rsidRPr="00127BD1">
              <w:rPr>
                <w:rFonts w:ascii="Times New Roman" w:hAnsi="Times New Roman" w:cs="Times New Roman"/>
                <w:color w:val="000000"/>
                <w:sz w:val="22"/>
                <w:szCs w:val="22"/>
              </w:rPr>
              <w:t>0.0000</w:t>
            </w:r>
          </w:p>
        </w:tc>
        <w:tc>
          <w:tcPr>
            <w:tcW w:w="717" w:type="pct"/>
            <w:noWrap/>
            <w:vAlign w:val="bottom"/>
          </w:tcPr>
          <w:p w14:paraId="53181C2F" w14:textId="66EBC501" w:rsidR="00280E06" w:rsidRPr="00127BD1" w:rsidRDefault="00280E06" w:rsidP="00280E06">
            <w:pPr>
              <w:rPr>
                <w:rFonts w:ascii="Times New Roman" w:eastAsia="Times New Roman" w:hAnsi="Times New Roman" w:cs="Times New Roman"/>
                <w:sz w:val="22"/>
                <w:szCs w:val="22"/>
              </w:rPr>
            </w:pPr>
            <w:r w:rsidRPr="00127BD1">
              <w:rPr>
                <w:rFonts w:ascii="Times New Roman" w:hAnsi="Times New Roman" w:cs="Times New Roman"/>
                <w:color w:val="000000"/>
                <w:sz w:val="22"/>
                <w:szCs w:val="22"/>
              </w:rPr>
              <w:t>10.4463</w:t>
            </w:r>
          </w:p>
        </w:tc>
        <w:tc>
          <w:tcPr>
            <w:tcW w:w="953" w:type="pct"/>
            <w:noWrap/>
            <w:vAlign w:val="bottom"/>
          </w:tcPr>
          <w:p w14:paraId="5EFE1D20" w14:textId="5E7EE96D" w:rsidR="00280E06" w:rsidRPr="00127BD1" w:rsidRDefault="00280E06" w:rsidP="00280E0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 xml:space="preserve">N = </w:t>
            </w:r>
            <w:r w:rsidR="00BA03AA" w:rsidRPr="00127BD1">
              <w:rPr>
                <w:rFonts w:ascii="Times New Roman" w:eastAsia="Times New Roman" w:hAnsi="Times New Roman" w:cs="Times New Roman"/>
                <w:sz w:val="22"/>
                <w:szCs w:val="22"/>
              </w:rPr>
              <w:t>32,502</w:t>
            </w:r>
          </w:p>
        </w:tc>
      </w:tr>
      <w:tr w:rsidR="00280E06" w:rsidRPr="00127BD1" w14:paraId="42B8C6D0" w14:textId="77777777" w:rsidTr="00E76D76">
        <w:trPr>
          <w:trHeight w:val="300"/>
        </w:trPr>
        <w:tc>
          <w:tcPr>
            <w:tcW w:w="706" w:type="pct"/>
            <w:noWrap/>
            <w:vAlign w:val="bottom"/>
          </w:tcPr>
          <w:p w14:paraId="653802C7" w14:textId="77777777" w:rsidR="00280E06" w:rsidRPr="00127BD1" w:rsidRDefault="00280E06" w:rsidP="00280E06">
            <w:pPr>
              <w:rPr>
                <w:rFonts w:ascii="Times New Roman" w:eastAsia="Times New Roman" w:hAnsi="Times New Roman" w:cs="Times New Roman"/>
                <w:sz w:val="22"/>
                <w:szCs w:val="22"/>
              </w:rPr>
            </w:pPr>
          </w:p>
        </w:tc>
        <w:tc>
          <w:tcPr>
            <w:tcW w:w="661" w:type="pct"/>
            <w:noWrap/>
            <w:vAlign w:val="bottom"/>
          </w:tcPr>
          <w:p w14:paraId="30CF7139" w14:textId="1D5EF223" w:rsidR="00280E06" w:rsidRPr="00127BD1" w:rsidRDefault="00280E06" w:rsidP="00280E0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between</w:t>
            </w:r>
          </w:p>
        </w:tc>
        <w:tc>
          <w:tcPr>
            <w:tcW w:w="654" w:type="pct"/>
            <w:noWrap/>
            <w:vAlign w:val="bottom"/>
          </w:tcPr>
          <w:p w14:paraId="213764E3" w14:textId="77777777" w:rsidR="00280E06" w:rsidRPr="00127BD1" w:rsidRDefault="00280E06" w:rsidP="00280E06">
            <w:pPr>
              <w:rPr>
                <w:rFonts w:ascii="Times New Roman" w:eastAsia="Times New Roman" w:hAnsi="Times New Roman" w:cs="Times New Roman"/>
                <w:sz w:val="22"/>
                <w:szCs w:val="22"/>
              </w:rPr>
            </w:pPr>
          </w:p>
        </w:tc>
        <w:tc>
          <w:tcPr>
            <w:tcW w:w="654" w:type="pct"/>
            <w:noWrap/>
            <w:vAlign w:val="bottom"/>
          </w:tcPr>
          <w:p w14:paraId="65260F63" w14:textId="7DF1A415" w:rsidR="00280E06" w:rsidRPr="00127BD1" w:rsidRDefault="00280E06" w:rsidP="00280E06">
            <w:pPr>
              <w:rPr>
                <w:rFonts w:ascii="Times New Roman" w:eastAsia="Times New Roman" w:hAnsi="Times New Roman" w:cs="Times New Roman"/>
                <w:sz w:val="22"/>
                <w:szCs w:val="22"/>
              </w:rPr>
            </w:pPr>
            <w:r w:rsidRPr="00127BD1">
              <w:rPr>
                <w:rFonts w:ascii="Times New Roman" w:hAnsi="Times New Roman" w:cs="Times New Roman"/>
                <w:color w:val="000000"/>
                <w:sz w:val="22"/>
                <w:szCs w:val="22"/>
              </w:rPr>
              <w:t>1.3457</w:t>
            </w:r>
          </w:p>
        </w:tc>
        <w:tc>
          <w:tcPr>
            <w:tcW w:w="654" w:type="pct"/>
            <w:noWrap/>
            <w:vAlign w:val="bottom"/>
          </w:tcPr>
          <w:p w14:paraId="00292847" w14:textId="3A30A8F9" w:rsidR="00280E06" w:rsidRPr="00127BD1" w:rsidRDefault="00280E06" w:rsidP="00280E06">
            <w:pPr>
              <w:rPr>
                <w:rFonts w:ascii="Times New Roman" w:eastAsia="Times New Roman" w:hAnsi="Times New Roman" w:cs="Times New Roman"/>
                <w:sz w:val="22"/>
                <w:szCs w:val="22"/>
              </w:rPr>
            </w:pPr>
            <w:r w:rsidRPr="00127BD1">
              <w:rPr>
                <w:rFonts w:ascii="Times New Roman" w:hAnsi="Times New Roman" w:cs="Times New Roman"/>
                <w:color w:val="000000"/>
                <w:sz w:val="22"/>
                <w:szCs w:val="22"/>
              </w:rPr>
              <w:t>0.0000</w:t>
            </w:r>
          </w:p>
        </w:tc>
        <w:tc>
          <w:tcPr>
            <w:tcW w:w="717" w:type="pct"/>
            <w:noWrap/>
            <w:vAlign w:val="bottom"/>
          </w:tcPr>
          <w:p w14:paraId="45FAE111" w14:textId="77CF2F4C" w:rsidR="00280E06" w:rsidRPr="00127BD1" w:rsidRDefault="00280E06" w:rsidP="00280E06">
            <w:pPr>
              <w:rPr>
                <w:rFonts w:ascii="Times New Roman" w:eastAsia="Times New Roman" w:hAnsi="Times New Roman" w:cs="Times New Roman"/>
                <w:sz w:val="22"/>
                <w:szCs w:val="22"/>
              </w:rPr>
            </w:pPr>
            <w:r w:rsidRPr="00127BD1">
              <w:rPr>
                <w:rFonts w:ascii="Times New Roman" w:hAnsi="Times New Roman" w:cs="Times New Roman"/>
                <w:color w:val="000000"/>
                <w:sz w:val="22"/>
                <w:szCs w:val="22"/>
              </w:rPr>
              <w:t>9.3948</w:t>
            </w:r>
          </w:p>
        </w:tc>
        <w:tc>
          <w:tcPr>
            <w:tcW w:w="953" w:type="pct"/>
            <w:noWrap/>
            <w:vAlign w:val="bottom"/>
          </w:tcPr>
          <w:p w14:paraId="449928A3" w14:textId="25C418E1" w:rsidR="00280E06" w:rsidRPr="00127BD1" w:rsidRDefault="00280E06" w:rsidP="00280E0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 xml:space="preserve">n = </w:t>
            </w:r>
            <w:r w:rsidR="00BA03AA" w:rsidRPr="00127BD1">
              <w:rPr>
                <w:rFonts w:ascii="Times New Roman" w:eastAsia="Times New Roman" w:hAnsi="Times New Roman" w:cs="Times New Roman"/>
                <w:sz w:val="22"/>
                <w:szCs w:val="22"/>
              </w:rPr>
              <w:t>4,302</w:t>
            </w:r>
          </w:p>
        </w:tc>
      </w:tr>
      <w:tr w:rsidR="00280E06" w:rsidRPr="00127BD1" w14:paraId="0C385EAD" w14:textId="77777777" w:rsidTr="00E76D76">
        <w:trPr>
          <w:trHeight w:val="300"/>
        </w:trPr>
        <w:tc>
          <w:tcPr>
            <w:tcW w:w="706" w:type="pct"/>
            <w:noWrap/>
            <w:vAlign w:val="bottom"/>
          </w:tcPr>
          <w:p w14:paraId="45AFEBFC" w14:textId="77777777" w:rsidR="00280E06" w:rsidRPr="00127BD1" w:rsidRDefault="00280E06" w:rsidP="00280E06">
            <w:pPr>
              <w:rPr>
                <w:rFonts w:ascii="Times New Roman" w:eastAsia="Times New Roman" w:hAnsi="Times New Roman" w:cs="Times New Roman"/>
                <w:sz w:val="22"/>
                <w:szCs w:val="22"/>
              </w:rPr>
            </w:pPr>
          </w:p>
        </w:tc>
        <w:tc>
          <w:tcPr>
            <w:tcW w:w="661" w:type="pct"/>
            <w:noWrap/>
            <w:vAlign w:val="bottom"/>
          </w:tcPr>
          <w:p w14:paraId="08FCF4E6" w14:textId="5E7BEDCD" w:rsidR="00280E06" w:rsidRPr="00127BD1" w:rsidRDefault="00280E06" w:rsidP="00280E0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within</w:t>
            </w:r>
          </w:p>
        </w:tc>
        <w:tc>
          <w:tcPr>
            <w:tcW w:w="654" w:type="pct"/>
            <w:noWrap/>
            <w:vAlign w:val="bottom"/>
          </w:tcPr>
          <w:p w14:paraId="6B4BC091" w14:textId="77777777" w:rsidR="00280E06" w:rsidRPr="00127BD1" w:rsidRDefault="00280E06" w:rsidP="00280E06">
            <w:pPr>
              <w:rPr>
                <w:rFonts w:ascii="Times New Roman" w:eastAsia="Times New Roman" w:hAnsi="Times New Roman" w:cs="Times New Roman"/>
                <w:sz w:val="22"/>
                <w:szCs w:val="22"/>
              </w:rPr>
            </w:pPr>
          </w:p>
        </w:tc>
        <w:tc>
          <w:tcPr>
            <w:tcW w:w="654" w:type="pct"/>
            <w:noWrap/>
            <w:vAlign w:val="bottom"/>
          </w:tcPr>
          <w:p w14:paraId="54277089" w14:textId="62566474" w:rsidR="00280E06" w:rsidRPr="00127BD1" w:rsidRDefault="00280E06" w:rsidP="00280E06">
            <w:pPr>
              <w:rPr>
                <w:rFonts w:ascii="Times New Roman" w:eastAsia="Times New Roman" w:hAnsi="Times New Roman" w:cs="Times New Roman"/>
                <w:sz w:val="22"/>
                <w:szCs w:val="22"/>
              </w:rPr>
            </w:pPr>
            <w:r w:rsidRPr="00127BD1">
              <w:rPr>
                <w:rFonts w:ascii="Times New Roman" w:hAnsi="Times New Roman" w:cs="Times New Roman"/>
                <w:color w:val="000000"/>
                <w:sz w:val="22"/>
                <w:szCs w:val="22"/>
              </w:rPr>
              <w:t>1.2481</w:t>
            </w:r>
          </w:p>
        </w:tc>
        <w:tc>
          <w:tcPr>
            <w:tcW w:w="654" w:type="pct"/>
            <w:noWrap/>
            <w:vAlign w:val="bottom"/>
          </w:tcPr>
          <w:p w14:paraId="08152D56" w14:textId="27589B12" w:rsidR="00280E06" w:rsidRPr="00127BD1" w:rsidRDefault="00280E06" w:rsidP="00280E06">
            <w:pPr>
              <w:rPr>
                <w:rFonts w:ascii="Times New Roman" w:eastAsia="Times New Roman" w:hAnsi="Times New Roman" w:cs="Times New Roman"/>
                <w:sz w:val="22"/>
                <w:szCs w:val="22"/>
              </w:rPr>
            </w:pPr>
            <w:r w:rsidRPr="00127BD1">
              <w:rPr>
                <w:rFonts w:ascii="Times New Roman" w:hAnsi="Times New Roman" w:cs="Times New Roman"/>
                <w:color w:val="000000"/>
                <w:sz w:val="22"/>
                <w:szCs w:val="22"/>
              </w:rPr>
              <w:t>-2.6300</w:t>
            </w:r>
          </w:p>
        </w:tc>
        <w:tc>
          <w:tcPr>
            <w:tcW w:w="717" w:type="pct"/>
            <w:noWrap/>
            <w:vAlign w:val="bottom"/>
          </w:tcPr>
          <w:p w14:paraId="2F78EF7F" w14:textId="0D41CEB8" w:rsidR="00280E06" w:rsidRPr="00127BD1" w:rsidRDefault="00280E06" w:rsidP="00280E06">
            <w:pPr>
              <w:rPr>
                <w:rFonts w:ascii="Times New Roman" w:eastAsia="Times New Roman" w:hAnsi="Times New Roman" w:cs="Times New Roman"/>
                <w:sz w:val="22"/>
                <w:szCs w:val="22"/>
              </w:rPr>
            </w:pPr>
            <w:r w:rsidRPr="00127BD1">
              <w:rPr>
                <w:rFonts w:ascii="Times New Roman" w:hAnsi="Times New Roman" w:cs="Times New Roman"/>
                <w:color w:val="000000"/>
                <w:sz w:val="22"/>
                <w:szCs w:val="22"/>
              </w:rPr>
              <w:t>9.6130</w:t>
            </w:r>
          </w:p>
        </w:tc>
        <w:tc>
          <w:tcPr>
            <w:tcW w:w="953" w:type="pct"/>
            <w:noWrap/>
            <w:vAlign w:val="bottom"/>
          </w:tcPr>
          <w:p w14:paraId="4D8897E7" w14:textId="463483D8" w:rsidR="00280E06" w:rsidRPr="00127BD1" w:rsidRDefault="00280E06" w:rsidP="00280E0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 xml:space="preserve">T-bar = </w:t>
            </w:r>
            <w:r w:rsidR="00BA03AA" w:rsidRPr="00127BD1">
              <w:rPr>
                <w:rFonts w:ascii="Times New Roman" w:eastAsia="Times New Roman" w:hAnsi="Times New Roman" w:cs="Times New Roman"/>
                <w:sz w:val="22"/>
                <w:szCs w:val="22"/>
              </w:rPr>
              <w:t>7.5551</w:t>
            </w:r>
          </w:p>
        </w:tc>
      </w:tr>
      <w:tr w:rsidR="00280E06" w:rsidRPr="00127BD1" w14:paraId="39643971" w14:textId="77777777" w:rsidTr="00E76D76">
        <w:trPr>
          <w:trHeight w:val="300"/>
        </w:trPr>
        <w:tc>
          <w:tcPr>
            <w:tcW w:w="706" w:type="pct"/>
            <w:noWrap/>
            <w:vAlign w:val="bottom"/>
          </w:tcPr>
          <w:p w14:paraId="0C8FD3A1" w14:textId="0511B2EF" w:rsidR="00280E06" w:rsidRPr="00127BD1" w:rsidRDefault="00280E06" w:rsidP="00280E06">
            <w:pPr>
              <w:rPr>
                <w:rFonts w:ascii="Times New Roman" w:eastAsia="Times New Roman" w:hAnsi="Times New Roman" w:cs="Times New Roman"/>
                <w:sz w:val="22"/>
                <w:szCs w:val="22"/>
              </w:rPr>
            </w:pPr>
            <w:r w:rsidRPr="00127BD1">
              <w:rPr>
                <w:rFonts w:ascii="Times New Roman" w:hAnsi="Times New Roman" w:cs="Times New Roman"/>
                <w:sz w:val="22"/>
                <w:szCs w:val="22"/>
              </w:rPr>
              <w:t>NUMBER</w:t>
            </w:r>
          </w:p>
        </w:tc>
        <w:tc>
          <w:tcPr>
            <w:tcW w:w="661" w:type="pct"/>
            <w:noWrap/>
            <w:vAlign w:val="bottom"/>
          </w:tcPr>
          <w:p w14:paraId="04B67A85" w14:textId="40A0A2B4" w:rsidR="00280E06" w:rsidRPr="00127BD1" w:rsidRDefault="00280E06" w:rsidP="00280E0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overall</w:t>
            </w:r>
          </w:p>
        </w:tc>
        <w:tc>
          <w:tcPr>
            <w:tcW w:w="654" w:type="pct"/>
            <w:noWrap/>
            <w:vAlign w:val="bottom"/>
          </w:tcPr>
          <w:p w14:paraId="6786E82D" w14:textId="51B7BFD6" w:rsidR="00280E06" w:rsidRPr="00127BD1" w:rsidRDefault="00280E06" w:rsidP="00280E06">
            <w:pPr>
              <w:rPr>
                <w:rFonts w:ascii="Times New Roman" w:eastAsia="Times New Roman" w:hAnsi="Times New Roman" w:cs="Times New Roman"/>
                <w:sz w:val="22"/>
                <w:szCs w:val="22"/>
              </w:rPr>
            </w:pPr>
            <w:r w:rsidRPr="00127BD1">
              <w:rPr>
                <w:rFonts w:ascii="Times New Roman" w:hAnsi="Times New Roman" w:cs="Times New Roman"/>
                <w:color w:val="000000"/>
                <w:sz w:val="22"/>
                <w:szCs w:val="22"/>
              </w:rPr>
              <w:t>1.5571</w:t>
            </w:r>
          </w:p>
        </w:tc>
        <w:tc>
          <w:tcPr>
            <w:tcW w:w="654" w:type="pct"/>
            <w:noWrap/>
            <w:vAlign w:val="bottom"/>
          </w:tcPr>
          <w:p w14:paraId="3D85F877" w14:textId="11474A9D" w:rsidR="00280E06" w:rsidRPr="00127BD1" w:rsidRDefault="00280E06" w:rsidP="00280E06">
            <w:pPr>
              <w:rPr>
                <w:rFonts w:ascii="Times New Roman" w:eastAsia="Times New Roman" w:hAnsi="Times New Roman" w:cs="Times New Roman"/>
                <w:sz w:val="22"/>
                <w:szCs w:val="22"/>
              </w:rPr>
            </w:pPr>
            <w:r w:rsidRPr="00127BD1">
              <w:rPr>
                <w:rFonts w:ascii="Times New Roman" w:hAnsi="Times New Roman" w:cs="Times New Roman"/>
                <w:color w:val="000000"/>
                <w:sz w:val="22"/>
                <w:szCs w:val="22"/>
              </w:rPr>
              <w:t>0.8688</w:t>
            </w:r>
          </w:p>
        </w:tc>
        <w:tc>
          <w:tcPr>
            <w:tcW w:w="654" w:type="pct"/>
            <w:noWrap/>
            <w:vAlign w:val="bottom"/>
          </w:tcPr>
          <w:p w14:paraId="5799B935" w14:textId="770622A7" w:rsidR="00280E06" w:rsidRPr="00127BD1" w:rsidRDefault="00280E06" w:rsidP="00280E06">
            <w:pPr>
              <w:rPr>
                <w:rFonts w:ascii="Times New Roman" w:eastAsia="Times New Roman" w:hAnsi="Times New Roman" w:cs="Times New Roman"/>
                <w:sz w:val="22"/>
                <w:szCs w:val="22"/>
              </w:rPr>
            </w:pPr>
            <w:r w:rsidRPr="00127BD1">
              <w:rPr>
                <w:rFonts w:ascii="Times New Roman" w:hAnsi="Times New Roman" w:cs="Times New Roman"/>
                <w:color w:val="000000"/>
                <w:sz w:val="22"/>
                <w:szCs w:val="22"/>
              </w:rPr>
              <w:t>0.6931</w:t>
            </w:r>
          </w:p>
        </w:tc>
        <w:tc>
          <w:tcPr>
            <w:tcW w:w="717" w:type="pct"/>
            <w:noWrap/>
            <w:vAlign w:val="bottom"/>
          </w:tcPr>
          <w:p w14:paraId="3F630723" w14:textId="416C54A8" w:rsidR="00280E06" w:rsidRPr="00127BD1" w:rsidRDefault="00280E06" w:rsidP="00280E06">
            <w:pPr>
              <w:rPr>
                <w:rFonts w:ascii="Times New Roman" w:eastAsia="Times New Roman" w:hAnsi="Times New Roman" w:cs="Times New Roman"/>
                <w:sz w:val="22"/>
                <w:szCs w:val="22"/>
              </w:rPr>
            </w:pPr>
            <w:r w:rsidRPr="00127BD1">
              <w:rPr>
                <w:rFonts w:ascii="Times New Roman" w:hAnsi="Times New Roman" w:cs="Times New Roman"/>
                <w:color w:val="000000"/>
                <w:sz w:val="22"/>
                <w:szCs w:val="22"/>
              </w:rPr>
              <w:t>6.1759</w:t>
            </w:r>
          </w:p>
        </w:tc>
        <w:tc>
          <w:tcPr>
            <w:tcW w:w="953" w:type="pct"/>
            <w:noWrap/>
            <w:vAlign w:val="bottom"/>
          </w:tcPr>
          <w:p w14:paraId="55159E3C" w14:textId="5FC17785" w:rsidR="00280E06" w:rsidRPr="00127BD1" w:rsidRDefault="00280E06" w:rsidP="00280E0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 xml:space="preserve">N = </w:t>
            </w:r>
            <w:r w:rsidRPr="00127BD1">
              <w:rPr>
                <w:rFonts w:ascii="Times New Roman" w:hAnsi="Times New Roman" w:cs="Times New Roman"/>
                <w:sz w:val="22"/>
                <w:szCs w:val="22"/>
              </w:rPr>
              <w:t>33,388</w:t>
            </w:r>
          </w:p>
        </w:tc>
      </w:tr>
      <w:tr w:rsidR="00280E06" w:rsidRPr="00127BD1" w14:paraId="73BC1B75" w14:textId="77777777" w:rsidTr="00E76D76">
        <w:trPr>
          <w:trHeight w:val="300"/>
        </w:trPr>
        <w:tc>
          <w:tcPr>
            <w:tcW w:w="706" w:type="pct"/>
            <w:noWrap/>
            <w:vAlign w:val="bottom"/>
          </w:tcPr>
          <w:p w14:paraId="54FC6F21" w14:textId="77777777" w:rsidR="00280E06" w:rsidRPr="00127BD1" w:rsidRDefault="00280E06" w:rsidP="00280E06">
            <w:pPr>
              <w:rPr>
                <w:rFonts w:ascii="Times New Roman" w:eastAsia="Times New Roman" w:hAnsi="Times New Roman" w:cs="Times New Roman"/>
                <w:sz w:val="22"/>
                <w:szCs w:val="22"/>
              </w:rPr>
            </w:pPr>
          </w:p>
        </w:tc>
        <w:tc>
          <w:tcPr>
            <w:tcW w:w="661" w:type="pct"/>
            <w:noWrap/>
            <w:vAlign w:val="bottom"/>
          </w:tcPr>
          <w:p w14:paraId="73401EF9" w14:textId="6D8E9E8B" w:rsidR="00280E06" w:rsidRPr="00127BD1" w:rsidRDefault="00280E06" w:rsidP="00280E0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between</w:t>
            </w:r>
          </w:p>
        </w:tc>
        <w:tc>
          <w:tcPr>
            <w:tcW w:w="654" w:type="pct"/>
            <w:noWrap/>
            <w:vAlign w:val="bottom"/>
          </w:tcPr>
          <w:p w14:paraId="7DF13C6D" w14:textId="77777777" w:rsidR="00280E06" w:rsidRPr="00127BD1" w:rsidRDefault="00280E06" w:rsidP="00280E06">
            <w:pPr>
              <w:rPr>
                <w:rFonts w:ascii="Times New Roman" w:eastAsia="Times New Roman" w:hAnsi="Times New Roman" w:cs="Times New Roman"/>
                <w:sz w:val="22"/>
                <w:szCs w:val="22"/>
              </w:rPr>
            </w:pPr>
          </w:p>
        </w:tc>
        <w:tc>
          <w:tcPr>
            <w:tcW w:w="654" w:type="pct"/>
            <w:noWrap/>
            <w:vAlign w:val="bottom"/>
          </w:tcPr>
          <w:p w14:paraId="2AA8191C" w14:textId="73F891C3" w:rsidR="00280E06" w:rsidRPr="00127BD1" w:rsidRDefault="00280E06" w:rsidP="00280E06">
            <w:pPr>
              <w:rPr>
                <w:rFonts w:ascii="Times New Roman" w:eastAsia="Times New Roman" w:hAnsi="Times New Roman" w:cs="Times New Roman"/>
                <w:sz w:val="22"/>
                <w:szCs w:val="22"/>
              </w:rPr>
            </w:pPr>
            <w:r w:rsidRPr="00127BD1">
              <w:rPr>
                <w:rFonts w:ascii="Times New Roman" w:hAnsi="Times New Roman" w:cs="Times New Roman"/>
                <w:color w:val="000000"/>
                <w:sz w:val="22"/>
                <w:szCs w:val="22"/>
              </w:rPr>
              <w:t>0.4510</w:t>
            </w:r>
          </w:p>
        </w:tc>
        <w:tc>
          <w:tcPr>
            <w:tcW w:w="654" w:type="pct"/>
            <w:noWrap/>
            <w:vAlign w:val="bottom"/>
          </w:tcPr>
          <w:p w14:paraId="0DD8163A" w14:textId="21FCD2CA" w:rsidR="00280E06" w:rsidRPr="00127BD1" w:rsidRDefault="00280E06" w:rsidP="00280E06">
            <w:pPr>
              <w:rPr>
                <w:rFonts w:ascii="Times New Roman" w:eastAsia="Times New Roman" w:hAnsi="Times New Roman" w:cs="Times New Roman"/>
                <w:sz w:val="22"/>
                <w:szCs w:val="22"/>
              </w:rPr>
            </w:pPr>
            <w:r w:rsidRPr="00127BD1">
              <w:rPr>
                <w:rFonts w:ascii="Times New Roman" w:hAnsi="Times New Roman" w:cs="Times New Roman"/>
                <w:color w:val="000000"/>
                <w:sz w:val="22"/>
                <w:szCs w:val="22"/>
              </w:rPr>
              <w:t>0.6931</w:t>
            </w:r>
          </w:p>
        </w:tc>
        <w:tc>
          <w:tcPr>
            <w:tcW w:w="717" w:type="pct"/>
            <w:noWrap/>
            <w:vAlign w:val="bottom"/>
          </w:tcPr>
          <w:p w14:paraId="35D95463" w14:textId="7B2F470D" w:rsidR="00280E06" w:rsidRPr="00127BD1" w:rsidRDefault="00280E06" w:rsidP="00280E06">
            <w:pPr>
              <w:rPr>
                <w:rFonts w:ascii="Times New Roman" w:eastAsia="Times New Roman" w:hAnsi="Times New Roman" w:cs="Times New Roman"/>
                <w:sz w:val="22"/>
                <w:szCs w:val="22"/>
              </w:rPr>
            </w:pPr>
            <w:r w:rsidRPr="00127BD1">
              <w:rPr>
                <w:rFonts w:ascii="Times New Roman" w:hAnsi="Times New Roman" w:cs="Times New Roman"/>
                <w:color w:val="000000"/>
                <w:sz w:val="22"/>
                <w:szCs w:val="22"/>
              </w:rPr>
              <w:t>5.0475</w:t>
            </w:r>
          </w:p>
        </w:tc>
        <w:tc>
          <w:tcPr>
            <w:tcW w:w="953" w:type="pct"/>
            <w:noWrap/>
            <w:vAlign w:val="bottom"/>
          </w:tcPr>
          <w:p w14:paraId="6D871EF9" w14:textId="5D69FC57" w:rsidR="00280E06" w:rsidRPr="00127BD1" w:rsidRDefault="00280E06" w:rsidP="00280E0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n = 4,438</w:t>
            </w:r>
          </w:p>
        </w:tc>
      </w:tr>
      <w:tr w:rsidR="00280E06" w:rsidRPr="00127BD1" w14:paraId="6FEFF487" w14:textId="77777777" w:rsidTr="00E76D76">
        <w:trPr>
          <w:trHeight w:val="300"/>
        </w:trPr>
        <w:tc>
          <w:tcPr>
            <w:tcW w:w="706" w:type="pct"/>
            <w:noWrap/>
            <w:vAlign w:val="bottom"/>
          </w:tcPr>
          <w:p w14:paraId="12765204" w14:textId="77777777" w:rsidR="00280E06" w:rsidRPr="00127BD1" w:rsidRDefault="00280E06" w:rsidP="00280E06">
            <w:pPr>
              <w:rPr>
                <w:rFonts w:ascii="Times New Roman" w:eastAsia="Times New Roman" w:hAnsi="Times New Roman" w:cs="Times New Roman"/>
                <w:sz w:val="22"/>
                <w:szCs w:val="22"/>
              </w:rPr>
            </w:pPr>
          </w:p>
        </w:tc>
        <w:tc>
          <w:tcPr>
            <w:tcW w:w="661" w:type="pct"/>
            <w:noWrap/>
            <w:vAlign w:val="bottom"/>
          </w:tcPr>
          <w:p w14:paraId="60351654" w14:textId="13651B75" w:rsidR="00280E06" w:rsidRPr="00127BD1" w:rsidRDefault="00280E06" w:rsidP="00280E0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within</w:t>
            </w:r>
          </w:p>
        </w:tc>
        <w:tc>
          <w:tcPr>
            <w:tcW w:w="654" w:type="pct"/>
            <w:noWrap/>
            <w:vAlign w:val="bottom"/>
          </w:tcPr>
          <w:p w14:paraId="6FA67B2A" w14:textId="77777777" w:rsidR="00280E06" w:rsidRPr="00127BD1" w:rsidRDefault="00280E06" w:rsidP="00280E06">
            <w:pPr>
              <w:rPr>
                <w:rFonts w:ascii="Times New Roman" w:eastAsia="Times New Roman" w:hAnsi="Times New Roman" w:cs="Times New Roman"/>
                <w:sz w:val="22"/>
                <w:szCs w:val="22"/>
              </w:rPr>
            </w:pPr>
          </w:p>
        </w:tc>
        <w:tc>
          <w:tcPr>
            <w:tcW w:w="654" w:type="pct"/>
            <w:noWrap/>
            <w:vAlign w:val="bottom"/>
          </w:tcPr>
          <w:p w14:paraId="60CFF49D" w14:textId="5FC5BC5A" w:rsidR="00280E06" w:rsidRPr="00127BD1" w:rsidRDefault="00280E06" w:rsidP="00280E06">
            <w:pPr>
              <w:rPr>
                <w:rFonts w:ascii="Times New Roman" w:eastAsia="Times New Roman" w:hAnsi="Times New Roman" w:cs="Times New Roman"/>
                <w:sz w:val="22"/>
                <w:szCs w:val="22"/>
              </w:rPr>
            </w:pPr>
            <w:r w:rsidRPr="00127BD1">
              <w:rPr>
                <w:rFonts w:ascii="Times New Roman" w:hAnsi="Times New Roman" w:cs="Times New Roman"/>
                <w:color w:val="000000"/>
                <w:sz w:val="22"/>
                <w:szCs w:val="22"/>
              </w:rPr>
              <w:t>0.5281</w:t>
            </w:r>
          </w:p>
        </w:tc>
        <w:tc>
          <w:tcPr>
            <w:tcW w:w="654" w:type="pct"/>
            <w:noWrap/>
            <w:vAlign w:val="bottom"/>
          </w:tcPr>
          <w:p w14:paraId="24E81CB4" w14:textId="3FD7A1A3" w:rsidR="00280E06" w:rsidRPr="00127BD1" w:rsidRDefault="00280E06" w:rsidP="00280E06">
            <w:pPr>
              <w:rPr>
                <w:rFonts w:ascii="Times New Roman" w:eastAsia="Times New Roman" w:hAnsi="Times New Roman" w:cs="Times New Roman"/>
                <w:sz w:val="22"/>
                <w:szCs w:val="22"/>
              </w:rPr>
            </w:pPr>
            <w:r w:rsidRPr="00127BD1">
              <w:rPr>
                <w:rFonts w:ascii="Times New Roman" w:hAnsi="Times New Roman" w:cs="Times New Roman"/>
                <w:color w:val="000000"/>
                <w:sz w:val="22"/>
                <w:szCs w:val="22"/>
              </w:rPr>
              <w:t>-2.0873</w:t>
            </w:r>
          </w:p>
        </w:tc>
        <w:tc>
          <w:tcPr>
            <w:tcW w:w="717" w:type="pct"/>
            <w:noWrap/>
            <w:vAlign w:val="bottom"/>
          </w:tcPr>
          <w:p w14:paraId="77A1EDEB" w14:textId="4E60B4FE" w:rsidR="00280E06" w:rsidRPr="00127BD1" w:rsidRDefault="00280E06" w:rsidP="00280E06">
            <w:pPr>
              <w:rPr>
                <w:rFonts w:ascii="Times New Roman" w:eastAsia="Times New Roman" w:hAnsi="Times New Roman" w:cs="Times New Roman"/>
                <w:sz w:val="22"/>
                <w:szCs w:val="22"/>
              </w:rPr>
            </w:pPr>
            <w:r w:rsidRPr="00127BD1">
              <w:rPr>
                <w:rFonts w:ascii="Times New Roman" w:hAnsi="Times New Roman" w:cs="Times New Roman"/>
                <w:color w:val="000000"/>
                <w:sz w:val="22"/>
                <w:szCs w:val="22"/>
              </w:rPr>
              <w:t>3.8839</w:t>
            </w:r>
          </w:p>
        </w:tc>
        <w:tc>
          <w:tcPr>
            <w:tcW w:w="953" w:type="pct"/>
            <w:noWrap/>
            <w:vAlign w:val="bottom"/>
          </w:tcPr>
          <w:p w14:paraId="1A3149FB" w14:textId="132E248F" w:rsidR="00280E06" w:rsidRPr="00127BD1" w:rsidRDefault="00280E06" w:rsidP="00280E06">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T-bar = 7.5232</w:t>
            </w:r>
          </w:p>
        </w:tc>
      </w:tr>
    </w:tbl>
    <w:p w14:paraId="32F2D808" w14:textId="1EAAA51E" w:rsidR="00E76D76" w:rsidRPr="00127BD1" w:rsidRDefault="00E76D76" w:rsidP="00E76D76">
      <w:pPr>
        <w:rPr>
          <w:rFonts w:ascii="Times New Roman" w:hAnsi="Times New Roman" w:cs="Times New Roman"/>
          <w:sz w:val="20"/>
          <w:szCs w:val="20"/>
        </w:rPr>
      </w:pPr>
      <w:r w:rsidRPr="00127BD1">
        <w:rPr>
          <w:rFonts w:ascii="Times New Roman" w:hAnsi="Times New Roman" w:cs="Times New Roman"/>
          <w:sz w:val="20"/>
          <w:szCs w:val="20"/>
        </w:rPr>
        <w:t xml:space="preserve">Note: All variables are specified in </w:t>
      </w:r>
      <w:r w:rsidR="004D58AF" w:rsidRPr="00127BD1">
        <w:rPr>
          <w:rFonts w:ascii="Times New Roman" w:hAnsi="Times New Roman" w:cs="Times New Roman"/>
          <w:sz w:val="20"/>
          <w:szCs w:val="20"/>
        </w:rPr>
        <w:t xml:space="preserve">the </w:t>
      </w:r>
      <w:r w:rsidRPr="00127BD1">
        <w:rPr>
          <w:rFonts w:ascii="Times New Roman" w:hAnsi="Times New Roman" w:cs="Times New Roman"/>
          <w:sz w:val="20"/>
          <w:szCs w:val="20"/>
        </w:rPr>
        <w:t xml:space="preserve">Appendix. Except for AMB, all other variables are expressed in percentage points. Estimations of descriptive statistics of panel data were obtained using the </w:t>
      </w:r>
      <w:r w:rsidR="00BD7DD8" w:rsidRPr="00127BD1">
        <w:rPr>
          <w:rFonts w:ascii="Times New Roman" w:hAnsi="Times New Roman" w:cs="Times New Roman"/>
          <w:sz w:val="20"/>
          <w:szCs w:val="20"/>
        </w:rPr>
        <w:t>‘</w:t>
      </w:r>
      <w:r w:rsidRPr="00127BD1">
        <w:rPr>
          <w:rFonts w:ascii="Times New Roman" w:hAnsi="Times New Roman" w:cs="Times New Roman"/>
          <w:sz w:val="20"/>
          <w:szCs w:val="20"/>
        </w:rPr>
        <w:t>xtsum</w:t>
      </w:r>
      <w:r w:rsidR="00BD7DD8" w:rsidRPr="00127BD1">
        <w:rPr>
          <w:rFonts w:ascii="Times New Roman" w:hAnsi="Times New Roman" w:cs="Times New Roman"/>
          <w:sz w:val="20"/>
          <w:szCs w:val="20"/>
        </w:rPr>
        <w:t>’</w:t>
      </w:r>
      <w:r w:rsidRPr="00127BD1">
        <w:rPr>
          <w:rFonts w:ascii="Times New Roman" w:hAnsi="Times New Roman" w:cs="Times New Roman"/>
          <w:sz w:val="20"/>
          <w:szCs w:val="20"/>
        </w:rPr>
        <w:t xml:space="preserve"> Stata command. </w:t>
      </w:r>
    </w:p>
    <w:p w14:paraId="6D03FFCC" w14:textId="4D79256D" w:rsidR="00CA3226" w:rsidRPr="00127BD1" w:rsidRDefault="00CA3226" w:rsidP="00130990">
      <w:pPr>
        <w:rPr>
          <w:rFonts w:ascii="Times New Roman" w:hAnsi="Times New Roman" w:cs="Times New Roman"/>
          <w:sz w:val="22"/>
          <w:szCs w:val="22"/>
        </w:rPr>
      </w:pPr>
    </w:p>
    <w:p w14:paraId="33F27211" w14:textId="77777777" w:rsidR="00C93F15" w:rsidRPr="00127BD1" w:rsidRDefault="00C93F15" w:rsidP="00130990">
      <w:pPr>
        <w:rPr>
          <w:rFonts w:ascii="Times New Roman" w:hAnsi="Times New Roman" w:cs="Times New Roman"/>
          <w:sz w:val="22"/>
          <w:szCs w:val="22"/>
        </w:rPr>
      </w:pPr>
    </w:p>
    <w:p w14:paraId="3AF75028" w14:textId="515AD1A7" w:rsidR="00130990" w:rsidRPr="00127BD1" w:rsidRDefault="00130990" w:rsidP="00C31CAA">
      <w:pPr>
        <w:spacing w:line="360" w:lineRule="auto"/>
        <w:rPr>
          <w:rFonts w:ascii="Times New Roman" w:hAnsi="Times New Roman" w:cs="Times New Roman"/>
          <w:sz w:val="22"/>
          <w:szCs w:val="22"/>
        </w:rPr>
      </w:pPr>
      <w:r w:rsidRPr="00127BD1">
        <w:rPr>
          <w:rFonts w:ascii="Times New Roman" w:hAnsi="Times New Roman" w:cs="Times New Roman"/>
          <w:b/>
          <w:bCs/>
          <w:sz w:val="22"/>
          <w:szCs w:val="22"/>
        </w:rPr>
        <w:lastRenderedPageBreak/>
        <w:t>Table 2</w:t>
      </w:r>
      <w:r w:rsidR="00C90BF1" w:rsidRPr="00127BD1">
        <w:rPr>
          <w:rFonts w:ascii="Times New Roman" w:hAnsi="Times New Roman" w:cs="Times New Roman"/>
          <w:b/>
          <w:bCs/>
          <w:sz w:val="22"/>
          <w:szCs w:val="22"/>
        </w:rPr>
        <w:t>a</w:t>
      </w:r>
      <w:r w:rsidR="008C61C6" w:rsidRPr="00127BD1">
        <w:rPr>
          <w:rFonts w:ascii="Times New Roman" w:hAnsi="Times New Roman" w:cs="Times New Roman"/>
          <w:sz w:val="22"/>
          <w:szCs w:val="22"/>
        </w:rPr>
        <w:t xml:space="preserve"> </w:t>
      </w:r>
      <w:r w:rsidRPr="00127BD1">
        <w:rPr>
          <w:rFonts w:ascii="Times New Roman" w:hAnsi="Times New Roman" w:cs="Times New Roman"/>
          <w:sz w:val="22"/>
          <w:szCs w:val="22"/>
        </w:rPr>
        <w:t xml:space="preserve">Correlation </w:t>
      </w:r>
      <w:r w:rsidR="008C61C6" w:rsidRPr="00127BD1">
        <w:rPr>
          <w:rFonts w:ascii="Times New Roman" w:hAnsi="Times New Roman" w:cs="Times New Roman"/>
          <w:sz w:val="22"/>
          <w:szCs w:val="22"/>
        </w:rPr>
        <w:t>m</w:t>
      </w:r>
      <w:r w:rsidRPr="00127BD1">
        <w:rPr>
          <w:rFonts w:ascii="Times New Roman" w:hAnsi="Times New Roman" w:cs="Times New Roman"/>
          <w:sz w:val="22"/>
          <w:szCs w:val="22"/>
        </w:rPr>
        <w:t>atrix</w:t>
      </w:r>
      <w:r w:rsidR="005945D8" w:rsidRPr="00127BD1">
        <w:rPr>
          <w:rFonts w:ascii="Times New Roman" w:hAnsi="Times New Roman" w:cs="Times New Roman"/>
          <w:sz w:val="22"/>
          <w:szCs w:val="22"/>
        </w:rPr>
        <w:t xml:space="preserve"> (country-pair level)</w:t>
      </w:r>
    </w:p>
    <w:tbl>
      <w:tblPr>
        <w:tblW w:w="5000" w:type="pct"/>
        <w:tblLook w:val="0000" w:firstRow="0" w:lastRow="0" w:firstColumn="0" w:lastColumn="0" w:noHBand="0" w:noVBand="0"/>
      </w:tblPr>
      <w:tblGrid>
        <w:gridCol w:w="1398"/>
        <w:gridCol w:w="1154"/>
        <w:gridCol w:w="1207"/>
        <w:gridCol w:w="1263"/>
        <w:gridCol w:w="1253"/>
        <w:gridCol w:w="1251"/>
        <w:gridCol w:w="1253"/>
        <w:gridCol w:w="967"/>
      </w:tblGrid>
      <w:tr w:rsidR="00CA5BAE" w:rsidRPr="00127BD1" w14:paraId="47E49844" w14:textId="77777777" w:rsidTr="005048E3">
        <w:tc>
          <w:tcPr>
            <w:tcW w:w="717" w:type="pct"/>
            <w:tcBorders>
              <w:top w:val="single" w:sz="4" w:space="0" w:color="auto"/>
              <w:left w:val="nil"/>
              <w:bottom w:val="single" w:sz="6" w:space="0" w:color="auto"/>
              <w:right w:val="nil"/>
            </w:tcBorders>
            <w:vAlign w:val="center"/>
          </w:tcPr>
          <w:p w14:paraId="3CCAE3CD" w14:textId="77777777" w:rsidR="005048E3" w:rsidRPr="00127BD1" w:rsidRDefault="005048E3" w:rsidP="005048E3">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Variables</w:t>
            </w:r>
          </w:p>
        </w:tc>
        <w:tc>
          <w:tcPr>
            <w:tcW w:w="592" w:type="pct"/>
            <w:tcBorders>
              <w:top w:val="single" w:sz="4" w:space="0" w:color="auto"/>
              <w:left w:val="nil"/>
              <w:bottom w:val="single" w:sz="6" w:space="0" w:color="auto"/>
              <w:right w:val="nil"/>
            </w:tcBorders>
          </w:tcPr>
          <w:p w14:paraId="4E91FE12" w14:textId="504466D7" w:rsidR="005048E3" w:rsidRPr="00127BD1" w:rsidRDefault="005048E3" w:rsidP="005048E3">
            <w:pPr>
              <w:widowControl w:val="0"/>
              <w:autoSpaceDE w:val="0"/>
              <w:autoSpaceDN w:val="0"/>
              <w:adjustRightInd w:val="0"/>
              <w:rPr>
                <w:rFonts w:ascii="Times New Roman" w:hAnsi="Times New Roman" w:cs="Times New Roman"/>
                <w:sz w:val="18"/>
                <w:szCs w:val="18"/>
              </w:rPr>
            </w:pPr>
            <w:r w:rsidRPr="00127BD1">
              <w:rPr>
                <w:rFonts w:ascii="Times New Roman" w:eastAsia="Times New Roman" w:hAnsi="Times New Roman" w:cs="Times New Roman"/>
                <w:color w:val="000000"/>
                <w:sz w:val="18"/>
                <w:szCs w:val="18"/>
              </w:rPr>
              <w:t>(1)</w:t>
            </w:r>
          </w:p>
        </w:tc>
        <w:tc>
          <w:tcPr>
            <w:tcW w:w="619" w:type="pct"/>
            <w:tcBorders>
              <w:top w:val="single" w:sz="4" w:space="0" w:color="auto"/>
              <w:left w:val="nil"/>
              <w:bottom w:val="single" w:sz="6" w:space="0" w:color="auto"/>
              <w:right w:val="nil"/>
            </w:tcBorders>
          </w:tcPr>
          <w:p w14:paraId="51CCE722" w14:textId="4D8DB0C1" w:rsidR="005048E3" w:rsidRPr="00127BD1" w:rsidRDefault="005048E3" w:rsidP="005048E3">
            <w:pPr>
              <w:widowControl w:val="0"/>
              <w:autoSpaceDE w:val="0"/>
              <w:autoSpaceDN w:val="0"/>
              <w:adjustRightInd w:val="0"/>
              <w:rPr>
                <w:rFonts w:ascii="Times New Roman" w:hAnsi="Times New Roman" w:cs="Times New Roman"/>
                <w:sz w:val="18"/>
                <w:szCs w:val="18"/>
              </w:rPr>
            </w:pPr>
            <w:r w:rsidRPr="00127BD1">
              <w:rPr>
                <w:rFonts w:ascii="Times New Roman" w:eastAsia="Times New Roman" w:hAnsi="Times New Roman" w:cs="Times New Roman"/>
                <w:color w:val="000000"/>
                <w:sz w:val="18"/>
                <w:szCs w:val="18"/>
              </w:rPr>
              <w:t>(2)</w:t>
            </w:r>
          </w:p>
        </w:tc>
        <w:tc>
          <w:tcPr>
            <w:tcW w:w="648" w:type="pct"/>
            <w:tcBorders>
              <w:top w:val="single" w:sz="4" w:space="0" w:color="auto"/>
              <w:left w:val="nil"/>
              <w:bottom w:val="single" w:sz="6" w:space="0" w:color="auto"/>
              <w:right w:val="nil"/>
            </w:tcBorders>
          </w:tcPr>
          <w:p w14:paraId="3CCBE116" w14:textId="7B412984" w:rsidR="005048E3" w:rsidRPr="00127BD1" w:rsidRDefault="005048E3" w:rsidP="005048E3">
            <w:pPr>
              <w:widowControl w:val="0"/>
              <w:autoSpaceDE w:val="0"/>
              <w:autoSpaceDN w:val="0"/>
              <w:adjustRightInd w:val="0"/>
              <w:rPr>
                <w:rFonts w:ascii="Times New Roman" w:hAnsi="Times New Roman" w:cs="Times New Roman"/>
                <w:sz w:val="18"/>
                <w:szCs w:val="18"/>
              </w:rPr>
            </w:pPr>
            <w:r w:rsidRPr="00127BD1">
              <w:rPr>
                <w:rFonts w:ascii="Times New Roman" w:eastAsia="Times New Roman" w:hAnsi="Times New Roman" w:cs="Times New Roman"/>
                <w:color w:val="000000"/>
                <w:sz w:val="18"/>
                <w:szCs w:val="18"/>
              </w:rPr>
              <w:t>(3)</w:t>
            </w:r>
          </w:p>
        </w:tc>
        <w:tc>
          <w:tcPr>
            <w:tcW w:w="643" w:type="pct"/>
            <w:tcBorders>
              <w:top w:val="single" w:sz="4" w:space="0" w:color="auto"/>
              <w:left w:val="nil"/>
              <w:bottom w:val="single" w:sz="6" w:space="0" w:color="auto"/>
              <w:right w:val="nil"/>
            </w:tcBorders>
          </w:tcPr>
          <w:p w14:paraId="7486EBBF" w14:textId="4CEE5FB5" w:rsidR="005048E3" w:rsidRPr="00127BD1" w:rsidRDefault="005048E3" w:rsidP="005048E3">
            <w:pPr>
              <w:widowControl w:val="0"/>
              <w:autoSpaceDE w:val="0"/>
              <w:autoSpaceDN w:val="0"/>
              <w:adjustRightInd w:val="0"/>
              <w:rPr>
                <w:rFonts w:ascii="Times New Roman" w:hAnsi="Times New Roman" w:cs="Times New Roman"/>
                <w:sz w:val="18"/>
                <w:szCs w:val="18"/>
              </w:rPr>
            </w:pPr>
            <w:r w:rsidRPr="00127BD1">
              <w:rPr>
                <w:rFonts w:ascii="Times New Roman" w:eastAsia="Times New Roman" w:hAnsi="Times New Roman" w:cs="Times New Roman"/>
                <w:color w:val="000000"/>
                <w:sz w:val="18"/>
                <w:szCs w:val="18"/>
              </w:rPr>
              <w:t>(4)</w:t>
            </w:r>
          </w:p>
        </w:tc>
        <w:tc>
          <w:tcPr>
            <w:tcW w:w="642" w:type="pct"/>
            <w:tcBorders>
              <w:top w:val="single" w:sz="4" w:space="0" w:color="auto"/>
              <w:left w:val="nil"/>
              <w:bottom w:val="single" w:sz="6" w:space="0" w:color="auto"/>
              <w:right w:val="nil"/>
            </w:tcBorders>
          </w:tcPr>
          <w:p w14:paraId="770EE7A8" w14:textId="2D2F7647" w:rsidR="005048E3" w:rsidRPr="00127BD1" w:rsidRDefault="005048E3" w:rsidP="005048E3">
            <w:pPr>
              <w:widowControl w:val="0"/>
              <w:autoSpaceDE w:val="0"/>
              <w:autoSpaceDN w:val="0"/>
              <w:adjustRightInd w:val="0"/>
              <w:rPr>
                <w:rFonts w:ascii="Times New Roman" w:hAnsi="Times New Roman" w:cs="Times New Roman"/>
                <w:sz w:val="18"/>
                <w:szCs w:val="18"/>
              </w:rPr>
            </w:pPr>
            <w:r w:rsidRPr="00127BD1">
              <w:rPr>
                <w:rFonts w:ascii="Times New Roman" w:eastAsia="Times New Roman" w:hAnsi="Times New Roman" w:cs="Times New Roman"/>
                <w:color w:val="000000"/>
                <w:sz w:val="18"/>
                <w:szCs w:val="18"/>
              </w:rPr>
              <w:t>(5)</w:t>
            </w:r>
          </w:p>
        </w:tc>
        <w:tc>
          <w:tcPr>
            <w:tcW w:w="643" w:type="pct"/>
            <w:tcBorders>
              <w:top w:val="single" w:sz="4" w:space="0" w:color="auto"/>
              <w:left w:val="nil"/>
              <w:bottom w:val="single" w:sz="6" w:space="0" w:color="auto"/>
              <w:right w:val="nil"/>
            </w:tcBorders>
          </w:tcPr>
          <w:p w14:paraId="11DA202E" w14:textId="7CC2B159" w:rsidR="005048E3" w:rsidRPr="00127BD1" w:rsidRDefault="005048E3" w:rsidP="005048E3">
            <w:pPr>
              <w:widowControl w:val="0"/>
              <w:autoSpaceDE w:val="0"/>
              <w:autoSpaceDN w:val="0"/>
              <w:adjustRightInd w:val="0"/>
              <w:rPr>
                <w:rFonts w:ascii="Times New Roman" w:hAnsi="Times New Roman" w:cs="Times New Roman"/>
                <w:sz w:val="18"/>
                <w:szCs w:val="18"/>
              </w:rPr>
            </w:pPr>
            <w:r w:rsidRPr="00127BD1">
              <w:rPr>
                <w:rFonts w:ascii="Times New Roman" w:eastAsia="Times New Roman" w:hAnsi="Times New Roman" w:cs="Times New Roman"/>
                <w:color w:val="000000"/>
                <w:sz w:val="18"/>
                <w:szCs w:val="18"/>
              </w:rPr>
              <w:t>(6)</w:t>
            </w:r>
          </w:p>
        </w:tc>
        <w:tc>
          <w:tcPr>
            <w:tcW w:w="496" w:type="pct"/>
            <w:tcBorders>
              <w:top w:val="single" w:sz="4" w:space="0" w:color="auto"/>
              <w:left w:val="nil"/>
              <w:bottom w:val="single" w:sz="6" w:space="0" w:color="auto"/>
              <w:right w:val="nil"/>
            </w:tcBorders>
          </w:tcPr>
          <w:p w14:paraId="781139D5" w14:textId="1DE0C66E" w:rsidR="005048E3" w:rsidRPr="00127BD1" w:rsidRDefault="005048E3" w:rsidP="005048E3">
            <w:pPr>
              <w:widowControl w:val="0"/>
              <w:autoSpaceDE w:val="0"/>
              <w:autoSpaceDN w:val="0"/>
              <w:adjustRightInd w:val="0"/>
              <w:rPr>
                <w:rFonts w:ascii="Times New Roman" w:hAnsi="Times New Roman" w:cs="Times New Roman"/>
                <w:sz w:val="18"/>
                <w:szCs w:val="18"/>
              </w:rPr>
            </w:pPr>
            <w:r w:rsidRPr="00127BD1">
              <w:rPr>
                <w:rFonts w:ascii="Times New Roman" w:eastAsia="Times New Roman" w:hAnsi="Times New Roman" w:cs="Times New Roman"/>
                <w:color w:val="000000"/>
                <w:sz w:val="18"/>
                <w:szCs w:val="18"/>
              </w:rPr>
              <w:t>(7)</w:t>
            </w:r>
          </w:p>
        </w:tc>
      </w:tr>
      <w:tr w:rsidR="00CA5BAE" w:rsidRPr="00127BD1" w14:paraId="4758CFA4" w14:textId="77777777" w:rsidTr="005048E3">
        <w:tc>
          <w:tcPr>
            <w:tcW w:w="717" w:type="pct"/>
            <w:tcBorders>
              <w:top w:val="nil"/>
              <w:left w:val="nil"/>
              <w:bottom w:val="nil"/>
              <w:right w:val="nil"/>
            </w:tcBorders>
          </w:tcPr>
          <w:p w14:paraId="27B23428" w14:textId="40480540" w:rsidR="00130990" w:rsidRPr="00127BD1" w:rsidRDefault="005048E3"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 xml:space="preserve">(1) </w:t>
            </w:r>
            <w:r w:rsidR="00130990" w:rsidRPr="00127BD1">
              <w:rPr>
                <w:rFonts w:ascii="Times New Roman" w:hAnsi="Times New Roman" w:cs="Times New Roman"/>
                <w:sz w:val="18"/>
                <w:szCs w:val="18"/>
              </w:rPr>
              <w:t>GCLAIM</w:t>
            </w:r>
          </w:p>
        </w:tc>
        <w:tc>
          <w:tcPr>
            <w:tcW w:w="592" w:type="pct"/>
            <w:tcBorders>
              <w:top w:val="nil"/>
              <w:left w:val="nil"/>
              <w:bottom w:val="nil"/>
              <w:right w:val="nil"/>
            </w:tcBorders>
          </w:tcPr>
          <w:p w14:paraId="7A87B8FF"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1.0000</w:t>
            </w:r>
          </w:p>
        </w:tc>
        <w:tc>
          <w:tcPr>
            <w:tcW w:w="619" w:type="pct"/>
            <w:tcBorders>
              <w:top w:val="nil"/>
              <w:left w:val="nil"/>
              <w:bottom w:val="nil"/>
              <w:right w:val="nil"/>
            </w:tcBorders>
          </w:tcPr>
          <w:p w14:paraId="43D10001"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p>
        </w:tc>
        <w:tc>
          <w:tcPr>
            <w:tcW w:w="648" w:type="pct"/>
            <w:tcBorders>
              <w:top w:val="nil"/>
              <w:left w:val="nil"/>
              <w:bottom w:val="nil"/>
              <w:right w:val="nil"/>
            </w:tcBorders>
          </w:tcPr>
          <w:p w14:paraId="43F9F975"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p>
        </w:tc>
        <w:tc>
          <w:tcPr>
            <w:tcW w:w="643" w:type="pct"/>
            <w:tcBorders>
              <w:top w:val="nil"/>
              <w:left w:val="nil"/>
              <w:bottom w:val="nil"/>
              <w:right w:val="nil"/>
            </w:tcBorders>
          </w:tcPr>
          <w:p w14:paraId="67E3E833"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p>
        </w:tc>
        <w:tc>
          <w:tcPr>
            <w:tcW w:w="642" w:type="pct"/>
            <w:tcBorders>
              <w:top w:val="nil"/>
              <w:left w:val="nil"/>
              <w:bottom w:val="nil"/>
              <w:right w:val="nil"/>
            </w:tcBorders>
          </w:tcPr>
          <w:p w14:paraId="2D4FDF8B"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p>
        </w:tc>
        <w:tc>
          <w:tcPr>
            <w:tcW w:w="643" w:type="pct"/>
            <w:tcBorders>
              <w:top w:val="nil"/>
              <w:left w:val="nil"/>
              <w:bottom w:val="nil"/>
              <w:right w:val="nil"/>
            </w:tcBorders>
          </w:tcPr>
          <w:p w14:paraId="6C3FAA5D"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p>
        </w:tc>
        <w:tc>
          <w:tcPr>
            <w:tcW w:w="496" w:type="pct"/>
            <w:tcBorders>
              <w:top w:val="nil"/>
              <w:left w:val="nil"/>
              <w:bottom w:val="nil"/>
              <w:right w:val="nil"/>
            </w:tcBorders>
          </w:tcPr>
          <w:p w14:paraId="6177ADF1"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p>
        </w:tc>
      </w:tr>
      <w:tr w:rsidR="00CA5BAE" w:rsidRPr="00127BD1" w14:paraId="66DAA052" w14:textId="77777777" w:rsidTr="005048E3">
        <w:tc>
          <w:tcPr>
            <w:tcW w:w="717" w:type="pct"/>
            <w:tcBorders>
              <w:top w:val="nil"/>
              <w:left w:val="nil"/>
              <w:bottom w:val="nil"/>
              <w:right w:val="nil"/>
            </w:tcBorders>
          </w:tcPr>
          <w:p w14:paraId="35229F4B" w14:textId="4CA51C6A" w:rsidR="00130990" w:rsidRPr="00127BD1" w:rsidRDefault="005048E3"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 xml:space="preserve">(2) </w:t>
            </w:r>
            <w:r w:rsidR="00130990" w:rsidRPr="00127BD1">
              <w:rPr>
                <w:rFonts w:ascii="Times New Roman" w:hAnsi="Times New Roman" w:cs="Times New Roman"/>
                <w:sz w:val="18"/>
                <w:szCs w:val="18"/>
              </w:rPr>
              <w:t>AMB</w:t>
            </w:r>
          </w:p>
        </w:tc>
        <w:tc>
          <w:tcPr>
            <w:tcW w:w="592" w:type="pct"/>
            <w:tcBorders>
              <w:top w:val="nil"/>
              <w:left w:val="nil"/>
              <w:bottom w:val="nil"/>
              <w:right w:val="nil"/>
            </w:tcBorders>
          </w:tcPr>
          <w:p w14:paraId="0C45DC7C"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0.0043*</w:t>
            </w:r>
          </w:p>
        </w:tc>
        <w:tc>
          <w:tcPr>
            <w:tcW w:w="619" w:type="pct"/>
            <w:tcBorders>
              <w:top w:val="nil"/>
              <w:left w:val="nil"/>
              <w:bottom w:val="nil"/>
              <w:right w:val="nil"/>
            </w:tcBorders>
          </w:tcPr>
          <w:p w14:paraId="6F284B86"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1.0000</w:t>
            </w:r>
          </w:p>
        </w:tc>
        <w:tc>
          <w:tcPr>
            <w:tcW w:w="648" w:type="pct"/>
            <w:tcBorders>
              <w:top w:val="nil"/>
              <w:left w:val="nil"/>
              <w:bottom w:val="nil"/>
              <w:right w:val="nil"/>
            </w:tcBorders>
          </w:tcPr>
          <w:p w14:paraId="77E642A5"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p>
        </w:tc>
        <w:tc>
          <w:tcPr>
            <w:tcW w:w="643" w:type="pct"/>
            <w:tcBorders>
              <w:top w:val="nil"/>
              <w:left w:val="nil"/>
              <w:bottom w:val="nil"/>
              <w:right w:val="nil"/>
            </w:tcBorders>
          </w:tcPr>
          <w:p w14:paraId="5797B498"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p>
        </w:tc>
        <w:tc>
          <w:tcPr>
            <w:tcW w:w="642" w:type="pct"/>
            <w:tcBorders>
              <w:top w:val="nil"/>
              <w:left w:val="nil"/>
              <w:bottom w:val="nil"/>
              <w:right w:val="nil"/>
            </w:tcBorders>
          </w:tcPr>
          <w:p w14:paraId="71F80069"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p>
        </w:tc>
        <w:tc>
          <w:tcPr>
            <w:tcW w:w="643" w:type="pct"/>
            <w:tcBorders>
              <w:top w:val="nil"/>
              <w:left w:val="nil"/>
              <w:bottom w:val="nil"/>
              <w:right w:val="nil"/>
            </w:tcBorders>
          </w:tcPr>
          <w:p w14:paraId="5234AA23"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p>
        </w:tc>
        <w:tc>
          <w:tcPr>
            <w:tcW w:w="496" w:type="pct"/>
            <w:tcBorders>
              <w:top w:val="nil"/>
              <w:left w:val="nil"/>
              <w:bottom w:val="nil"/>
              <w:right w:val="nil"/>
            </w:tcBorders>
          </w:tcPr>
          <w:p w14:paraId="496FF36E"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p>
        </w:tc>
      </w:tr>
      <w:tr w:rsidR="00CA5BAE" w:rsidRPr="00127BD1" w14:paraId="482C7752" w14:textId="77777777" w:rsidTr="005048E3">
        <w:tc>
          <w:tcPr>
            <w:tcW w:w="717" w:type="pct"/>
            <w:tcBorders>
              <w:top w:val="nil"/>
              <w:left w:val="nil"/>
              <w:bottom w:val="nil"/>
              <w:right w:val="nil"/>
            </w:tcBorders>
          </w:tcPr>
          <w:p w14:paraId="6C455010" w14:textId="753FFA40" w:rsidR="00130990" w:rsidRPr="00127BD1" w:rsidRDefault="005048E3" w:rsidP="00EC4DE0">
            <w:pPr>
              <w:widowControl w:val="0"/>
              <w:autoSpaceDE w:val="0"/>
              <w:autoSpaceDN w:val="0"/>
              <w:adjustRightInd w:val="0"/>
              <w:rPr>
                <w:rFonts w:ascii="Times New Roman" w:hAnsi="Times New Roman" w:cs="Times New Roman"/>
                <w:sz w:val="18"/>
                <w:szCs w:val="18"/>
              </w:rPr>
            </w:pPr>
            <w:r w:rsidRPr="00127BD1">
              <w:rPr>
                <w:rFonts w:ascii="Times New Roman" w:eastAsia="Times New Roman" w:hAnsi="Times New Roman" w:cs="Times New Roman"/>
                <w:color w:val="000000"/>
                <w:sz w:val="18"/>
                <w:szCs w:val="18"/>
              </w:rPr>
              <w:t xml:space="preserve">(3) </w:t>
            </w:r>
            <w:r w:rsidR="00130990" w:rsidRPr="00127BD1">
              <w:rPr>
                <w:rFonts w:ascii="Times New Roman" w:eastAsia="Times New Roman" w:hAnsi="Times New Roman" w:cs="Times New Roman"/>
                <w:color w:val="000000"/>
                <w:sz w:val="18"/>
                <w:szCs w:val="18"/>
              </w:rPr>
              <w:t>RGDPG</w:t>
            </w:r>
          </w:p>
        </w:tc>
        <w:tc>
          <w:tcPr>
            <w:tcW w:w="592" w:type="pct"/>
            <w:tcBorders>
              <w:top w:val="nil"/>
              <w:left w:val="nil"/>
              <w:bottom w:val="nil"/>
              <w:right w:val="nil"/>
            </w:tcBorders>
          </w:tcPr>
          <w:p w14:paraId="3A1D73B1"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0.0093***</w:t>
            </w:r>
          </w:p>
        </w:tc>
        <w:tc>
          <w:tcPr>
            <w:tcW w:w="619" w:type="pct"/>
            <w:tcBorders>
              <w:top w:val="nil"/>
              <w:left w:val="nil"/>
              <w:bottom w:val="nil"/>
              <w:right w:val="nil"/>
            </w:tcBorders>
          </w:tcPr>
          <w:p w14:paraId="16EC2D23"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0.0845***</w:t>
            </w:r>
          </w:p>
        </w:tc>
        <w:tc>
          <w:tcPr>
            <w:tcW w:w="648" w:type="pct"/>
            <w:tcBorders>
              <w:top w:val="nil"/>
              <w:left w:val="nil"/>
              <w:bottom w:val="nil"/>
              <w:right w:val="nil"/>
            </w:tcBorders>
          </w:tcPr>
          <w:p w14:paraId="7D8C5767"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1.0000</w:t>
            </w:r>
          </w:p>
        </w:tc>
        <w:tc>
          <w:tcPr>
            <w:tcW w:w="643" w:type="pct"/>
            <w:tcBorders>
              <w:top w:val="nil"/>
              <w:left w:val="nil"/>
              <w:bottom w:val="nil"/>
              <w:right w:val="nil"/>
            </w:tcBorders>
          </w:tcPr>
          <w:p w14:paraId="0C01F365"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p>
        </w:tc>
        <w:tc>
          <w:tcPr>
            <w:tcW w:w="642" w:type="pct"/>
            <w:tcBorders>
              <w:top w:val="nil"/>
              <w:left w:val="nil"/>
              <w:bottom w:val="nil"/>
              <w:right w:val="nil"/>
            </w:tcBorders>
          </w:tcPr>
          <w:p w14:paraId="41E32F9A"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p>
        </w:tc>
        <w:tc>
          <w:tcPr>
            <w:tcW w:w="643" w:type="pct"/>
            <w:tcBorders>
              <w:top w:val="nil"/>
              <w:left w:val="nil"/>
              <w:bottom w:val="nil"/>
              <w:right w:val="nil"/>
            </w:tcBorders>
          </w:tcPr>
          <w:p w14:paraId="43A5EC7B"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p>
        </w:tc>
        <w:tc>
          <w:tcPr>
            <w:tcW w:w="496" w:type="pct"/>
            <w:tcBorders>
              <w:top w:val="nil"/>
              <w:left w:val="nil"/>
              <w:bottom w:val="nil"/>
              <w:right w:val="nil"/>
            </w:tcBorders>
          </w:tcPr>
          <w:p w14:paraId="4F6DF3BD"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p>
        </w:tc>
      </w:tr>
      <w:tr w:rsidR="00CA5BAE" w:rsidRPr="00127BD1" w14:paraId="5AAF59BB" w14:textId="77777777" w:rsidTr="005048E3">
        <w:tc>
          <w:tcPr>
            <w:tcW w:w="717" w:type="pct"/>
            <w:tcBorders>
              <w:top w:val="nil"/>
              <w:left w:val="nil"/>
              <w:bottom w:val="nil"/>
              <w:right w:val="nil"/>
            </w:tcBorders>
          </w:tcPr>
          <w:p w14:paraId="6CEA6093" w14:textId="3E0C4970" w:rsidR="00130990" w:rsidRPr="00127BD1" w:rsidRDefault="005048E3"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 xml:space="preserve">(4) </w:t>
            </w:r>
            <w:r w:rsidR="00130990" w:rsidRPr="00127BD1">
              <w:rPr>
                <w:rFonts w:ascii="Times New Roman" w:hAnsi="Times New Roman" w:cs="Times New Roman"/>
                <w:sz w:val="18"/>
                <w:szCs w:val="18"/>
              </w:rPr>
              <w:t>INFLA</w:t>
            </w:r>
          </w:p>
        </w:tc>
        <w:tc>
          <w:tcPr>
            <w:tcW w:w="592" w:type="pct"/>
            <w:tcBorders>
              <w:top w:val="nil"/>
              <w:left w:val="nil"/>
              <w:bottom w:val="nil"/>
              <w:right w:val="nil"/>
            </w:tcBorders>
          </w:tcPr>
          <w:p w14:paraId="7687D4CB"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0.0007</w:t>
            </w:r>
          </w:p>
        </w:tc>
        <w:tc>
          <w:tcPr>
            <w:tcW w:w="619" w:type="pct"/>
            <w:tcBorders>
              <w:top w:val="nil"/>
              <w:left w:val="nil"/>
              <w:bottom w:val="nil"/>
              <w:right w:val="nil"/>
            </w:tcBorders>
          </w:tcPr>
          <w:p w14:paraId="53FB7771"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0.0549***</w:t>
            </w:r>
          </w:p>
        </w:tc>
        <w:tc>
          <w:tcPr>
            <w:tcW w:w="648" w:type="pct"/>
            <w:tcBorders>
              <w:top w:val="nil"/>
              <w:left w:val="nil"/>
              <w:bottom w:val="nil"/>
              <w:right w:val="nil"/>
            </w:tcBorders>
          </w:tcPr>
          <w:p w14:paraId="71220217"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-0.0165***</w:t>
            </w:r>
          </w:p>
        </w:tc>
        <w:tc>
          <w:tcPr>
            <w:tcW w:w="643" w:type="pct"/>
            <w:tcBorders>
              <w:top w:val="nil"/>
              <w:left w:val="nil"/>
              <w:bottom w:val="nil"/>
              <w:right w:val="nil"/>
            </w:tcBorders>
          </w:tcPr>
          <w:p w14:paraId="40B7169B"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1.0000</w:t>
            </w:r>
          </w:p>
        </w:tc>
        <w:tc>
          <w:tcPr>
            <w:tcW w:w="642" w:type="pct"/>
            <w:tcBorders>
              <w:top w:val="nil"/>
              <w:left w:val="nil"/>
              <w:bottom w:val="nil"/>
              <w:right w:val="nil"/>
            </w:tcBorders>
          </w:tcPr>
          <w:p w14:paraId="4AEB01AA"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p>
        </w:tc>
        <w:tc>
          <w:tcPr>
            <w:tcW w:w="643" w:type="pct"/>
            <w:tcBorders>
              <w:top w:val="nil"/>
              <w:left w:val="nil"/>
              <w:bottom w:val="nil"/>
              <w:right w:val="nil"/>
            </w:tcBorders>
          </w:tcPr>
          <w:p w14:paraId="34ABA9EE"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p>
        </w:tc>
        <w:tc>
          <w:tcPr>
            <w:tcW w:w="496" w:type="pct"/>
            <w:tcBorders>
              <w:top w:val="nil"/>
              <w:left w:val="nil"/>
              <w:bottom w:val="nil"/>
              <w:right w:val="nil"/>
            </w:tcBorders>
          </w:tcPr>
          <w:p w14:paraId="38A2DAC4"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p>
        </w:tc>
      </w:tr>
      <w:tr w:rsidR="00CA5BAE" w:rsidRPr="00127BD1" w14:paraId="16B79F3B" w14:textId="77777777" w:rsidTr="005048E3">
        <w:tc>
          <w:tcPr>
            <w:tcW w:w="717" w:type="pct"/>
            <w:tcBorders>
              <w:top w:val="nil"/>
              <w:left w:val="nil"/>
              <w:bottom w:val="nil"/>
              <w:right w:val="nil"/>
            </w:tcBorders>
          </w:tcPr>
          <w:p w14:paraId="1412548C" w14:textId="157FEF65" w:rsidR="00130990" w:rsidRPr="00127BD1" w:rsidRDefault="005048E3" w:rsidP="00EC4DE0">
            <w:pPr>
              <w:widowControl w:val="0"/>
              <w:autoSpaceDE w:val="0"/>
              <w:autoSpaceDN w:val="0"/>
              <w:adjustRightInd w:val="0"/>
              <w:rPr>
                <w:rFonts w:ascii="Times New Roman" w:hAnsi="Times New Roman" w:cs="Times New Roman"/>
                <w:sz w:val="18"/>
                <w:szCs w:val="18"/>
              </w:rPr>
            </w:pPr>
            <w:r w:rsidRPr="00127BD1">
              <w:rPr>
                <w:rFonts w:ascii="Times New Roman" w:eastAsia="Times New Roman" w:hAnsi="Times New Roman" w:cs="Times New Roman"/>
                <w:color w:val="000000"/>
                <w:sz w:val="18"/>
                <w:szCs w:val="18"/>
              </w:rPr>
              <w:t xml:space="preserve">(5) </w:t>
            </w:r>
            <w:r w:rsidR="00130990" w:rsidRPr="00127BD1">
              <w:rPr>
                <w:rFonts w:ascii="Times New Roman" w:eastAsia="Times New Roman" w:hAnsi="Times New Roman" w:cs="Times New Roman"/>
                <w:color w:val="000000"/>
                <w:sz w:val="18"/>
                <w:szCs w:val="18"/>
              </w:rPr>
              <w:t>EXGG</w:t>
            </w:r>
          </w:p>
        </w:tc>
        <w:tc>
          <w:tcPr>
            <w:tcW w:w="592" w:type="pct"/>
            <w:tcBorders>
              <w:top w:val="nil"/>
              <w:left w:val="nil"/>
              <w:bottom w:val="nil"/>
              <w:right w:val="nil"/>
            </w:tcBorders>
          </w:tcPr>
          <w:p w14:paraId="1E422AC5"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-0.0161***</w:t>
            </w:r>
          </w:p>
        </w:tc>
        <w:tc>
          <w:tcPr>
            <w:tcW w:w="619" w:type="pct"/>
            <w:tcBorders>
              <w:top w:val="nil"/>
              <w:left w:val="nil"/>
              <w:bottom w:val="nil"/>
              <w:right w:val="nil"/>
            </w:tcBorders>
          </w:tcPr>
          <w:p w14:paraId="6B6F8BF9"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0.0028</w:t>
            </w:r>
          </w:p>
        </w:tc>
        <w:tc>
          <w:tcPr>
            <w:tcW w:w="648" w:type="pct"/>
            <w:tcBorders>
              <w:top w:val="nil"/>
              <w:left w:val="nil"/>
              <w:bottom w:val="nil"/>
              <w:right w:val="nil"/>
            </w:tcBorders>
          </w:tcPr>
          <w:p w14:paraId="3159C971"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-0.1257***</w:t>
            </w:r>
          </w:p>
        </w:tc>
        <w:tc>
          <w:tcPr>
            <w:tcW w:w="643" w:type="pct"/>
            <w:tcBorders>
              <w:top w:val="nil"/>
              <w:left w:val="nil"/>
              <w:bottom w:val="nil"/>
              <w:right w:val="nil"/>
            </w:tcBorders>
          </w:tcPr>
          <w:p w14:paraId="5C91C2CD"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0.0775***</w:t>
            </w:r>
          </w:p>
        </w:tc>
        <w:tc>
          <w:tcPr>
            <w:tcW w:w="642" w:type="pct"/>
            <w:tcBorders>
              <w:top w:val="nil"/>
              <w:left w:val="nil"/>
              <w:bottom w:val="nil"/>
              <w:right w:val="nil"/>
            </w:tcBorders>
          </w:tcPr>
          <w:p w14:paraId="5EEB08A3"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1.0000</w:t>
            </w:r>
          </w:p>
        </w:tc>
        <w:tc>
          <w:tcPr>
            <w:tcW w:w="643" w:type="pct"/>
            <w:tcBorders>
              <w:top w:val="nil"/>
              <w:left w:val="nil"/>
              <w:bottom w:val="nil"/>
              <w:right w:val="nil"/>
            </w:tcBorders>
          </w:tcPr>
          <w:p w14:paraId="79B75111"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p>
        </w:tc>
        <w:tc>
          <w:tcPr>
            <w:tcW w:w="496" w:type="pct"/>
            <w:tcBorders>
              <w:top w:val="nil"/>
              <w:left w:val="nil"/>
              <w:bottom w:val="nil"/>
              <w:right w:val="nil"/>
            </w:tcBorders>
          </w:tcPr>
          <w:p w14:paraId="08AE030C"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p>
        </w:tc>
      </w:tr>
      <w:tr w:rsidR="00CA5BAE" w:rsidRPr="00127BD1" w14:paraId="31C96F70" w14:textId="77777777" w:rsidTr="005048E3">
        <w:tc>
          <w:tcPr>
            <w:tcW w:w="717" w:type="pct"/>
            <w:tcBorders>
              <w:top w:val="nil"/>
              <w:left w:val="nil"/>
              <w:right w:val="nil"/>
            </w:tcBorders>
          </w:tcPr>
          <w:p w14:paraId="1D6452EF" w14:textId="0C435085" w:rsidR="00130990" w:rsidRPr="00127BD1" w:rsidRDefault="005048E3"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 xml:space="preserve">(6) </w:t>
            </w:r>
            <w:r w:rsidR="00130990" w:rsidRPr="00127BD1">
              <w:rPr>
                <w:rFonts w:ascii="Times New Roman" w:hAnsi="Times New Roman" w:cs="Times New Roman"/>
                <w:sz w:val="18"/>
                <w:szCs w:val="18"/>
              </w:rPr>
              <w:t>LRATE</w:t>
            </w:r>
          </w:p>
        </w:tc>
        <w:tc>
          <w:tcPr>
            <w:tcW w:w="592" w:type="pct"/>
            <w:tcBorders>
              <w:top w:val="nil"/>
              <w:left w:val="nil"/>
              <w:right w:val="nil"/>
            </w:tcBorders>
          </w:tcPr>
          <w:p w14:paraId="2CCE4CA7"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0.0197***</w:t>
            </w:r>
          </w:p>
        </w:tc>
        <w:tc>
          <w:tcPr>
            <w:tcW w:w="619" w:type="pct"/>
            <w:tcBorders>
              <w:top w:val="nil"/>
              <w:left w:val="nil"/>
              <w:right w:val="nil"/>
            </w:tcBorders>
          </w:tcPr>
          <w:p w14:paraId="015F747E"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-0.2287***</w:t>
            </w:r>
          </w:p>
        </w:tc>
        <w:tc>
          <w:tcPr>
            <w:tcW w:w="648" w:type="pct"/>
            <w:tcBorders>
              <w:top w:val="nil"/>
              <w:left w:val="nil"/>
              <w:right w:val="nil"/>
            </w:tcBorders>
          </w:tcPr>
          <w:p w14:paraId="4604C6BC"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0.0262***</w:t>
            </w:r>
          </w:p>
        </w:tc>
        <w:tc>
          <w:tcPr>
            <w:tcW w:w="643" w:type="pct"/>
            <w:tcBorders>
              <w:top w:val="nil"/>
              <w:left w:val="nil"/>
              <w:right w:val="nil"/>
            </w:tcBorders>
          </w:tcPr>
          <w:p w14:paraId="404906A5"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-0.1878***</w:t>
            </w:r>
          </w:p>
        </w:tc>
        <w:tc>
          <w:tcPr>
            <w:tcW w:w="642" w:type="pct"/>
            <w:tcBorders>
              <w:top w:val="nil"/>
              <w:left w:val="nil"/>
              <w:right w:val="nil"/>
            </w:tcBorders>
          </w:tcPr>
          <w:p w14:paraId="4C90BFE8"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0.0063**</w:t>
            </w:r>
          </w:p>
        </w:tc>
        <w:tc>
          <w:tcPr>
            <w:tcW w:w="643" w:type="pct"/>
            <w:tcBorders>
              <w:top w:val="nil"/>
              <w:left w:val="nil"/>
              <w:right w:val="nil"/>
            </w:tcBorders>
          </w:tcPr>
          <w:p w14:paraId="681F0A8F"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1.0000</w:t>
            </w:r>
          </w:p>
        </w:tc>
        <w:tc>
          <w:tcPr>
            <w:tcW w:w="496" w:type="pct"/>
            <w:tcBorders>
              <w:top w:val="nil"/>
              <w:left w:val="nil"/>
              <w:right w:val="nil"/>
            </w:tcBorders>
          </w:tcPr>
          <w:p w14:paraId="09E503A4"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p>
        </w:tc>
      </w:tr>
      <w:tr w:rsidR="00CA5BAE" w:rsidRPr="00127BD1" w14:paraId="2DDB49B3" w14:textId="77777777" w:rsidTr="005048E3">
        <w:tc>
          <w:tcPr>
            <w:tcW w:w="717" w:type="pct"/>
            <w:tcBorders>
              <w:top w:val="nil"/>
              <w:left w:val="nil"/>
              <w:bottom w:val="single" w:sz="4" w:space="0" w:color="auto"/>
              <w:right w:val="nil"/>
            </w:tcBorders>
          </w:tcPr>
          <w:p w14:paraId="17C4F2C2" w14:textId="63EF5565" w:rsidR="00130990" w:rsidRPr="00127BD1" w:rsidRDefault="005048E3" w:rsidP="00EC4DE0">
            <w:pPr>
              <w:widowControl w:val="0"/>
              <w:autoSpaceDE w:val="0"/>
              <w:autoSpaceDN w:val="0"/>
              <w:adjustRightInd w:val="0"/>
              <w:rPr>
                <w:rFonts w:ascii="Times New Roman" w:hAnsi="Times New Roman" w:cs="Times New Roman"/>
                <w:sz w:val="18"/>
                <w:szCs w:val="18"/>
              </w:rPr>
            </w:pPr>
            <w:r w:rsidRPr="00127BD1">
              <w:rPr>
                <w:rFonts w:ascii="Times New Roman" w:eastAsia="Times New Roman" w:hAnsi="Times New Roman" w:cs="Times New Roman"/>
                <w:color w:val="000000"/>
                <w:sz w:val="18"/>
                <w:szCs w:val="18"/>
              </w:rPr>
              <w:t xml:space="preserve">(7) </w:t>
            </w:r>
            <w:r w:rsidR="00130990" w:rsidRPr="00127BD1">
              <w:rPr>
                <w:rFonts w:ascii="Times New Roman" w:eastAsia="Times New Roman" w:hAnsi="Times New Roman" w:cs="Times New Roman"/>
                <w:color w:val="000000"/>
                <w:sz w:val="18"/>
                <w:szCs w:val="18"/>
              </w:rPr>
              <w:t>DEBTGDP</w:t>
            </w:r>
          </w:p>
        </w:tc>
        <w:tc>
          <w:tcPr>
            <w:tcW w:w="592" w:type="pct"/>
            <w:tcBorders>
              <w:top w:val="nil"/>
              <w:left w:val="nil"/>
              <w:bottom w:val="single" w:sz="4" w:space="0" w:color="auto"/>
              <w:right w:val="nil"/>
            </w:tcBorders>
          </w:tcPr>
          <w:p w14:paraId="79A1B27F"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-0.0064**</w:t>
            </w:r>
          </w:p>
        </w:tc>
        <w:tc>
          <w:tcPr>
            <w:tcW w:w="619" w:type="pct"/>
            <w:tcBorders>
              <w:top w:val="nil"/>
              <w:left w:val="nil"/>
              <w:bottom w:val="single" w:sz="4" w:space="0" w:color="auto"/>
              <w:right w:val="nil"/>
            </w:tcBorders>
          </w:tcPr>
          <w:p w14:paraId="4B49B0EA"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0.0477***</w:t>
            </w:r>
          </w:p>
        </w:tc>
        <w:tc>
          <w:tcPr>
            <w:tcW w:w="648" w:type="pct"/>
            <w:tcBorders>
              <w:top w:val="nil"/>
              <w:left w:val="nil"/>
              <w:bottom w:val="single" w:sz="4" w:space="0" w:color="auto"/>
              <w:right w:val="nil"/>
            </w:tcBorders>
          </w:tcPr>
          <w:p w14:paraId="6514E7BC"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-0.0245***</w:t>
            </w:r>
          </w:p>
        </w:tc>
        <w:tc>
          <w:tcPr>
            <w:tcW w:w="643" w:type="pct"/>
            <w:tcBorders>
              <w:top w:val="nil"/>
              <w:left w:val="nil"/>
              <w:bottom w:val="single" w:sz="4" w:space="0" w:color="auto"/>
              <w:right w:val="nil"/>
            </w:tcBorders>
          </w:tcPr>
          <w:p w14:paraId="6E0AF242"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0.1314***</w:t>
            </w:r>
          </w:p>
        </w:tc>
        <w:tc>
          <w:tcPr>
            <w:tcW w:w="642" w:type="pct"/>
            <w:tcBorders>
              <w:top w:val="nil"/>
              <w:left w:val="nil"/>
              <w:bottom w:val="single" w:sz="4" w:space="0" w:color="auto"/>
              <w:right w:val="nil"/>
            </w:tcBorders>
          </w:tcPr>
          <w:p w14:paraId="34FCBB73"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0.0387***</w:t>
            </w:r>
          </w:p>
        </w:tc>
        <w:tc>
          <w:tcPr>
            <w:tcW w:w="643" w:type="pct"/>
            <w:tcBorders>
              <w:top w:val="nil"/>
              <w:left w:val="nil"/>
              <w:bottom w:val="single" w:sz="4" w:space="0" w:color="auto"/>
              <w:right w:val="nil"/>
            </w:tcBorders>
          </w:tcPr>
          <w:p w14:paraId="5EAFECCA"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-0.2106***</w:t>
            </w:r>
          </w:p>
        </w:tc>
        <w:tc>
          <w:tcPr>
            <w:tcW w:w="496" w:type="pct"/>
            <w:tcBorders>
              <w:top w:val="nil"/>
              <w:left w:val="nil"/>
              <w:bottom w:val="single" w:sz="4" w:space="0" w:color="auto"/>
              <w:right w:val="nil"/>
            </w:tcBorders>
          </w:tcPr>
          <w:p w14:paraId="1E1BDC33" w14:textId="77777777" w:rsidR="00130990" w:rsidRPr="00127BD1" w:rsidRDefault="00130990" w:rsidP="00EC4DE0">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1.0000</w:t>
            </w:r>
          </w:p>
        </w:tc>
      </w:tr>
    </w:tbl>
    <w:p w14:paraId="639803E7" w14:textId="77777777" w:rsidR="00444530" w:rsidRPr="00127BD1" w:rsidRDefault="00444530" w:rsidP="00444530">
      <w:pPr>
        <w:rPr>
          <w:rFonts w:ascii="Times New Roman" w:hAnsi="Times New Roman" w:cs="Times New Roman"/>
          <w:sz w:val="20"/>
          <w:szCs w:val="20"/>
        </w:rPr>
      </w:pPr>
      <w:r w:rsidRPr="00127BD1">
        <w:rPr>
          <w:rFonts w:ascii="Times New Roman" w:hAnsi="Times New Roman" w:cs="Times New Roman"/>
          <w:sz w:val="20"/>
          <w:szCs w:val="20"/>
        </w:rPr>
        <w:t xml:space="preserve">Note: All variables are specified in the Appendix. *** denotes 1% significance level, ** denotes 5% significance level, and * denotes 10% significance level. </w:t>
      </w:r>
    </w:p>
    <w:p w14:paraId="044B02C4" w14:textId="77777777" w:rsidR="00A021E0" w:rsidRPr="00127BD1" w:rsidRDefault="00A021E0" w:rsidP="00130990">
      <w:pPr>
        <w:rPr>
          <w:rFonts w:ascii="Times New Roman" w:hAnsi="Times New Roman" w:cs="Times New Roman"/>
          <w:sz w:val="22"/>
          <w:szCs w:val="22"/>
        </w:rPr>
      </w:pPr>
    </w:p>
    <w:p w14:paraId="0CC52CD9" w14:textId="77777777" w:rsidR="00C93F15" w:rsidRPr="00127BD1" w:rsidRDefault="00C93F15" w:rsidP="00130990">
      <w:pPr>
        <w:rPr>
          <w:rFonts w:ascii="Times New Roman" w:hAnsi="Times New Roman" w:cs="Times New Roman"/>
          <w:sz w:val="22"/>
          <w:szCs w:val="22"/>
        </w:rPr>
      </w:pPr>
    </w:p>
    <w:p w14:paraId="5875EEAA" w14:textId="2A3FAB97" w:rsidR="00C90BF1" w:rsidRPr="00127BD1" w:rsidRDefault="00C90BF1" w:rsidP="00C31CAA">
      <w:pPr>
        <w:spacing w:line="360" w:lineRule="auto"/>
        <w:rPr>
          <w:rFonts w:ascii="Times New Roman" w:hAnsi="Times New Roman" w:cs="Times New Roman"/>
          <w:sz w:val="22"/>
          <w:szCs w:val="22"/>
        </w:rPr>
      </w:pPr>
      <w:r w:rsidRPr="00127BD1">
        <w:rPr>
          <w:rFonts w:ascii="Times New Roman" w:hAnsi="Times New Roman" w:cs="Times New Roman"/>
          <w:b/>
          <w:bCs/>
          <w:sz w:val="22"/>
          <w:szCs w:val="22"/>
        </w:rPr>
        <w:t>Table 2b</w:t>
      </w:r>
      <w:r w:rsidR="00C93F15" w:rsidRPr="00127BD1">
        <w:rPr>
          <w:rFonts w:ascii="Times New Roman" w:hAnsi="Times New Roman" w:cs="Times New Roman"/>
          <w:b/>
          <w:bCs/>
          <w:sz w:val="22"/>
          <w:szCs w:val="22"/>
        </w:rPr>
        <w:t xml:space="preserve"> </w:t>
      </w:r>
      <w:r w:rsidR="00C93F15" w:rsidRPr="00127BD1">
        <w:rPr>
          <w:rFonts w:ascii="Times New Roman" w:hAnsi="Times New Roman" w:cs="Times New Roman"/>
          <w:sz w:val="22"/>
          <w:szCs w:val="22"/>
        </w:rPr>
        <w:t>Correlation matrix (lender-level cross-border lending)</w:t>
      </w:r>
    </w:p>
    <w:tbl>
      <w:tblPr>
        <w:tblW w:w="5000" w:type="pct"/>
        <w:tblLook w:val="0000" w:firstRow="0" w:lastRow="0" w:firstColumn="0" w:lastColumn="0" w:noHBand="0" w:noVBand="0"/>
      </w:tblPr>
      <w:tblGrid>
        <w:gridCol w:w="1373"/>
        <w:gridCol w:w="1098"/>
        <w:gridCol w:w="1036"/>
        <w:gridCol w:w="1098"/>
        <w:gridCol w:w="1098"/>
        <w:gridCol w:w="1098"/>
        <w:gridCol w:w="1098"/>
        <w:gridCol w:w="1097"/>
        <w:gridCol w:w="750"/>
      </w:tblGrid>
      <w:tr w:rsidR="005048E3" w:rsidRPr="00127BD1" w14:paraId="7827DB44" w14:textId="77777777" w:rsidTr="00CA5BAE">
        <w:tc>
          <w:tcPr>
            <w:tcW w:w="704" w:type="pct"/>
            <w:tcBorders>
              <w:top w:val="single" w:sz="4" w:space="0" w:color="auto"/>
              <w:left w:val="nil"/>
              <w:bottom w:val="single" w:sz="6" w:space="0" w:color="auto"/>
              <w:right w:val="nil"/>
            </w:tcBorders>
            <w:vAlign w:val="center"/>
          </w:tcPr>
          <w:p w14:paraId="511DB36D" w14:textId="617C296B" w:rsidR="005048E3" w:rsidRPr="00127BD1" w:rsidRDefault="005048E3" w:rsidP="005048E3">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Variables</w:t>
            </w:r>
          </w:p>
        </w:tc>
        <w:tc>
          <w:tcPr>
            <w:tcW w:w="563" w:type="pct"/>
            <w:tcBorders>
              <w:top w:val="single" w:sz="4" w:space="0" w:color="auto"/>
              <w:left w:val="nil"/>
              <w:bottom w:val="single" w:sz="6" w:space="0" w:color="auto"/>
              <w:right w:val="nil"/>
            </w:tcBorders>
          </w:tcPr>
          <w:p w14:paraId="7B7936BC" w14:textId="205ABA25" w:rsidR="005048E3" w:rsidRPr="00127BD1" w:rsidRDefault="005048E3" w:rsidP="005048E3">
            <w:pPr>
              <w:widowControl w:val="0"/>
              <w:autoSpaceDE w:val="0"/>
              <w:autoSpaceDN w:val="0"/>
              <w:adjustRightInd w:val="0"/>
              <w:rPr>
                <w:rFonts w:ascii="Times New Roman" w:hAnsi="Times New Roman" w:cs="Times New Roman"/>
                <w:sz w:val="18"/>
                <w:szCs w:val="18"/>
              </w:rPr>
            </w:pPr>
            <w:r w:rsidRPr="00127BD1">
              <w:rPr>
                <w:rFonts w:ascii="Times New Roman" w:eastAsia="Times New Roman" w:hAnsi="Times New Roman" w:cs="Times New Roman"/>
                <w:color w:val="000000"/>
                <w:sz w:val="18"/>
                <w:szCs w:val="18"/>
              </w:rPr>
              <w:t>(1)</w:t>
            </w:r>
          </w:p>
        </w:tc>
        <w:tc>
          <w:tcPr>
            <w:tcW w:w="531" w:type="pct"/>
            <w:tcBorders>
              <w:top w:val="single" w:sz="4" w:space="0" w:color="auto"/>
              <w:left w:val="nil"/>
              <w:bottom w:val="single" w:sz="6" w:space="0" w:color="auto"/>
              <w:right w:val="nil"/>
            </w:tcBorders>
          </w:tcPr>
          <w:p w14:paraId="7435B7D7" w14:textId="4E44FC89" w:rsidR="005048E3" w:rsidRPr="00127BD1" w:rsidRDefault="005048E3" w:rsidP="005048E3">
            <w:pPr>
              <w:widowControl w:val="0"/>
              <w:autoSpaceDE w:val="0"/>
              <w:autoSpaceDN w:val="0"/>
              <w:adjustRightInd w:val="0"/>
              <w:rPr>
                <w:rFonts w:ascii="Times New Roman" w:hAnsi="Times New Roman" w:cs="Times New Roman"/>
                <w:color w:val="000000"/>
                <w:sz w:val="18"/>
                <w:szCs w:val="18"/>
              </w:rPr>
            </w:pPr>
            <w:r w:rsidRPr="00127BD1">
              <w:rPr>
                <w:rFonts w:ascii="Times New Roman" w:eastAsia="Times New Roman" w:hAnsi="Times New Roman" w:cs="Times New Roman"/>
                <w:color w:val="000000"/>
                <w:sz w:val="18"/>
                <w:szCs w:val="18"/>
              </w:rPr>
              <w:t>(2)</w:t>
            </w:r>
          </w:p>
        </w:tc>
        <w:tc>
          <w:tcPr>
            <w:tcW w:w="563" w:type="pct"/>
            <w:tcBorders>
              <w:top w:val="single" w:sz="4" w:space="0" w:color="auto"/>
              <w:left w:val="nil"/>
              <w:bottom w:val="single" w:sz="6" w:space="0" w:color="auto"/>
              <w:right w:val="nil"/>
            </w:tcBorders>
          </w:tcPr>
          <w:p w14:paraId="4BDAA286" w14:textId="503C72B7" w:rsidR="005048E3" w:rsidRPr="00127BD1" w:rsidRDefault="005048E3" w:rsidP="005048E3">
            <w:pPr>
              <w:widowControl w:val="0"/>
              <w:autoSpaceDE w:val="0"/>
              <w:autoSpaceDN w:val="0"/>
              <w:adjustRightInd w:val="0"/>
              <w:rPr>
                <w:rFonts w:ascii="Times New Roman" w:hAnsi="Times New Roman" w:cs="Times New Roman"/>
                <w:sz w:val="18"/>
                <w:szCs w:val="18"/>
              </w:rPr>
            </w:pPr>
            <w:r w:rsidRPr="00127BD1">
              <w:rPr>
                <w:rFonts w:ascii="Times New Roman" w:eastAsia="Times New Roman" w:hAnsi="Times New Roman" w:cs="Times New Roman"/>
                <w:color w:val="000000"/>
                <w:sz w:val="18"/>
                <w:szCs w:val="18"/>
              </w:rPr>
              <w:t>(3)</w:t>
            </w:r>
          </w:p>
        </w:tc>
        <w:tc>
          <w:tcPr>
            <w:tcW w:w="563" w:type="pct"/>
            <w:tcBorders>
              <w:top w:val="single" w:sz="4" w:space="0" w:color="auto"/>
              <w:left w:val="nil"/>
              <w:bottom w:val="single" w:sz="6" w:space="0" w:color="auto"/>
              <w:right w:val="nil"/>
            </w:tcBorders>
          </w:tcPr>
          <w:p w14:paraId="1D99CC6B" w14:textId="2161E417" w:rsidR="005048E3" w:rsidRPr="00127BD1" w:rsidRDefault="005048E3" w:rsidP="005048E3">
            <w:pPr>
              <w:widowControl w:val="0"/>
              <w:autoSpaceDE w:val="0"/>
              <w:autoSpaceDN w:val="0"/>
              <w:adjustRightInd w:val="0"/>
              <w:rPr>
                <w:rFonts w:ascii="Times New Roman" w:hAnsi="Times New Roman" w:cs="Times New Roman"/>
                <w:sz w:val="18"/>
                <w:szCs w:val="18"/>
              </w:rPr>
            </w:pPr>
            <w:r w:rsidRPr="00127BD1">
              <w:rPr>
                <w:rFonts w:ascii="Times New Roman" w:eastAsia="Times New Roman" w:hAnsi="Times New Roman" w:cs="Times New Roman"/>
                <w:color w:val="000000"/>
                <w:sz w:val="18"/>
                <w:szCs w:val="18"/>
              </w:rPr>
              <w:t>(4)</w:t>
            </w:r>
          </w:p>
        </w:tc>
        <w:tc>
          <w:tcPr>
            <w:tcW w:w="563" w:type="pct"/>
            <w:tcBorders>
              <w:top w:val="single" w:sz="4" w:space="0" w:color="auto"/>
              <w:left w:val="nil"/>
              <w:bottom w:val="single" w:sz="6" w:space="0" w:color="auto"/>
              <w:right w:val="nil"/>
            </w:tcBorders>
          </w:tcPr>
          <w:p w14:paraId="3043E144" w14:textId="71B198C2" w:rsidR="005048E3" w:rsidRPr="00127BD1" w:rsidRDefault="005048E3" w:rsidP="005048E3">
            <w:pPr>
              <w:widowControl w:val="0"/>
              <w:autoSpaceDE w:val="0"/>
              <w:autoSpaceDN w:val="0"/>
              <w:adjustRightInd w:val="0"/>
              <w:rPr>
                <w:rFonts w:ascii="Times New Roman" w:hAnsi="Times New Roman" w:cs="Times New Roman"/>
                <w:sz w:val="18"/>
                <w:szCs w:val="18"/>
              </w:rPr>
            </w:pPr>
            <w:r w:rsidRPr="00127BD1">
              <w:rPr>
                <w:rFonts w:ascii="Times New Roman" w:eastAsia="Times New Roman" w:hAnsi="Times New Roman" w:cs="Times New Roman"/>
                <w:color w:val="000000"/>
                <w:sz w:val="18"/>
                <w:szCs w:val="18"/>
              </w:rPr>
              <w:t>(5)</w:t>
            </w:r>
          </w:p>
        </w:tc>
        <w:tc>
          <w:tcPr>
            <w:tcW w:w="563" w:type="pct"/>
            <w:tcBorders>
              <w:top w:val="single" w:sz="4" w:space="0" w:color="auto"/>
              <w:left w:val="nil"/>
              <w:bottom w:val="single" w:sz="6" w:space="0" w:color="auto"/>
              <w:right w:val="nil"/>
            </w:tcBorders>
          </w:tcPr>
          <w:p w14:paraId="3725B09D" w14:textId="7E514E95" w:rsidR="005048E3" w:rsidRPr="00127BD1" w:rsidRDefault="005048E3" w:rsidP="005048E3">
            <w:pPr>
              <w:widowControl w:val="0"/>
              <w:autoSpaceDE w:val="0"/>
              <w:autoSpaceDN w:val="0"/>
              <w:adjustRightInd w:val="0"/>
              <w:rPr>
                <w:rFonts w:ascii="Times New Roman" w:hAnsi="Times New Roman" w:cs="Times New Roman"/>
                <w:sz w:val="18"/>
                <w:szCs w:val="18"/>
              </w:rPr>
            </w:pPr>
            <w:r w:rsidRPr="00127BD1">
              <w:rPr>
                <w:rFonts w:ascii="Times New Roman" w:eastAsia="Times New Roman" w:hAnsi="Times New Roman" w:cs="Times New Roman"/>
                <w:color w:val="000000"/>
                <w:sz w:val="18"/>
                <w:szCs w:val="18"/>
              </w:rPr>
              <w:t>(6)</w:t>
            </w:r>
          </w:p>
        </w:tc>
        <w:tc>
          <w:tcPr>
            <w:tcW w:w="563" w:type="pct"/>
            <w:tcBorders>
              <w:top w:val="single" w:sz="4" w:space="0" w:color="auto"/>
              <w:left w:val="nil"/>
              <w:bottom w:val="single" w:sz="6" w:space="0" w:color="auto"/>
              <w:right w:val="nil"/>
            </w:tcBorders>
          </w:tcPr>
          <w:p w14:paraId="3BF558BE" w14:textId="1BA272E7" w:rsidR="005048E3" w:rsidRPr="00127BD1" w:rsidRDefault="005048E3" w:rsidP="005048E3">
            <w:pPr>
              <w:widowControl w:val="0"/>
              <w:autoSpaceDE w:val="0"/>
              <w:autoSpaceDN w:val="0"/>
              <w:adjustRightInd w:val="0"/>
              <w:rPr>
                <w:rFonts w:ascii="Times New Roman" w:hAnsi="Times New Roman" w:cs="Times New Roman"/>
                <w:sz w:val="18"/>
                <w:szCs w:val="18"/>
              </w:rPr>
            </w:pPr>
            <w:r w:rsidRPr="00127BD1">
              <w:rPr>
                <w:rFonts w:ascii="Times New Roman" w:eastAsia="Times New Roman" w:hAnsi="Times New Roman" w:cs="Times New Roman"/>
                <w:color w:val="000000"/>
                <w:sz w:val="18"/>
                <w:szCs w:val="18"/>
              </w:rPr>
              <w:t>(7)</w:t>
            </w:r>
          </w:p>
        </w:tc>
        <w:tc>
          <w:tcPr>
            <w:tcW w:w="385" w:type="pct"/>
            <w:tcBorders>
              <w:top w:val="single" w:sz="4" w:space="0" w:color="auto"/>
              <w:left w:val="nil"/>
              <w:bottom w:val="single" w:sz="6" w:space="0" w:color="auto"/>
              <w:right w:val="nil"/>
            </w:tcBorders>
          </w:tcPr>
          <w:p w14:paraId="4E5A4578" w14:textId="2F6125F4" w:rsidR="005048E3" w:rsidRPr="00127BD1" w:rsidRDefault="005048E3" w:rsidP="005048E3">
            <w:pPr>
              <w:widowControl w:val="0"/>
              <w:autoSpaceDE w:val="0"/>
              <w:autoSpaceDN w:val="0"/>
              <w:adjustRightInd w:val="0"/>
              <w:rPr>
                <w:rFonts w:ascii="Times New Roman" w:hAnsi="Times New Roman" w:cs="Times New Roman"/>
                <w:sz w:val="18"/>
                <w:szCs w:val="18"/>
              </w:rPr>
            </w:pPr>
            <w:r w:rsidRPr="00127BD1">
              <w:rPr>
                <w:rFonts w:ascii="Times New Roman" w:eastAsia="Times New Roman" w:hAnsi="Times New Roman" w:cs="Times New Roman"/>
                <w:color w:val="000000"/>
                <w:sz w:val="18"/>
                <w:szCs w:val="18"/>
              </w:rPr>
              <w:t>(8)</w:t>
            </w:r>
          </w:p>
        </w:tc>
      </w:tr>
      <w:tr w:rsidR="00C93F15" w:rsidRPr="00127BD1" w14:paraId="771E433E" w14:textId="77777777" w:rsidTr="00CA5BAE">
        <w:tc>
          <w:tcPr>
            <w:tcW w:w="704" w:type="pct"/>
            <w:tcBorders>
              <w:top w:val="nil"/>
              <w:left w:val="nil"/>
              <w:bottom w:val="nil"/>
              <w:right w:val="nil"/>
            </w:tcBorders>
          </w:tcPr>
          <w:p w14:paraId="2C13B544" w14:textId="45DD4740" w:rsidR="00C93F15" w:rsidRPr="00127BD1" w:rsidRDefault="005048E3"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 xml:space="preserve">(1) </w:t>
            </w:r>
            <w:r w:rsidR="000F1B35">
              <w:rPr>
                <w:rFonts w:ascii="Times New Roman" w:hAnsi="Times New Roman" w:cs="Times New Roman"/>
                <w:sz w:val="18"/>
                <w:szCs w:val="18"/>
              </w:rPr>
              <w:t>AMOUNT</w:t>
            </w:r>
          </w:p>
        </w:tc>
        <w:tc>
          <w:tcPr>
            <w:tcW w:w="563" w:type="pct"/>
            <w:tcBorders>
              <w:top w:val="nil"/>
              <w:left w:val="nil"/>
              <w:bottom w:val="nil"/>
              <w:right w:val="nil"/>
            </w:tcBorders>
          </w:tcPr>
          <w:p w14:paraId="0B1DCB65" w14:textId="0CECD430" w:rsidR="00C93F15" w:rsidRPr="00127BD1" w:rsidRDefault="00C93F15"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1.0000</w:t>
            </w:r>
          </w:p>
        </w:tc>
        <w:tc>
          <w:tcPr>
            <w:tcW w:w="531" w:type="pct"/>
            <w:tcBorders>
              <w:top w:val="nil"/>
              <w:left w:val="nil"/>
              <w:bottom w:val="nil"/>
              <w:right w:val="nil"/>
            </w:tcBorders>
          </w:tcPr>
          <w:p w14:paraId="1110A56E" w14:textId="77777777" w:rsidR="00C93F15" w:rsidRPr="00127BD1" w:rsidRDefault="00C93F15" w:rsidP="00C93F15">
            <w:pPr>
              <w:widowControl w:val="0"/>
              <w:autoSpaceDE w:val="0"/>
              <w:autoSpaceDN w:val="0"/>
              <w:adjustRightInd w:val="0"/>
              <w:rPr>
                <w:rFonts w:ascii="Times New Roman" w:hAnsi="Times New Roman" w:cs="Times New Roman"/>
                <w:color w:val="000000"/>
                <w:sz w:val="18"/>
                <w:szCs w:val="18"/>
              </w:rPr>
            </w:pPr>
          </w:p>
        </w:tc>
        <w:tc>
          <w:tcPr>
            <w:tcW w:w="563" w:type="pct"/>
            <w:tcBorders>
              <w:top w:val="nil"/>
              <w:left w:val="nil"/>
              <w:bottom w:val="nil"/>
              <w:right w:val="nil"/>
            </w:tcBorders>
          </w:tcPr>
          <w:p w14:paraId="46A7283B" w14:textId="77777777" w:rsidR="00C93F15" w:rsidRPr="00127BD1" w:rsidRDefault="00C93F15" w:rsidP="00C93F15">
            <w:pPr>
              <w:widowControl w:val="0"/>
              <w:autoSpaceDE w:val="0"/>
              <w:autoSpaceDN w:val="0"/>
              <w:adjustRightInd w:val="0"/>
              <w:rPr>
                <w:rFonts w:ascii="Times New Roman" w:hAnsi="Times New Roman" w:cs="Times New Roman"/>
                <w:sz w:val="18"/>
                <w:szCs w:val="18"/>
              </w:rPr>
            </w:pPr>
          </w:p>
        </w:tc>
        <w:tc>
          <w:tcPr>
            <w:tcW w:w="563" w:type="pct"/>
            <w:tcBorders>
              <w:top w:val="nil"/>
              <w:left w:val="nil"/>
              <w:bottom w:val="nil"/>
              <w:right w:val="nil"/>
            </w:tcBorders>
          </w:tcPr>
          <w:p w14:paraId="15BF2CEA" w14:textId="77777777" w:rsidR="00C93F15" w:rsidRPr="00127BD1" w:rsidRDefault="00C93F15" w:rsidP="00C93F15">
            <w:pPr>
              <w:widowControl w:val="0"/>
              <w:autoSpaceDE w:val="0"/>
              <w:autoSpaceDN w:val="0"/>
              <w:adjustRightInd w:val="0"/>
              <w:rPr>
                <w:rFonts w:ascii="Times New Roman" w:hAnsi="Times New Roman" w:cs="Times New Roman"/>
                <w:sz w:val="18"/>
                <w:szCs w:val="18"/>
              </w:rPr>
            </w:pPr>
          </w:p>
        </w:tc>
        <w:tc>
          <w:tcPr>
            <w:tcW w:w="563" w:type="pct"/>
            <w:tcBorders>
              <w:top w:val="nil"/>
              <w:left w:val="nil"/>
              <w:bottom w:val="nil"/>
              <w:right w:val="nil"/>
            </w:tcBorders>
          </w:tcPr>
          <w:p w14:paraId="622AB970" w14:textId="77777777" w:rsidR="00C93F15" w:rsidRPr="00127BD1" w:rsidRDefault="00C93F15" w:rsidP="00C93F15">
            <w:pPr>
              <w:widowControl w:val="0"/>
              <w:autoSpaceDE w:val="0"/>
              <w:autoSpaceDN w:val="0"/>
              <w:adjustRightInd w:val="0"/>
              <w:rPr>
                <w:rFonts w:ascii="Times New Roman" w:hAnsi="Times New Roman" w:cs="Times New Roman"/>
                <w:sz w:val="18"/>
                <w:szCs w:val="18"/>
              </w:rPr>
            </w:pPr>
          </w:p>
        </w:tc>
        <w:tc>
          <w:tcPr>
            <w:tcW w:w="563" w:type="pct"/>
            <w:tcBorders>
              <w:top w:val="nil"/>
              <w:left w:val="nil"/>
              <w:bottom w:val="nil"/>
              <w:right w:val="nil"/>
            </w:tcBorders>
          </w:tcPr>
          <w:p w14:paraId="1C18F2E1" w14:textId="77777777" w:rsidR="00C93F15" w:rsidRPr="00127BD1" w:rsidRDefault="00C93F15" w:rsidP="00C93F15">
            <w:pPr>
              <w:widowControl w:val="0"/>
              <w:autoSpaceDE w:val="0"/>
              <w:autoSpaceDN w:val="0"/>
              <w:adjustRightInd w:val="0"/>
              <w:rPr>
                <w:rFonts w:ascii="Times New Roman" w:hAnsi="Times New Roman" w:cs="Times New Roman"/>
                <w:sz w:val="18"/>
                <w:szCs w:val="18"/>
              </w:rPr>
            </w:pPr>
          </w:p>
        </w:tc>
        <w:tc>
          <w:tcPr>
            <w:tcW w:w="563" w:type="pct"/>
            <w:tcBorders>
              <w:top w:val="nil"/>
              <w:left w:val="nil"/>
              <w:bottom w:val="nil"/>
              <w:right w:val="nil"/>
            </w:tcBorders>
          </w:tcPr>
          <w:p w14:paraId="042A5884" w14:textId="77777777" w:rsidR="00C93F15" w:rsidRPr="00127BD1" w:rsidRDefault="00C93F15" w:rsidP="00C93F15">
            <w:pPr>
              <w:widowControl w:val="0"/>
              <w:autoSpaceDE w:val="0"/>
              <w:autoSpaceDN w:val="0"/>
              <w:adjustRightInd w:val="0"/>
              <w:rPr>
                <w:rFonts w:ascii="Times New Roman" w:hAnsi="Times New Roman" w:cs="Times New Roman"/>
                <w:sz w:val="18"/>
                <w:szCs w:val="18"/>
              </w:rPr>
            </w:pPr>
          </w:p>
        </w:tc>
        <w:tc>
          <w:tcPr>
            <w:tcW w:w="385" w:type="pct"/>
            <w:tcBorders>
              <w:top w:val="nil"/>
              <w:left w:val="nil"/>
              <w:bottom w:val="nil"/>
              <w:right w:val="nil"/>
            </w:tcBorders>
          </w:tcPr>
          <w:p w14:paraId="67926AF6" w14:textId="77777777" w:rsidR="00C93F15" w:rsidRPr="00127BD1" w:rsidRDefault="00C93F15" w:rsidP="00C93F15">
            <w:pPr>
              <w:widowControl w:val="0"/>
              <w:autoSpaceDE w:val="0"/>
              <w:autoSpaceDN w:val="0"/>
              <w:adjustRightInd w:val="0"/>
              <w:rPr>
                <w:rFonts w:ascii="Times New Roman" w:hAnsi="Times New Roman" w:cs="Times New Roman"/>
                <w:sz w:val="18"/>
                <w:szCs w:val="18"/>
              </w:rPr>
            </w:pPr>
          </w:p>
        </w:tc>
      </w:tr>
      <w:tr w:rsidR="00C93F15" w:rsidRPr="00127BD1" w14:paraId="47AEA766" w14:textId="77777777" w:rsidTr="00CA5BAE">
        <w:tc>
          <w:tcPr>
            <w:tcW w:w="704" w:type="pct"/>
            <w:tcBorders>
              <w:top w:val="nil"/>
              <w:left w:val="nil"/>
              <w:bottom w:val="nil"/>
              <w:right w:val="nil"/>
            </w:tcBorders>
          </w:tcPr>
          <w:p w14:paraId="5F06A698" w14:textId="7DAFDC4C" w:rsidR="00C93F15" w:rsidRPr="00127BD1" w:rsidRDefault="005048E3"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 xml:space="preserve">(2) </w:t>
            </w:r>
            <w:r w:rsidR="00C93F15" w:rsidRPr="00127BD1">
              <w:rPr>
                <w:rFonts w:ascii="Times New Roman" w:hAnsi="Times New Roman" w:cs="Times New Roman"/>
                <w:sz w:val="18"/>
                <w:szCs w:val="18"/>
              </w:rPr>
              <w:t>NUMBER</w:t>
            </w:r>
          </w:p>
        </w:tc>
        <w:tc>
          <w:tcPr>
            <w:tcW w:w="563" w:type="pct"/>
            <w:tcBorders>
              <w:top w:val="nil"/>
              <w:left w:val="nil"/>
              <w:bottom w:val="nil"/>
              <w:right w:val="nil"/>
            </w:tcBorders>
          </w:tcPr>
          <w:p w14:paraId="1D3205D7" w14:textId="12FCA50D" w:rsidR="00C93F15" w:rsidRPr="00127BD1" w:rsidRDefault="00C93F15"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0.6049***</w:t>
            </w:r>
          </w:p>
        </w:tc>
        <w:tc>
          <w:tcPr>
            <w:tcW w:w="531" w:type="pct"/>
            <w:tcBorders>
              <w:top w:val="nil"/>
              <w:left w:val="nil"/>
              <w:bottom w:val="nil"/>
              <w:right w:val="nil"/>
            </w:tcBorders>
          </w:tcPr>
          <w:p w14:paraId="2316BCCF" w14:textId="23ACA30C" w:rsidR="00C93F15" w:rsidRPr="00127BD1" w:rsidRDefault="00C93F15" w:rsidP="00C93F15">
            <w:pPr>
              <w:widowControl w:val="0"/>
              <w:autoSpaceDE w:val="0"/>
              <w:autoSpaceDN w:val="0"/>
              <w:adjustRightInd w:val="0"/>
              <w:rPr>
                <w:rFonts w:ascii="Times New Roman" w:hAnsi="Times New Roman" w:cs="Times New Roman"/>
                <w:color w:val="000000"/>
                <w:sz w:val="18"/>
                <w:szCs w:val="18"/>
              </w:rPr>
            </w:pPr>
            <w:r w:rsidRPr="00127BD1">
              <w:rPr>
                <w:rFonts w:ascii="Times New Roman" w:hAnsi="Times New Roman" w:cs="Times New Roman"/>
                <w:color w:val="000000"/>
                <w:sz w:val="18"/>
                <w:szCs w:val="18"/>
              </w:rPr>
              <w:t>1.0000</w:t>
            </w:r>
          </w:p>
        </w:tc>
        <w:tc>
          <w:tcPr>
            <w:tcW w:w="563" w:type="pct"/>
            <w:tcBorders>
              <w:top w:val="nil"/>
              <w:left w:val="nil"/>
              <w:bottom w:val="nil"/>
              <w:right w:val="nil"/>
            </w:tcBorders>
          </w:tcPr>
          <w:p w14:paraId="3A56116A" w14:textId="77777777" w:rsidR="00C93F15" w:rsidRPr="00127BD1" w:rsidRDefault="00C93F15" w:rsidP="00C93F15">
            <w:pPr>
              <w:widowControl w:val="0"/>
              <w:autoSpaceDE w:val="0"/>
              <w:autoSpaceDN w:val="0"/>
              <w:adjustRightInd w:val="0"/>
              <w:rPr>
                <w:rFonts w:ascii="Times New Roman" w:hAnsi="Times New Roman" w:cs="Times New Roman"/>
                <w:sz w:val="18"/>
                <w:szCs w:val="18"/>
              </w:rPr>
            </w:pPr>
          </w:p>
        </w:tc>
        <w:tc>
          <w:tcPr>
            <w:tcW w:w="563" w:type="pct"/>
            <w:tcBorders>
              <w:top w:val="nil"/>
              <w:left w:val="nil"/>
              <w:bottom w:val="nil"/>
              <w:right w:val="nil"/>
            </w:tcBorders>
          </w:tcPr>
          <w:p w14:paraId="12E6DC8A" w14:textId="77777777" w:rsidR="00C93F15" w:rsidRPr="00127BD1" w:rsidRDefault="00C93F15" w:rsidP="00C93F15">
            <w:pPr>
              <w:widowControl w:val="0"/>
              <w:autoSpaceDE w:val="0"/>
              <w:autoSpaceDN w:val="0"/>
              <w:adjustRightInd w:val="0"/>
              <w:rPr>
                <w:rFonts w:ascii="Times New Roman" w:hAnsi="Times New Roman" w:cs="Times New Roman"/>
                <w:sz w:val="18"/>
                <w:szCs w:val="18"/>
              </w:rPr>
            </w:pPr>
          </w:p>
        </w:tc>
        <w:tc>
          <w:tcPr>
            <w:tcW w:w="563" w:type="pct"/>
            <w:tcBorders>
              <w:top w:val="nil"/>
              <w:left w:val="nil"/>
              <w:bottom w:val="nil"/>
              <w:right w:val="nil"/>
            </w:tcBorders>
          </w:tcPr>
          <w:p w14:paraId="3DA7431E" w14:textId="77777777" w:rsidR="00C93F15" w:rsidRPr="00127BD1" w:rsidRDefault="00C93F15" w:rsidP="00C93F15">
            <w:pPr>
              <w:widowControl w:val="0"/>
              <w:autoSpaceDE w:val="0"/>
              <w:autoSpaceDN w:val="0"/>
              <w:adjustRightInd w:val="0"/>
              <w:rPr>
                <w:rFonts w:ascii="Times New Roman" w:hAnsi="Times New Roman" w:cs="Times New Roman"/>
                <w:sz w:val="18"/>
                <w:szCs w:val="18"/>
              </w:rPr>
            </w:pPr>
          </w:p>
        </w:tc>
        <w:tc>
          <w:tcPr>
            <w:tcW w:w="563" w:type="pct"/>
            <w:tcBorders>
              <w:top w:val="nil"/>
              <w:left w:val="nil"/>
              <w:bottom w:val="nil"/>
              <w:right w:val="nil"/>
            </w:tcBorders>
          </w:tcPr>
          <w:p w14:paraId="54C6BD73" w14:textId="77777777" w:rsidR="00C93F15" w:rsidRPr="00127BD1" w:rsidRDefault="00C93F15" w:rsidP="00C93F15">
            <w:pPr>
              <w:widowControl w:val="0"/>
              <w:autoSpaceDE w:val="0"/>
              <w:autoSpaceDN w:val="0"/>
              <w:adjustRightInd w:val="0"/>
              <w:rPr>
                <w:rFonts w:ascii="Times New Roman" w:hAnsi="Times New Roman" w:cs="Times New Roman"/>
                <w:sz w:val="18"/>
                <w:szCs w:val="18"/>
              </w:rPr>
            </w:pPr>
          </w:p>
        </w:tc>
        <w:tc>
          <w:tcPr>
            <w:tcW w:w="563" w:type="pct"/>
            <w:tcBorders>
              <w:top w:val="nil"/>
              <w:left w:val="nil"/>
              <w:bottom w:val="nil"/>
              <w:right w:val="nil"/>
            </w:tcBorders>
          </w:tcPr>
          <w:p w14:paraId="675EBFAA" w14:textId="77777777" w:rsidR="00C93F15" w:rsidRPr="00127BD1" w:rsidRDefault="00C93F15" w:rsidP="00C93F15">
            <w:pPr>
              <w:widowControl w:val="0"/>
              <w:autoSpaceDE w:val="0"/>
              <w:autoSpaceDN w:val="0"/>
              <w:adjustRightInd w:val="0"/>
              <w:rPr>
                <w:rFonts w:ascii="Times New Roman" w:hAnsi="Times New Roman" w:cs="Times New Roman"/>
                <w:sz w:val="18"/>
                <w:szCs w:val="18"/>
              </w:rPr>
            </w:pPr>
          </w:p>
        </w:tc>
        <w:tc>
          <w:tcPr>
            <w:tcW w:w="385" w:type="pct"/>
            <w:tcBorders>
              <w:top w:val="nil"/>
              <w:left w:val="nil"/>
              <w:bottom w:val="nil"/>
              <w:right w:val="nil"/>
            </w:tcBorders>
          </w:tcPr>
          <w:p w14:paraId="38EBC343" w14:textId="77777777" w:rsidR="00C93F15" w:rsidRPr="00127BD1" w:rsidRDefault="00C93F15" w:rsidP="00C93F15">
            <w:pPr>
              <w:widowControl w:val="0"/>
              <w:autoSpaceDE w:val="0"/>
              <w:autoSpaceDN w:val="0"/>
              <w:adjustRightInd w:val="0"/>
              <w:rPr>
                <w:rFonts w:ascii="Times New Roman" w:hAnsi="Times New Roman" w:cs="Times New Roman"/>
                <w:sz w:val="18"/>
                <w:szCs w:val="18"/>
              </w:rPr>
            </w:pPr>
          </w:p>
        </w:tc>
      </w:tr>
      <w:tr w:rsidR="00C93F15" w:rsidRPr="00127BD1" w14:paraId="3756F13C" w14:textId="77777777" w:rsidTr="00CA5BAE">
        <w:tc>
          <w:tcPr>
            <w:tcW w:w="704" w:type="pct"/>
            <w:tcBorders>
              <w:top w:val="nil"/>
              <w:left w:val="nil"/>
              <w:bottom w:val="nil"/>
              <w:right w:val="nil"/>
            </w:tcBorders>
          </w:tcPr>
          <w:p w14:paraId="1258C787" w14:textId="06947A29" w:rsidR="00C93F15" w:rsidRPr="00127BD1" w:rsidRDefault="005048E3"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 xml:space="preserve">(3) </w:t>
            </w:r>
            <w:r w:rsidR="00C93F15" w:rsidRPr="00127BD1">
              <w:rPr>
                <w:rFonts w:ascii="Times New Roman" w:hAnsi="Times New Roman" w:cs="Times New Roman"/>
                <w:sz w:val="18"/>
                <w:szCs w:val="18"/>
              </w:rPr>
              <w:t>AMB</w:t>
            </w:r>
          </w:p>
        </w:tc>
        <w:tc>
          <w:tcPr>
            <w:tcW w:w="563" w:type="pct"/>
            <w:tcBorders>
              <w:top w:val="nil"/>
              <w:left w:val="nil"/>
              <w:bottom w:val="nil"/>
              <w:right w:val="nil"/>
            </w:tcBorders>
          </w:tcPr>
          <w:p w14:paraId="72EB46DA" w14:textId="2ED9D71E" w:rsidR="00C93F15" w:rsidRPr="00127BD1" w:rsidRDefault="00C93F15"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0.1870***</w:t>
            </w:r>
          </w:p>
        </w:tc>
        <w:tc>
          <w:tcPr>
            <w:tcW w:w="531" w:type="pct"/>
            <w:tcBorders>
              <w:top w:val="nil"/>
              <w:left w:val="nil"/>
              <w:bottom w:val="nil"/>
              <w:right w:val="nil"/>
            </w:tcBorders>
          </w:tcPr>
          <w:p w14:paraId="470A1DF8" w14:textId="0777D05A" w:rsidR="00C93F15" w:rsidRPr="00127BD1" w:rsidRDefault="00C93F15" w:rsidP="00C93F15">
            <w:pPr>
              <w:widowControl w:val="0"/>
              <w:autoSpaceDE w:val="0"/>
              <w:autoSpaceDN w:val="0"/>
              <w:adjustRightInd w:val="0"/>
              <w:rPr>
                <w:rFonts w:ascii="Times New Roman" w:hAnsi="Times New Roman" w:cs="Times New Roman"/>
                <w:color w:val="000000"/>
                <w:sz w:val="18"/>
                <w:szCs w:val="18"/>
              </w:rPr>
            </w:pPr>
            <w:r w:rsidRPr="00127BD1">
              <w:rPr>
                <w:rFonts w:ascii="Times New Roman" w:hAnsi="Times New Roman" w:cs="Times New Roman"/>
                <w:color w:val="000000"/>
                <w:sz w:val="18"/>
                <w:szCs w:val="18"/>
              </w:rPr>
              <w:t>0.1353***</w:t>
            </w:r>
          </w:p>
        </w:tc>
        <w:tc>
          <w:tcPr>
            <w:tcW w:w="563" w:type="pct"/>
            <w:tcBorders>
              <w:top w:val="nil"/>
              <w:left w:val="nil"/>
              <w:bottom w:val="nil"/>
              <w:right w:val="nil"/>
            </w:tcBorders>
          </w:tcPr>
          <w:p w14:paraId="6A2C87D6" w14:textId="5808AD47" w:rsidR="00C93F15" w:rsidRPr="00127BD1" w:rsidRDefault="00C93F15"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1.0000</w:t>
            </w:r>
          </w:p>
        </w:tc>
        <w:tc>
          <w:tcPr>
            <w:tcW w:w="563" w:type="pct"/>
            <w:tcBorders>
              <w:top w:val="nil"/>
              <w:left w:val="nil"/>
              <w:bottom w:val="nil"/>
              <w:right w:val="nil"/>
            </w:tcBorders>
          </w:tcPr>
          <w:p w14:paraId="4964074A" w14:textId="77777777" w:rsidR="00C93F15" w:rsidRPr="00127BD1" w:rsidRDefault="00C93F15" w:rsidP="00C93F15">
            <w:pPr>
              <w:widowControl w:val="0"/>
              <w:autoSpaceDE w:val="0"/>
              <w:autoSpaceDN w:val="0"/>
              <w:adjustRightInd w:val="0"/>
              <w:rPr>
                <w:rFonts w:ascii="Times New Roman" w:hAnsi="Times New Roman" w:cs="Times New Roman"/>
                <w:sz w:val="18"/>
                <w:szCs w:val="18"/>
              </w:rPr>
            </w:pPr>
          </w:p>
        </w:tc>
        <w:tc>
          <w:tcPr>
            <w:tcW w:w="563" w:type="pct"/>
            <w:tcBorders>
              <w:top w:val="nil"/>
              <w:left w:val="nil"/>
              <w:bottom w:val="nil"/>
              <w:right w:val="nil"/>
            </w:tcBorders>
          </w:tcPr>
          <w:p w14:paraId="1D7886F7" w14:textId="77777777" w:rsidR="00C93F15" w:rsidRPr="00127BD1" w:rsidRDefault="00C93F15" w:rsidP="00C93F15">
            <w:pPr>
              <w:widowControl w:val="0"/>
              <w:autoSpaceDE w:val="0"/>
              <w:autoSpaceDN w:val="0"/>
              <w:adjustRightInd w:val="0"/>
              <w:rPr>
                <w:rFonts w:ascii="Times New Roman" w:hAnsi="Times New Roman" w:cs="Times New Roman"/>
                <w:sz w:val="18"/>
                <w:szCs w:val="18"/>
              </w:rPr>
            </w:pPr>
          </w:p>
        </w:tc>
        <w:tc>
          <w:tcPr>
            <w:tcW w:w="563" w:type="pct"/>
            <w:tcBorders>
              <w:top w:val="nil"/>
              <w:left w:val="nil"/>
              <w:bottom w:val="nil"/>
              <w:right w:val="nil"/>
            </w:tcBorders>
          </w:tcPr>
          <w:p w14:paraId="33DE667B" w14:textId="77777777" w:rsidR="00C93F15" w:rsidRPr="00127BD1" w:rsidRDefault="00C93F15" w:rsidP="00C93F15">
            <w:pPr>
              <w:widowControl w:val="0"/>
              <w:autoSpaceDE w:val="0"/>
              <w:autoSpaceDN w:val="0"/>
              <w:adjustRightInd w:val="0"/>
              <w:rPr>
                <w:rFonts w:ascii="Times New Roman" w:hAnsi="Times New Roman" w:cs="Times New Roman"/>
                <w:sz w:val="18"/>
                <w:szCs w:val="18"/>
              </w:rPr>
            </w:pPr>
          </w:p>
        </w:tc>
        <w:tc>
          <w:tcPr>
            <w:tcW w:w="563" w:type="pct"/>
            <w:tcBorders>
              <w:top w:val="nil"/>
              <w:left w:val="nil"/>
              <w:bottom w:val="nil"/>
              <w:right w:val="nil"/>
            </w:tcBorders>
          </w:tcPr>
          <w:p w14:paraId="760E51B9" w14:textId="77777777" w:rsidR="00C93F15" w:rsidRPr="00127BD1" w:rsidRDefault="00C93F15" w:rsidP="00C93F15">
            <w:pPr>
              <w:widowControl w:val="0"/>
              <w:autoSpaceDE w:val="0"/>
              <w:autoSpaceDN w:val="0"/>
              <w:adjustRightInd w:val="0"/>
              <w:rPr>
                <w:rFonts w:ascii="Times New Roman" w:hAnsi="Times New Roman" w:cs="Times New Roman"/>
                <w:sz w:val="18"/>
                <w:szCs w:val="18"/>
              </w:rPr>
            </w:pPr>
          </w:p>
        </w:tc>
        <w:tc>
          <w:tcPr>
            <w:tcW w:w="385" w:type="pct"/>
            <w:tcBorders>
              <w:top w:val="nil"/>
              <w:left w:val="nil"/>
              <w:bottom w:val="nil"/>
              <w:right w:val="nil"/>
            </w:tcBorders>
          </w:tcPr>
          <w:p w14:paraId="1E622CA1" w14:textId="77777777" w:rsidR="00C93F15" w:rsidRPr="00127BD1" w:rsidRDefault="00C93F15" w:rsidP="00C93F15">
            <w:pPr>
              <w:widowControl w:val="0"/>
              <w:autoSpaceDE w:val="0"/>
              <w:autoSpaceDN w:val="0"/>
              <w:adjustRightInd w:val="0"/>
              <w:rPr>
                <w:rFonts w:ascii="Times New Roman" w:hAnsi="Times New Roman" w:cs="Times New Roman"/>
                <w:sz w:val="18"/>
                <w:szCs w:val="18"/>
              </w:rPr>
            </w:pPr>
          </w:p>
        </w:tc>
      </w:tr>
      <w:tr w:rsidR="00C93F15" w:rsidRPr="00127BD1" w14:paraId="3CA1B83A" w14:textId="77777777" w:rsidTr="00CA5BAE">
        <w:tc>
          <w:tcPr>
            <w:tcW w:w="704" w:type="pct"/>
            <w:tcBorders>
              <w:top w:val="nil"/>
              <w:left w:val="nil"/>
              <w:bottom w:val="nil"/>
              <w:right w:val="nil"/>
            </w:tcBorders>
          </w:tcPr>
          <w:p w14:paraId="1D714EFC" w14:textId="44691FC5" w:rsidR="00C93F15" w:rsidRPr="00127BD1" w:rsidRDefault="005048E3" w:rsidP="00C93F15">
            <w:pPr>
              <w:widowControl w:val="0"/>
              <w:autoSpaceDE w:val="0"/>
              <w:autoSpaceDN w:val="0"/>
              <w:adjustRightInd w:val="0"/>
              <w:rPr>
                <w:rFonts w:ascii="Times New Roman" w:hAnsi="Times New Roman" w:cs="Times New Roman"/>
                <w:sz w:val="18"/>
                <w:szCs w:val="18"/>
              </w:rPr>
            </w:pPr>
            <w:r w:rsidRPr="00127BD1">
              <w:rPr>
                <w:rFonts w:ascii="Times New Roman" w:eastAsia="Times New Roman" w:hAnsi="Times New Roman" w:cs="Times New Roman"/>
                <w:color w:val="000000"/>
                <w:sz w:val="18"/>
                <w:szCs w:val="18"/>
              </w:rPr>
              <w:t xml:space="preserve">(4) </w:t>
            </w:r>
            <w:r w:rsidR="00C93F15" w:rsidRPr="00127BD1">
              <w:rPr>
                <w:rFonts w:ascii="Times New Roman" w:eastAsia="Times New Roman" w:hAnsi="Times New Roman" w:cs="Times New Roman"/>
                <w:color w:val="000000"/>
                <w:sz w:val="18"/>
                <w:szCs w:val="18"/>
              </w:rPr>
              <w:t>RGDPG</w:t>
            </w:r>
          </w:p>
        </w:tc>
        <w:tc>
          <w:tcPr>
            <w:tcW w:w="563" w:type="pct"/>
            <w:tcBorders>
              <w:top w:val="nil"/>
              <w:left w:val="nil"/>
              <w:bottom w:val="nil"/>
              <w:right w:val="nil"/>
            </w:tcBorders>
          </w:tcPr>
          <w:p w14:paraId="1EEFD844" w14:textId="08BE96C9" w:rsidR="00C93F15" w:rsidRPr="00127BD1" w:rsidRDefault="00C93F15"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-0.0229***</w:t>
            </w:r>
          </w:p>
        </w:tc>
        <w:tc>
          <w:tcPr>
            <w:tcW w:w="531" w:type="pct"/>
            <w:tcBorders>
              <w:top w:val="nil"/>
              <w:left w:val="nil"/>
              <w:bottom w:val="nil"/>
              <w:right w:val="nil"/>
            </w:tcBorders>
          </w:tcPr>
          <w:p w14:paraId="72485D73" w14:textId="5266DC5C" w:rsidR="00C93F15" w:rsidRPr="00127BD1" w:rsidRDefault="00C93F15" w:rsidP="00C93F15">
            <w:pPr>
              <w:widowControl w:val="0"/>
              <w:autoSpaceDE w:val="0"/>
              <w:autoSpaceDN w:val="0"/>
              <w:adjustRightInd w:val="0"/>
              <w:rPr>
                <w:rFonts w:ascii="Times New Roman" w:hAnsi="Times New Roman" w:cs="Times New Roman"/>
                <w:color w:val="000000"/>
                <w:sz w:val="18"/>
                <w:szCs w:val="18"/>
              </w:rPr>
            </w:pPr>
            <w:r w:rsidRPr="00127BD1">
              <w:rPr>
                <w:rFonts w:ascii="Times New Roman" w:hAnsi="Times New Roman" w:cs="Times New Roman"/>
                <w:color w:val="000000"/>
                <w:sz w:val="18"/>
                <w:szCs w:val="18"/>
              </w:rPr>
              <w:t>0.0064</w:t>
            </w:r>
          </w:p>
        </w:tc>
        <w:tc>
          <w:tcPr>
            <w:tcW w:w="563" w:type="pct"/>
            <w:tcBorders>
              <w:top w:val="nil"/>
              <w:left w:val="nil"/>
              <w:bottom w:val="nil"/>
              <w:right w:val="nil"/>
            </w:tcBorders>
          </w:tcPr>
          <w:p w14:paraId="5D36002F" w14:textId="2E169B2B" w:rsidR="00C93F15" w:rsidRPr="00127BD1" w:rsidRDefault="00C93F15"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0.1069***</w:t>
            </w:r>
          </w:p>
        </w:tc>
        <w:tc>
          <w:tcPr>
            <w:tcW w:w="563" w:type="pct"/>
            <w:tcBorders>
              <w:top w:val="nil"/>
              <w:left w:val="nil"/>
              <w:bottom w:val="nil"/>
              <w:right w:val="nil"/>
            </w:tcBorders>
          </w:tcPr>
          <w:p w14:paraId="7BB1EB34" w14:textId="53EFECD9" w:rsidR="00C93F15" w:rsidRPr="00127BD1" w:rsidRDefault="00C93F15"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1.0000</w:t>
            </w:r>
          </w:p>
        </w:tc>
        <w:tc>
          <w:tcPr>
            <w:tcW w:w="563" w:type="pct"/>
            <w:tcBorders>
              <w:top w:val="nil"/>
              <w:left w:val="nil"/>
              <w:bottom w:val="nil"/>
              <w:right w:val="nil"/>
            </w:tcBorders>
          </w:tcPr>
          <w:p w14:paraId="73992BD0" w14:textId="77777777" w:rsidR="00C93F15" w:rsidRPr="00127BD1" w:rsidRDefault="00C93F15" w:rsidP="00C93F15">
            <w:pPr>
              <w:widowControl w:val="0"/>
              <w:autoSpaceDE w:val="0"/>
              <w:autoSpaceDN w:val="0"/>
              <w:adjustRightInd w:val="0"/>
              <w:rPr>
                <w:rFonts w:ascii="Times New Roman" w:hAnsi="Times New Roman" w:cs="Times New Roman"/>
                <w:sz w:val="18"/>
                <w:szCs w:val="18"/>
              </w:rPr>
            </w:pPr>
          </w:p>
        </w:tc>
        <w:tc>
          <w:tcPr>
            <w:tcW w:w="563" w:type="pct"/>
            <w:tcBorders>
              <w:top w:val="nil"/>
              <w:left w:val="nil"/>
              <w:bottom w:val="nil"/>
              <w:right w:val="nil"/>
            </w:tcBorders>
          </w:tcPr>
          <w:p w14:paraId="5632C991" w14:textId="77777777" w:rsidR="00C93F15" w:rsidRPr="00127BD1" w:rsidRDefault="00C93F15" w:rsidP="00C93F15">
            <w:pPr>
              <w:widowControl w:val="0"/>
              <w:autoSpaceDE w:val="0"/>
              <w:autoSpaceDN w:val="0"/>
              <w:adjustRightInd w:val="0"/>
              <w:rPr>
                <w:rFonts w:ascii="Times New Roman" w:hAnsi="Times New Roman" w:cs="Times New Roman"/>
                <w:sz w:val="18"/>
                <w:szCs w:val="18"/>
              </w:rPr>
            </w:pPr>
          </w:p>
        </w:tc>
        <w:tc>
          <w:tcPr>
            <w:tcW w:w="563" w:type="pct"/>
            <w:tcBorders>
              <w:top w:val="nil"/>
              <w:left w:val="nil"/>
              <w:bottom w:val="nil"/>
              <w:right w:val="nil"/>
            </w:tcBorders>
          </w:tcPr>
          <w:p w14:paraId="756B9504" w14:textId="77777777" w:rsidR="00C93F15" w:rsidRPr="00127BD1" w:rsidRDefault="00C93F15" w:rsidP="00C93F15">
            <w:pPr>
              <w:widowControl w:val="0"/>
              <w:autoSpaceDE w:val="0"/>
              <w:autoSpaceDN w:val="0"/>
              <w:adjustRightInd w:val="0"/>
              <w:rPr>
                <w:rFonts w:ascii="Times New Roman" w:hAnsi="Times New Roman" w:cs="Times New Roman"/>
                <w:sz w:val="18"/>
                <w:szCs w:val="18"/>
              </w:rPr>
            </w:pPr>
          </w:p>
        </w:tc>
        <w:tc>
          <w:tcPr>
            <w:tcW w:w="385" w:type="pct"/>
            <w:tcBorders>
              <w:top w:val="nil"/>
              <w:left w:val="nil"/>
              <w:bottom w:val="nil"/>
              <w:right w:val="nil"/>
            </w:tcBorders>
          </w:tcPr>
          <w:p w14:paraId="3B40B663" w14:textId="77777777" w:rsidR="00C93F15" w:rsidRPr="00127BD1" w:rsidRDefault="00C93F15" w:rsidP="00C93F15">
            <w:pPr>
              <w:widowControl w:val="0"/>
              <w:autoSpaceDE w:val="0"/>
              <w:autoSpaceDN w:val="0"/>
              <w:adjustRightInd w:val="0"/>
              <w:rPr>
                <w:rFonts w:ascii="Times New Roman" w:hAnsi="Times New Roman" w:cs="Times New Roman"/>
                <w:sz w:val="18"/>
                <w:szCs w:val="18"/>
              </w:rPr>
            </w:pPr>
          </w:p>
        </w:tc>
      </w:tr>
      <w:tr w:rsidR="00C93F15" w:rsidRPr="00127BD1" w14:paraId="2207D405" w14:textId="77777777" w:rsidTr="00CA5BAE">
        <w:tc>
          <w:tcPr>
            <w:tcW w:w="704" w:type="pct"/>
            <w:tcBorders>
              <w:top w:val="nil"/>
              <w:left w:val="nil"/>
              <w:bottom w:val="nil"/>
              <w:right w:val="nil"/>
            </w:tcBorders>
          </w:tcPr>
          <w:p w14:paraId="23254EC1" w14:textId="2394AA0C" w:rsidR="00C93F15" w:rsidRPr="00127BD1" w:rsidRDefault="005048E3"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 xml:space="preserve">(5) </w:t>
            </w:r>
            <w:r w:rsidR="00C93F15" w:rsidRPr="00127BD1">
              <w:rPr>
                <w:rFonts w:ascii="Times New Roman" w:hAnsi="Times New Roman" w:cs="Times New Roman"/>
                <w:sz w:val="18"/>
                <w:szCs w:val="18"/>
              </w:rPr>
              <w:t>INFLA</w:t>
            </w:r>
          </w:p>
        </w:tc>
        <w:tc>
          <w:tcPr>
            <w:tcW w:w="563" w:type="pct"/>
            <w:tcBorders>
              <w:top w:val="nil"/>
              <w:left w:val="nil"/>
              <w:bottom w:val="nil"/>
              <w:right w:val="nil"/>
            </w:tcBorders>
          </w:tcPr>
          <w:p w14:paraId="694B191A" w14:textId="54B338D3" w:rsidR="00C93F15" w:rsidRPr="00127BD1" w:rsidRDefault="00C93F15"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0.1156***</w:t>
            </w:r>
          </w:p>
        </w:tc>
        <w:tc>
          <w:tcPr>
            <w:tcW w:w="531" w:type="pct"/>
            <w:tcBorders>
              <w:top w:val="nil"/>
              <w:left w:val="nil"/>
              <w:bottom w:val="nil"/>
              <w:right w:val="nil"/>
            </w:tcBorders>
          </w:tcPr>
          <w:p w14:paraId="010EF63B" w14:textId="30901C22" w:rsidR="00C93F15" w:rsidRPr="00127BD1" w:rsidRDefault="00C93F15" w:rsidP="00C93F15">
            <w:pPr>
              <w:widowControl w:val="0"/>
              <w:autoSpaceDE w:val="0"/>
              <w:autoSpaceDN w:val="0"/>
              <w:adjustRightInd w:val="0"/>
              <w:rPr>
                <w:rFonts w:ascii="Times New Roman" w:hAnsi="Times New Roman" w:cs="Times New Roman"/>
                <w:color w:val="000000"/>
                <w:sz w:val="18"/>
                <w:szCs w:val="18"/>
              </w:rPr>
            </w:pPr>
            <w:r w:rsidRPr="00127BD1">
              <w:rPr>
                <w:rFonts w:ascii="Times New Roman" w:hAnsi="Times New Roman" w:cs="Times New Roman"/>
                <w:color w:val="000000"/>
                <w:sz w:val="18"/>
                <w:szCs w:val="18"/>
              </w:rPr>
              <w:t>0.0398***</w:t>
            </w:r>
          </w:p>
        </w:tc>
        <w:tc>
          <w:tcPr>
            <w:tcW w:w="563" w:type="pct"/>
            <w:tcBorders>
              <w:top w:val="nil"/>
              <w:left w:val="nil"/>
              <w:bottom w:val="nil"/>
              <w:right w:val="nil"/>
            </w:tcBorders>
          </w:tcPr>
          <w:p w14:paraId="3608EB9C" w14:textId="0085BB73" w:rsidR="00C93F15" w:rsidRPr="00127BD1" w:rsidRDefault="00C93F15"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0.0974***</w:t>
            </w:r>
          </w:p>
        </w:tc>
        <w:tc>
          <w:tcPr>
            <w:tcW w:w="563" w:type="pct"/>
            <w:tcBorders>
              <w:top w:val="nil"/>
              <w:left w:val="nil"/>
              <w:bottom w:val="nil"/>
              <w:right w:val="nil"/>
            </w:tcBorders>
          </w:tcPr>
          <w:p w14:paraId="0F437FAA" w14:textId="0CB0959F" w:rsidR="00C93F15" w:rsidRPr="00127BD1" w:rsidRDefault="00C93F15"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-0.0274***</w:t>
            </w:r>
          </w:p>
        </w:tc>
        <w:tc>
          <w:tcPr>
            <w:tcW w:w="563" w:type="pct"/>
            <w:tcBorders>
              <w:top w:val="nil"/>
              <w:left w:val="nil"/>
              <w:bottom w:val="nil"/>
              <w:right w:val="nil"/>
            </w:tcBorders>
          </w:tcPr>
          <w:p w14:paraId="2B856058" w14:textId="63DE4453" w:rsidR="00C93F15" w:rsidRPr="00127BD1" w:rsidRDefault="00C93F15"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1.0000</w:t>
            </w:r>
          </w:p>
        </w:tc>
        <w:tc>
          <w:tcPr>
            <w:tcW w:w="563" w:type="pct"/>
            <w:tcBorders>
              <w:top w:val="nil"/>
              <w:left w:val="nil"/>
              <w:bottom w:val="nil"/>
              <w:right w:val="nil"/>
            </w:tcBorders>
          </w:tcPr>
          <w:p w14:paraId="36CDE3AA" w14:textId="77777777" w:rsidR="00C93F15" w:rsidRPr="00127BD1" w:rsidRDefault="00C93F15" w:rsidP="00C93F15">
            <w:pPr>
              <w:widowControl w:val="0"/>
              <w:autoSpaceDE w:val="0"/>
              <w:autoSpaceDN w:val="0"/>
              <w:adjustRightInd w:val="0"/>
              <w:rPr>
                <w:rFonts w:ascii="Times New Roman" w:hAnsi="Times New Roman" w:cs="Times New Roman"/>
                <w:sz w:val="18"/>
                <w:szCs w:val="18"/>
              </w:rPr>
            </w:pPr>
          </w:p>
        </w:tc>
        <w:tc>
          <w:tcPr>
            <w:tcW w:w="563" w:type="pct"/>
            <w:tcBorders>
              <w:top w:val="nil"/>
              <w:left w:val="nil"/>
              <w:bottom w:val="nil"/>
              <w:right w:val="nil"/>
            </w:tcBorders>
          </w:tcPr>
          <w:p w14:paraId="13A3C67B" w14:textId="77777777" w:rsidR="00C93F15" w:rsidRPr="00127BD1" w:rsidRDefault="00C93F15" w:rsidP="00C93F15">
            <w:pPr>
              <w:widowControl w:val="0"/>
              <w:autoSpaceDE w:val="0"/>
              <w:autoSpaceDN w:val="0"/>
              <w:adjustRightInd w:val="0"/>
              <w:rPr>
                <w:rFonts w:ascii="Times New Roman" w:hAnsi="Times New Roman" w:cs="Times New Roman"/>
                <w:sz w:val="18"/>
                <w:szCs w:val="18"/>
              </w:rPr>
            </w:pPr>
          </w:p>
        </w:tc>
        <w:tc>
          <w:tcPr>
            <w:tcW w:w="385" w:type="pct"/>
            <w:tcBorders>
              <w:top w:val="nil"/>
              <w:left w:val="nil"/>
              <w:bottom w:val="nil"/>
              <w:right w:val="nil"/>
            </w:tcBorders>
          </w:tcPr>
          <w:p w14:paraId="0D02085F" w14:textId="77777777" w:rsidR="00C93F15" w:rsidRPr="00127BD1" w:rsidRDefault="00C93F15" w:rsidP="00C93F15">
            <w:pPr>
              <w:widowControl w:val="0"/>
              <w:autoSpaceDE w:val="0"/>
              <w:autoSpaceDN w:val="0"/>
              <w:adjustRightInd w:val="0"/>
              <w:rPr>
                <w:rFonts w:ascii="Times New Roman" w:hAnsi="Times New Roman" w:cs="Times New Roman"/>
                <w:sz w:val="18"/>
                <w:szCs w:val="18"/>
              </w:rPr>
            </w:pPr>
          </w:p>
        </w:tc>
      </w:tr>
      <w:tr w:rsidR="00C93F15" w:rsidRPr="00127BD1" w14:paraId="3F769B48" w14:textId="77777777" w:rsidTr="00CA5BAE">
        <w:tc>
          <w:tcPr>
            <w:tcW w:w="704" w:type="pct"/>
            <w:tcBorders>
              <w:top w:val="nil"/>
              <w:left w:val="nil"/>
              <w:bottom w:val="nil"/>
              <w:right w:val="nil"/>
            </w:tcBorders>
          </w:tcPr>
          <w:p w14:paraId="215D7D70" w14:textId="5E055616" w:rsidR="00C93F15" w:rsidRPr="00127BD1" w:rsidRDefault="005048E3" w:rsidP="00C93F15">
            <w:pPr>
              <w:widowControl w:val="0"/>
              <w:autoSpaceDE w:val="0"/>
              <w:autoSpaceDN w:val="0"/>
              <w:adjustRightInd w:val="0"/>
              <w:rPr>
                <w:rFonts w:ascii="Times New Roman" w:hAnsi="Times New Roman" w:cs="Times New Roman"/>
                <w:sz w:val="18"/>
                <w:szCs w:val="18"/>
              </w:rPr>
            </w:pPr>
            <w:r w:rsidRPr="00127BD1">
              <w:rPr>
                <w:rFonts w:ascii="Times New Roman" w:eastAsia="Times New Roman" w:hAnsi="Times New Roman" w:cs="Times New Roman"/>
                <w:color w:val="000000"/>
                <w:sz w:val="18"/>
                <w:szCs w:val="18"/>
              </w:rPr>
              <w:t xml:space="preserve">(6) </w:t>
            </w:r>
            <w:r w:rsidR="00C93F15" w:rsidRPr="00127BD1">
              <w:rPr>
                <w:rFonts w:ascii="Times New Roman" w:eastAsia="Times New Roman" w:hAnsi="Times New Roman" w:cs="Times New Roman"/>
                <w:color w:val="000000"/>
                <w:sz w:val="18"/>
                <w:szCs w:val="18"/>
              </w:rPr>
              <w:t>EXGG</w:t>
            </w:r>
          </w:p>
        </w:tc>
        <w:tc>
          <w:tcPr>
            <w:tcW w:w="563" w:type="pct"/>
            <w:tcBorders>
              <w:top w:val="nil"/>
              <w:left w:val="nil"/>
              <w:bottom w:val="nil"/>
              <w:right w:val="nil"/>
            </w:tcBorders>
          </w:tcPr>
          <w:p w14:paraId="1AA1FF51" w14:textId="7559A3A1" w:rsidR="00C93F15" w:rsidRPr="00127BD1" w:rsidRDefault="00C93F15"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-0.0209***</w:t>
            </w:r>
          </w:p>
        </w:tc>
        <w:tc>
          <w:tcPr>
            <w:tcW w:w="531" w:type="pct"/>
            <w:tcBorders>
              <w:top w:val="nil"/>
              <w:left w:val="nil"/>
              <w:bottom w:val="nil"/>
              <w:right w:val="nil"/>
            </w:tcBorders>
          </w:tcPr>
          <w:p w14:paraId="53CC80CB" w14:textId="6444DF46" w:rsidR="00C93F15" w:rsidRPr="00127BD1" w:rsidRDefault="00C93F15" w:rsidP="00C93F15">
            <w:pPr>
              <w:widowControl w:val="0"/>
              <w:autoSpaceDE w:val="0"/>
              <w:autoSpaceDN w:val="0"/>
              <w:adjustRightInd w:val="0"/>
              <w:rPr>
                <w:rFonts w:ascii="Times New Roman" w:hAnsi="Times New Roman" w:cs="Times New Roman"/>
                <w:color w:val="000000"/>
                <w:sz w:val="18"/>
                <w:szCs w:val="18"/>
              </w:rPr>
            </w:pPr>
            <w:r w:rsidRPr="00127BD1">
              <w:rPr>
                <w:rFonts w:ascii="Times New Roman" w:hAnsi="Times New Roman" w:cs="Times New Roman"/>
                <w:color w:val="000000"/>
                <w:sz w:val="18"/>
                <w:szCs w:val="18"/>
              </w:rPr>
              <w:t>-0.0092</w:t>
            </w:r>
          </w:p>
        </w:tc>
        <w:tc>
          <w:tcPr>
            <w:tcW w:w="563" w:type="pct"/>
            <w:tcBorders>
              <w:top w:val="nil"/>
              <w:left w:val="nil"/>
              <w:bottom w:val="nil"/>
              <w:right w:val="nil"/>
            </w:tcBorders>
          </w:tcPr>
          <w:p w14:paraId="6775D8B1" w14:textId="626A7E9A" w:rsidR="00C93F15" w:rsidRPr="00127BD1" w:rsidRDefault="00C93F15"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-0.0082</w:t>
            </w:r>
          </w:p>
        </w:tc>
        <w:tc>
          <w:tcPr>
            <w:tcW w:w="563" w:type="pct"/>
            <w:tcBorders>
              <w:top w:val="nil"/>
              <w:left w:val="nil"/>
              <w:bottom w:val="nil"/>
              <w:right w:val="nil"/>
            </w:tcBorders>
          </w:tcPr>
          <w:p w14:paraId="2F06DC30" w14:textId="333F953C" w:rsidR="00C93F15" w:rsidRPr="00127BD1" w:rsidRDefault="00C93F15"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-0.0173**</w:t>
            </w:r>
          </w:p>
        </w:tc>
        <w:tc>
          <w:tcPr>
            <w:tcW w:w="563" w:type="pct"/>
            <w:tcBorders>
              <w:top w:val="nil"/>
              <w:left w:val="nil"/>
              <w:bottom w:val="nil"/>
              <w:right w:val="nil"/>
            </w:tcBorders>
          </w:tcPr>
          <w:p w14:paraId="3539E7C4" w14:textId="089DBA62" w:rsidR="00C93F15" w:rsidRPr="00127BD1" w:rsidRDefault="00C93F15"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-0.1038***</w:t>
            </w:r>
          </w:p>
        </w:tc>
        <w:tc>
          <w:tcPr>
            <w:tcW w:w="563" w:type="pct"/>
            <w:tcBorders>
              <w:top w:val="nil"/>
              <w:left w:val="nil"/>
              <w:bottom w:val="nil"/>
              <w:right w:val="nil"/>
            </w:tcBorders>
          </w:tcPr>
          <w:p w14:paraId="097D2B3D" w14:textId="0039F950" w:rsidR="00C93F15" w:rsidRPr="00127BD1" w:rsidRDefault="00C93F15"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1.0000</w:t>
            </w:r>
          </w:p>
        </w:tc>
        <w:tc>
          <w:tcPr>
            <w:tcW w:w="563" w:type="pct"/>
            <w:tcBorders>
              <w:top w:val="nil"/>
              <w:left w:val="nil"/>
              <w:bottom w:val="nil"/>
              <w:right w:val="nil"/>
            </w:tcBorders>
          </w:tcPr>
          <w:p w14:paraId="21F07F41" w14:textId="77777777" w:rsidR="00C93F15" w:rsidRPr="00127BD1" w:rsidRDefault="00C93F15" w:rsidP="00C93F15">
            <w:pPr>
              <w:widowControl w:val="0"/>
              <w:autoSpaceDE w:val="0"/>
              <w:autoSpaceDN w:val="0"/>
              <w:adjustRightInd w:val="0"/>
              <w:rPr>
                <w:rFonts w:ascii="Times New Roman" w:hAnsi="Times New Roman" w:cs="Times New Roman"/>
                <w:sz w:val="18"/>
                <w:szCs w:val="18"/>
              </w:rPr>
            </w:pPr>
          </w:p>
        </w:tc>
        <w:tc>
          <w:tcPr>
            <w:tcW w:w="385" w:type="pct"/>
            <w:tcBorders>
              <w:top w:val="nil"/>
              <w:left w:val="nil"/>
              <w:bottom w:val="nil"/>
              <w:right w:val="nil"/>
            </w:tcBorders>
          </w:tcPr>
          <w:p w14:paraId="224EAE04" w14:textId="77777777" w:rsidR="00C93F15" w:rsidRPr="00127BD1" w:rsidRDefault="00C93F15" w:rsidP="00C93F15">
            <w:pPr>
              <w:widowControl w:val="0"/>
              <w:autoSpaceDE w:val="0"/>
              <w:autoSpaceDN w:val="0"/>
              <w:adjustRightInd w:val="0"/>
              <w:rPr>
                <w:rFonts w:ascii="Times New Roman" w:hAnsi="Times New Roman" w:cs="Times New Roman"/>
                <w:sz w:val="18"/>
                <w:szCs w:val="18"/>
              </w:rPr>
            </w:pPr>
          </w:p>
        </w:tc>
      </w:tr>
      <w:tr w:rsidR="00C93F15" w:rsidRPr="00127BD1" w14:paraId="4987AA40" w14:textId="77777777" w:rsidTr="00CA5BAE">
        <w:tc>
          <w:tcPr>
            <w:tcW w:w="704" w:type="pct"/>
            <w:tcBorders>
              <w:top w:val="nil"/>
              <w:left w:val="nil"/>
              <w:right w:val="nil"/>
            </w:tcBorders>
          </w:tcPr>
          <w:p w14:paraId="442FEC1A" w14:textId="3A107C20" w:rsidR="00C93F15" w:rsidRPr="00127BD1" w:rsidRDefault="005048E3"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 xml:space="preserve">(7) </w:t>
            </w:r>
            <w:r w:rsidR="00C93F15" w:rsidRPr="00127BD1">
              <w:rPr>
                <w:rFonts w:ascii="Times New Roman" w:hAnsi="Times New Roman" w:cs="Times New Roman"/>
                <w:sz w:val="18"/>
                <w:szCs w:val="18"/>
              </w:rPr>
              <w:t>LRATE</w:t>
            </w:r>
          </w:p>
        </w:tc>
        <w:tc>
          <w:tcPr>
            <w:tcW w:w="563" w:type="pct"/>
            <w:tcBorders>
              <w:top w:val="nil"/>
              <w:left w:val="nil"/>
              <w:right w:val="nil"/>
            </w:tcBorders>
          </w:tcPr>
          <w:p w14:paraId="7D817E34" w14:textId="5F36C96F" w:rsidR="00C93F15" w:rsidRPr="00127BD1" w:rsidRDefault="00C93F15"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0.1170***</w:t>
            </w:r>
          </w:p>
        </w:tc>
        <w:tc>
          <w:tcPr>
            <w:tcW w:w="531" w:type="pct"/>
            <w:tcBorders>
              <w:top w:val="nil"/>
              <w:left w:val="nil"/>
              <w:right w:val="nil"/>
            </w:tcBorders>
          </w:tcPr>
          <w:p w14:paraId="6BD38C25" w14:textId="01FB8A07" w:rsidR="00C93F15" w:rsidRPr="00127BD1" w:rsidRDefault="00C93F15" w:rsidP="00C93F15">
            <w:pPr>
              <w:widowControl w:val="0"/>
              <w:autoSpaceDE w:val="0"/>
              <w:autoSpaceDN w:val="0"/>
              <w:adjustRightInd w:val="0"/>
              <w:rPr>
                <w:rFonts w:ascii="Times New Roman" w:hAnsi="Times New Roman" w:cs="Times New Roman"/>
                <w:color w:val="000000"/>
                <w:sz w:val="18"/>
                <w:szCs w:val="18"/>
              </w:rPr>
            </w:pPr>
            <w:r w:rsidRPr="00127BD1">
              <w:rPr>
                <w:rFonts w:ascii="Times New Roman" w:hAnsi="Times New Roman" w:cs="Times New Roman"/>
                <w:color w:val="000000"/>
                <w:sz w:val="18"/>
                <w:szCs w:val="18"/>
              </w:rPr>
              <w:t>0.0320***</w:t>
            </w:r>
          </w:p>
        </w:tc>
        <w:tc>
          <w:tcPr>
            <w:tcW w:w="563" w:type="pct"/>
            <w:tcBorders>
              <w:top w:val="nil"/>
              <w:left w:val="nil"/>
              <w:right w:val="nil"/>
            </w:tcBorders>
          </w:tcPr>
          <w:p w14:paraId="2DB46001" w14:textId="31A31A5D" w:rsidR="00C93F15" w:rsidRPr="00127BD1" w:rsidRDefault="00C93F15"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0.0805***</w:t>
            </w:r>
          </w:p>
        </w:tc>
        <w:tc>
          <w:tcPr>
            <w:tcW w:w="563" w:type="pct"/>
            <w:tcBorders>
              <w:top w:val="nil"/>
              <w:left w:val="nil"/>
              <w:right w:val="nil"/>
            </w:tcBorders>
          </w:tcPr>
          <w:p w14:paraId="7BD3C3E0" w14:textId="36A0FEAD" w:rsidR="00C93F15" w:rsidRPr="00127BD1" w:rsidRDefault="00C93F15"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-0.0515***</w:t>
            </w:r>
          </w:p>
        </w:tc>
        <w:tc>
          <w:tcPr>
            <w:tcW w:w="563" w:type="pct"/>
            <w:tcBorders>
              <w:top w:val="nil"/>
              <w:left w:val="nil"/>
              <w:right w:val="nil"/>
            </w:tcBorders>
          </w:tcPr>
          <w:p w14:paraId="060E6D74" w14:textId="7CC4FFA4" w:rsidR="00C93F15" w:rsidRPr="00127BD1" w:rsidRDefault="00C93F15"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0.0935***</w:t>
            </w:r>
          </w:p>
        </w:tc>
        <w:tc>
          <w:tcPr>
            <w:tcW w:w="563" w:type="pct"/>
            <w:tcBorders>
              <w:top w:val="nil"/>
              <w:left w:val="nil"/>
              <w:right w:val="nil"/>
            </w:tcBorders>
          </w:tcPr>
          <w:p w14:paraId="72899F07" w14:textId="300BD103" w:rsidR="00C93F15" w:rsidRPr="00127BD1" w:rsidRDefault="00C93F15"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0.2027***</w:t>
            </w:r>
          </w:p>
        </w:tc>
        <w:tc>
          <w:tcPr>
            <w:tcW w:w="563" w:type="pct"/>
            <w:tcBorders>
              <w:top w:val="nil"/>
              <w:left w:val="nil"/>
              <w:right w:val="nil"/>
            </w:tcBorders>
          </w:tcPr>
          <w:p w14:paraId="24A6CFF9" w14:textId="494E97BA" w:rsidR="00C93F15" w:rsidRPr="00127BD1" w:rsidRDefault="00C93F15"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1.0000</w:t>
            </w:r>
          </w:p>
        </w:tc>
        <w:tc>
          <w:tcPr>
            <w:tcW w:w="385" w:type="pct"/>
            <w:tcBorders>
              <w:top w:val="nil"/>
              <w:left w:val="nil"/>
              <w:right w:val="nil"/>
            </w:tcBorders>
          </w:tcPr>
          <w:p w14:paraId="2E8543D2" w14:textId="77777777" w:rsidR="00C93F15" w:rsidRPr="00127BD1" w:rsidRDefault="00C93F15" w:rsidP="00C93F15">
            <w:pPr>
              <w:widowControl w:val="0"/>
              <w:autoSpaceDE w:val="0"/>
              <w:autoSpaceDN w:val="0"/>
              <w:adjustRightInd w:val="0"/>
              <w:rPr>
                <w:rFonts w:ascii="Times New Roman" w:hAnsi="Times New Roman" w:cs="Times New Roman"/>
                <w:sz w:val="18"/>
                <w:szCs w:val="18"/>
              </w:rPr>
            </w:pPr>
          </w:p>
        </w:tc>
      </w:tr>
      <w:tr w:rsidR="00C93F15" w:rsidRPr="00127BD1" w14:paraId="200FEAB5" w14:textId="77777777" w:rsidTr="00CA5BAE">
        <w:tc>
          <w:tcPr>
            <w:tcW w:w="704" w:type="pct"/>
            <w:tcBorders>
              <w:top w:val="nil"/>
              <w:left w:val="nil"/>
              <w:bottom w:val="single" w:sz="4" w:space="0" w:color="auto"/>
              <w:right w:val="nil"/>
            </w:tcBorders>
          </w:tcPr>
          <w:p w14:paraId="749B46B8" w14:textId="4A82BAB5" w:rsidR="00C93F15" w:rsidRPr="00127BD1" w:rsidRDefault="005048E3" w:rsidP="00C93F15">
            <w:pPr>
              <w:widowControl w:val="0"/>
              <w:autoSpaceDE w:val="0"/>
              <w:autoSpaceDN w:val="0"/>
              <w:adjustRightInd w:val="0"/>
              <w:rPr>
                <w:rFonts w:ascii="Times New Roman" w:hAnsi="Times New Roman" w:cs="Times New Roman"/>
                <w:sz w:val="18"/>
                <w:szCs w:val="18"/>
              </w:rPr>
            </w:pPr>
            <w:r w:rsidRPr="00127BD1">
              <w:rPr>
                <w:rFonts w:ascii="Times New Roman" w:eastAsia="Times New Roman" w:hAnsi="Times New Roman" w:cs="Times New Roman"/>
                <w:color w:val="000000"/>
                <w:sz w:val="18"/>
                <w:szCs w:val="18"/>
              </w:rPr>
              <w:t xml:space="preserve">(8) </w:t>
            </w:r>
            <w:r w:rsidR="00C93F15" w:rsidRPr="00127BD1">
              <w:rPr>
                <w:rFonts w:ascii="Times New Roman" w:eastAsia="Times New Roman" w:hAnsi="Times New Roman" w:cs="Times New Roman"/>
                <w:color w:val="000000"/>
                <w:sz w:val="18"/>
                <w:szCs w:val="18"/>
              </w:rPr>
              <w:t>DEBTGDP</w:t>
            </w:r>
          </w:p>
        </w:tc>
        <w:tc>
          <w:tcPr>
            <w:tcW w:w="563" w:type="pct"/>
            <w:tcBorders>
              <w:top w:val="nil"/>
              <w:left w:val="nil"/>
              <w:bottom w:val="single" w:sz="4" w:space="0" w:color="auto"/>
              <w:right w:val="nil"/>
            </w:tcBorders>
          </w:tcPr>
          <w:p w14:paraId="03F4E926" w14:textId="443C52E8" w:rsidR="00C93F15" w:rsidRPr="00127BD1" w:rsidRDefault="00C93F15"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-0.1037***</w:t>
            </w:r>
          </w:p>
        </w:tc>
        <w:tc>
          <w:tcPr>
            <w:tcW w:w="531" w:type="pct"/>
            <w:tcBorders>
              <w:top w:val="nil"/>
              <w:left w:val="nil"/>
              <w:bottom w:val="single" w:sz="4" w:space="0" w:color="auto"/>
              <w:right w:val="nil"/>
            </w:tcBorders>
          </w:tcPr>
          <w:p w14:paraId="65A10449" w14:textId="58870A1C" w:rsidR="00C93F15" w:rsidRPr="00127BD1" w:rsidRDefault="00C93F15" w:rsidP="00C93F15">
            <w:pPr>
              <w:widowControl w:val="0"/>
              <w:autoSpaceDE w:val="0"/>
              <w:autoSpaceDN w:val="0"/>
              <w:adjustRightInd w:val="0"/>
              <w:rPr>
                <w:rFonts w:ascii="Times New Roman" w:hAnsi="Times New Roman" w:cs="Times New Roman"/>
                <w:color w:val="000000"/>
                <w:sz w:val="18"/>
                <w:szCs w:val="18"/>
              </w:rPr>
            </w:pPr>
            <w:r w:rsidRPr="00127BD1">
              <w:rPr>
                <w:rFonts w:ascii="Times New Roman" w:hAnsi="Times New Roman" w:cs="Times New Roman"/>
                <w:color w:val="000000"/>
                <w:sz w:val="18"/>
                <w:szCs w:val="18"/>
              </w:rPr>
              <w:t>-0.0097</w:t>
            </w:r>
          </w:p>
        </w:tc>
        <w:tc>
          <w:tcPr>
            <w:tcW w:w="563" w:type="pct"/>
            <w:tcBorders>
              <w:top w:val="nil"/>
              <w:left w:val="nil"/>
              <w:bottom w:val="single" w:sz="4" w:space="0" w:color="auto"/>
              <w:right w:val="nil"/>
            </w:tcBorders>
          </w:tcPr>
          <w:p w14:paraId="6D2E482C" w14:textId="266BECDA" w:rsidR="00C93F15" w:rsidRPr="00127BD1" w:rsidRDefault="00C93F15"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-0.1486***</w:t>
            </w:r>
          </w:p>
        </w:tc>
        <w:tc>
          <w:tcPr>
            <w:tcW w:w="563" w:type="pct"/>
            <w:tcBorders>
              <w:top w:val="nil"/>
              <w:left w:val="nil"/>
              <w:bottom w:val="single" w:sz="4" w:space="0" w:color="auto"/>
              <w:right w:val="nil"/>
            </w:tcBorders>
          </w:tcPr>
          <w:p w14:paraId="2393B027" w14:textId="277631A5" w:rsidR="00C93F15" w:rsidRPr="00127BD1" w:rsidRDefault="00C93F15"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0.0637***</w:t>
            </w:r>
          </w:p>
        </w:tc>
        <w:tc>
          <w:tcPr>
            <w:tcW w:w="563" w:type="pct"/>
            <w:tcBorders>
              <w:top w:val="nil"/>
              <w:left w:val="nil"/>
              <w:bottom w:val="single" w:sz="4" w:space="0" w:color="auto"/>
              <w:right w:val="nil"/>
            </w:tcBorders>
          </w:tcPr>
          <w:p w14:paraId="73D99EDB" w14:textId="531F0991" w:rsidR="00C93F15" w:rsidRPr="00127BD1" w:rsidRDefault="00C93F15"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-0.3893***</w:t>
            </w:r>
          </w:p>
        </w:tc>
        <w:tc>
          <w:tcPr>
            <w:tcW w:w="563" w:type="pct"/>
            <w:tcBorders>
              <w:top w:val="nil"/>
              <w:left w:val="nil"/>
              <w:bottom w:val="single" w:sz="4" w:space="0" w:color="auto"/>
              <w:right w:val="nil"/>
            </w:tcBorders>
          </w:tcPr>
          <w:p w14:paraId="7EB03DD4" w14:textId="7FA80C39" w:rsidR="00C93F15" w:rsidRPr="00127BD1" w:rsidRDefault="00C93F15"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-0.1182***</w:t>
            </w:r>
          </w:p>
        </w:tc>
        <w:tc>
          <w:tcPr>
            <w:tcW w:w="563" w:type="pct"/>
            <w:tcBorders>
              <w:top w:val="nil"/>
              <w:left w:val="nil"/>
              <w:bottom w:val="single" w:sz="4" w:space="0" w:color="auto"/>
              <w:right w:val="nil"/>
            </w:tcBorders>
          </w:tcPr>
          <w:p w14:paraId="4A40DB09" w14:textId="60EDF130" w:rsidR="00C93F15" w:rsidRPr="00127BD1" w:rsidRDefault="00C93F15"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-0.3540***</w:t>
            </w:r>
          </w:p>
        </w:tc>
        <w:tc>
          <w:tcPr>
            <w:tcW w:w="385" w:type="pct"/>
            <w:tcBorders>
              <w:top w:val="nil"/>
              <w:left w:val="nil"/>
              <w:bottom w:val="single" w:sz="4" w:space="0" w:color="auto"/>
              <w:right w:val="nil"/>
            </w:tcBorders>
          </w:tcPr>
          <w:p w14:paraId="351FCD33" w14:textId="020B1316" w:rsidR="00C93F15" w:rsidRPr="00127BD1" w:rsidRDefault="00C93F15" w:rsidP="00C93F15">
            <w:pPr>
              <w:widowControl w:val="0"/>
              <w:autoSpaceDE w:val="0"/>
              <w:autoSpaceDN w:val="0"/>
              <w:adjustRightInd w:val="0"/>
              <w:rPr>
                <w:rFonts w:ascii="Times New Roman" w:hAnsi="Times New Roman" w:cs="Times New Roman"/>
                <w:sz w:val="18"/>
                <w:szCs w:val="18"/>
              </w:rPr>
            </w:pPr>
            <w:r w:rsidRPr="00127BD1">
              <w:rPr>
                <w:rFonts w:ascii="Times New Roman" w:hAnsi="Times New Roman" w:cs="Times New Roman"/>
                <w:sz w:val="18"/>
                <w:szCs w:val="18"/>
              </w:rPr>
              <w:t>1.0000</w:t>
            </w:r>
          </w:p>
        </w:tc>
      </w:tr>
    </w:tbl>
    <w:p w14:paraId="50A72235" w14:textId="031CD604" w:rsidR="00130990" w:rsidRPr="00127BD1" w:rsidRDefault="00130990" w:rsidP="00130990">
      <w:pPr>
        <w:rPr>
          <w:rFonts w:ascii="Times New Roman" w:hAnsi="Times New Roman" w:cs="Times New Roman"/>
          <w:sz w:val="20"/>
          <w:szCs w:val="20"/>
        </w:rPr>
      </w:pPr>
      <w:r w:rsidRPr="00127BD1">
        <w:rPr>
          <w:rFonts w:ascii="Times New Roman" w:hAnsi="Times New Roman" w:cs="Times New Roman"/>
          <w:sz w:val="20"/>
          <w:szCs w:val="20"/>
        </w:rPr>
        <w:t>Note: All variables are specified in</w:t>
      </w:r>
      <w:r w:rsidR="004D58AF" w:rsidRPr="00127BD1">
        <w:rPr>
          <w:rFonts w:ascii="Times New Roman" w:hAnsi="Times New Roman" w:cs="Times New Roman"/>
          <w:sz w:val="20"/>
          <w:szCs w:val="20"/>
        </w:rPr>
        <w:t xml:space="preserve"> the</w:t>
      </w:r>
      <w:r w:rsidRPr="00127BD1">
        <w:rPr>
          <w:rFonts w:ascii="Times New Roman" w:hAnsi="Times New Roman" w:cs="Times New Roman"/>
          <w:sz w:val="20"/>
          <w:szCs w:val="20"/>
        </w:rPr>
        <w:t xml:space="preserve"> Appendix. *** denotes 1% </w:t>
      </w:r>
      <w:r w:rsidR="006C5335" w:rsidRPr="00127BD1">
        <w:rPr>
          <w:rFonts w:ascii="Times New Roman" w:hAnsi="Times New Roman" w:cs="Times New Roman"/>
          <w:sz w:val="20"/>
          <w:szCs w:val="20"/>
        </w:rPr>
        <w:t xml:space="preserve">significance </w:t>
      </w:r>
      <w:r w:rsidRPr="00127BD1">
        <w:rPr>
          <w:rFonts w:ascii="Times New Roman" w:hAnsi="Times New Roman" w:cs="Times New Roman"/>
          <w:sz w:val="20"/>
          <w:szCs w:val="20"/>
        </w:rPr>
        <w:t xml:space="preserve">level, ** denotes 5% significance level, and * denotes 10% significance level. </w:t>
      </w:r>
    </w:p>
    <w:p w14:paraId="4BF15B65" w14:textId="7CD5FAFC" w:rsidR="00130990" w:rsidRPr="00127BD1" w:rsidRDefault="00130990" w:rsidP="00130990">
      <w:pPr>
        <w:rPr>
          <w:rFonts w:ascii="Times New Roman" w:hAnsi="Times New Roman" w:cs="Times New Roman"/>
          <w:sz w:val="22"/>
          <w:szCs w:val="22"/>
        </w:rPr>
      </w:pPr>
    </w:p>
    <w:p w14:paraId="380A7F46" w14:textId="05C15F4C" w:rsidR="00CA3226" w:rsidRPr="00127BD1" w:rsidRDefault="00CA3226" w:rsidP="00130990">
      <w:pPr>
        <w:rPr>
          <w:rFonts w:ascii="Times New Roman" w:hAnsi="Times New Roman" w:cs="Times New Roman"/>
          <w:sz w:val="22"/>
          <w:szCs w:val="22"/>
        </w:rPr>
      </w:pPr>
    </w:p>
    <w:p w14:paraId="7A08BDF3" w14:textId="77777777" w:rsidR="00CA3226" w:rsidRPr="00127BD1" w:rsidRDefault="00CA3226" w:rsidP="00130990">
      <w:pPr>
        <w:rPr>
          <w:rFonts w:ascii="Times New Roman" w:hAnsi="Times New Roman" w:cs="Times New Roman"/>
          <w:sz w:val="22"/>
          <w:szCs w:val="22"/>
        </w:rPr>
      </w:pPr>
    </w:p>
    <w:p w14:paraId="07DF59BD" w14:textId="77777777" w:rsidR="00130990" w:rsidRPr="00127BD1" w:rsidRDefault="00130990" w:rsidP="00130990">
      <w:pPr>
        <w:rPr>
          <w:rFonts w:ascii="Times New Roman" w:hAnsi="Times New Roman" w:cs="Times New Roman"/>
          <w:sz w:val="22"/>
          <w:szCs w:val="22"/>
        </w:rPr>
      </w:pPr>
    </w:p>
    <w:p w14:paraId="0F6CAF1B" w14:textId="77777777" w:rsidR="00030A88" w:rsidRPr="00127BD1" w:rsidRDefault="00030A88" w:rsidP="00C31CAA">
      <w:pPr>
        <w:spacing w:line="360" w:lineRule="auto"/>
        <w:rPr>
          <w:rFonts w:ascii="Times New Roman" w:hAnsi="Times New Roman" w:cs="Times New Roman"/>
          <w:b/>
          <w:bCs/>
          <w:sz w:val="22"/>
          <w:szCs w:val="22"/>
        </w:rPr>
        <w:sectPr w:rsidR="00030A88" w:rsidRPr="00127BD1" w:rsidSect="00C8430E">
          <w:pgSz w:w="11906" w:h="16838"/>
          <w:pgMar w:top="1440" w:right="1080" w:bottom="1440" w:left="1080" w:header="708" w:footer="708" w:gutter="0"/>
          <w:cols w:space="708"/>
          <w:docGrid w:linePitch="360"/>
        </w:sectPr>
      </w:pPr>
    </w:p>
    <w:p w14:paraId="14098DF4" w14:textId="7F308F6A" w:rsidR="00030A88" w:rsidRPr="00127BD1" w:rsidRDefault="00961043" w:rsidP="00C31CAA">
      <w:pPr>
        <w:spacing w:line="360" w:lineRule="auto"/>
        <w:rPr>
          <w:rFonts w:ascii="Times New Roman" w:hAnsi="Times New Roman" w:cs="Times New Roman"/>
          <w:sz w:val="22"/>
          <w:szCs w:val="22"/>
        </w:rPr>
      </w:pPr>
      <w:r w:rsidRPr="00127BD1">
        <w:rPr>
          <w:rFonts w:ascii="Times New Roman" w:hAnsi="Times New Roman" w:cs="Times New Roman"/>
          <w:b/>
          <w:bCs/>
          <w:sz w:val="22"/>
          <w:szCs w:val="22"/>
        </w:rPr>
        <w:lastRenderedPageBreak/>
        <w:t xml:space="preserve">Table </w:t>
      </w:r>
      <w:r w:rsidR="005048E3" w:rsidRPr="00127BD1">
        <w:rPr>
          <w:rFonts w:ascii="Times New Roman" w:hAnsi="Times New Roman" w:cs="Times New Roman"/>
          <w:b/>
          <w:bCs/>
          <w:sz w:val="22"/>
          <w:szCs w:val="22"/>
        </w:rPr>
        <w:t>2c</w:t>
      </w:r>
      <w:r w:rsidRPr="00127BD1">
        <w:rPr>
          <w:rFonts w:ascii="Times New Roman" w:hAnsi="Times New Roman" w:cs="Times New Roman"/>
          <w:b/>
          <w:bCs/>
          <w:sz w:val="22"/>
          <w:szCs w:val="22"/>
        </w:rPr>
        <w:t xml:space="preserve"> </w:t>
      </w:r>
      <w:r w:rsidR="005048E3" w:rsidRPr="00127BD1">
        <w:rPr>
          <w:rFonts w:ascii="Times New Roman" w:hAnsi="Times New Roman" w:cs="Times New Roman"/>
          <w:sz w:val="22"/>
          <w:szCs w:val="22"/>
        </w:rPr>
        <w:t xml:space="preserve">Pairwise </w:t>
      </w:r>
      <w:r w:rsidR="002C59A8" w:rsidRPr="00127BD1">
        <w:rPr>
          <w:rFonts w:ascii="Times New Roman" w:hAnsi="Times New Roman" w:cs="Times New Roman"/>
          <w:sz w:val="22"/>
          <w:szCs w:val="22"/>
        </w:rPr>
        <w:t>time-series correlations of country-level ambiguity</w:t>
      </w:r>
    </w:p>
    <w:tbl>
      <w:tblPr>
        <w:tblW w:w="5000" w:type="pct"/>
        <w:tblBorders>
          <w:top w:val="single" w:sz="4" w:space="0" w:color="auto"/>
          <w:bottom w:val="single" w:sz="4" w:space="0" w:color="auto"/>
        </w:tblBorders>
        <w:tblLook w:val="04A0" w:firstRow="1" w:lastRow="0" w:firstColumn="1" w:lastColumn="0" w:noHBand="0" w:noVBand="1"/>
      </w:tblPr>
      <w:tblGrid>
        <w:gridCol w:w="1361"/>
        <w:gridCol w:w="1199"/>
        <w:gridCol w:w="1199"/>
        <w:gridCol w:w="1199"/>
        <w:gridCol w:w="1199"/>
        <w:gridCol w:w="1197"/>
        <w:gridCol w:w="1197"/>
        <w:gridCol w:w="1195"/>
      </w:tblGrid>
      <w:tr w:rsidR="00C2049D" w:rsidRPr="00127BD1" w14:paraId="7A6E203E" w14:textId="77777777" w:rsidTr="00E64BB3">
        <w:trPr>
          <w:trHeight w:val="300"/>
        </w:trPr>
        <w:tc>
          <w:tcPr>
            <w:tcW w:w="698" w:type="pct"/>
            <w:tcBorders>
              <w:top w:val="single" w:sz="4" w:space="0" w:color="auto"/>
              <w:bottom w:val="single" w:sz="4" w:space="0" w:color="auto"/>
            </w:tcBorders>
            <w:noWrap/>
            <w:hideMark/>
          </w:tcPr>
          <w:p w14:paraId="10749287" w14:textId="77777777" w:rsidR="00961043" w:rsidRPr="00127BD1" w:rsidRDefault="00961043" w:rsidP="00D93C7F">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Variables</w:t>
            </w:r>
          </w:p>
        </w:tc>
        <w:tc>
          <w:tcPr>
            <w:tcW w:w="615" w:type="pct"/>
            <w:tcBorders>
              <w:top w:val="single" w:sz="4" w:space="0" w:color="auto"/>
              <w:bottom w:val="single" w:sz="4" w:space="0" w:color="auto"/>
            </w:tcBorders>
            <w:noWrap/>
            <w:hideMark/>
          </w:tcPr>
          <w:p w14:paraId="63260B19" w14:textId="77777777" w:rsidR="00961043" w:rsidRPr="00127BD1" w:rsidRDefault="00961043" w:rsidP="0096104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w:t>
            </w:r>
          </w:p>
        </w:tc>
        <w:tc>
          <w:tcPr>
            <w:tcW w:w="615" w:type="pct"/>
            <w:tcBorders>
              <w:top w:val="single" w:sz="4" w:space="0" w:color="auto"/>
              <w:bottom w:val="single" w:sz="4" w:space="0" w:color="auto"/>
            </w:tcBorders>
            <w:noWrap/>
            <w:hideMark/>
          </w:tcPr>
          <w:p w14:paraId="4584B7EA" w14:textId="77777777" w:rsidR="00961043" w:rsidRPr="00127BD1" w:rsidRDefault="00961043" w:rsidP="0096104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(2)</w:t>
            </w:r>
          </w:p>
        </w:tc>
        <w:tc>
          <w:tcPr>
            <w:tcW w:w="615" w:type="pct"/>
            <w:tcBorders>
              <w:top w:val="single" w:sz="4" w:space="0" w:color="auto"/>
              <w:bottom w:val="single" w:sz="4" w:space="0" w:color="auto"/>
            </w:tcBorders>
            <w:noWrap/>
            <w:hideMark/>
          </w:tcPr>
          <w:p w14:paraId="0F907330" w14:textId="77777777" w:rsidR="00961043" w:rsidRPr="00127BD1" w:rsidRDefault="00961043" w:rsidP="0096104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(3)</w:t>
            </w:r>
          </w:p>
        </w:tc>
        <w:tc>
          <w:tcPr>
            <w:tcW w:w="615" w:type="pct"/>
            <w:tcBorders>
              <w:top w:val="single" w:sz="4" w:space="0" w:color="auto"/>
              <w:bottom w:val="single" w:sz="4" w:space="0" w:color="auto"/>
            </w:tcBorders>
            <w:noWrap/>
            <w:hideMark/>
          </w:tcPr>
          <w:p w14:paraId="339FB07C" w14:textId="77777777" w:rsidR="00961043" w:rsidRPr="00127BD1" w:rsidRDefault="00961043" w:rsidP="0096104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(4)</w:t>
            </w:r>
          </w:p>
        </w:tc>
        <w:tc>
          <w:tcPr>
            <w:tcW w:w="614" w:type="pct"/>
            <w:tcBorders>
              <w:top w:val="single" w:sz="4" w:space="0" w:color="auto"/>
              <w:bottom w:val="single" w:sz="4" w:space="0" w:color="auto"/>
            </w:tcBorders>
            <w:noWrap/>
            <w:hideMark/>
          </w:tcPr>
          <w:p w14:paraId="104259CB" w14:textId="77777777" w:rsidR="00961043" w:rsidRPr="00127BD1" w:rsidRDefault="00961043" w:rsidP="0096104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(5)</w:t>
            </w:r>
          </w:p>
        </w:tc>
        <w:tc>
          <w:tcPr>
            <w:tcW w:w="614" w:type="pct"/>
            <w:tcBorders>
              <w:top w:val="single" w:sz="4" w:space="0" w:color="auto"/>
              <w:bottom w:val="single" w:sz="4" w:space="0" w:color="auto"/>
            </w:tcBorders>
            <w:noWrap/>
            <w:hideMark/>
          </w:tcPr>
          <w:p w14:paraId="5C7B84EE" w14:textId="77777777" w:rsidR="00961043" w:rsidRPr="00127BD1" w:rsidRDefault="00961043" w:rsidP="0096104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(6)</w:t>
            </w:r>
          </w:p>
        </w:tc>
        <w:tc>
          <w:tcPr>
            <w:tcW w:w="613" w:type="pct"/>
            <w:tcBorders>
              <w:top w:val="single" w:sz="4" w:space="0" w:color="auto"/>
              <w:bottom w:val="single" w:sz="4" w:space="0" w:color="auto"/>
            </w:tcBorders>
            <w:noWrap/>
            <w:hideMark/>
          </w:tcPr>
          <w:p w14:paraId="09A7838B" w14:textId="77777777" w:rsidR="00961043" w:rsidRPr="00127BD1" w:rsidRDefault="00961043" w:rsidP="0096104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(7)</w:t>
            </w:r>
          </w:p>
        </w:tc>
      </w:tr>
      <w:tr w:rsidR="00C2049D" w:rsidRPr="00127BD1" w14:paraId="03C39DA0" w14:textId="77777777" w:rsidTr="00E64BB3">
        <w:trPr>
          <w:trHeight w:val="300"/>
        </w:trPr>
        <w:tc>
          <w:tcPr>
            <w:tcW w:w="698" w:type="pct"/>
            <w:tcBorders>
              <w:top w:val="single" w:sz="4" w:space="0" w:color="auto"/>
            </w:tcBorders>
            <w:noWrap/>
            <w:hideMark/>
          </w:tcPr>
          <w:p w14:paraId="6DD7E5EE" w14:textId="77777777" w:rsidR="00961043" w:rsidRPr="00127BD1" w:rsidRDefault="00961043" w:rsidP="00D93C7F">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 AUS</w:t>
            </w:r>
          </w:p>
        </w:tc>
        <w:tc>
          <w:tcPr>
            <w:tcW w:w="615" w:type="pct"/>
            <w:tcBorders>
              <w:top w:val="single" w:sz="4" w:space="0" w:color="auto"/>
            </w:tcBorders>
            <w:noWrap/>
            <w:hideMark/>
          </w:tcPr>
          <w:p w14:paraId="0E9CBB99" w14:textId="4CE09D7F" w:rsidR="00961043" w:rsidRPr="00127BD1" w:rsidRDefault="00961043" w:rsidP="0096104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w:t>
            </w:r>
            <w:r w:rsidR="000B34A2" w:rsidRPr="00127BD1">
              <w:rPr>
                <w:rFonts w:ascii="Times New Roman" w:eastAsia="Times New Roman" w:hAnsi="Times New Roman" w:cs="Times New Roman"/>
                <w:sz w:val="18"/>
                <w:szCs w:val="18"/>
              </w:rPr>
              <w:t>.0000</w:t>
            </w:r>
          </w:p>
        </w:tc>
        <w:tc>
          <w:tcPr>
            <w:tcW w:w="615" w:type="pct"/>
            <w:tcBorders>
              <w:top w:val="single" w:sz="4" w:space="0" w:color="auto"/>
            </w:tcBorders>
            <w:noWrap/>
            <w:hideMark/>
          </w:tcPr>
          <w:p w14:paraId="2DD591DC" w14:textId="77777777" w:rsidR="00961043" w:rsidRPr="00127BD1" w:rsidRDefault="00961043" w:rsidP="00961043">
            <w:pPr>
              <w:rPr>
                <w:rFonts w:ascii="Times New Roman" w:eastAsia="Times New Roman" w:hAnsi="Times New Roman" w:cs="Times New Roman"/>
                <w:sz w:val="18"/>
                <w:szCs w:val="18"/>
              </w:rPr>
            </w:pPr>
          </w:p>
        </w:tc>
        <w:tc>
          <w:tcPr>
            <w:tcW w:w="615" w:type="pct"/>
            <w:tcBorders>
              <w:top w:val="single" w:sz="4" w:space="0" w:color="auto"/>
            </w:tcBorders>
            <w:noWrap/>
            <w:hideMark/>
          </w:tcPr>
          <w:p w14:paraId="75495E04" w14:textId="77777777" w:rsidR="00961043" w:rsidRPr="00127BD1" w:rsidRDefault="00961043" w:rsidP="00961043">
            <w:pPr>
              <w:rPr>
                <w:rFonts w:ascii="Times New Roman" w:eastAsia="Times New Roman" w:hAnsi="Times New Roman" w:cs="Times New Roman"/>
                <w:sz w:val="18"/>
                <w:szCs w:val="18"/>
              </w:rPr>
            </w:pPr>
          </w:p>
        </w:tc>
        <w:tc>
          <w:tcPr>
            <w:tcW w:w="615" w:type="pct"/>
            <w:tcBorders>
              <w:top w:val="single" w:sz="4" w:space="0" w:color="auto"/>
            </w:tcBorders>
            <w:noWrap/>
            <w:hideMark/>
          </w:tcPr>
          <w:p w14:paraId="1AA8A908" w14:textId="77777777" w:rsidR="00961043" w:rsidRPr="00127BD1" w:rsidRDefault="00961043" w:rsidP="00961043">
            <w:pPr>
              <w:rPr>
                <w:rFonts w:ascii="Times New Roman" w:eastAsia="Times New Roman" w:hAnsi="Times New Roman" w:cs="Times New Roman"/>
                <w:sz w:val="18"/>
                <w:szCs w:val="18"/>
              </w:rPr>
            </w:pPr>
          </w:p>
        </w:tc>
        <w:tc>
          <w:tcPr>
            <w:tcW w:w="614" w:type="pct"/>
            <w:tcBorders>
              <w:top w:val="single" w:sz="4" w:space="0" w:color="auto"/>
            </w:tcBorders>
            <w:noWrap/>
            <w:hideMark/>
          </w:tcPr>
          <w:p w14:paraId="536948D5" w14:textId="77777777" w:rsidR="00961043" w:rsidRPr="00127BD1" w:rsidRDefault="00961043" w:rsidP="00961043">
            <w:pPr>
              <w:rPr>
                <w:rFonts w:ascii="Times New Roman" w:eastAsia="Times New Roman" w:hAnsi="Times New Roman" w:cs="Times New Roman"/>
                <w:sz w:val="18"/>
                <w:szCs w:val="18"/>
              </w:rPr>
            </w:pPr>
          </w:p>
        </w:tc>
        <w:tc>
          <w:tcPr>
            <w:tcW w:w="614" w:type="pct"/>
            <w:tcBorders>
              <w:top w:val="single" w:sz="4" w:space="0" w:color="auto"/>
            </w:tcBorders>
            <w:noWrap/>
            <w:hideMark/>
          </w:tcPr>
          <w:p w14:paraId="091C04AD" w14:textId="77777777" w:rsidR="00961043" w:rsidRPr="00127BD1" w:rsidRDefault="00961043" w:rsidP="00961043">
            <w:pPr>
              <w:rPr>
                <w:rFonts w:ascii="Times New Roman" w:eastAsia="Times New Roman" w:hAnsi="Times New Roman" w:cs="Times New Roman"/>
                <w:sz w:val="18"/>
                <w:szCs w:val="18"/>
              </w:rPr>
            </w:pPr>
          </w:p>
        </w:tc>
        <w:tc>
          <w:tcPr>
            <w:tcW w:w="613" w:type="pct"/>
            <w:tcBorders>
              <w:top w:val="single" w:sz="4" w:space="0" w:color="auto"/>
            </w:tcBorders>
            <w:noWrap/>
            <w:hideMark/>
          </w:tcPr>
          <w:p w14:paraId="12EC068A" w14:textId="77777777" w:rsidR="00961043" w:rsidRPr="00127BD1" w:rsidRDefault="00961043" w:rsidP="00961043">
            <w:pPr>
              <w:rPr>
                <w:rFonts w:ascii="Times New Roman" w:eastAsia="Times New Roman" w:hAnsi="Times New Roman" w:cs="Times New Roman"/>
                <w:sz w:val="18"/>
                <w:szCs w:val="18"/>
              </w:rPr>
            </w:pPr>
          </w:p>
        </w:tc>
      </w:tr>
      <w:tr w:rsidR="00C2049D" w:rsidRPr="00127BD1" w14:paraId="42C4B887" w14:textId="77777777" w:rsidTr="00E64BB3">
        <w:trPr>
          <w:trHeight w:val="300"/>
        </w:trPr>
        <w:tc>
          <w:tcPr>
            <w:tcW w:w="698" w:type="pct"/>
            <w:noWrap/>
            <w:hideMark/>
          </w:tcPr>
          <w:p w14:paraId="0282AD2A" w14:textId="77777777" w:rsidR="00961043" w:rsidRPr="00127BD1" w:rsidRDefault="00961043" w:rsidP="00D93C7F">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(2) AUT</w:t>
            </w:r>
          </w:p>
        </w:tc>
        <w:tc>
          <w:tcPr>
            <w:tcW w:w="615" w:type="pct"/>
            <w:noWrap/>
            <w:hideMark/>
          </w:tcPr>
          <w:p w14:paraId="6A39D3E9" w14:textId="77777777" w:rsidR="00961043" w:rsidRPr="00127BD1" w:rsidRDefault="00961043" w:rsidP="0096104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0.5005***</w:t>
            </w:r>
          </w:p>
        </w:tc>
        <w:tc>
          <w:tcPr>
            <w:tcW w:w="615" w:type="pct"/>
            <w:noWrap/>
            <w:hideMark/>
          </w:tcPr>
          <w:p w14:paraId="47837F91" w14:textId="625BB0A8" w:rsidR="00961043" w:rsidRPr="00127BD1" w:rsidRDefault="00961043" w:rsidP="0096104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w:t>
            </w:r>
            <w:r w:rsidR="000B34A2" w:rsidRPr="00127BD1">
              <w:rPr>
                <w:rFonts w:ascii="Times New Roman" w:eastAsia="Times New Roman" w:hAnsi="Times New Roman" w:cs="Times New Roman"/>
                <w:sz w:val="18"/>
                <w:szCs w:val="18"/>
              </w:rPr>
              <w:t>.0000</w:t>
            </w:r>
          </w:p>
        </w:tc>
        <w:tc>
          <w:tcPr>
            <w:tcW w:w="615" w:type="pct"/>
            <w:noWrap/>
            <w:hideMark/>
          </w:tcPr>
          <w:p w14:paraId="1AC1BA11" w14:textId="77777777" w:rsidR="00961043" w:rsidRPr="00127BD1" w:rsidRDefault="00961043" w:rsidP="00961043">
            <w:pPr>
              <w:rPr>
                <w:rFonts w:ascii="Times New Roman" w:eastAsia="Times New Roman" w:hAnsi="Times New Roman" w:cs="Times New Roman"/>
                <w:sz w:val="18"/>
                <w:szCs w:val="18"/>
              </w:rPr>
            </w:pPr>
          </w:p>
        </w:tc>
        <w:tc>
          <w:tcPr>
            <w:tcW w:w="615" w:type="pct"/>
            <w:noWrap/>
            <w:hideMark/>
          </w:tcPr>
          <w:p w14:paraId="150BD03B" w14:textId="77777777" w:rsidR="00961043" w:rsidRPr="00127BD1" w:rsidRDefault="00961043" w:rsidP="00961043">
            <w:pPr>
              <w:rPr>
                <w:rFonts w:ascii="Times New Roman" w:eastAsia="Times New Roman" w:hAnsi="Times New Roman" w:cs="Times New Roman"/>
                <w:sz w:val="18"/>
                <w:szCs w:val="18"/>
              </w:rPr>
            </w:pPr>
          </w:p>
        </w:tc>
        <w:tc>
          <w:tcPr>
            <w:tcW w:w="614" w:type="pct"/>
            <w:noWrap/>
            <w:hideMark/>
          </w:tcPr>
          <w:p w14:paraId="014027CD" w14:textId="77777777" w:rsidR="00961043" w:rsidRPr="00127BD1" w:rsidRDefault="00961043" w:rsidP="00961043">
            <w:pPr>
              <w:rPr>
                <w:rFonts w:ascii="Times New Roman" w:eastAsia="Times New Roman" w:hAnsi="Times New Roman" w:cs="Times New Roman"/>
                <w:sz w:val="18"/>
                <w:szCs w:val="18"/>
              </w:rPr>
            </w:pPr>
          </w:p>
        </w:tc>
        <w:tc>
          <w:tcPr>
            <w:tcW w:w="614" w:type="pct"/>
            <w:noWrap/>
            <w:hideMark/>
          </w:tcPr>
          <w:p w14:paraId="15439813" w14:textId="77777777" w:rsidR="00961043" w:rsidRPr="00127BD1" w:rsidRDefault="00961043" w:rsidP="00961043">
            <w:pPr>
              <w:rPr>
                <w:rFonts w:ascii="Times New Roman" w:eastAsia="Times New Roman" w:hAnsi="Times New Roman" w:cs="Times New Roman"/>
                <w:sz w:val="18"/>
                <w:szCs w:val="18"/>
              </w:rPr>
            </w:pPr>
          </w:p>
        </w:tc>
        <w:tc>
          <w:tcPr>
            <w:tcW w:w="613" w:type="pct"/>
            <w:noWrap/>
            <w:hideMark/>
          </w:tcPr>
          <w:p w14:paraId="5D2DD802" w14:textId="77777777" w:rsidR="00961043" w:rsidRPr="00127BD1" w:rsidRDefault="00961043" w:rsidP="00961043">
            <w:pPr>
              <w:rPr>
                <w:rFonts w:ascii="Times New Roman" w:eastAsia="Times New Roman" w:hAnsi="Times New Roman" w:cs="Times New Roman"/>
                <w:sz w:val="18"/>
                <w:szCs w:val="18"/>
              </w:rPr>
            </w:pPr>
          </w:p>
        </w:tc>
      </w:tr>
      <w:tr w:rsidR="00C2049D" w:rsidRPr="00127BD1" w14:paraId="4912A94F" w14:textId="77777777" w:rsidTr="00E64BB3">
        <w:trPr>
          <w:trHeight w:val="300"/>
        </w:trPr>
        <w:tc>
          <w:tcPr>
            <w:tcW w:w="698" w:type="pct"/>
            <w:noWrap/>
            <w:hideMark/>
          </w:tcPr>
          <w:p w14:paraId="0FE7F581" w14:textId="77777777" w:rsidR="00961043" w:rsidRPr="00127BD1" w:rsidRDefault="00961043" w:rsidP="00D93C7F">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(3) BEL</w:t>
            </w:r>
          </w:p>
        </w:tc>
        <w:tc>
          <w:tcPr>
            <w:tcW w:w="615" w:type="pct"/>
            <w:noWrap/>
            <w:hideMark/>
          </w:tcPr>
          <w:p w14:paraId="50C1FCE6" w14:textId="77777777" w:rsidR="00961043" w:rsidRPr="00127BD1" w:rsidRDefault="00961043" w:rsidP="0096104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0.6927***</w:t>
            </w:r>
          </w:p>
        </w:tc>
        <w:tc>
          <w:tcPr>
            <w:tcW w:w="615" w:type="pct"/>
            <w:noWrap/>
            <w:hideMark/>
          </w:tcPr>
          <w:p w14:paraId="3D0FF5BF" w14:textId="77777777" w:rsidR="00961043" w:rsidRPr="00127BD1" w:rsidRDefault="00961043" w:rsidP="0096104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0.6403***</w:t>
            </w:r>
          </w:p>
        </w:tc>
        <w:tc>
          <w:tcPr>
            <w:tcW w:w="615" w:type="pct"/>
            <w:noWrap/>
            <w:hideMark/>
          </w:tcPr>
          <w:p w14:paraId="28537356" w14:textId="3CED16F3" w:rsidR="00961043" w:rsidRPr="00127BD1" w:rsidRDefault="00961043" w:rsidP="0096104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w:t>
            </w:r>
            <w:r w:rsidR="00E64BB3" w:rsidRPr="00127BD1">
              <w:rPr>
                <w:rFonts w:ascii="Times New Roman" w:eastAsia="Times New Roman" w:hAnsi="Times New Roman" w:cs="Times New Roman"/>
                <w:sz w:val="18"/>
                <w:szCs w:val="18"/>
              </w:rPr>
              <w:t>.0000</w:t>
            </w:r>
          </w:p>
        </w:tc>
        <w:tc>
          <w:tcPr>
            <w:tcW w:w="615" w:type="pct"/>
            <w:noWrap/>
            <w:hideMark/>
          </w:tcPr>
          <w:p w14:paraId="247C60A4" w14:textId="77777777" w:rsidR="00961043" w:rsidRPr="00127BD1" w:rsidRDefault="00961043" w:rsidP="00961043">
            <w:pPr>
              <w:rPr>
                <w:rFonts w:ascii="Times New Roman" w:eastAsia="Times New Roman" w:hAnsi="Times New Roman" w:cs="Times New Roman"/>
                <w:sz w:val="18"/>
                <w:szCs w:val="18"/>
              </w:rPr>
            </w:pPr>
          </w:p>
        </w:tc>
        <w:tc>
          <w:tcPr>
            <w:tcW w:w="614" w:type="pct"/>
            <w:noWrap/>
            <w:hideMark/>
          </w:tcPr>
          <w:p w14:paraId="52944879" w14:textId="77777777" w:rsidR="00961043" w:rsidRPr="00127BD1" w:rsidRDefault="00961043" w:rsidP="00961043">
            <w:pPr>
              <w:rPr>
                <w:rFonts w:ascii="Times New Roman" w:eastAsia="Times New Roman" w:hAnsi="Times New Roman" w:cs="Times New Roman"/>
                <w:sz w:val="18"/>
                <w:szCs w:val="18"/>
              </w:rPr>
            </w:pPr>
          </w:p>
        </w:tc>
        <w:tc>
          <w:tcPr>
            <w:tcW w:w="614" w:type="pct"/>
            <w:noWrap/>
            <w:hideMark/>
          </w:tcPr>
          <w:p w14:paraId="1DAD1C15" w14:textId="77777777" w:rsidR="00961043" w:rsidRPr="00127BD1" w:rsidRDefault="00961043" w:rsidP="00961043">
            <w:pPr>
              <w:rPr>
                <w:rFonts w:ascii="Times New Roman" w:eastAsia="Times New Roman" w:hAnsi="Times New Roman" w:cs="Times New Roman"/>
                <w:sz w:val="18"/>
                <w:szCs w:val="18"/>
              </w:rPr>
            </w:pPr>
          </w:p>
        </w:tc>
        <w:tc>
          <w:tcPr>
            <w:tcW w:w="613" w:type="pct"/>
            <w:noWrap/>
            <w:hideMark/>
          </w:tcPr>
          <w:p w14:paraId="151B081B" w14:textId="77777777" w:rsidR="00961043" w:rsidRPr="00127BD1" w:rsidRDefault="00961043" w:rsidP="00961043">
            <w:pPr>
              <w:rPr>
                <w:rFonts w:ascii="Times New Roman" w:eastAsia="Times New Roman" w:hAnsi="Times New Roman" w:cs="Times New Roman"/>
                <w:sz w:val="18"/>
                <w:szCs w:val="18"/>
              </w:rPr>
            </w:pPr>
          </w:p>
        </w:tc>
      </w:tr>
      <w:tr w:rsidR="00C2049D" w:rsidRPr="00127BD1" w14:paraId="2CE09AE5" w14:textId="77777777" w:rsidTr="00E64BB3">
        <w:trPr>
          <w:trHeight w:val="300"/>
        </w:trPr>
        <w:tc>
          <w:tcPr>
            <w:tcW w:w="698" w:type="pct"/>
            <w:noWrap/>
            <w:hideMark/>
          </w:tcPr>
          <w:p w14:paraId="6BF609B2"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(4) BRA</w:t>
            </w:r>
          </w:p>
        </w:tc>
        <w:tc>
          <w:tcPr>
            <w:tcW w:w="615" w:type="pct"/>
            <w:noWrap/>
            <w:hideMark/>
          </w:tcPr>
          <w:p w14:paraId="58DEF53D"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-0.1106</w:t>
            </w:r>
          </w:p>
        </w:tc>
        <w:tc>
          <w:tcPr>
            <w:tcW w:w="615" w:type="pct"/>
            <w:noWrap/>
            <w:hideMark/>
          </w:tcPr>
          <w:p w14:paraId="7C72FD7F"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0.0971</w:t>
            </w:r>
          </w:p>
        </w:tc>
        <w:tc>
          <w:tcPr>
            <w:tcW w:w="615" w:type="pct"/>
            <w:noWrap/>
            <w:hideMark/>
          </w:tcPr>
          <w:p w14:paraId="6273F742"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-0.0689</w:t>
            </w:r>
          </w:p>
        </w:tc>
        <w:tc>
          <w:tcPr>
            <w:tcW w:w="615" w:type="pct"/>
            <w:noWrap/>
            <w:hideMark/>
          </w:tcPr>
          <w:p w14:paraId="15E17E37" w14:textId="779CCAED"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1.0000</w:t>
            </w:r>
          </w:p>
        </w:tc>
        <w:tc>
          <w:tcPr>
            <w:tcW w:w="614" w:type="pct"/>
            <w:noWrap/>
            <w:hideMark/>
          </w:tcPr>
          <w:p w14:paraId="06B3B24A" w14:textId="77777777" w:rsidR="00E64BB3" w:rsidRPr="00127BD1" w:rsidRDefault="00E64BB3" w:rsidP="00E64BB3">
            <w:pPr>
              <w:rPr>
                <w:rFonts w:ascii="Times New Roman" w:eastAsia="Times New Roman" w:hAnsi="Times New Roman" w:cs="Times New Roman"/>
                <w:sz w:val="18"/>
                <w:szCs w:val="18"/>
              </w:rPr>
            </w:pPr>
          </w:p>
        </w:tc>
        <w:tc>
          <w:tcPr>
            <w:tcW w:w="614" w:type="pct"/>
            <w:noWrap/>
            <w:hideMark/>
          </w:tcPr>
          <w:p w14:paraId="36CB7E1A" w14:textId="77777777" w:rsidR="00E64BB3" w:rsidRPr="00127BD1" w:rsidRDefault="00E64BB3" w:rsidP="00E64BB3">
            <w:pPr>
              <w:rPr>
                <w:rFonts w:ascii="Times New Roman" w:eastAsia="Times New Roman" w:hAnsi="Times New Roman" w:cs="Times New Roman"/>
                <w:sz w:val="18"/>
                <w:szCs w:val="18"/>
              </w:rPr>
            </w:pPr>
          </w:p>
        </w:tc>
        <w:tc>
          <w:tcPr>
            <w:tcW w:w="613" w:type="pct"/>
            <w:noWrap/>
            <w:hideMark/>
          </w:tcPr>
          <w:p w14:paraId="37B16E48" w14:textId="77777777" w:rsidR="00E64BB3" w:rsidRPr="00127BD1" w:rsidRDefault="00E64BB3" w:rsidP="00E64BB3">
            <w:pPr>
              <w:rPr>
                <w:rFonts w:ascii="Times New Roman" w:eastAsia="Times New Roman" w:hAnsi="Times New Roman" w:cs="Times New Roman"/>
                <w:sz w:val="18"/>
                <w:szCs w:val="18"/>
              </w:rPr>
            </w:pPr>
          </w:p>
        </w:tc>
      </w:tr>
      <w:tr w:rsidR="00C2049D" w:rsidRPr="00127BD1" w14:paraId="05BB83E5" w14:textId="77777777" w:rsidTr="00E64BB3">
        <w:trPr>
          <w:trHeight w:val="300"/>
        </w:trPr>
        <w:tc>
          <w:tcPr>
            <w:tcW w:w="698" w:type="pct"/>
            <w:noWrap/>
            <w:hideMark/>
          </w:tcPr>
          <w:p w14:paraId="3FA31BC2"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(5) CAN</w:t>
            </w:r>
          </w:p>
        </w:tc>
        <w:tc>
          <w:tcPr>
            <w:tcW w:w="615" w:type="pct"/>
            <w:noWrap/>
            <w:hideMark/>
          </w:tcPr>
          <w:p w14:paraId="6F6CAFC6"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0.7935***</w:t>
            </w:r>
          </w:p>
        </w:tc>
        <w:tc>
          <w:tcPr>
            <w:tcW w:w="615" w:type="pct"/>
            <w:noWrap/>
            <w:hideMark/>
          </w:tcPr>
          <w:p w14:paraId="37A03804"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0.5354***</w:t>
            </w:r>
          </w:p>
        </w:tc>
        <w:tc>
          <w:tcPr>
            <w:tcW w:w="615" w:type="pct"/>
            <w:noWrap/>
            <w:hideMark/>
          </w:tcPr>
          <w:p w14:paraId="1891B950"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0.6451***</w:t>
            </w:r>
          </w:p>
        </w:tc>
        <w:tc>
          <w:tcPr>
            <w:tcW w:w="615" w:type="pct"/>
            <w:noWrap/>
            <w:hideMark/>
          </w:tcPr>
          <w:p w14:paraId="297EECF5"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0.1631</w:t>
            </w:r>
          </w:p>
        </w:tc>
        <w:tc>
          <w:tcPr>
            <w:tcW w:w="614" w:type="pct"/>
            <w:noWrap/>
            <w:hideMark/>
          </w:tcPr>
          <w:p w14:paraId="05554401" w14:textId="0E6DF2AA"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1.0000</w:t>
            </w:r>
          </w:p>
        </w:tc>
        <w:tc>
          <w:tcPr>
            <w:tcW w:w="614" w:type="pct"/>
            <w:noWrap/>
            <w:hideMark/>
          </w:tcPr>
          <w:p w14:paraId="331E9B67" w14:textId="77777777" w:rsidR="00E64BB3" w:rsidRPr="00127BD1" w:rsidRDefault="00E64BB3" w:rsidP="00E64BB3">
            <w:pPr>
              <w:rPr>
                <w:rFonts w:ascii="Times New Roman" w:eastAsia="Times New Roman" w:hAnsi="Times New Roman" w:cs="Times New Roman"/>
                <w:sz w:val="18"/>
                <w:szCs w:val="18"/>
              </w:rPr>
            </w:pPr>
          </w:p>
        </w:tc>
        <w:tc>
          <w:tcPr>
            <w:tcW w:w="613" w:type="pct"/>
            <w:noWrap/>
            <w:hideMark/>
          </w:tcPr>
          <w:p w14:paraId="383C8B5F" w14:textId="77777777" w:rsidR="00E64BB3" w:rsidRPr="00127BD1" w:rsidRDefault="00E64BB3" w:rsidP="00E64BB3">
            <w:pPr>
              <w:rPr>
                <w:rFonts w:ascii="Times New Roman" w:eastAsia="Times New Roman" w:hAnsi="Times New Roman" w:cs="Times New Roman"/>
                <w:sz w:val="18"/>
                <w:szCs w:val="18"/>
              </w:rPr>
            </w:pPr>
          </w:p>
        </w:tc>
      </w:tr>
      <w:tr w:rsidR="00C2049D" w:rsidRPr="00127BD1" w14:paraId="30B776CC" w14:textId="77777777" w:rsidTr="00E64BB3">
        <w:trPr>
          <w:trHeight w:val="300"/>
        </w:trPr>
        <w:tc>
          <w:tcPr>
            <w:tcW w:w="698" w:type="pct"/>
            <w:noWrap/>
            <w:hideMark/>
          </w:tcPr>
          <w:p w14:paraId="05BFAD81"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(6) CHE</w:t>
            </w:r>
          </w:p>
        </w:tc>
        <w:tc>
          <w:tcPr>
            <w:tcW w:w="615" w:type="pct"/>
            <w:noWrap/>
            <w:hideMark/>
          </w:tcPr>
          <w:p w14:paraId="256FE204"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0.6821***</w:t>
            </w:r>
          </w:p>
        </w:tc>
        <w:tc>
          <w:tcPr>
            <w:tcW w:w="615" w:type="pct"/>
            <w:noWrap/>
            <w:hideMark/>
          </w:tcPr>
          <w:p w14:paraId="503E771D"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0.5128***</w:t>
            </w:r>
          </w:p>
        </w:tc>
        <w:tc>
          <w:tcPr>
            <w:tcW w:w="615" w:type="pct"/>
            <w:noWrap/>
            <w:hideMark/>
          </w:tcPr>
          <w:p w14:paraId="076C6E34"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0.7903***</w:t>
            </w:r>
          </w:p>
        </w:tc>
        <w:tc>
          <w:tcPr>
            <w:tcW w:w="615" w:type="pct"/>
            <w:noWrap/>
            <w:hideMark/>
          </w:tcPr>
          <w:p w14:paraId="65CC6C1F"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-0.0953</w:t>
            </w:r>
          </w:p>
        </w:tc>
        <w:tc>
          <w:tcPr>
            <w:tcW w:w="614" w:type="pct"/>
            <w:noWrap/>
            <w:hideMark/>
          </w:tcPr>
          <w:p w14:paraId="6E5CDA0B"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0.7291***</w:t>
            </w:r>
          </w:p>
        </w:tc>
        <w:tc>
          <w:tcPr>
            <w:tcW w:w="614" w:type="pct"/>
            <w:noWrap/>
            <w:hideMark/>
          </w:tcPr>
          <w:p w14:paraId="7B25D0B4" w14:textId="30477545"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1.0000</w:t>
            </w:r>
          </w:p>
        </w:tc>
        <w:tc>
          <w:tcPr>
            <w:tcW w:w="613" w:type="pct"/>
            <w:noWrap/>
            <w:hideMark/>
          </w:tcPr>
          <w:p w14:paraId="74C47B34" w14:textId="77777777" w:rsidR="00E64BB3" w:rsidRPr="00127BD1" w:rsidRDefault="00E64BB3" w:rsidP="00E64BB3">
            <w:pPr>
              <w:rPr>
                <w:rFonts w:ascii="Times New Roman" w:eastAsia="Times New Roman" w:hAnsi="Times New Roman" w:cs="Times New Roman"/>
                <w:sz w:val="18"/>
                <w:szCs w:val="18"/>
              </w:rPr>
            </w:pPr>
          </w:p>
        </w:tc>
      </w:tr>
      <w:tr w:rsidR="00C2049D" w:rsidRPr="00127BD1" w14:paraId="7FD0F345" w14:textId="77777777" w:rsidTr="00E64BB3">
        <w:trPr>
          <w:trHeight w:val="300"/>
        </w:trPr>
        <w:tc>
          <w:tcPr>
            <w:tcW w:w="698" w:type="pct"/>
            <w:noWrap/>
            <w:hideMark/>
          </w:tcPr>
          <w:p w14:paraId="09554229"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(7) DEU</w:t>
            </w:r>
          </w:p>
        </w:tc>
        <w:tc>
          <w:tcPr>
            <w:tcW w:w="615" w:type="pct"/>
            <w:noWrap/>
            <w:hideMark/>
          </w:tcPr>
          <w:p w14:paraId="26D7CE67"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0.4116***</w:t>
            </w:r>
          </w:p>
        </w:tc>
        <w:tc>
          <w:tcPr>
            <w:tcW w:w="615" w:type="pct"/>
            <w:noWrap/>
            <w:hideMark/>
          </w:tcPr>
          <w:p w14:paraId="4015FF0A"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0.6317***</w:t>
            </w:r>
          </w:p>
        </w:tc>
        <w:tc>
          <w:tcPr>
            <w:tcW w:w="615" w:type="pct"/>
            <w:noWrap/>
            <w:hideMark/>
          </w:tcPr>
          <w:p w14:paraId="26E5F043"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0.6014***</w:t>
            </w:r>
          </w:p>
        </w:tc>
        <w:tc>
          <w:tcPr>
            <w:tcW w:w="615" w:type="pct"/>
            <w:noWrap/>
            <w:hideMark/>
          </w:tcPr>
          <w:p w14:paraId="5E3EF4B5"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0.1896*</w:t>
            </w:r>
          </w:p>
        </w:tc>
        <w:tc>
          <w:tcPr>
            <w:tcW w:w="614" w:type="pct"/>
            <w:noWrap/>
            <w:hideMark/>
          </w:tcPr>
          <w:p w14:paraId="303EB0B3"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0.6854***</w:t>
            </w:r>
          </w:p>
        </w:tc>
        <w:tc>
          <w:tcPr>
            <w:tcW w:w="614" w:type="pct"/>
            <w:noWrap/>
            <w:hideMark/>
          </w:tcPr>
          <w:p w14:paraId="700DA0E9"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0.5751***</w:t>
            </w:r>
          </w:p>
        </w:tc>
        <w:tc>
          <w:tcPr>
            <w:tcW w:w="613" w:type="pct"/>
            <w:noWrap/>
            <w:hideMark/>
          </w:tcPr>
          <w:p w14:paraId="55E2FB56" w14:textId="668624D1"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1.0000</w:t>
            </w:r>
          </w:p>
        </w:tc>
      </w:tr>
      <w:tr w:rsidR="00C2049D" w:rsidRPr="00127BD1" w14:paraId="0D86DA3C" w14:textId="77777777" w:rsidTr="00E64BB3">
        <w:trPr>
          <w:trHeight w:val="300"/>
        </w:trPr>
        <w:tc>
          <w:tcPr>
            <w:tcW w:w="698" w:type="pct"/>
            <w:noWrap/>
            <w:hideMark/>
          </w:tcPr>
          <w:p w14:paraId="0E11A6E4"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(8) DNK</w:t>
            </w:r>
          </w:p>
        </w:tc>
        <w:tc>
          <w:tcPr>
            <w:tcW w:w="615" w:type="pct"/>
            <w:noWrap/>
            <w:hideMark/>
          </w:tcPr>
          <w:p w14:paraId="563C2004"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0.6650***</w:t>
            </w:r>
          </w:p>
        </w:tc>
        <w:tc>
          <w:tcPr>
            <w:tcW w:w="615" w:type="pct"/>
            <w:noWrap/>
            <w:hideMark/>
          </w:tcPr>
          <w:p w14:paraId="5BA51337"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0.5605***</w:t>
            </w:r>
          </w:p>
        </w:tc>
        <w:tc>
          <w:tcPr>
            <w:tcW w:w="615" w:type="pct"/>
            <w:noWrap/>
            <w:hideMark/>
          </w:tcPr>
          <w:p w14:paraId="66DF160C"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0.8181***</w:t>
            </w:r>
          </w:p>
        </w:tc>
        <w:tc>
          <w:tcPr>
            <w:tcW w:w="615" w:type="pct"/>
            <w:noWrap/>
            <w:hideMark/>
          </w:tcPr>
          <w:p w14:paraId="175DA7DF"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-0.0576</w:t>
            </w:r>
          </w:p>
        </w:tc>
        <w:tc>
          <w:tcPr>
            <w:tcW w:w="614" w:type="pct"/>
            <w:noWrap/>
            <w:hideMark/>
          </w:tcPr>
          <w:p w14:paraId="7EFDE3DC"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0.5940***</w:t>
            </w:r>
          </w:p>
        </w:tc>
        <w:tc>
          <w:tcPr>
            <w:tcW w:w="614" w:type="pct"/>
            <w:noWrap/>
            <w:hideMark/>
          </w:tcPr>
          <w:p w14:paraId="6D1B648F"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0.7208***</w:t>
            </w:r>
          </w:p>
        </w:tc>
        <w:tc>
          <w:tcPr>
            <w:tcW w:w="613" w:type="pct"/>
            <w:noWrap/>
            <w:hideMark/>
          </w:tcPr>
          <w:p w14:paraId="4EEDA2AE"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0.6522***</w:t>
            </w:r>
          </w:p>
        </w:tc>
      </w:tr>
      <w:tr w:rsidR="00C2049D" w:rsidRPr="00127BD1" w14:paraId="6738B7BA" w14:textId="77777777" w:rsidTr="00E64BB3">
        <w:trPr>
          <w:trHeight w:val="300"/>
        </w:trPr>
        <w:tc>
          <w:tcPr>
            <w:tcW w:w="698" w:type="pct"/>
            <w:noWrap/>
            <w:hideMark/>
          </w:tcPr>
          <w:p w14:paraId="096EEE4A"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(9) ESP</w:t>
            </w:r>
          </w:p>
        </w:tc>
        <w:tc>
          <w:tcPr>
            <w:tcW w:w="615" w:type="pct"/>
            <w:noWrap/>
            <w:hideMark/>
          </w:tcPr>
          <w:p w14:paraId="7FB85316"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0.5657***</w:t>
            </w:r>
          </w:p>
        </w:tc>
        <w:tc>
          <w:tcPr>
            <w:tcW w:w="615" w:type="pct"/>
            <w:noWrap/>
            <w:hideMark/>
          </w:tcPr>
          <w:p w14:paraId="5D587AC3"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0.6349***</w:t>
            </w:r>
          </w:p>
        </w:tc>
        <w:tc>
          <w:tcPr>
            <w:tcW w:w="615" w:type="pct"/>
            <w:noWrap/>
            <w:hideMark/>
          </w:tcPr>
          <w:p w14:paraId="266A69C7"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0.8577***</w:t>
            </w:r>
          </w:p>
        </w:tc>
        <w:tc>
          <w:tcPr>
            <w:tcW w:w="615" w:type="pct"/>
            <w:noWrap/>
            <w:hideMark/>
          </w:tcPr>
          <w:p w14:paraId="5B68B016"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0.0236</w:t>
            </w:r>
          </w:p>
        </w:tc>
        <w:tc>
          <w:tcPr>
            <w:tcW w:w="614" w:type="pct"/>
            <w:noWrap/>
            <w:hideMark/>
          </w:tcPr>
          <w:p w14:paraId="5A38300E"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0.5708***</w:t>
            </w:r>
          </w:p>
        </w:tc>
        <w:tc>
          <w:tcPr>
            <w:tcW w:w="614" w:type="pct"/>
            <w:noWrap/>
            <w:hideMark/>
          </w:tcPr>
          <w:p w14:paraId="389870CA"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0.6563***</w:t>
            </w:r>
          </w:p>
        </w:tc>
        <w:tc>
          <w:tcPr>
            <w:tcW w:w="613" w:type="pct"/>
            <w:noWrap/>
            <w:hideMark/>
          </w:tcPr>
          <w:p w14:paraId="4B2BB7D8"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0.5956***</w:t>
            </w:r>
          </w:p>
        </w:tc>
      </w:tr>
      <w:tr w:rsidR="00C2049D" w:rsidRPr="00127BD1" w14:paraId="11F82D49" w14:textId="77777777" w:rsidTr="00E64BB3">
        <w:trPr>
          <w:trHeight w:val="300"/>
        </w:trPr>
        <w:tc>
          <w:tcPr>
            <w:tcW w:w="698" w:type="pct"/>
            <w:noWrap/>
            <w:hideMark/>
          </w:tcPr>
          <w:p w14:paraId="05ED47BF"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(10) FIN</w:t>
            </w:r>
          </w:p>
        </w:tc>
        <w:tc>
          <w:tcPr>
            <w:tcW w:w="615" w:type="pct"/>
            <w:noWrap/>
            <w:hideMark/>
          </w:tcPr>
          <w:p w14:paraId="7AE61072"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0.7570***</w:t>
            </w:r>
          </w:p>
        </w:tc>
        <w:tc>
          <w:tcPr>
            <w:tcW w:w="615" w:type="pct"/>
            <w:noWrap/>
            <w:hideMark/>
          </w:tcPr>
          <w:p w14:paraId="6711F01B"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0.5677***</w:t>
            </w:r>
          </w:p>
        </w:tc>
        <w:tc>
          <w:tcPr>
            <w:tcW w:w="615" w:type="pct"/>
            <w:noWrap/>
            <w:hideMark/>
          </w:tcPr>
          <w:p w14:paraId="36351E0A"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0.8589***</w:t>
            </w:r>
          </w:p>
        </w:tc>
        <w:tc>
          <w:tcPr>
            <w:tcW w:w="615" w:type="pct"/>
            <w:noWrap/>
            <w:hideMark/>
          </w:tcPr>
          <w:p w14:paraId="2ECE447E"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0.0577</w:t>
            </w:r>
          </w:p>
        </w:tc>
        <w:tc>
          <w:tcPr>
            <w:tcW w:w="614" w:type="pct"/>
            <w:noWrap/>
            <w:hideMark/>
          </w:tcPr>
          <w:p w14:paraId="3A266DF7"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0.8099***</w:t>
            </w:r>
          </w:p>
        </w:tc>
        <w:tc>
          <w:tcPr>
            <w:tcW w:w="614" w:type="pct"/>
            <w:noWrap/>
            <w:hideMark/>
          </w:tcPr>
          <w:p w14:paraId="6F556E8D"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0.7865***</w:t>
            </w:r>
          </w:p>
        </w:tc>
        <w:tc>
          <w:tcPr>
            <w:tcW w:w="613" w:type="pct"/>
            <w:noWrap/>
            <w:hideMark/>
          </w:tcPr>
          <w:p w14:paraId="3B7EFE8D"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0.8261***</w:t>
            </w:r>
          </w:p>
        </w:tc>
      </w:tr>
      <w:tr w:rsidR="00C2049D" w:rsidRPr="00127BD1" w14:paraId="41827891" w14:textId="77777777" w:rsidTr="00E64BB3">
        <w:trPr>
          <w:trHeight w:val="300"/>
        </w:trPr>
        <w:tc>
          <w:tcPr>
            <w:tcW w:w="698" w:type="pct"/>
            <w:noWrap/>
            <w:hideMark/>
          </w:tcPr>
          <w:p w14:paraId="78EDF6A0"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(11) FRA</w:t>
            </w:r>
          </w:p>
        </w:tc>
        <w:tc>
          <w:tcPr>
            <w:tcW w:w="615" w:type="pct"/>
            <w:noWrap/>
            <w:hideMark/>
          </w:tcPr>
          <w:p w14:paraId="5C1B3F4D"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0.6056***</w:t>
            </w:r>
          </w:p>
        </w:tc>
        <w:tc>
          <w:tcPr>
            <w:tcW w:w="615" w:type="pct"/>
            <w:noWrap/>
            <w:hideMark/>
          </w:tcPr>
          <w:p w14:paraId="1C584B76"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0.4618***</w:t>
            </w:r>
          </w:p>
        </w:tc>
        <w:tc>
          <w:tcPr>
            <w:tcW w:w="615" w:type="pct"/>
            <w:noWrap/>
            <w:hideMark/>
          </w:tcPr>
          <w:p w14:paraId="0253A338"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0.8174***</w:t>
            </w:r>
          </w:p>
        </w:tc>
        <w:tc>
          <w:tcPr>
            <w:tcW w:w="615" w:type="pct"/>
            <w:noWrap/>
            <w:hideMark/>
          </w:tcPr>
          <w:p w14:paraId="5DA95B68"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-0.056</w:t>
            </w:r>
          </w:p>
        </w:tc>
        <w:tc>
          <w:tcPr>
            <w:tcW w:w="614" w:type="pct"/>
            <w:noWrap/>
            <w:hideMark/>
          </w:tcPr>
          <w:p w14:paraId="45248A3D"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0.7536***</w:t>
            </w:r>
          </w:p>
        </w:tc>
        <w:tc>
          <w:tcPr>
            <w:tcW w:w="614" w:type="pct"/>
            <w:noWrap/>
            <w:hideMark/>
          </w:tcPr>
          <w:p w14:paraId="25D80E65"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0.8069***</w:t>
            </w:r>
          </w:p>
        </w:tc>
        <w:tc>
          <w:tcPr>
            <w:tcW w:w="613" w:type="pct"/>
            <w:noWrap/>
            <w:hideMark/>
          </w:tcPr>
          <w:p w14:paraId="6CACF010"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0.6745***</w:t>
            </w:r>
          </w:p>
        </w:tc>
      </w:tr>
      <w:tr w:rsidR="00C2049D" w:rsidRPr="00127BD1" w14:paraId="316CD964" w14:textId="77777777" w:rsidTr="00E64BB3">
        <w:trPr>
          <w:trHeight w:val="300"/>
        </w:trPr>
        <w:tc>
          <w:tcPr>
            <w:tcW w:w="698" w:type="pct"/>
            <w:noWrap/>
            <w:hideMark/>
          </w:tcPr>
          <w:p w14:paraId="45583C1A"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(12) GBR</w:t>
            </w:r>
          </w:p>
        </w:tc>
        <w:tc>
          <w:tcPr>
            <w:tcW w:w="615" w:type="pct"/>
            <w:noWrap/>
            <w:hideMark/>
          </w:tcPr>
          <w:p w14:paraId="65067AB9"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0.6369***</w:t>
            </w:r>
          </w:p>
        </w:tc>
        <w:tc>
          <w:tcPr>
            <w:tcW w:w="615" w:type="pct"/>
            <w:noWrap/>
            <w:hideMark/>
          </w:tcPr>
          <w:p w14:paraId="449EFDC6"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0.6753***</w:t>
            </w:r>
          </w:p>
        </w:tc>
        <w:tc>
          <w:tcPr>
            <w:tcW w:w="615" w:type="pct"/>
            <w:noWrap/>
            <w:hideMark/>
          </w:tcPr>
          <w:p w14:paraId="227A645B"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0.8013***</w:t>
            </w:r>
          </w:p>
        </w:tc>
        <w:tc>
          <w:tcPr>
            <w:tcW w:w="615" w:type="pct"/>
            <w:noWrap/>
            <w:hideMark/>
          </w:tcPr>
          <w:p w14:paraId="4C68BF37"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-0.0038</w:t>
            </w:r>
          </w:p>
        </w:tc>
        <w:tc>
          <w:tcPr>
            <w:tcW w:w="614" w:type="pct"/>
            <w:noWrap/>
            <w:hideMark/>
          </w:tcPr>
          <w:p w14:paraId="697C77BF"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0.7649***</w:t>
            </w:r>
          </w:p>
        </w:tc>
        <w:tc>
          <w:tcPr>
            <w:tcW w:w="614" w:type="pct"/>
            <w:noWrap/>
            <w:hideMark/>
          </w:tcPr>
          <w:p w14:paraId="670AC143"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0.7820***</w:t>
            </w:r>
          </w:p>
        </w:tc>
        <w:tc>
          <w:tcPr>
            <w:tcW w:w="613" w:type="pct"/>
            <w:noWrap/>
            <w:hideMark/>
          </w:tcPr>
          <w:p w14:paraId="22A5103E"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0.8401***</w:t>
            </w:r>
          </w:p>
        </w:tc>
      </w:tr>
      <w:tr w:rsidR="00C2049D" w:rsidRPr="00127BD1" w14:paraId="15A8FED9" w14:textId="77777777" w:rsidTr="00E64BB3">
        <w:trPr>
          <w:trHeight w:val="300"/>
        </w:trPr>
        <w:tc>
          <w:tcPr>
            <w:tcW w:w="698" w:type="pct"/>
            <w:noWrap/>
            <w:hideMark/>
          </w:tcPr>
          <w:p w14:paraId="37DC9404"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(13) GRC</w:t>
            </w:r>
          </w:p>
        </w:tc>
        <w:tc>
          <w:tcPr>
            <w:tcW w:w="615" w:type="pct"/>
            <w:noWrap/>
            <w:hideMark/>
          </w:tcPr>
          <w:p w14:paraId="24272A42"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0.1408</w:t>
            </w:r>
          </w:p>
        </w:tc>
        <w:tc>
          <w:tcPr>
            <w:tcW w:w="615" w:type="pct"/>
            <w:noWrap/>
            <w:hideMark/>
          </w:tcPr>
          <w:p w14:paraId="0D8CE06D"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0.6633***</w:t>
            </w:r>
          </w:p>
        </w:tc>
        <w:tc>
          <w:tcPr>
            <w:tcW w:w="615" w:type="pct"/>
            <w:noWrap/>
            <w:hideMark/>
          </w:tcPr>
          <w:p w14:paraId="708A5CC8"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0.3866***</w:t>
            </w:r>
          </w:p>
        </w:tc>
        <w:tc>
          <w:tcPr>
            <w:tcW w:w="615" w:type="pct"/>
            <w:noWrap/>
            <w:hideMark/>
          </w:tcPr>
          <w:p w14:paraId="071664CA"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0.1891*</w:t>
            </w:r>
          </w:p>
        </w:tc>
        <w:tc>
          <w:tcPr>
            <w:tcW w:w="614" w:type="pct"/>
            <w:noWrap/>
            <w:hideMark/>
          </w:tcPr>
          <w:p w14:paraId="01253DE1"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0.1384</w:t>
            </w:r>
          </w:p>
        </w:tc>
        <w:tc>
          <w:tcPr>
            <w:tcW w:w="614" w:type="pct"/>
            <w:noWrap/>
            <w:hideMark/>
          </w:tcPr>
          <w:p w14:paraId="0CC37F76"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0.2311**</w:t>
            </w:r>
          </w:p>
        </w:tc>
        <w:tc>
          <w:tcPr>
            <w:tcW w:w="613" w:type="pct"/>
            <w:noWrap/>
            <w:hideMark/>
          </w:tcPr>
          <w:p w14:paraId="42FD977A"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0.5993***</w:t>
            </w:r>
          </w:p>
        </w:tc>
      </w:tr>
      <w:tr w:rsidR="00C2049D" w:rsidRPr="00127BD1" w14:paraId="53184F7E" w14:textId="77777777" w:rsidTr="00E64BB3">
        <w:trPr>
          <w:trHeight w:val="300"/>
        </w:trPr>
        <w:tc>
          <w:tcPr>
            <w:tcW w:w="698" w:type="pct"/>
            <w:noWrap/>
            <w:hideMark/>
          </w:tcPr>
          <w:p w14:paraId="0F458C9F"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(14) IRL</w:t>
            </w:r>
          </w:p>
        </w:tc>
        <w:tc>
          <w:tcPr>
            <w:tcW w:w="615" w:type="pct"/>
            <w:noWrap/>
            <w:hideMark/>
          </w:tcPr>
          <w:p w14:paraId="7A3075AB"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0.5075***</w:t>
            </w:r>
          </w:p>
        </w:tc>
        <w:tc>
          <w:tcPr>
            <w:tcW w:w="615" w:type="pct"/>
            <w:noWrap/>
            <w:hideMark/>
          </w:tcPr>
          <w:p w14:paraId="301F0D05"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0.5447***</w:t>
            </w:r>
          </w:p>
        </w:tc>
        <w:tc>
          <w:tcPr>
            <w:tcW w:w="615" w:type="pct"/>
            <w:noWrap/>
            <w:hideMark/>
          </w:tcPr>
          <w:p w14:paraId="324341DF"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0.4699***</w:t>
            </w:r>
          </w:p>
        </w:tc>
        <w:tc>
          <w:tcPr>
            <w:tcW w:w="615" w:type="pct"/>
            <w:noWrap/>
            <w:hideMark/>
          </w:tcPr>
          <w:p w14:paraId="5942E5AC"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0.2321**</w:t>
            </w:r>
          </w:p>
        </w:tc>
        <w:tc>
          <w:tcPr>
            <w:tcW w:w="614" w:type="pct"/>
            <w:noWrap/>
            <w:hideMark/>
          </w:tcPr>
          <w:p w14:paraId="7671D345"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0.6253***</w:t>
            </w:r>
          </w:p>
        </w:tc>
        <w:tc>
          <w:tcPr>
            <w:tcW w:w="614" w:type="pct"/>
            <w:noWrap/>
            <w:hideMark/>
          </w:tcPr>
          <w:p w14:paraId="07C2EB77"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0.3722***</w:t>
            </w:r>
          </w:p>
        </w:tc>
        <w:tc>
          <w:tcPr>
            <w:tcW w:w="613" w:type="pct"/>
            <w:noWrap/>
            <w:hideMark/>
          </w:tcPr>
          <w:p w14:paraId="5BCFEF33"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0.7727***</w:t>
            </w:r>
          </w:p>
        </w:tc>
      </w:tr>
      <w:tr w:rsidR="00C2049D" w:rsidRPr="00127BD1" w14:paraId="2460E7B1" w14:textId="77777777" w:rsidTr="00E64BB3">
        <w:trPr>
          <w:trHeight w:val="300"/>
        </w:trPr>
        <w:tc>
          <w:tcPr>
            <w:tcW w:w="698" w:type="pct"/>
            <w:noWrap/>
            <w:hideMark/>
          </w:tcPr>
          <w:p w14:paraId="66AE780D"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(15) ITA</w:t>
            </w:r>
          </w:p>
        </w:tc>
        <w:tc>
          <w:tcPr>
            <w:tcW w:w="615" w:type="pct"/>
            <w:noWrap/>
            <w:hideMark/>
          </w:tcPr>
          <w:p w14:paraId="4E407E69"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0.5832***</w:t>
            </w:r>
          </w:p>
        </w:tc>
        <w:tc>
          <w:tcPr>
            <w:tcW w:w="615" w:type="pct"/>
            <w:noWrap/>
            <w:hideMark/>
          </w:tcPr>
          <w:p w14:paraId="1B3E6D5F"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0.6280***</w:t>
            </w:r>
          </w:p>
        </w:tc>
        <w:tc>
          <w:tcPr>
            <w:tcW w:w="615" w:type="pct"/>
            <w:noWrap/>
            <w:hideMark/>
          </w:tcPr>
          <w:p w14:paraId="44F68637"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0.7394***</w:t>
            </w:r>
          </w:p>
        </w:tc>
        <w:tc>
          <w:tcPr>
            <w:tcW w:w="615" w:type="pct"/>
            <w:noWrap/>
            <w:hideMark/>
          </w:tcPr>
          <w:p w14:paraId="4087C85E"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0.5203***</w:t>
            </w:r>
          </w:p>
        </w:tc>
        <w:tc>
          <w:tcPr>
            <w:tcW w:w="614" w:type="pct"/>
            <w:noWrap/>
            <w:hideMark/>
          </w:tcPr>
          <w:p w14:paraId="341E9691"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0.7471***</w:t>
            </w:r>
          </w:p>
        </w:tc>
        <w:tc>
          <w:tcPr>
            <w:tcW w:w="614" w:type="pct"/>
            <w:noWrap/>
            <w:hideMark/>
          </w:tcPr>
          <w:p w14:paraId="1482F90B"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0.5383***</w:t>
            </w:r>
          </w:p>
        </w:tc>
        <w:tc>
          <w:tcPr>
            <w:tcW w:w="613" w:type="pct"/>
            <w:noWrap/>
            <w:hideMark/>
          </w:tcPr>
          <w:p w14:paraId="7F98CF98"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0.7884***</w:t>
            </w:r>
          </w:p>
        </w:tc>
      </w:tr>
      <w:tr w:rsidR="00C2049D" w:rsidRPr="00127BD1" w14:paraId="46C5A118" w14:textId="77777777" w:rsidTr="00E64BB3">
        <w:trPr>
          <w:trHeight w:val="300"/>
        </w:trPr>
        <w:tc>
          <w:tcPr>
            <w:tcW w:w="698" w:type="pct"/>
            <w:noWrap/>
            <w:hideMark/>
          </w:tcPr>
          <w:p w14:paraId="34A53350"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(16) JPN</w:t>
            </w:r>
          </w:p>
        </w:tc>
        <w:tc>
          <w:tcPr>
            <w:tcW w:w="615" w:type="pct"/>
            <w:noWrap/>
            <w:hideMark/>
          </w:tcPr>
          <w:p w14:paraId="40AE5EE0"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0.1809*</w:t>
            </w:r>
          </w:p>
        </w:tc>
        <w:tc>
          <w:tcPr>
            <w:tcW w:w="615" w:type="pct"/>
            <w:noWrap/>
            <w:hideMark/>
          </w:tcPr>
          <w:p w14:paraId="7C7A96E8"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0.1614*</w:t>
            </w:r>
          </w:p>
        </w:tc>
        <w:tc>
          <w:tcPr>
            <w:tcW w:w="615" w:type="pct"/>
            <w:noWrap/>
            <w:hideMark/>
          </w:tcPr>
          <w:p w14:paraId="05FC32D4"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0.3176***</w:t>
            </w:r>
          </w:p>
        </w:tc>
        <w:tc>
          <w:tcPr>
            <w:tcW w:w="615" w:type="pct"/>
            <w:noWrap/>
            <w:hideMark/>
          </w:tcPr>
          <w:p w14:paraId="37369BE6"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0.1611*</w:t>
            </w:r>
          </w:p>
        </w:tc>
        <w:tc>
          <w:tcPr>
            <w:tcW w:w="614" w:type="pct"/>
            <w:noWrap/>
            <w:hideMark/>
          </w:tcPr>
          <w:p w14:paraId="450798D3"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0.4838***</w:t>
            </w:r>
          </w:p>
        </w:tc>
        <w:tc>
          <w:tcPr>
            <w:tcW w:w="614" w:type="pct"/>
            <w:noWrap/>
            <w:hideMark/>
          </w:tcPr>
          <w:p w14:paraId="4F7EC16D"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0.4875***</w:t>
            </w:r>
          </w:p>
        </w:tc>
        <w:tc>
          <w:tcPr>
            <w:tcW w:w="613" w:type="pct"/>
            <w:noWrap/>
            <w:hideMark/>
          </w:tcPr>
          <w:p w14:paraId="4CCF4638"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0.3966***</w:t>
            </w:r>
          </w:p>
        </w:tc>
      </w:tr>
      <w:tr w:rsidR="00C2049D" w:rsidRPr="00127BD1" w14:paraId="60121943" w14:textId="77777777" w:rsidTr="00E64BB3">
        <w:trPr>
          <w:trHeight w:val="300"/>
        </w:trPr>
        <w:tc>
          <w:tcPr>
            <w:tcW w:w="698" w:type="pct"/>
            <w:noWrap/>
            <w:hideMark/>
          </w:tcPr>
          <w:p w14:paraId="26C1EBE3"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(17) KOR</w:t>
            </w:r>
          </w:p>
        </w:tc>
        <w:tc>
          <w:tcPr>
            <w:tcW w:w="615" w:type="pct"/>
            <w:noWrap/>
            <w:hideMark/>
          </w:tcPr>
          <w:p w14:paraId="788338F4"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0.1432</w:t>
            </w:r>
          </w:p>
        </w:tc>
        <w:tc>
          <w:tcPr>
            <w:tcW w:w="615" w:type="pct"/>
            <w:noWrap/>
            <w:hideMark/>
          </w:tcPr>
          <w:p w14:paraId="5D2CF282"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0.1688*</w:t>
            </w:r>
          </w:p>
        </w:tc>
        <w:tc>
          <w:tcPr>
            <w:tcW w:w="615" w:type="pct"/>
            <w:noWrap/>
            <w:hideMark/>
          </w:tcPr>
          <w:p w14:paraId="20604776"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0.2081**</w:t>
            </w:r>
          </w:p>
        </w:tc>
        <w:tc>
          <w:tcPr>
            <w:tcW w:w="615" w:type="pct"/>
            <w:noWrap/>
            <w:hideMark/>
          </w:tcPr>
          <w:p w14:paraId="28A2325D"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0.1775*</w:t>
            </w:r>
          </w:p>
        </w:tc>
        <w:tc>
          <w:tcPr>
            <w:tcW w:w="614" w:type="pct"/>
            <w:noWrap/>
            <w:hideMark/>
          </w:tcPr>
          <w:p w14:paraId="7172F1F9"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0.4650***</w:t>
            </w:r>
          </w:p>
        </w:tc>
        <w:tc>
          <w:tcPr>
            <w:tcW w:w="614" w:type="pct"/>
            <w:noWrap/>
            <w:hideMark/>
          </w:tcPr>
          <w:p w14:paraId="61B9D5A4"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0.4723***</w:t>
            </w:r>
          </w:p>
        </w:tc>
        <w:tc>
          <w:tcPr>
            <w:tcW w:w="613" w:type="pct"/>
            <w:noWrap/>
            <w:hideMark/>
          </w:tcPr>
          <w:p w14:paraId="3145DBE8"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0.4509***</w:t>
            </w:r>
          </w:p>
        </w:tc>
      </w:tr>
      <w:tr w:rsidR="00C2049D" w:rsidRPr="00127BD1" w14:paraId="71D71AD3" w14:textId="77777777" w:rsidTr="00E64BB3">
        <w:trPr>
          <w:trHeight w:val="300"/>
        </w:trPr>
        <w:tc>
          <w:tcPr>
            <w:tcW w:w="698" w:type="pct"/>
            <w:noWrap/>
            <w:hideMark/>
          </w:tcPr>
          <w:p w14:paraId="31601235"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(18) MEX</w:t>
            </w:r>
          </w:p>
        </w:tc>
        <w:tc>
          <w:tcPr>
            <w:tcW w:w="615" w:type="pct"/>
            <w:noWrap/>
            <w:hideMark/>
          </w:tcPr>
          <w:p w14:paraId="4DA74030"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0.5044***</w:t>
            </w:r>
          </w:p>
        </w:tc>
        <w:tc>
          <w:tcPr>
            <w:tcW w:w="615" w:type="pct"/>
            <w:noWrap/>
            <w:hideMark/>
          </w:tcPr>
          <w:p w14:paraId="24564F79"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0.3034***</w:t>
            </w:r>
          </w:p>
        </w:tc>
        <w:tc>
          <w:tcPr>
            <w:tcW w:w="615" w:type="pct"/>
            <w:noWrap/>
            <w:hideMark/>
          </w:tcPr>
          <w:p w14:paraId="1E33AD3A"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0.3549***</w:t>
            </w:r>
          </w:p>
        </w:tc>
        <w:tc>
          <w:tcPr>
            <w:tcW w:w="615" w:type="pct"/>
            <w:noWrap/>
            <w:hideMark/>
          </w:tcPr>
          <w:p w14:paraId="3F893C7F" w14:textId="263FDDB1"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0.1410</w:t>
            </w:r>
          </w:p>
        </w:tc>
        <w:tc>
          <w:tcPr>
            <w:tcW w:w="614" w:type="pct"/>
            <w:noWrap/>
            <w:hideMark/>
          </w:tcPr>
          <w:p w14:paraId="0EE2B758"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0.5426***</w:t>
            </w:r>
          </w:p>
        </w:tc>
        <w:tc>
          <w:tcPr>
            <w:tcW w:w="614" w:type="pct"/>
            <w:noWrap/>
            <w:hideMark/>
          </w:tcPr>
          <w:p w14:paraId="2AA07154"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0.4336***</w:t>
            </w:r>
          </w:p>
        </w:tc>
        <w:tc>
          <w:tcPr>
            <w:tcW w:w="613" w:type="pct"/>
            <w:noWrap/>
            <w:hideMark/>
          </w:tcPr>
          <w:p w14:paraId="68286C7E"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0.2708***</w:t>
            </w:r>
          </w:p>
        </w:tc>
      </w:tr>
      <w:tr w:rsidR="00C2049D" w:rsidRPr="00127BD1" w14:paraId="4564F2F1" w14:textId="77777777" w:rsidTr="00E64BB3">
        <w:trPr>
          <w:trHeight w:val="300"/>
        </w:trPr>
        <w:tc>
          <w:tcPr>
            <w:tcW w:w="698" w:type="pct"/>
            <w:noWrap/>
            <w:hideMark/>
          </w:tcPr>
          <w:p w14:paraId="642D16EC"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(19) SWE</w:t>
            </w:r>
          </w:p>
        </w:tc>
        <w:tc>
          <w:tcPr>
            <w:tcW w:w="615" w:type="pct"/>
            <w:noWrap/>
            <w:hideMark/>
          </w:tcPr>
          <w:p w14:paraId="30D548C2"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0.7690***</w:t>
            </w:r>
          </w:p>
        </w:tc>
        <w:tc>
          <w:tcPr>
            <w:tcW w:w="615" w:type="pct"/>
            <w:noWrap/>
            <w:hideMark/>
          </w:tcPr>
          <w:p w14:paraId="0154F8F9"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0.5205***</w:t>
            </w:r>
          </w:p>
        </w:tc>
        <w:tc>
          <w:tcPr>
            <w:tcW w:w="615" w:type="pct"/>
            <w:noWrap/>
            <w:hideMark/>
          </w:tcPr>
          <w:p w14:paraId="33E0084D"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0.8055***</w:t>
            </w:r>
          </w:p>
        </w:tc>
        <w:tc>
          <w:tcPr>
            <w:tcW w:w="615" w:type="pct"/>
            <w:noWrap/>
            <w:hideMark/>
          </w:tcPr>
          <w:p w14:paraId="34AB5362"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0.1001</w:t>
            </w:r>
          </w:p>
        </w:tc>
        <w:tc>
          <w:tcPr>
            <w:tcW w:w="614" w:type="pct"/>
            <w:noWrap/>
            <w:hideMark/>
          </w:tcPr>
          <w:p w14:paraId="2BAA9AAD"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0.8128***</w:t>
            </w:r>
          </w:p>
        </w:tc>
        <w:tc>
          <w:tcPr>
            <w:tcW w:w="614" w:type="pct"/>
            <w:noWrap/>
            <w:hideMark/>
          </w:tcPr>
          <w:p w14:paraId="4AFCA64B"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0.7982***</w:t>
            </w:r>
          </w:p>
        </w:tc>
        <w:tc>
          <w:tcPr>
            <w:tcW w:w="613" w:type="pct"/>
            <w:noWrap/>
            <w:hideMark/>
          </w:tcPr>
          <w:p w14:paraId="5984595C"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0.7680***</w:t>
            </w:r>
          </w:p>
        </w:tc>
      </w:tr>
      <w:tr w:rsidR="00C2049D" w:rsidRPr="00127BD1" w14:paraId="06B605F7" w14:textId="77777777" w:rsidTr="00E64BB3">
        <w:trPr>
          <w:trHeight w:val="300"/>
        </w:trPr>
        <w:tc>
          <w:tcPr>
            <w:tcW w:w="698" w:type="pct"/>
            <w:tcBorders>
              <w:bottom w:val="single" w:sz="4" w:space="0" w:color="auto"/>
            </w:tcBorders>
            <w:noWrap/>
            <w:hideMark/>
          </w:tcPr>
          <w:p w14:paraId="4CC8DD32"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(20) USA</w:t>
            </w:r>
          </w:p>
        </w:tc>
        <w:tc>
          <w:tcPr>
            <w:tcW w:w="615" w:type="pct"/>
            <w:tcBorders>
              <w:bottom w:val="single" w:sz="4" w:space="0" w:color="auto"/>
            </w:tcBorders>
            <w:noWrap/>
            <w:hideMark/>
          </w:tcPr>
          <w:p w14:paraId="50DA923E"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0.4355***</w:t>
            </w:r>
          </w:p>
        </w:tc>
        <w:tc>
          <w:tcPr>
            <w:tcW w:w="615" w:type="pct"/>
            <w:tcBorders>
              <w:bottom w:val="single" w:sz="4" w:space="0" w:color="auto"/>
            </w:tcBorders>
            <w:noWrap/>
            <w:hideMark/>
          </w:tcPr>
          <w:p w14:paraId="6C292E83"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0.3343***</w:t>
            </w:r>
          </w:p>
        </w:tc>
        <w:tc>
          <w:tcPr>
            <w:tcW w:w="615" w:type="pct"/>
            <w:tcBorders>
              <w:bottom w:val="single" w:sz="4" w:space="0" w:color="auto"/>
            </w:tcBorders>
            <w:noWrap/>
            <w:hideMark/>
          </w:tcPr>
          <w:p w14:paraId="02EA3734"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0.5295***</w:t>
            </w:r>
          </w:p>
        </w:tc>
        <w:tc>
          <w:tcPr>
            <w:tcW w:w="615" w:type="pct"/>
            <w:tcBorders>
              <w:bottom w:val="single" w:sz="4" w:space="0" w:color="auto"/>
            </w:tcBorders>
            <w:noWrap/>
            <w:hideMark/>
          </w:tcPr>
          <w:p w14:paraId="6E5470AC"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0.11</w:t>
            </w:r>
          </w:p>
        </w:tc>
        <w:tc>
          <w:tcPr>
            <w:tcW w:w="614" w:type="pct"/>
            <w:tcBorders>
              <w:bottom w:val="single" w:sz="4" w:space="0" w:color="auto"/>
            </w:tcBorders>
            <w:noWrap/>
            <w:hideMark/>
          </w:tcPr>
          <w:p w14:paraId="38736BD3"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0.7344***</w:t>
            </w:r>
          </w:p>
        </w:tc>
        <w:tc>
          <w:tcPr>
            <w:tcW w:w="614" w:type="pct"/>
            <w:tcBorders>
              <w:bottom w:val="single" w:sz="4" w:space="0" w:color="auto"/>
            </w:tcBorders>
            <w:noWrap/>
            <w:hideMark/>
          </w:tcPr>
          <w:p w14:paraId="3EFC5971"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0.6833***</w:t>
            </w:r>
          </w:p>
        </w:tc>
        <w:tc>
          <w:tcPr>
            <w:tcW w:w="613" w:type="pct"/>
            <w:tcBorders>
              <w:bottom w:val="single" w:sz="4" w:space="0" w:color="auto"/>
            </w:tcBorders>
            <w:noWrap/>
            <w:hideMark/>
          </w:tcPr>
          <w:p w14:paraId="72000B14"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0.5330***</w:t>
            </w:r>
          </w:p>
        </w:tc>
      </w:tr>
      <w:tr w:rsidR="00C2049D" w:rsidRPr="00127BD1" w14:paraId="7C006E63" w14:textId="77777777" w:rsidTr="00E64BB3">
        <w:trPr>
          <w:trHeight w:val="300"/>
        </w:trPr>
        <w:tc>
          <w:tcPr>
            <w:tcW w:w="698" w:type="pct"/>
            <w:tcBorders>
              <w:top w:val="single" w:sz="4" w:space="0" w:color="auto"/>
              <w:bottom w:val="single" w:sz="4" w:space="0" w:color="auto"/>
            </w:tcBorders>
            <w:noWrap/>
            <w:hideMark/>
          </w:tcPr>
          <w:p w14:paraId="100F8669" w14:textId="77777777" w:rsidR="00E64BB3" w:rsidRPr="00127BD1" w:rsidRDefault="00E64BB3" w:rsidP="00E64BB3">
            <w:pPr>
              <w:rPr>
                <w:rFonts w:ascii="Times New Roman" w:eastAsia="Times New Roman" w:hAnsi="Times New Roman" w:cs="Times New Roman"/>
                <w:sz w:val="18"/>
                <w:szCs w:val="18"/>
              </w:rPr>
            </w:pPr>
          </w:p>
        </w:tc>
        <w:tc>
          <w:tcPr>
            <w:tcW w:w="615" w:type="pct"/>
            <w:tcBorders>
              <w:top w:val="single" w:sz="4" w:space="0" w:color="auto"/>
              <w:bottom w:val="single" w:sz="4" w:space="0" w:color="auto"/>
            </w:tcBorders>
            <w:noWrap/>
            <w:hideMark/>
          </w:tcPr>
          <w:p w14:paraId="3EA42E08"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(8)</w:t>
            </w:r>
          </w:p>
        </w:tc>
        <w:tc>
          <w:tcPr>
            <w:tcW w:w="615" w:type="pct"/>
            <w:tcBorders>
              <w:top w:val="single" w:sz="4" w:space="0" w:color="auto"/>
              <w:bottom w:val="single" w:sz="4" w:space="0" w:color="auto"/>
            </w:tcBorders>
            <w:noWrap/>
            <w:hideMark/>
          </w:tcPr>
          <w:p w14:paraId="3B86B21D"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(9)</w:t>
            </w:r>
          </w:p>
        </w:tc>
        <w:tc>
          <w:tcPr>
            <w:tcW w:w="615" w:type="pct"/>
            <w:tcBorders>
              <w:top w:val="single" w:sz="4" w:space="0" w:color="auto"/>
              <w:bottom w:val="single" w:sz="4" w:space="0" w:color="auto"/>
            </w:tcBorders>
            <w:noWrap/>
            <w:hideMark/>
          </w:tcPr>
          <w:p w14:paraId="396BC7C5"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(10)</w:t>
            </w:r>
          </w:p>
        </w:tc>
        <w:tc>
          <w:tcPr>
            <w:tcW w:w="615" w:type="pct"/>
            <w:tcBorders>
              <w:top w:val="single" w:sz="4" w:space="0" w:color="auto"/>
              <w:bottom w:val="single" w:sz="4" w:space="0" w:color="auto"/>
            </w:tcBorders>
            <w:noWrap/>
            <w:hideMark/>
          </w:tcPr>
          <w:p w14:paraId="76DBA41C"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(11)</w:t>
            </w:r>
          </w:p>
        </w:tc>
        <w:tc>
          <w:tcPr>
            <w:tcW w:w="614" w:type="pct"/>
            <w:tcBorders>
              <w:top w:val="single" w:sz="4" w:space="0" w:color="auto"/>
              <w:bottom w:val="single" w:sz="4" w:space="0" w:color="auto"/>
            </w:tcBorders>
            <w:noWrap/>
            <w:hideMark/>
          </w:tcPr>
          <w:p w14:paraId="6333B451"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(12)</w:t>
            </w:r>
          </w:p>
        </w:tc>
        <w:tc>
          <w:tcPr>
            <w:tcW w:w="614" w:type="pct"/>
            <w:tcBorders>
              <w:top w:val="single" w:sz="4" w:space="0" w:color="auto"/>
              <w:bottom w:val="single" w:sz="4" w:space="0" w:color="auto"/>
            </w:tcBorders>
            <w:noWrap/>
            <w:hideMark/>
          </w:tcPr>
          <w:p w14:paraId="519961DD"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(13)</w:t>
            </w:r>
          </w:p>
        </w:tc>
        <w:tc>
          <w:tcPr>
            <w:tcW w:w="613" w:type="pct"/>
            <w:tcBorders>
              <w:top w:val="single" w:sz="4" w:space="0" w:color="auto"/>
              <w:bottom w:val="single" w:sz="4" w:space="0" w:color="auto"/>
            </w:tcBorders>
            <w:noWrap/>
            <w:hideMark/>
          </w:tcPr>
          <w:p w14:paraId="044C3E58"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(14)</w:t>
            </w:r>
          </w:p>
        </w:tc>
      </w:tr>
      <w:tr w:rsidR="00C2049D" w:rsidRPr="00127BD1" w14:paraId="3703F889" w14:textId="77777777" w:rsidTr="00E64BB3">
        <w:trPr>
          <w:trHeight w:val="300"/>
        </w:trPr>
        <w:tc>
          <w:tcPr>
            <w:tcW w:w="698" w:type="pct"/>
            <w:tcBorders>
              <w:top w:val="single" w:sz="4" w:space="0" w:color="auto"/>
            </w:tcBorders>
            <w:noWrap/>
            <w:hideMark/>
          </w:tcPr>
          <w:p w14:paraId="3797C38D"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(8) DNK</w:t>
            </w:r>
          </w:p>
        </w:tc>
        <w:tc>
          <w:tcPr>
            <w:tcW w:w="615" w:type="pct"/>
            <w:tcBorders>
              <w:top w:val="single" w:sz="4" w:space="0" w:color="auto"/>
            </w:tcBorders>
            <w:noWrap/>
            <w:hideMark/>
          </w:tcPr>
          <w:p w14:paraId="5435CE2A" w14:textId="462B4601"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1.0000</w:t>
            </w:r>
          </w:p>
        </w:tc>
        <w:tc>
          <w:tcPr>
            <w:tcW w:w="615" w:type="pct"/>
            <w:tcBorders>
              <w:top w:val="single" w:sz="4" w:space="0" w:color="auto"/>
            </w:tcBorders>
            <w:noWrap/>
            <w:hideMark/>
          </w:tcPr>
          <w:p w14:paraId="2F330836" w14:textId="77777777" w:rsidR="00E64BB3" w:rsidRPr="00127BD1" w:rsidRDefault="00E64BB3" w:rsidP="00E64BB3">
            <w:pPr>
              <w:rPr>
                <w:rFonts w:ascii="Times New Roman" w:eastAsia="Times New Roman" w:hAnsi="Times New Roman" w:cs="Times New Roman"/>
                <w:sz w:val="18"/>
                <w:szCs w:val="18"/>
              </w:rPr>
            </w:pPr>
          </w:p>
        </w:tc>
        <w:tc>
          <w:tcPr>
            <w:tcW w:w="615" w:type="pct"/>
            <w:tcBorders>
              <w:top w:val="single" w:sz="4" w:space="0" w:color="auto"/>
            </w:tcBorders>
            <w:noWrap/>
            <w:hideMark/>
          </w:tcPr>
          <w:p w14:paraId="53CEC91F" w14:textId="77777777" w:rsidR="00E64BB3" w:rsidRPr="00127BD1" w:rsidRDefault="00E64BB3" w:rsidP="00E64BB3">
            <w:pPr>
              <w:rPr>
                <w:rFonts w:ascii="Times New Roman" w:eastAsia="Times New Roman" w:hAnsi="Times New Roman" w:cs="Times New Roman"/>
                <w:sz w:val="18"/>
                <w:szCs w:val="18"/>
              </w:rPr>
            </w:pPr>
          </w:p>
        </w:tc>
        <w:tc>
          <w:tcPr>
            <w:tcW w:w="615" w:type="pct"/>
            <w:tcBorders>
              <w:top w:val="single" w:sz="4" w:space="0" w:color="auto"/>
            </w:tcBorders>
            <w:noWrap/>
            <w:hideMark/>
          </w:tcPr>
          <w:p w14:paraId="3F068B5F" w14:textId="77777777" w:rsidR="00E64BB3" w:rsidRPr="00127BD1" w:rsidRDefault="00E64BB3" w:rsidP="00E64BB3">
            <w:pPr>
              <w:rPr>
                <w:rFonts w:ascii="Times New Roman" w:eastAsia="Times New Roman" w:hAnsi="Times New Roman" w:cs="Times New Roman"/>
                <w:sz w:val="18"/>
                <w:szCs w:val="18"/>
              </w:rPr>
            </w:pPr>
          </w:p>
        </w:tc>
        <w:tc>
          <w:tcPr>
            <w:tcW w:w="614" w:type="pct"/>
            <w:tcBorders>
              <w:top w:val="single" w:sz="4" w:space="0" w:color="auto"/>
            </w:tcBorders>
            <w:noWrap/>
            <w:hideMark/>
          </w:tcPr>
          <w:p w14:paraId="791D7E92" w14:textId="77777777" w:rsidR="00E64BB3" w:rsidRPr="00127BD1" w:rsidRDefault="00E64BB3" w:rsidP="00E64BB3">
            <w:pPr>
              <w:rPr>
                <w:rFonts w:ascii="Times New Roman" w:eastAsia="Times New Roman" w:hAnsi="Times New Roman" w:cs="Times New Roman"/>
                <w:sz w:val="18"/>
                <w:szCs w:val="18"/>
              </w:rPr>
            </w:pPr>
          </w:p>
        </w:tc>
        <w:tc>
          <w:tcPr>
            <w:tcW w:w="614" w:type="pct"/>
            <w:tcBorders>
              <w:top w:val="single" w:sz="4" w:space="0" w:color="auto"/>
            </w:tcBorders>
            <w:noWrap/>
            <w:hideMark/>
          </w:tcPr>
          <w:p w14:paraId="7B8D96AE" w14:textId="77777777" w:rsidR="00E64BB3" w:rsidRPr="00127BD1" w:rsidRDefault="00E64BB3" w:rsidP="00E64BB3">
            <w:pPr>
              <w:rPr>
                <w:rFonts w:ascii="Times New Roman" w:eastAsia="Times New Roman" w:hAnsi="Times New Roman" w:cs="Times New Roman"/>
                <w:sz w:val="18"/>
                <w:szCs w:val="18"/>
              </w:rPr>
            </w:pPr>
          </w:p>
        </w:tc>
        <w:tc>
          <w:tcPr>
            <w:tcW w:w="613" w:type="pct"/>
            <w:tcBorders>
              <w:top w:val="single" w:sz="4" w:space="0" w:color="auto"/>
            </w:tcBorders>
            <w:noWrap/>
            <w:hideMark/>
          </w:tcPr>
          <w:p w14:paraId="01DA83EE" w14:textId="77777777" w:rsidR="00E64BB3" w:rsidRPr="00127BD1" w:rsidRDefault="00E64BB3" w:rsidP="00E64BB3">
            <w:pPr>
              <w:rPr>
                <w:rFonts w:ascii="Times New Roman" w:eastAsia="Times New Roman" w:hAnsi="Times New Roman" w:cs="Times New Roman"/>
                <w:sz w:val="18"/>
                <w:szCs w:val="18"/>
              </w:rPr>
            </w:pPr>
          </w:p>
        </w:tc>
      </w:tr>
      <w:tr w:rsidR="00C2049D" w:rsidRPr="00127BD1" w14:paraId="4BCE2413" w14:textId="77777777" w:rsidTr="00E64BB3">
        <w:trPr>
          <w:trHeight w:val="300"/>
        </w:trPr>
        <w:tc>
          <w:tcPr>
            <w:tcW w:w="698" w:type="pct"/>
            <w:noWrap/>
            <w:hideMark/>
          </w:tcPr>
          <w:p w14:paraId="2E6266A8"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(9) ESP</w:t>
            </w:r>
          </w:p>
        </w:tc>
        <w:tc>
          <w:tcPr>
            <w:tcW w:w="615" w:type="pct"/>
            <w:noWrap/>
            <w:hideMark/>
          </w:tcPr>
          <w:p w14:paraId="1008FF12"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0.6570***</w:t>
            </w:r>
          </w:p>
        </w:tc>
        <w:tc>
          <w:tcPr>
            <w:tcW w:w="615" w:type="pct"/>
            <w:noWrap/>
            <w:hideMark/>
          </w:tcPr>
          <w:p w14:paraId="442E0651" w14:textId="05539AB1"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1.0000</w:t>
            </w:r>
          </w:p>
        </w:tc>
        <w:tc>
          <w:tcPr>
            <w:tcW w:w="615" w:type="pct"/>
            <w:noWrap/>
            <w:hideMark/>
          </w:tcPr>
          <w:p w14:paraId="34B534C8" w14:textId="77777777" w:rsidR="00E64BB3" w:rsidRPr="00127BD1" w:rsidRDefault="00E64BB3" w:rsidP="00E64BB3">
            <w:pPr>
              <w:rPr>
                <w:rFonts w:ascii="Times New Roman" w:eastAsia="Times New Roman" w:hAnsi="Times New Roman" w:cs="Times New Roman"/>
                <w:sz w:val="18"/>
                <w:szCs w:val="18"/>
              </w:rPr>
            </w:pPr>
          </w:p>
        </w:tc>
        <w:tc>
          <w:tcPr>
            <w:tcW w:w="615" w:type="pct"/>
            <w:noWrap/>
            <w:hideMark/>
          </w:tcPr>
          <w:p w14:paraId="26B6B0F4" w14:textId="77777777" w:rsidR="00E64BB3" w:rsidRPr="00127BD1" w:rsidRDefault="00E64BB3" w:rsidP="00E64BB3">
            <w:pPr>
              <w:rPr>
                <w:rFonts w:ascii="Times New Roman" w:eastAsia="Times New Roman" w:hAnsi="Times New Roman" w:cs="Times New Roman"/>
                <w:sz w:val="18"/>
                <w:szCs w:val="18"/>
              </w:rPr>
            </w:pPr>
          </w:p>
        </w:tc>
        <w:tc>
          <w:tcPr>
            <w:tcW w:w="614" w:type="pct"/>
            <w:noWrap/>
            <w:hideMark/>
          </w:tcPr>
          <w:p w14:paraId="49AF4161" w14:textId="77777777" w:rsidR="00E64BB3" w:rsidRPr="00127BD1" w:rsidRDefault="00E64BB3" w:rsidP="00E64BB3">
            <w:pPr>
              <w:rPr>
                <w:rFonts w:ascii="Times New Roman" w:eastAsia="Times New Roman" w:hAnsi="Times New Roman" w:cs="Times New Roman"/>
                <w:sz w:val="18"/>
                <w:szCs w:val="18"/>
              </w:rPr>
            </w:pPr>
          </w:p>
        </w:tc>
        <w:tc>
          <w:tcPr>
            <w:tcW w:w="614" w:type="pct"/>
            <w:noWrap/>
            <w:hideMark/>
          </w:tcPr>
          <w:p w14:paraId="636BFDAE" w14:textId="77777777" w:rsidR="00E64BB3" w:rsidRPr="00127BD1" w:rsidRDefault="00E64BB3" w:rsidP="00E64BB3">
            <w:pPr>
              <w:rPr>
                <w:rFonts w:ascii="Times New Roman" w:eastAsia="Times New Roman" w:hAnsi="Times New Roman" w:cs="Times New Roman"/>
                <w:sz w:val="18"/>
                <w:szCs w:val="18"/>
              </w:rPr>
            </w:pPr>
          </w:p>
        </w:tc>
        <w:tc>
          <w:tcPr>
            <w:tcW w:w="613" w:type="pct"/>
            <w:noWrap/>
            <w:hideMark/>
          </w:tcPr>
          <w:p w14:paraId="40EFD513" w14:textId="77777777" w:rsidR="00E64BB3" w:rsidRPr="00127BD1" w:rsidRDefault="00E64BB3" w:rsidP="00E64BB3">
            <w:pPr>
              <w:rPr>
                <w:rFonts w:ascii="Times New Roman" w:eastAsia="Times New Roman" w:hAnsi="Times New Roman" w:cs="Times New Roman"/>
                <w:sz w:val="18"/>
                <w:szCs w:val="18"/>
              </w:rPr>
            </w:pPr>
          </w:p>
        </w:tc>
      </w:tr>
      <w:tr w:rsidR="00C2049D" w:rsidRPr="00127BD1" w14:paraId="0C52A7D5" w14:textId="77777777" w:rsidTr="00E64BB3">
        <w:trPr>
          <w:trHeight w:val="300"/>
        </w:trPr>
        <w:tc>
          <w:tcPr>
            <w:tcW w:w="698" w:type="pct"/>
            <w:noWrap/>
            <w:hideMark/>
          </w:tcPr>
          <w:p w14:paraId="3E4AD581"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(10) FIN</w:t>
            </w:r>
          </w:p>
        </w:tc>
        <w:tc>
          <w:tcPr>
            <w:tcW w:w="615" w:type="pct"/>
            <w:noWrap/>
            <w:hideMark/>
          </w:tcPr>
          <w:p w14:paraId="57ED7F38"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0.7797***</w:t>
            </w:r>
          </w:p>
        </w:tc>
        <w:tc>
          <w:tcPr>
            <w:tcW w:w="615" w:type="pct"/>
            <w:noWrap/>
            <w:hideMark/>
          </w:tcPr>
          <w:p w14:paraId="4D365A84"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0.6578***</w:t>
            </w:r>
          </w:p>
        </w:tc>
        <w:tc>
          <w:tcPr>
            <w:tcW w:w="615" w:type="pct"/>
            <w:noWrap/>
            <w:hideMark/>
          </w:tcPr>
          <w:p w14:paraId="393B4542" w14:textId="16BE8105"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1.0000</w:t>
            </w:r>
          </w:p>
        </w:tc>
        <w:tc>
          <w:tcPr>
            <w:tcW w:w="615" w:type="pct"/>
            <w:noWrap/>
            <w:hideMark/>
          </w:tcPr>
          <w:p w14:paraId="31DCBD82" w14:textId="77777777" w:rsidR="00E64BB3" w:rsidRPr="00127BD1" w:rsidRDefault="00E64BB3" w:rsidP="00E64BB3">
            <w:pPr>
              <w:rPr>
                <w:rFonts w:ascii="Times New Roman" w:eastAsia="Times New Roman" w:hAnsi="Times New Roman" w:cs="Times New Roman"/>
                <w:sz w:val="18"/>
                <w:szCs w:val="18"/>
              </w:rPr>
            </w:pPr>
          </w:p>
        </w:tc>
        <w:tc>
          <w:tcPr>
            <w:tcW w:w="614" w:type="pct"/>
            <w:noWrap/>
            <w:hideMark/>
          </w:tcPr>
          <w:p w14:paraId="7C5EF778" w14:textId="77777777" w:rsidR="00E64BB3" w:rsidRPr="00127BD1" w:rsidRDefault="00E64BB3" w:rsidP="00E64BB3">
            <w:pPr>
              <w:rPr>
                <w:rFonts w:ascii="Times New Roman" w:eastAsia="Times New Roman" w:hAnsi="Times New Roman" w:cs="Times New Roman"/>
                <w:sz w:val="18"/>
                <w:szCs w:val="18"/>
              </w:rPr>
            </w:pPr>
          </w:p>
        </w:tc>
        <w:tc>
          <w:tcPr>
            <w:tcW w:w="614" w:type="pct"/>
            <w:noWrap/>
            <w:hideMark/>
          </w:tcPr>
          <w:p w14:paraId="6248AF3A" w14:textId="77777777" w:rsidR="00E64BB3" w:rsidRPr="00127BD1" w:rsidRDefault="00E64BB3" w:rsidP="00E64BB3">
            <w:pPr>
              <w:rPr>
                <w:rFonts w:ascii="Times New Roman" w:eastAsia="Times New Roman" w:hAnsi="Times New Roman" w:cs="Times New Roman"/>
                <w:sz w:val="18"/>
                <w:szCs w:val="18"/>
              </w:rPr>
            </w:pPr>
          </w:p>
        </w:tc>
        <w:tc>
          <w:tcPr>
            <w:tcW w:w="613" w:type="pct"/>
            <w:noWrap/>
            <w:hideMark/>
          </w:tcPr>
          <w:p w14:paraId="19772EFF" w14:textId="77777777" w:rsidR="00E64BB3" w:rsidRPr="00127BD1" w:rsidRDefault="00E64BB3" w:rsidP="00E64BB3">
            <w:pPr>
              <w:rPr>
                <w:rFonts w:ascii="Times New Roman" w:eastAsia="Times New Roman" w:hAnsi="Times New Roman" w:cs="Times New Roman"/>
                <w:sz w:val="18"/>
                <w:szCs w:val="18"/>
              </w:rPr>
            </w:pPr>
          </w:p>
        </w:tc>
      </w:tr>
      <w:tr w:rsidR="00C2049D" w:rsidRPr="00127BD1" w14:paraId="1AF5FFCE" w14:textId="77777777" w:rsidTr="00E64BB3">
        <w:trPr>
          <w:trHeight w:val="300"/>
        </w:trPr>
        <w:tc>
          <w:tcPr>
            <w:tcW w:w="698" w:type="pct"/>
            <w:noWrap/>
            <w:hideMark/>
          </w:tcPr>
          <w:p w14:paraId="59FD5CE3"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(11) FRA</w:t>
            </w:r>
          </w:p>
        </w:tc>
        <w:tc>
          <w:tcPr>
            <w:tcW w:w="615" w:type="pct"/>
            <w:noWrap/>
            <w:hideMark/>
          </w:tcPr>
          <w:p w14:paraId="67E14761"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0.6582***</w:t>
            </w:r>
          </w:p>
        </w:tc>
        <w:tc>
          <w:tcPr>
            <w:tcW w:w="615" w:type="pct"/>
            <w:noWrap/>
            <w:hideMark/>
          </w:tcPr>
          <w:p w14:paraId="487C490D"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0.8003***</w:t>
            </w:r>
          </w:p>
        </w:tc>
        <w:tc>
          <w:tcPr>
            <w:tcW w:w="615" w:type="pct"/>
            <w:noWrap/>
            <w:hideMark/>
          </w:tcPr>
          <w:p w14:paraId="630B5861"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0.8640***</w:t>
            </w:r>
          </w:p>
        </w:tc>
        <w:tc>
          <w:tcPr>
            <w:tcW w:w="615" w:type="pct"/>
            <w:noWrap/>
            <w:hideMark/>
          </w:tcPr>
          <w:p w14:paraId="454A6737" w14:textId="3D4EB5BA"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1.0000</w:t>
            </w:r>
          </w:p>
        </w:tc>
        <w:tc>
          <w:tcPr>
            <w:tcW w:w="614" w:type="pct"/>
            <w:noWrap/>
            <w:hideMark/>
          </w:tcPr>
          <w:p w14:paraId="52668AFC" w14:textId="77777777" w:rsidR="00E64BB3" w:rsidRPr="00127BD1" w:rsidRDefault="00E64BB3" w:rsidP="00E64BB3">
            <w:pPr>
              <w:rPr>
                <w:rFonts w:ascii="Times New Roman" w:eastAsia="Times New Roman" w:hAnsi="Times New Roman" w:cs="Times New Roman"/>
                <w:sz w:val="18"/>
                <w:szCs w:val="18"/>
              </w:rPr>
            </w:pPr>
          </w:p>
        </w:tc>
        <w:tc>
          <w:tcPr>
            <w:tcW w:w="614" w:type="pct"/>
            <w:noWrap/>
            <w:hideMark/>
          </w:tcPr>
          <w:p w14:paraId="42EED5DD" w14:textId="77777777" w:rsidR="00E64BB3" w:rsidRPr="00127BD1" w:rsidRDefault="00E64BB3" w:rsidP="00E64BB3">
            <w:pPr>
              <w:rPr>
                <w:rFonts w:ascii="Times New Roman" w:eastAsia="Times New Roman" w:hAnsi="Times New Roman" w:cs="Times New Roman"/>
                <w:sz w:val="18"/>
                <w:szCs w:val="18"/>
              </w:rPr>
            </w:pPr>
          </w:p>
        </w:tc>
        <w:tc>
          <w:tcPr>
            <w:tcW w:w="613" w:type="pct"/>
            <w:noWrap/>
            <w:hideMark/>
          </w:tcPr>
          <w:p w14:paraId="5F8F63D6" w14:textId="77777777" w:rsidR="00E64BB3" w:rsidRPr="00127BD1" w:rsidRDefault="00E64BB3" w:rsidP="00E64BB3">
            <w:pPr>
              <w:rPr>
                <w:rFonts w:ascii="Times New Roman" w:eastAsia="Times New Roman" w:hAnsi="Times New Roman" w:cs="Times New Roman"/>
                <w:sz w:val="18"/>
                <w:szCs w:val="18"/>
              </w:rPr>
            </w:pPr>
          </w:p>
        </w:tc>
      </w:tr>
      <w:tr w:rsidR="00C2049D" w:rsidRPr="00127BD1" w14:paraId="618376BA" w14:textId="77777777" w:rsidTr="00E64BB3">
        <w:trPr>
          <w:trHeight w:val="300"/>
        </w:trPr>
        <w:tc>
          <w:tcPr>
            <w:tcW w:w="698" w:type="pct"/>
            <w:noWrap/>
            <w:hideMark/>
          </w:tcPr>
          <w:p w14:paraId="6A634D5D"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(12) GBR</w:t>
            </w:r>
          </w:p>
        </w:tc>
        <w:tc>
          <w:tcPr>
            <w:tcW w:w="615" w:type="pct"/>
            <w:noWrap/>
            <w:hideMark/>
          </w:tcPr>
          <w:p w14:paraId="7E9BC638"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0.7411***</w:t>
            </w:r>
          </w:p>
        </w:tc>
        <w:tc>
          <w:tcPr>
            <w:tcW w:w="615" w:type="pct"/>
            <w:noWrap/>
            <w:hideMark/>
          </w:tcPr>
          <w:p w14:paraId="39103F97"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0.7540***</w:t>
            </w:r>
          </w:p>
        </w:tc>
        <w:tc>
          <w:tcPr>
            <w:tcW w:w="615" w:type="pct"/>
            <w:noWrap/>
            <w:hideMark/>
          </w:tcPr>
          <w:p w14:paraId="3F645767"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0.8957***</w:t>
            </w:r>
          </w:p>
        </w:tc>
        <w:tc>
          <w:tcPr>
            <w:tcW w:w="615" w:type="pct"/>
            <w:noWrap/>
            <w:hideMark/>
          </w:tcPr>
          <w:p w14:paraId="0779D234"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0.7996***</w:t>
            </w:r>
          </w:p>
        </w:tc>
        <w:tc>
          <w:tcPr>
            <w:tcW w:w="614" w:type="pct"/>
            <w:noWrap/>
            <w:hideMark/>
          </w:tcPr>
          <w:p w14:paraId="6781C8D0" w14:textId="36DA2885"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1.0000</w:t>
            </w:r>
          </w:p>
        </w:tc>
        <w:tc>
          <w:tcPr>
            <w:tcW w:w="614" w:type="pct"/>
            <w:noWrap/>
            <w:hideMark/>
          </w:tcPr>
          <w:p w14:paraId="7901CF0B" w14:textId="77777777" w:rsidR="00E64BB3" w:rsidRPr="00127BD1" w:rsidRDefault="00E64BB3" w:rsidP="00E64BB3">
            <w:pPr>
              <w:rPr>
                <w:rFonts w:ascii="Times New Roman" w:eastAsia="Times New Roman" w:hAnsi="Times New Roman" w:cs="Times New Roman"/>
                <w:sz w:val="18"/>
                <w:szCs w:val="18"/>
              </w:rPr>
            </w:pPr>
          </w:p>
        </w:tc>
        <w:tc>
          <w:tcPr>
            <w:tcW w:w="613" w:type="pct"/>
            <w:noWrap/>
            <w:hideMark/>
          </w:tcPr>
          <w:p w14:paraId="5570C006" w14:textId="77777777" w:rsidR="00E64BB3" w:rsidRPr="00127BD1" w:rsidRDefault="00E64BB3" w:rsidP="00E64BB3">
            <w:pPr>
              <w:rPr>
                <w:rFonts w:ascii="Times New Roman" w:eastAsia="Times New Roman" w:hAnsi="Times New Roman" w:cs="Times New Roman"/>
                <w:sz w:val="18"/>
                <w:szCs w:val="18"/>
              </w:rPr>
            </w:pPr>
          </w:p>
        </w:tc>
      </w:tr>
      <w:tr w:rsidR="00C2049D" w:rsidRPr="00127BD1" w14:paraId="101D2E0F" w14:textId="77777777" w:rsidTr="00E64BB3">
        <w:trPr>
          <w:trHeight w:val="300"/>
        </w:trPr>
        <w:tc>
          <w:tcPr>
            <w:tcW w:w="698" w:type="pct"/>
            <w:noWrap/>
            <w:hideMark/>
          </w:tcPr>
          <w:p w14:paraId="0B6EA187"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(13) GRC</w:t>
            </w:r>
          </w:p>
        </w:tc>
        <w:tc>
          <w:tcPr>
            <w:tcW w:w="615" w:type="pct"/>
            <w:noWrap/>
            <w:hideMark/>
          </w:tcPr>
          <w:p w14:paraId="2E37775C"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0.0722</w:t>
            </w:r>
          </w:p>
        </w:tc>
        <w:tc>
          <w:tcPr>
            <w:tcW w:w="615" w:type="pct"/>
            <w:noWrap/>
            <w:hideMark/>
          </w:tcPr>
          <w:p w14:paraId="20EACA8F"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0.5440***</w:t>
            </w:r>
          </w:p>
        </w:tc>
        <w:tc>
          <w:tcPr>
            <w:tcW w:w="615" w:type="pct"/>
            <w:noWrap/>
            <w:hideMark/>
          </w:tcPr>
          <w:p w14:paraId="6A698406"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0.1465</w:t>
            </w:r>
          </w:p>
        </w:tc>
        <w:tc>
          <w:tcPr>
            <w:tcW w:w="615" w:type="pct"/>
            <w:noWrap/>
            <w:hideMark/>
          </w:tcPr>
          <w:p w14:paraId="6CFABD3C"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0.2845***</w:t>
            </w:r>
          </w:p>
        </w:tc>
        <w:tc>
          <w:tcPr>
            <w:tcW w:w="614" w:type="pct"/>
            <w:noWrap/>
            <w:hideMark/>
          </w:tcPr>
          <w:p w14:paraId="6A3A8594"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0.5193***</w:t>
            </w:r>
          </w:p>
        </w:tc>
        <w:tc>
          <w:tcPr>
            <w:tcW w:w="614" w:type="pct"/>
            <w:noWrap/>
            <w:hideMark/>
          </w:tcPr>
          <w:p w14:paraId="6223766D" w14:textId="0C603310"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1.0000</w:t>
            </w:r>
          </w:p>
        </w:tc>
        <w:tc>
          <w:tcPr>
            <w:tcW w:w="613" w:type="pct"/>
            <w:noWrap/>
            <w:hideMark/>
          </w:tcPr>
          <w:p w14:paraId="05831083" w14:textId="77777777" w:rsidR="00E64BB3" w:rsidRPr="00127BD1" w:rsidRDefault="00E64BB3" w:rsidP="00E64BB3">
            <w:pPr>
              <w:rPr>
                <w:rFonts w:ascii="Times New Roman" w:eastAsia="Times New Roman" w:hAnsi="Times New Roman" w:cs="Times New Roman"/>
                <w:sz w:val="18"/>
                <w:szCs w:val="18"/>
              </w:rPr>
            </w:pPr>
          </w:p>
        </w:tc>
      </w:tr>
      <w:tr w:rsidR="00C2049D" w:rsidRPr="00127BD1" w14:paraId="56DE5F06" w14:textId="77777777" w:rsidTr="00E64BB3">
        <w:trPr>
          <w:trHeight w:val="300"/>
        </w:trPr>
        <w:tc>
          <w:tcPr>
            <w:tcW w:w="698" w:type="pct"/>
            <w:noWrap/>
            <w:hideMark/>
          </w:tcPr>
          <w:p w14:paraId="4A7CBF54"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(14) IRL</w:t>
            </w:r>
          </w:p>
        </w:tc>
        <w:tc>
          <w:tcPr>
            <w:tcW w:w="615" w:type="pct"/>
            <w:noWrap/>
            <w:hideMark/>
          </w:tcPr>
          <w:p w14:paraId="2EC4D71A"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0.6533***</w:t>
            </w:r>
          </w:p>
        </w:tc>
        <w:tc>
          <w:tcPr>
            <w:tcW w:w="615" w:type="pct"/>
            <w:noWrap/>
            <w:hideMark/>
          </w:tcPr>
          <w:p w14:paraId="507CD543"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0.4589***</w:t>
            </w:r>
          </w:p>
        </w:tc>
        <w:tc>
          <w:tcPr>
            <w:tcW w:w="615" w:type="pct"/>
            <w:noWrap/>
            <w:hideMark/>
          </w:tcPr>
          <w:p w14:paraId="600E5CDB"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0.7267***</w:t>
            </w:r>
          </w:p>
        </w:tc>
        <w:tc>
          <w:tcPr>
            <w:tcW w:w="615" w:type="pct"/>
            <w:noWrap/>
            <w:hideMark/>
          </w:tcPr>
          <w:p w14:paraId="220D1E85"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0.3673***</w:t>
            </w:r>
          </w:p>
        </w:tc>
        <w:tc>
          <w:tcPr>
            <w:tcW w:w="614" w:type="pct"/>
            <w:noWrap/>
            <w:hideMark/>
          </w:tcPr>
          <w:p w14:paraId="6C588970"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0.7081***</w:t>
            </w:r>
          </w:p>
        </w:tc>
        <w:tc>
          <w:tcPr>
            <w:tcW w:w="614" w:type="pct"/>
            <w:noWrap/>
            <w:hideMark/>
          </w:tcPr>
          <w:p w14:paraId="1B9D8593"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0.5455***</w:t>
            </w:r>
          </w:p>
        </w:tc>
        <w:tc>
          <w:tcPr>
            <w:tcW w:w="613" w:type="pct"/>
            <w:noWrap/>
            <w:hideMark/>
          </w:tcPr>
          <w:p w14:paraId="051A23DC" w14:textId="3FEF6D3B"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1.0000</w:t>
            </w:r>
          </w:p>
        </w:tc>
      </w:tr>
      <w:tr w:rsidR="00C2049D" w:rsidRPr="00127BD1" w14:paraId="15AC4F5E" w14:textId="77777777" w:rsidTr="00E64BB3">
        <w:trPr>
          <w:trHeight w:val="300"/>
        </w:trPr>
        <w:tc>
          <w:tcPr>
            <w:tcW w:w="698" w:type="pct"/>
            <w:noWrap/>
            <w:hideMark/>
          </w:tcPr>
          <w:p w14:paraId="2BF05A8C"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(15) ITA</w:t>
            </w:r>
          </w:p>
        </w:tc>
        <w:tc>
          <w:tcPr>
            <w:tcW w:w="615" w:type="pct"/>
            <w:noWrap/>
            <w:hideMark/>
          </w:tcPr>
          <w:p w14:paraId="3ECE7FE1"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0.2830**</w:t>
            </w:r>
          </w:p>
        </w:tc>
        <w:tc>
          <w:tcPr>
            <w:tcW w:w="615" w:type="pct"/>
            <w:noWrap/>
            <w:hideMark/>
          </w:tcPr>
          <w:p w14:paraId="130CBE79"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0.8512***</w:t>
            </w:r>
          </w:p>
        </w:tc>
        <w:tc>
          <w:tcPr>
            <w:tcW w:w="615" w:type="pct"/>
            <w:noWrap/>
            <w:hideMark/>
          </w:tcPr>
          <w:p w14:paraId="6AF3D25D"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0.6336***</w:t>
            </w:r>
          </w:p>
        </w:tc>
        <w:tc>
          <w:tcPr>
            <w:tcW w:w="615" w:type="pct"/>
            <w:noWrap/>
            <w:hideMark/>
          </w:tcPr>
          <w:p w14:paraId="26DA32A5"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0.8631***</w:t>
            </w:r>
          </w:p>
        </w:tc>
        <w:tc>
          <w:tcPr>
            <w:tcW w:w="614" w:type="pct"/>
            <w:noWrap/>
            <w:hideMark/>
          </w:tcPr>
          <w:p w14:paraId="1BD5BD55"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0.6682***</w:t>
            </w:r>
          </w:p>
        </w:tc>
        <w:tc>
          <w:tcPr>
            <w:tcW w:w="614" w:type="pct"/>
            <w:noWrap/>
            <w:hideMark/>
          </w:tcPr>
          <w:p w14:paraId="71CD341A"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0.4642***</w:t>
            </w:r>
          </w:p>
        </w:tc>
        <w:tc>
          <w:tcPr>
            <w:tcW w:w="613" w:type="pct"/>
            <w:noWrap/>
            <w:hideMark/>
          </w:tcPr>
          <w:p w14:paraId="6854BB8F"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0.5003***</w:t>
            </w:r>
          </w:p>
        </w:tc>
      </w:tr>
      <w:tr w:rsidR="00C2049D" w:rsidRPr="00127BD1" w14:paraId="6189013E" w14:textId="77777777" w:rsidTr="00E64BB3">
        <w:trPr>
          <w:trHeight w:val="300"/>
        </w:trPr>
        <w:tc>
          <w:tcPr>
            <w:tcW w:w="698" w:type="pct"/>
            <w:noWrap/>
            <w:hideMark/>
          </w:tcPr>
          <w:p w14:paraId="0E6D8AA4"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(16) JPN</w:t>
            </w:r>
          </w:p>
        </w:tc>
        <w:tc>
          <w:tcPr>
            <w:tcW w:w="615" w:type="pct"/>
            <w:noWrap/>
            <w:hideMark/>
          </w:tcPr>
          <w:p w14:paraId="1B6C5F9E"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0.1875</w:t>
            </w:r>
          </w:p>
        </w:tc>
        <w:tc>
          <w:tcPr>
            <w:tcW w:w="615" w:type="pct"/>
            <w:noWrap/>
            <w:hideMark/>
          </w:tcPr>
          <w:p w14:paraId="279CE00E"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0.3703***</w:t>
            </w:r>
          </w:p>
        </w:tc>
        <w:tc>
          <w:tcPr>
            <w:tcW w:w="615" w:type="pct"/>
            <w:noWrap/>
            <w:hideMark/>
          </w:tcPr>
          <w:p w14:paraId="484C40A4"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0.4526***</w:t>
            </w:r>
          </w:p>
        </w:tc>
        <w:tc>
          <w:tcPr>
            <w:tcW w:w="615" w:type="pct"/>
            <w:noWrap/>
            <w:hideMark/>
          </w:tcPr>
          <w:p w14:paraId="3058BF54"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0.6095***</w:t>
            </w:r>
          </w:p>
        </w:tc>
        <w:tc>
          <w:tcPr>
            <w:tcW w:w="614" w:type="pct"/>
            <w:noWrap/>
            <w:hideMark/>
          </w:tcPr>
          <w:p w14:paraId="57B0B4A2"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0.4668***</w:t>
            </w:r>
          </w:p>
        </w:tc>
        <w:tc>
          <w:tcPr>
            <w:tcW w:w="614" w:type="pct"/>
            <w:noWrap/>
            <w:hideMark/>
          </w:tcPr>
          <w:p w14:paraId="310E90C1"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0.1355</w:t>
            </w:r>
          </w:p>
        </w:tc>
        <w:tc>
          <w:tcPr>
            <w:tcW w:w="613" w:type="pct"/>
            <w:noWrap/>
            <w:hideMark/>
          </w:tcPr>
          <w:p w14:paraId="16D41727"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0.0478</w:t>
            </w:r>
          </w:p>
        </w:tc>
      </w:tr>
      <w:tr w:rsidR="00C2049D" w:rsidRPr="00127BD1" w14:paraId="728F57F5" w14:textId="77777777" w:rsidTr="00E64BB3">
        <w:trPr>
          <w:trHeight w:val="300"/>
        </w:trPr>
        <w:tc>
          <w:tcPr>
            <w:tcW w:w="698" w:type="pct"/>
            <w:noWrap/>
            <w:hideMark/>
          </w:tcPr>
          <w:p w14:paraId="60018BB3"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(17) KOR</w:t>
            </w:r>
          </w:p>
        </w:tc>
        <w:tc>
          <w:tcPr>
            <w:tcW w:w="615" w:type="pct"/>
            <w:noWrap/>
            <w:hideMark/>
          </w:tcPr>
          <w:p w14:paraId="36594C9C"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0.3422***</w:t>
            </w:r>
          </w:p>
        </w:tc>
        <w:tc>
          <w:tcPr>
            <w:tcW w:w="615" w:type="pct"/>
            <w:noWrap/>
            <w:hideMark/>
          </w:tcPr>
          <w:p w14:paraId="1ADCDCCF"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0.1931**</w:t>
            </w:r>
          </w:p>
        </w:tc>
        <w:tc>
          <w:tcPr>
            <w:tcW w:w="615" w:type="pct"/>
            <w:noWrap/>
            <w:hideMark/>
          </w:tcPr>
          <w:p w14:paraId="260FA666"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0.6143***</w:t>
            </w:r>
          </w:p>
        </w:tc>
        <w:tc>
          <w:tcPr>
            <w:tcW w:w="615" w:type="pct"/>
            <w:noWrap/>
            <w:hideMark/>
          </w:tcPr>
          <w:p w14:paraId="416F6F8C"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0.4941***</w:t>
            </w:r>
          </w:p>
        </w:tc>
        <w:tc>
          <w:tcPr>
            <w:tcW w:w="614" w:type="pct"/>
            <w:noWrap/>
            <w:hideMark/>
          </w:tcPr>
          <w:p w14:paraId="6B171530"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0.4924***</w:t>
            </w:r>
          </w:p>
        </w:tc>
        <w:tc>
          <w:tcPr>
            <w:tcW w:w="614" w:type="pct"/>
            <w:noWrap/>
            <w:hideMark/>
          </w:tcPr>
          <w:p w14:paraId="6F94CFA4"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0.0718</w:t>
            </w:r>
          </w:p>
        </w:tc>
        <w:tc>
          <w:tcPr>
            <w:tcW w:w="613" w:type="pct"/>
            <w:noWrap/>
            <w:hideMark/>
          </w:tcPr>
          <w:p w14:paraId="3AEEB480"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0.2711***</w:t>
            </w:r>
          </w:p>
        </w:tc>
      </w:tr>
      <w:tr w:rsidR="00C2049D" w:rsidRPr="00127BD1" w14:paraId="12D9C7D8" w14:textId="77777777" w:rsidTr="00E64BB3">
        <w:trPr>
          <w:trHeight w:val="300"/>
        </w:trPr>
        <w:tc>
          <w:tcPr>
            <w:tcW w:w="698" w:type="pct"/>
            <w:noWrap/>
            <w:hideMark/>
          </w:tcPr>
          <w:p w14:paraId="002E3A75"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(18) MEX</w:t>
            </w:r>
          </w:p>
        </w:tc>
        <w:tc>
          <w:tcPr>
            <w:tcW w:w="615" w:type="pct"/>
            <w:noWrap/>
            <w:hideMark/>
          </w:tcPr>
          <w:p w14:paraId="08855613"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0.3586***</w:t>
            </w:r>
          </w:p>
        </w:tc>
        <w:tc>
          <w:tcPr>
            <w:tcW w:w="615" w:type="pct"/>
            <w:noWrap/>
            <w:hideMark/>
          </w:tcPr>
          <w:p w14:paraId="7E43D9E3"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0.2265**</w:t>
            </w:r>
          </w:p>
        </w:tc>
        <w:tc>
          <w:tcPr>
            <w:tcW w:w="615" w:type="pct"/>
            <w:noWrap/>
            <w:hideMark/>
          </w:tcPr>
          <w:p w14:paraId="0C0AD085"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0.4368***</w:t>
            </w:r>
          </w:p>
        </w:tc>
        <w:tc>
          <w:tcPr>
            <w:tcW w:w="615" w:type="pct"/>
            <w:noWrap/>
            <w:hideMark/>
          </w:tcPr>
          <w:p w14:paraId="15EE3AA3"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0.3201***</w:t>
            </w:r>
          </w:p>
        </w:tc>
        <w:tc>
          <w:tcPr>
            <w:tcW w:w="614" w:type="pct"/>
            <w:noWrap/>
            <w:hideMark/>
          </w:tcPr>
          <w:p w14:paraId="6F4C3B28"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0.4544***</w:t>
            </w:r>
          </w:p>
        </w:tc>
        <w:tc>
          <w:tcPr>
            <w:tcW w:w="614" w:type="pct"/>
            <w:noWrap/>
            <w:hideMark/>
          </w:tcPr>
          <w:p w14:paraId="5A86535C"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0.0915</w:t>
            </w:r>
          </w:p>
        </w:tc>
        <w:tc>
          <w:tcPr>
            <w:tcW w:w="613" w:type="pct"/>
            <w:noWrap/>
            <w:hideMark/>
          </w:tcPr>
          <w:p w14:paraId="6E38C490"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0.2963***</w:t>
            </w:r>
          </w:p>
        </w:tc>
      </w:tr>
      <w:tr w:rsidR="00C2049D" w:rsidRPr="00127BD1" w14:paraId="042F3873" w14:textId="77777777" w:rsidTr="00E64BB3">
        <w:trPr>
          <w:trHeight w:val="300"/>
        </w:trPr>
        <w:tc>
          <w:tcPr>
            <w:tcW w:w="698" w:type="pct"/>
            <w:noWrap/>
            <w:hideMark/>
          </w:tcPr>
          <w:p w14:paraId="47D462F0"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(19) SWE</w:t>
            </w:r>
          </w:p>
        </w:tc>
        <w:tc>
          <w:tcPr>
            <w:tcW w:w="615" w:type="pct"/>
            <w:noWrap/>
            <w:hideMark/>
          </w:tcPr>
          <w:p w14:paraId="39E4773E"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0.7716***</w:t>
            </w:r>
          </w:p>
        </w:tc>
        <w:tc>
          <w:tcPr>
            <w:tcW w:w="615" w:type="pct"/>
            <w:noWrap/>
            <w:hideMark/>
          </w:tcPr>
          <w:p w14:paraId="0CBF4823"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0.5724***</w:t>
            </w:r>
          </w:p>
        </w:tc>
        <w:tc>
          <w:tcPr>
            <w:tcW w:w="615" w:type="pct"/>
            <w:noWrap/>
            <w:hideMark/>
          </w:tcPr>
          <w:p w14:paraId="213F2C8D"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0.9472***</w:t>
            </w:r>
          </w:p>
        </w:tc>
        <w:tc>
          <w:tcPr>
            <w:tcW w:w="615" w:type="pct"/>
            <w:noWrap/>
            <w:hideMark/>
          </w:tcPr>
          <w:p w14:paraId="0F9CDBCB"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0.7942***</w:t>
            </w:r>
          </w:p>
        </w:tc>
        <w:tc>
          <w:tcPr>
            <w:tcW w:w="614" w:type="pct"/>
            <w:noWrap/>
            <w:hideMark/>
          </w:tcPr>
          <w:p w14:paraId="0FA8A190"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0.8967***</w:t>
            </w:r>
          </w:p>
        </w:tc>
        <w:tc>
          <w:tcPr>
            <w:tcW w:w="614" w:type="pct"/>
            <w:noWrap/>
            <w:hideMark/>
          </w:tcPr>
          <w:p w14:paraId="534AC83C"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0.047</w:t>
            </w:r>
          </w:p>
        </w:tc>
        <w:tc>
          <w:tcPr>
            <w:tcW w:w="613" w:type="pct"/>
            <w:noWrap/>
            <w:hideMark/>
          </w:tcPr>
          <w:p w14:paraId="76F0851A"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0.7228***</w:t>
            </w:r>
          </w:p>
        </w:tc>
      </w:tr>
      <w:tr w:rsidR="00C2049D" w:rsidRPr="00127BD1" w14:paraId="023B84D0" w14:textId="77777777" w:rsidTr="00E64BB3">
        <w:trPr>
          <w:trHeight w:val="300"/>
        </w:trPr>
        <w:tc>
          <w:tcPr>
            <w:tcW w:w="698" w:type="pct"/>
            <w:tcBorders>
              <w:bottom w:val="single" w:sz="4" w:space="0" w:color="auto"/>
            </w:tcBorders>
            <w:noWrap/>
            <w:hideMark/>
          </w:tcPr>
          <w:p w14:paraId="22954CF3"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(20) USA</w:t>
            </w:r>
          </w:p>
        </w:tc>
        <w:tc>
          <w:tcPr>
            <w:tcW w:w="615" w:type="pct"/>
            <w:tcBorders>
              <w:bottom w:val="single" w:sz="4" w:space="0" w:color="auto"/>
            </w:tcBorders>
            <w:noWrap/>
            <w:hideMark/>
          </w:tcPr>
          <w:p w14:paraId="54B5D075"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0.5643***</w:t>
            </w:r>
          </w:p>
        </w:tc>
        <w:tc>
          <w:tcPr>
            <w:tcW w:w="615" w:type="pct"/>
            <w:tcBorders>
              <w:bottom w:val="single" w:sz="4" w:space="0" w:color="auto"/>
            </w:tcBorders>
            <w:noWrap/>
            <w:hideMark/>
          </w:tcPr>
          <w:p w14:paraId="5E0AEB99"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0.4821***</w:t>
            </w:r>
          </w:p>
        </w:tc>
        <w:tc>
          <w:tcPr>
            <w:tcW w:w="615" w:type="pct"/>
            <w:tcBorders>
              <w:bottom w:val="single" w:sz="4" w:space="0" w:color="auto"/>
            </w:tcBorders>
            <w:noWrap/>
            <w:hideMark/>
          </w:tcPr>
          <w:p w14:paraId="63FD3747"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0.7862***</w:t>
            </w:r>
          </w:p>
        </w:tc>
        <w:tc>
          <w:tcPr>
            <w:tcW w:w="615" w:type="pct"/>
            <w:tcBorders>
              <w:bottom w:val="single" w:sz="4" w:space="0" w:color="auto"/>
            </w:tcBorders>
            <w:noWrap/>
            <w:hideMark/>
          </w:tcPr>
          <w:p w14:paraId="043E91D0"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0.7607***</w:t>
            </w:r>
          </w:p>
        </w:tc>
        <w:tc>
          <w:tcPr>
            <w:tcW w:w="614" w:type="pct"/>
            <w:tcBorders>
              <w:bottom w:val="single" w:sz="4" w:space="0" w:color="auto"/>
            </w:tcBorders>
            <w:noWrap/>
            <w:hideMark/>
          </w:tcPr>
          <w:p w14:paraId="6F6C8511"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0.6416***</w:t>
            </w:r>
          </w:p>
        </w:tc>
        <w:tc>
          <w:tcPr>
            <w:tcW w:w="614" w:type="pct"/>
            <w:tcBorders>
              <w:bottom w:val="single" w:sz="4" w:space="0" w:color="auto"/>
            </w:tcBorders>
            <w:noWrap/>
            <w:hideMark/>
          </w:tcPr>
          <w:p w14:paraId="3139D955"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0.1663*</w:t>
            </w:r>
          </w:p>
        </w:tc>
        <w:tc>
          <w:tcPr>
            <w:tcW w:w="613" w:type="pct"/>
            <w:tcBorders>
              <w:bottom w:val="single" w:sz="4" w:space="0" w:color="auto"/>
            </w:tcBorders>
            <w:noWrap/>
            <w:hideMark/>
          </w:tcPr>
          <w:p w14:paraId="13536AF9"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0.2513**</w:t>
            </w:r>
          </w:p>
        </w:tc>
      </w:tr>
      <w:tr w:rsidR="00C2049D" w:rsidRPr="00127BD1" w14:paraId="083B16AA" w14:textId="77777777" w:rsidTr="00E64BB3">
        <w:trPr>
          <w:trHeight w:val="300"/>
        </w:trPr>
        <w:tc>
          <w:tcPr>
            <w:tcW w:w="698" w:type="pct"/>
            <w:tcBorders>
              <w:top w:val="single" w:sz="4" w:space="0" w:color="auto"/>
              <w:bottom w:val="single" w:sz="4" w:space="0" w:color="auto"/>
            </w:tcBorders>
            <w:noWrap/>
            <w:hideMark/>
          </w:tcPr>
          <w:p w14:paraId="4062D570" w14:textId="77777777" w:rsidR="00E64BB3" w:rsidRPr="00127BD1" w:rsidRDefault="00E64BB3" w:rsidP="00E64BB3">
            <w:pPr>
              <w:rPr>
                <w:rFonts w:ascii="Times New Roman" w:eastAsia="Times New Roman" w:hAnsi="Times New Roman" w:cs="Times New Roman"/>
                <w:sz w:val="18"/>
                <w:szCs w:val="18"/>
              </w:rPr>
            </w:pPr>
          </w:p>
        </w:tc>
        <w:tc>
          <w:tcPr>
            <w:tcW w:w="615" w:type="pct"/>
            <w:tcBorders>
              <w:top w:val="single" w:sz="4" w:space="0" w:color="auto"/>
              <w:bottom w:val="single" w:sz="4" w:space="0" w:color="auto"/>
            </w:tcBorders>
            <w:noWrap/>
            <w:hideMark/>
          </w:tcPr>
          <w:p w14:paraId="2AA2F42C"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(15)</w:t>
            </w:r>
          </w:p>
        </w:tc>
        <w:tc>
          <w:tcPr>
            <w:tcW w:w="615" w:type="pct"/>
            <w:tcBorders>
              <w:top w:val="single" w:sz="4" w:space="0" w:color="auto"/>
              <w:bottom w:val="single" w:sz="4" w:space="0" w:color="auto"/>
            </w:tcBorders>
            <w:noWrap/>
            <w:hideMark/>
          </w:tcPr>
          <w:p w14:paraId="487DF53B"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(16)</w:t>
            </w:r>
          </w:p>
        </w:tc>
        <w:tc>
          <w:tcPr>
            <w:tcW w:w="615" w:type="pct"/>
            <w:tcBorders>
              <w:top w:val="single" w:sz="4" w:space="0" w:color="auto"/>
              <w:bottom w:val="single" w:sz="4" w:space="0" w:color="auto"/>
            </w:tcBorders>
            <w:noWrap/>
            <w:hideMark/>
          </w:tcPr>
          <w:p w14:paraId="2335A995"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(17)</w:t>
            </w:r>
          </w:p>
        </w:tc>
        <w:tc>
          <w:tcPr>
            <w:tcW w:w="615" w:type="pct"/>
            <w:tcBorders>
              <w:top w:val="single" w:sz="4" w:space="0" w:color="auto"/>
              <w:bottom w:val="single" w:sz="4" w:space="0" w:color="auto"/>
            </w:tcBorders>
            <w:noWrap/>
            <w:hideMark/>
          </w:tcPr>
          <w:p w14:paraId="5CB7881A"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(18)</w:t>
            </w:r>
          </w:p>
        </w:tc>
        <w:tc>
          <w:tcPr>
            <w:tcW w:w="614" w:type="pct"/>
            <w:tcBorders>
              <w:top w:val="single" w:sz="4" w:space="0" w:color="auto"/>
              <w:bottom w:val="single" w:sz="4" w:space="0" w:color="auto"/>
            </w:tcBorders>
            <w:noWrap/>
            <w:hideMark/>
          </w:tcPr>
          <w:p w14:paraId="07ED3886"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(19)</w:t>
            </w:r>
          </w:p>
        </w:tc>
        <w:tc>
          <w:tcPr>
            <w:tcW w:w="614" w:type="pct"/>
            <w:tcBorders>
              <w:top w:val="single" w:sz="4" w:space="0" w:color="auto"/>
              <w:bottom w:val="single" w:sz="4" w:space="0" w:color="auto"/>
            </w:tcBorders>
            <w:noWrap/>
            <w:hideMark/>
          </w:tcPr>
          <w:p w14:paraId="329E0F73"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(20)</w:t>
            </w:r>
          </w:p>
        </w:tc>
        <w:tc>
          <w:tcPr>
            <w:tcW w:w="613" w:type="pct"/>
            <w:tcBorders>
              <w:top w:val="single" w:sz="4" w:space="0" w:color="auto"/>
              <w:bottom w:val="single" w:sz="4" w:space="0" w:color="auto"/>
            </w:tcBorders>
            <w:noWrap/>
            <w:hideMark/>
          </w:tcPr>
          <w:p w14:paraId="74C36D0A" w14:textId="77777777" w:rsidR="00E64BB3" w:rsidRPr="00127BD1" w:rsidRDefault="00E64BB3" w:rsidP="00E64BB3">
            <w:pPr>
              <w:rPr>
                <w:rFonts w:ascii="Times New Roman" w:eastAsia="Times New Roman" w:hAnsi="Times New Roman" w:cs="Times New Roman"/>
                <w:sz w:val="18"/>
                <w:szCs w:val="18"/>
              </w:rPr>
            </w:pPr>
          </w:p>
        </w:tc>
      </w:tr>
      <w:tr w:rsidR="00C2049D" w:rsidRPr="00127BD1" w14:paraId="33D0E112" w14:textId="77777777" w:rsidTr="00E64BB3">
        <w:trPr>
          <w:trHeight w:val="300"/>
        </w:trPr>
        <w:tc>
          <w:tcPr>
            <w:tcW w:w="698" w:type="pct"/>
            <w:tcBorders>
              <w:top w:val="single" w:sz="4" w:space="0" w:color="auto"/>
            </w:tcBorders>
            <w:noWrap/>
            <w:hideMark/>
          </w:tcPr>
          <w:p w14:paraId="5DE13F50"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(15) ITA</w:t>
            </w:r>
          </w:p>
        </w:tc>
        <w:tc>
          <w:tcPr>
            <w:tcW w:w="615" w:type="pct"/>
            <w:tcBorders>
              <w:top w:val="single" w:sz="4" w:space="0" w:color="auto"/>
            </w:tcBorders>
            <w:noWrap/>
            <w:hideMark/>
          </w:tcPr>
          <w:p w14:paraId="2546CBD0" w14:textId="204946CD"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1.0000</w:t>
            </w:r>
          </w:p>
        </w:tc>
        <w:tc>
          <w:tcPr>
            <w:tcW w:w="615" w:type="pct"/>
            <w:tcBorders>
              <w:top w:val="single" w:sz="4" w:space="0" w:color="auto"/>
            </w:tcBorders>
            <w:noWrap/>
            <w:hideMark/>
          </w:tcPr>
          <w:p w14:paraId="2805A5AF" w14:textId="77777777" w:rsidR="00E64BB3" w:rsidRPr="00127BD1" w:rsidRDefault="00E64BB3" w:rsidP="00E64BB3">
            <w:pPr>
              <w:rPr>
                <w:rFonts w:ascii="Times New Roman" w:eastAsia="Times New Roman" w:hAnsi="Times New Roman" w:cs="Times New Roman"/>
                <w:sz w:val="18"/>
                <w:szCs w:val="18"/>
              </w:rPr>
            </w:pPr>
          </w:p>
        </w:tc>
        <w:tc>
          <w:tcPr>
            <w:tcW w:w="615" w:type="pct"/>
            <w:tcBorders>
              <w:top w:val="single" w:sz="4" w:space="0" w:color="auto"/>
            </w:tcBorders>
            <w:noWrap/>
            <w:hideMark/>
          </w:tcPr>
          <w:p w14:paraId="7BB1EA1C" w14:textId="77777777" w:rsidR="00E64BB3" w:rsidRPr="00127BD1" w:rsidRDefault="00E64BB3" w:rsidP="00E64BB3">
            <w:pPr>
              <w:rPr>
                <w:rFonts w:ascii="Times New Roman" w:eastAsia="Times New Roman" w:hAnsi="Times New Roman" w:cs="Times New Roman"/>
                <w:sz w:val="18"/>
                <w:szCs w:val="18"/>
              </w:rPr>
            </w:pPr>
          </w:p>
        </w:tc>
        <w:tc>
          <w:tcPr>
            <w:tcW w:w="615" w:type="pct"/>
            <w:tcBorders>
              <w:top w:val="single" w:sz="4" w:space="0" w:color="auto"/>
            </w:tcBorders>
            <w:noWrap/>
            <w:hideMark/>
          </w:tcPr>
          <w:p w14:paraId="736F3592" w14:textId="77777777" w:rsidR="00E64BB3" w:rsidRPr="00127BD1" w:rsidRDefault="00E64BB3" w:rsidP="00E64BB3">
            <w:pPr>
              <w:rPr>
                <w:rFonts w:ascii="Times New Roman" w:eastAsia="Times New Roman" w:hAnsi="Times New Roman" w:cs="Times New Roman"/>
                <w:sz w:val="18"/>
                <w:szCs w:val="18"/>
              </w:rPr>
            </w:pPr>
          </w:p>
        </w:tc>
        <w:tc>
          <w:tcPr>
            <w:tcW w:w="614" w:type="pct"/>
            <w:tcBorders>
              <w:top w:val="single" w:sz="4" w:space="0" w:color="auto"/>
            </w:tcBorders>
            <w:noWrap/>
            <w:hideMark/>
          </w:tcPr>
          <w:p w14:paraId="0C67168E" w14:textId="77777777" w:rsidR="00E64BB3" w:rsidRPr="00127BD1" w:rsidRDefault="00E64BB3" w:rsidP="00E64BB3">
            <w:pPr>
              <w:rPr>
                <w:rFonts w:ascii="Times New Roman" w:eastAsia="Times New Roman" w:hAnsi="Times New Roman" w:cs="Times New Roman"/>
                <w:sz w:val="18"/>
                <w:szCs w:val="18"/>
              </w:rPr>
            </w:pPr>
          </w:p>
        </w:tc>
        <w:tc>
          <w:tcPr>
            <w:tcW w:w="614" w:type="pct"/>
            <w:tcBorders>
              <w:top w:val="single" w:sz="4" w:space="0" w:color="auto"/>
            </w:tcBorders>
            <w:noWrap/>
            <w:hideMark/>
          </w:tcPr>
          <w:p w14:paraId="69D90A71" w14:textId="77777777" w:rsidR="00E64BB3" w:rsidRPr="00127BD1" w:rsidRDefault="00E64BB3" w:rsidP="00E64BB3">
            <w:pPr>
              <w:rPr>
                <w:rFonts w:ascii="Times New Roman" w:eastAsia="Times New Roman" w:hAnsi="Times New Roman" w:cs="Times New Roman"/>
                <w:sz w:val="18"/>
                <w:szCs w:val="18"/>
              </w:rPr>
            </w:pPr>
          </w:p>
        </w:tc>
        <w:tc>
          <w:tcPr>
            <w:tcW w:w="613" w:type="pct"/>
            <w:tcBorders>
              <w:top w:val="single" w:sz="4" w:space="0" w:color="auto"/>
            </w:tcBorders>
            <w:noWrap/>
            <w:hideMark/>
          </w:tcPr>
          <w:p w14:paraId="46728E7B" w14:textId="77777777" w:rsidR="00E64BB3" w:rsidRPr="00127BD1" w:rsidRDefault="00E64BB3" w:rsidP="00E64BB3">
            <w:pPr>
              <w:rPr>
                <w:rFonts w:ascii="Times New Roman" w:eastAsia="Times New Roman" w:hAnsi="Times New Roman" w:cs="Times New Roman"/>
                <w:sz w:val="18"/>
                <w:szCs w:val="18"/>
              </w:rPr>
            </w:pPr>
          </w:p>
        </w:tc>
      </w:tr>
      <w:tr w:rsidR="00C2049D" w:rsidRPr="00127BD1" w14:paraId="7AA4BAB4" w14:textId="77777777" w:rsidTr="00E64BB3">
        <w:trPr>
          <w:trHeight w:val="300"/>
        </w:trPr>
        <w:tc>
          <w:tcPr>
            <w:tcW w:w="698" w:type="pct"/>
            <w:noWrap/>
            <w:hideMark/>
          </w:tcPr>
          <w:p w14:paraId="6F5747F4"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(16) JPN</w:t>
            </w:r>
          </w:p>
        </w:tc>
        <w:tc>
          <w:tcPr>
            <w:tcW w:w="615" w:type="pct"/>
            <w:noWrap/>
            <w:hideMark/>
          </w:tcPr>
          <w:p w14:paraId="0270425F"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0.6296***</w:t>
            </w:r>
          </w:p>
        </w:tc>
        <w:tc>
          <w:tcPr>
            <w:tcW w:w="615" w:type="pct"/>
            <w:noWrap/>
            <w:hideMark/>
          </w:tcPr>
          <w:p w14:paraId="27AEEB30" w14:textId="362452BF"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1.0000</w:t>
            </w:r>
          </w:p>
        </w:tc>
        <w:tc>
          <w:tcPr>
            <w:tcW w:w="615" w:type="pct"/>
            <w:noWrap/>
            <w:hideMark/>
          </w:tcPr>
          <w:p w14:paraId="7C815E83" w14:textId="77777777" w:rsidR="00E64BB3" w:rsidRPr="00127BD1" w:rsidRDefault="00E64BB3" w:rsidP="00E64BB3">
            <w:pPr>
              <w:rPr>
                <w:rFonts w:ascii="Times New Roman" w:eastAsia="Times New Roman" w:hAnsi="Times New Roman" w:cs="Times New Roman"/>
                <w:sz w:val="18"/>
                <w:szCs w:val="18"/>
              </w:rPr>
            </w:pPr>
          </w:p>
        </w:tc>
        <w:tc>
          <w:tcPr>
            <w:tcW w:w="615" w:type="pct"/>
            <w:noWrap/>
            <w:hideMark/>
          </w:tcPr>
          <w:p w14:paraId="0A13C2C7" w14:textId="77777777" w:rsidR="00E64BB3" w:rsidRPr="00127BD1" w:rsidRDefault="00E64BB3" w:rsidP="00E64BB3">
            <w:pPr>
              <w:rPr>
                <w:rFonts w:ascii="Times New Roman" w:eastAsia="Times New Roman" w:hAnsi="Times New Roman" w:cs="Times New Roman"/>
                <w:sz w:val="18"/>
                <w:szCs w:val="18"/>
              </w:rPr>
            </w:pPr>
          </w:p>
        </w:tc>
        <w:tc>
          <w:tcPr>
            <w:tcW w:w="614" w:type="pct"/>
            <w:noWrap/>
            <w:hideMark/>
          </w:tcPr>
          <w:p w14:paraId="3323F115" w14:textId="77777777" w:rsidR="00E64BB3" w:rsidRPr="00127BD1" w:rsidRDefault="00E64BB3" w:rsidP="00E64BB3">
            <w:pPr>
              <w:rPr>
                <w:rFonts w:ascii="Times New Roman" w:eastAsia="Times New Roman" w:hAnsi="Times New Roman" w:cs="Times New Roman"/>
                <w:sz w:val="18"/>
                <w:szCs w:val="18"/>
              </w:rPr>
            </w:pPr>
          </w:p>
        </w:tc>
        <w:tc>
          <w:tcPr>
            <w:tcW w:w="614" w:type="pct"/>
            <w:noWrap/>
            <w:hideMark/>
          </w:tcPr>
          <w:p w14:paraId="04E49397" w14:textId="77777777" w:rsidR="00E64BB3" w:rsidRPr="00127BD1" w:rsidRDefault="00E64BB3" w:rsidP="00E64BB3">
            <w:pPr>
              <w:rPr>
                <w:rFonts w:ascii="Times New Roman" w:eastAsia="Times New Roman" w:hAnsi="Times New Roman" w:cs="Times New Roman"/>
                <w:sz w:val="18"/>
                <w:szCs w:val="18"/>
              </w:rPr>
            </w:pPr>
          </w:p>
        </w:tc>
        <w:tc>
          <w:tcPr>
            <w:tcW w:w="613" w:type="pct"/>
            <w:noWrap/>
            <w:hideMark/>
          </w:tcPr>
          <w:p w14:paraId="4FFEBCFB" w14:textId="77777777" w:rsidR="00E64BB3" w:rsidRPr="00127BD1" w:rsidRDefault="00E64BB3" w:rsidP="00E64BB3">
            <w:pPr>
              <w:rPr>
                <w:rFonts w:ascii="Times New Roman" w:eastAsia="Times New Roman" w:hAnsi="Times New Roman" w:cs="Times New Roman"/>
                <w:sz w:val="18"/>
                <w:szCs w:val="18"/>
              </w:rPr>
            </w:pPr>
          </w:p>
        </w:tc>
      </w:tr>
      <w:tr w:rsidR="00C2049D" w:rsidRPr="00127BD1" w14:paraId="1EE122D6" w14:textId="77777777" w:rsidTr="00E64BB3">
        <w:trPr>
          <w:trHeight w:val="300"/>
        </w:trPr>
        <w:tc>
          <w:tcPr>
            <w:tcW w:w="698" w:type="pct"/>
            <w:noWrap/>
            <w:hideMark/>
          </w:tcPr>
          <w:p w14:paraId="1C9B7D36"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(17) KOR</w:t>
            </w:r>
          </w:p>
        </w:tc>
        <w:tc>
          <w:tcPr>
            <w:tcW w:w="615" w:type="pct"/>
            <w:noWrap/>
            <w:hideMark/>
          </w:tcPr>
          <w:p w14:paraId="141F30CD"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0.3457**</w:t>
            </w:r>
          </w:p>
        </w:tc>
        <w:tc>
          <w:tcPr>
            <w:tcW w:w="615" w:type="pct"/>
            <w:noWrap/>
            <w:hideMark/>
          </w:tcPr>
          <w:p w14:paraId="0B9FD416"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0.6609***</w:t>
            </w:r>
          </w:p>
        </w:tc>
        <w:tc>
          <w:tcPr>
            <w:tcW w:w="615" w:type="pct"/>
            <w:noWrap/>
            <w:hideMark/>
          </w:tcPr>
          <w:p w14:paraId="0D97F888" w14:textId="6BCB8EC1"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1.0000</w:t>
            </w:r>
          </w:p>
        </w:tc>
        <w:tc>
          <w:tcPr>
            <w:tcW w:w="615" w:type="pct"/>
            <w:noWrap/>
            <w:hideMark/>
          </w:tcPr>
          <w:p w14:paraId="1A263726" w14:textId="77777777" w:rsidR="00E64BB3" w:rsidRPr="00127BD1" w:rsidRDefault="00E64BB3" w:rsidP="00E64BB3">
            <w:pPr>
              <w:rPr>
                <w:rFonts w:ascii="Times New Roman" w:eastAsia="Times New Roman" w:hAnsi="Times New Roman" w:cs="Times New Roman"/>
                <w:sz w:val="18"/>
                <w:szCs w:val="18"/>
              </w:rPr>
            </w:pPr>
          </w:p>
        </w:tc>
        <w:tc>
          <w:tcPr>
            <w:tcW w:w="614" w:type="pct"/>
            <w:noWrap/>
            <w:hideMark/>
          </w:tcPr>
          <w:p w14:paraId="471E7A0E" w14:textId="77777777" w:rsidR="00E64BB3" w:rsidRPr="00127BD1" w:rsidRDefault="00E64BB3" w:rsidP="00E64BB3">
            <w:pPr>
              <w:rPr>
                <w:rFonts w:ascii="Times New Roman" w:eastAsia="Times New Roman" w:hAnsi="Times New Roman" w:cs="Times New Roman"/>
                <w:sz w:val="18"/>
                <w:szCs w:val="18"/>
              </w:rPr>
            </w:pPr>
          </w:p>
        </w:tc>
        <w:tc>
          <w:tcPr>
            <w:tcW w:w="614" w:type="pct"/>
            <w:noWrap/>
            <w:hideMark/>
          </w:tcPr>
          <w:p w14:paraId="773D4F56" w14:textId="77777777" w:rsidR="00E64BB3" w:rsidRPr="00127BD1" w:rsidRDefault="00E64BB3" w:rsidP="00E64BB3">
            <w:pPr>
              <w:rPr>
                <w:rFonts w:ascii="Times New Roman" w:eastAsia="Times New Roman" w:hAnsi="Times New Roman" w:cs="Times New Roman"/>
                <w:sz w:val="18"/>
                <w:szCs w:val="18"/>
              </w:rPr>
            </w:pPr>
          </w:p>
        </w:tc>
        <w:tc>
          <w:tcPr>
            <w:tcW w:w="613" w:type="pct"/>
            <w:noWrap/>
            <w:hideMark/>
          </w:tcPr>
          <w:p w14:paraId="061997CC" w14:textId="77777777" w:rsidR="00E64BB3" w:rsidRPr="00127BD1" w:rsidRDefault="00E64BB3" w:rsidP="00E64BB3">
            <w:pPr>
              <w:rPr>
                <w:rFonts w:ascii="Times New Roman" w:eastAsia="Times New Roman" w:hAnsi="Times New Roman" w:cs="Times New Roman"/>
                <w:sz w:val="18"/>
                <w:szCs w:val="18"/>
              </w:rPr>
            </w:pPr>
          </w:p>
        </w:tc>
      </w:tr>
      <w:tr w:rsidR="00C2049D" w:rsidRPr="00127BD1" w14:paraId="5D2B33E2" w14:textId="77777777" w:rsidTr="00E64BB3">
        <w:trPr>
          <w:trHeight w:val="300"/>
        </w:trPr>
        <w:tc>
          <w:tcPr>
            <w:tcW w:w="698" w:type="pct"/>
            <w:noWrap/>
            <w:hideMark/>
          </w:tcPr>
          <w:p w14:paraId="3E022849"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(18) MEX</w:t>
            </w:r>
          </w:p>
        </w:tc>
        <w:tc>
          <w:tcPr>
            <w:tcW w:w="615" w:type="pct"/>
            <w:noWrap/>
            <w:hideMark/>
          </w:tcPr>
          <w:p w14:paraId="73D0495D"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0.1294</w:t>
            </w:r>
          </w:p>
        </w:tc>
        <w:tc>
          <w:tcPr>
            <w:tcW w:w="615" w:type="pct"/>
            <w:noWrap/>
            <w:hideMark/>
          </w:tcPr>
          <w:p w14:paraId="189B749E"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0.3662***</w:t>
            </w:r>
          </w:p>
        </w:tc>
        <w:tc>
          <w:tcPr>
            <w:tcW w:w="615" w:type="pct"/>
            <w:noWrap/>
            <w:hideMark/>
          </w:tcPr>
          <w:p w14:paraId="1ED58061"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0.4252***</w:t>
            </w:r>
          </w:p>
        </w:tc>
        <w:tc>
          <w:tcPr>
            <w:tcW w:w="615" w:type="pct"/>
            <w:noWrap/>
            <w:hideMark/>
          </w:tcPr>
          <w:p w14:paraId="7FAADECE" w14:textId="3855A00E"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1.0000</w:t>
            </w:r>
          </w:p>
        </w:tc>
        <w:tc>
          <w:tcPr>
            <w:tcW w:w="614" w:type="pct"/>
            <w:noWrap/>
            <w:hideMark/>
          </w:tcPr>
          <w:p w14:paraId="59326F4F" w14:textId="77777777" w:rsidR="00E64BB3" w:rsidRPr="00127BD1" w:rsidRDefault="00E64BB3" w:rsidP="00E64BB3">
            <w:pPr>
              <w:rPr>
                <w:rFonts w:ascii="Times New Roman" w:eastAsia="Times New Roman" w:hAnsi="Times New Roman" w:cs="Times New Roman"/>
                <w:sz w:val="18"/>
                <w:szCs w:val="18"/>
              </w:rPr>
            </w:pPr>
          </w:p>
        </w:tc>
        <w:tc>
          <w:tcPr>
            <w:tcW w:w="614" w:type="pct"/>
            <w:noWrap/>
            <w:hideMark/>
          </w:tcPr>
          <w:p w14:paraId="7EE507E1" w14:textId="77777777" w:rsidR="00E64BB3" w:rsidRPr="00127BD1" w:rsidRDefault="00E64BB3" w:rsidP="00E64BB3">
            <w:pPr>
              <w:rPr>
                <w:rFonts w:ascii="Times New Roman" w:eastAsia="Times New Roman" w:hAnsi="Times New Roman" w:cs="Times New Roman"/>
                <w:sz w:val="18"/>
                <w:szCs w:val="18"/>
              </w:rPr>
            </w:pPr>
          </w:p>
        </w:tc>
        <w:tc>
          <w:tcPr>
            <w:tcW w:w="613" w:type="pct"/>
            <w:noWrap/>
            <w:hideMark/>
          </w:tcPr>
          <w:p w14:paraId="336C4F4E" w14:textId="77777777" w:rsidR="00E64BB3" w:rsidRPr="00127BD1" w:rsidRDefault="00E64BB3" w:rsidP="00E64BB3">
            <w:pPr>
              <w:rPr>
                <w:rFonts w:ascii="Times New Roman" w:eastAsia="Times New Roman" w:hAnsi="Times New Roman" w:cs="Times New Roman"/>
                <w:sz w:val="18"/>
                <w:szCs w:val="18"/>
              </w:rPr>
            </w:pPr>
          </w:p>
        </w:tc>
      </w:tr>
      <w:tr w:rsidR="00C2049D" w:rsidRPr="00127BD1" w14:paraId="01C5E0B4" w14:textId="77777777" w:rsidTr="00E64BB3">
        <w:trPr>
          <w:trHeight w:val="300"/>
        </w:trPr>
        <w:tc>
          <w:tcPr>
            <w:tcW w:w="698" w:type="pct"/>
            <w:noWrap/>
            <w:hideMark/>
          </w:tcPr>
          <w:p w14:paraId="5D72490E"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(19) SWE</w:t>
            </w:r>
          </w:p>
        </w:tc>
        <w:tc>
          <w:tcPr>
            <w:tcW w:w="615" w:type="pct"/>
            <w:noWrap/>
            <w:hideMark/>
          </w:tcPr>
          <w:p w14:paraId="046983C5"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0.5446***</w:t>
            </w:r>
          </w:p>
        </w:tc>
        <w:tc>
          <w:tcPr>
            <w:tcW w:w="615" w:type="pct"/>
            <w:noWrap/>
            <w:hideMark/>
          </w:tcPr>
          <w:p w14:paraId="5EF0BC56"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0.4223***</w:t>
            </w:r>
          </w:p>
        </w:tc>
        <w:tc>
          <w:tcPr>
            <w:tcW w:w="615" w:type="pct"/>
            <w:noWrap/>
            <w:hideMark/>
          </w:tcPr>
          <w:p w14:paraId="547609AE"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0.6508***</w:t>
            </w:r>
          </w:p>
        </w:tc>
        <w:tc>
          <w:tcPr>
            <w:tcW w:w="615" w:type="pct"/>
            <w:noWrap/>
            <w:hideMark/>
          </w:tcPr>
          <w:p w14:paraId="4F5E3B44"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0.5356***</w:t>
            </w:r>
          </w:p>
        </w:tc>
        <w:tc>
          <w:tcPr>
            <w:tcW w:w="614" w:type="pct"/>
            <w:noWrap/>
            <w:hideMark/>
          </w:tcPr>
          <w:p w14:paraId="6D147E7C" w14:textId="69A46D0E"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1.0000</w:t>
            </w:r>
          </w:p>
        </w:tc>
        <w:tc>
          <w:tcPr>
            <w:tcW w:w="614" w:type="pct"/>
            <w:noWrap/>
            <w:hideMark/>
          </w:tcPr>
          <w:p w14:paraId="464552A2" w14:textId="77777777" w:rsidR="00E64BB3" w:rsidRPr="00127BD1" w:rsidRDefault="00E64BB3" w:rsidP="00E64BB3">
            <w:pPr>
              <w:rPr>
                <w:rFonts w:ascii="Times New Roman" w:eastAsia="Times New Roman" w:hAnsi="Times New Roman" w:cs="Times New Roman"/>
                <w:sz w:val="18"/>
                <w:szCs w:val="18"/>
              </w:rPr>
            </w:pPr>
          </w:p>
        </w:tc>
        <w:tc>
          <w:tcPr>
            <w:tcW w:w="613" w:type="pct"/>
            <w:noWrap/>
            <w:hideMark/>
          </w:tcPr>
          <w:p w14:paraId="6C7FE6CB" w14:textId="77777777" w:rsidR="00E64BB3" w:rsidRPr="00127BD1" w:rsidRDefault="00E64BB3" w:rsidP="00E64BB3">
            <w:pPr>
              <w:rPr>
                <w:rFonts w:ascii="Times New Roman" w:eastAsia="Times New Roman" w:hAnsi="Times New Roman" w:cs="Times New Roman"/>
                <w:sz w:val="18"/>
                <w:szCs w:val="18"/>
              </w:rPr>
            </w:pPr>
          </w:p>
        </w:tc>
      </w:tr>
      <w:tr w:rsidR="00C2049D" w:rsidRPr="00127BD1" w14:paraId="60546247" w14:textId="77777777" w:rsidTr="00E64BB3">
        <w:trPr>
          <w:trHeight w:val="300"/>
        </w:trPr>
        <w:tc>
          <w:tcPr>
            <w:tcW w:w="698" w:type="pct"/>
            <w:noWrap/>
            <w:hideMark/>
          </w:tcPr>
          <w:p w14:paraId="1F49FCAF"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(20) USA</w:t>
            </w:r>
          </w:p>
        </w:tc>
        <w:tc>
          <w:tcPr>
            <w:tcW w:w="615" w:type="pct"/>
            <w:noWrap/>
            <w:hideMark/>
          </w:tcPr>
          <w:p w14:paraId="746F8E41"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0.6607***</w:t>
            </w:r>
          </w:p>
        </w:tc>
        <w:tc>
          <w:tcPr>
            <w:tcW w:w="615" w:type="pct"/>
            <w:noWrap/>
            <w:hideMark/>
          </w:tcPr>
          <w:p w14:paraId="76B14BCC"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0.7600***</w:t>
            </w:r>
          </w:p>
        </w:tc>
        <w:tc>
          <w:tcPr>
            <w:tcW w:w="615" w:type="pct"/>
            <w:noWrap/>
            <w:hideMark/>
          </w:tcPr>
          <w:p w14:paraId="0AB5B870"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0.7684***</w:t>
            </w:r>
          </w:p>
        </w:tc>
        <w:tc>
          <w:tcPr>
            <w:tcW w:w="615" w:type="pct"/>
            <w:noWrap/>
            <w:hideMark/>
          </w:tcPr>
          <w:p w14:paraId="787166BE"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0.4880***</w:t>
            </w:r>
          </w:p>
        </w:tc>
        <w:tc>
          <w:tcPr>
            <w:tcW w:w="614" w:type="pct"/>
            <w:noWrap/>
            <w:hideMark/>
          </w:tcPr>
          <w:p w14:paraId="317F80DC" w14:textId="77777777"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0.7840***</w:t>
            </w:r>
          </w:p>
        </w:tc>
        <w:tc>
          <w:tcPr>
            <w:tcW w:w="614" w:type="pct"/>
            <w:noWrap/>
            <w:hideMark/>
          </w:tcPr>
          <w:p w14:paraId="037F38E4" w14:textId="2077D5F3" w:rsidR="00E64BB3" w:rsidRPr="00127BD1" w:rsidRDefault="00E64BB3" w:rsidP="00E64BB3">
            <w:pPr>
              <w:rPr>
                <w:rFonts w:ascii="Times New Roman" w:eastAsia="Times New Roman" w:hAnsi="Times New Roman" w:cs="Times New Roman"/>
                <w:sz w:val="18"/>
                <w:szCs w:val="18"/>
              </w:rPr>
            </w:pPr>
            <w:r w:rsidRPr="00127BD1">
              <w:rPr>
                <w:rFonts w:ascii="Times New Roman" w:eastAsia="Times New Roman" w:hAnsi="Times New Roman" w:cs="Times New Roman"/>
                <w:sz w:val="18"/>
                <w:szCs w:val="18"/>
              </w:rPr>
              <w:t>1.0000</w:t>
            </w:r>
          </w:p>
        </w:tc>
        <w:tc>
          <w:tcPr>
            <w:tcW w:w="613" w:type="pct"/>
            <w:noWrap/>
            <w:hideMark/>
          </w:tcPr>
          <w:p w14:paraId="42B62273" w14:textId="77777777" w:rsidR="00E64BB3" w:rsidRPr="00127BD1" w:rsidRDefault="00E64BB3" w:rsidP="00E64BB3">
            <w:pPr>
              <w:rPr>
                <w:rFonts w:ascii="Times New Roman" w:eastAsia="Times New Roman" w:hAnsi="Times New Roman" w:cs="Times New Roman"/>
                <w:sz w:val="18"/>
                <w:szCs w:val="18"/>
              </w:rPr>
            </w:pPr>
          </w:p>
        </w:tc>
      </w:tr>
    </w:tbl>
    <w:p w14:paraId="09918898" w14:textId="60F42F2E" w:rsidR="00660A17" w:rsidRPr="00127BD1" w:rsidRDefault="00660A17" w:rsidP="00660A17">
      <w:pPr>
        <w:rPr>
          <w:rFonts w:ascii="Times New Roman" w:hAnsi="Times New Roman" w:cs="Times New Roman"/>
          <w:sz w:val="20"/>
          <w:szCs w:val="20"/>
        </w:rPr>
      </w:pPr>
      <w:r w:rsidRPr="00127BD1">
        <w:rPr>
          <w:rFonts w:ascii="Times New Roman" w:hAnsi="Times New Roman" w:cs="Times New Roman"/>
          <w:sz w:val="20"/>
          <w:szCs w:val="20"/>
        </w:rPr>
        <w:t>Note:</w:t>
      </w:r>
      <w:r w:rsidR="00FB1425" w:rsidRPr="00127BD1">
        <w:rPr>
          <w:rFonts w:ascii="Times New Roman" w:hAnsi="Times New Roman" w:cs="Times New Roman"/>
          <w:sz w:val="20"/>
          <w:szCs w:val="20"/>
        </w:rPr>
        <w:t xml:space="preserve"> The</w:t>
      </w:r>
      <w:r w:rsidRPr="00127BD1">
        <w:rPr>
          <w:rFonts w:ascii="Times New Roman" w:hAnsi="Times New Roman" w:cs="Times New Roman"/>
          <w:sz w:val="20"/>
          <w:szCs w:val="20"/>
        </w:rPr>
        <w:t xml:space="preserve"> </w:t>
      </w:r>
      <w:r w:rsidR="00FB1425" w:rsidRPr="00127BD1">
        <w:rPr>
          <w:rFonts w:ascii="Times New Roman" w:hAnsi="Times New Roman" w:cs="Times New Roman"/>
          <w:sz w:val="20"/>
          <w:szCs w:val="20"/>
        </w:rPr>
        <w:t xml:space="preserve">average pairwise correlation </w:t>
      </w:r>
      <w:r w:rsidR="00FC598D" w:rsidRPr="00127BD1">
        <w:rPr>
          <w:rFonts w:ascii="Times New Roman" w:hAnsi="Times New Roman" w:cs="Times New Roman"/>
          <w:sz w:val="20"/>
          <w:szCs w:val="20"/>
        </w:rPr>
        <w:t>is</w:t>
      </w:r>
      <w:r w:rsidR="00FB1425" w:rsidRPr="00127BD1">
        <w:rPr>
          <w:rFonts w:ascii="Times New Roman" w:hAnsi="Times New Roman" w:cs="Times New Roman"/>
          <w:sz w:val="20"/>
          <w:szCs w:val="20"/>
        </w:rPr>
        <w:t xml:space="preserve"> 0.5</w:t>
      </w:r>
      <w:r w:rsidR="000D15F0" w:rsidRPr="00127BD1">
        <w:rPr>
          <w:rFonts w:ascii="Times New Roman" w:hAnsi="Times New Roman" w:cs="Times New Roman"/>
          <w:sz w:val="20"/>
          <w:szCs w:val="20"/>
        </w:rPr>
        <w:t>067</w:t>
      </w:r>
      <w:r w:rsidR="00C2049D" w:rsidRPr="00127BD1">
        <w:rPr>
          <w:rFonts w:ascii="Times New Roman" w:hAnsi="Times New Roman" w:cs="Times New Roman"/>
          <w:sz w:val="20"/>
          <w:szCs w:val="20"/>
        </w:rPr>
        <w:t>.</w:t>
      </w:r>
      <w:r w:rsidR="00FB1425" w:rsidRPr="00127BD1">
        <w:rPr>
          <w:rFonts w:ascii="Times New Roman" w:hAnsi="Times New Roman" w:cs="Times New Roman"/>
          <w:sz w:val="20"/>
          <w:szCs w:val="20"/>
        </w:rPr>
        <w:t xml:space="preserve"> </w:t>
      </w:r>
      <w:r w:rsidRPr="00127BD1">
        <w:rPr>
          <w:rFonts w:ascii="Times New Roman" w:hAnsi="Times New Roman" w:cs="Times New Roman"/>
          <w:sz w:val="20"/>
          <w:szCs w:val="20"/>
        </w:rPr>
        <w:t xml:space="preserve">All variables are specified in the Appendix. *** denotes 1% significance level, ** denotes 5% significance level, and * denotes 10% significance level. </w:t>
      </w:r>
    </w:p>
    <w:p w14:paraId="4B8A4CD3" w14:textId="35B9452F" w:rsidR="00030A88" w:rsidRPr="00127BD1" w:rsidRDefault="00660A17" w:rsidP="00C31CAA">
      <w:pPr>
        <w:spacing w:line="360" w:lineRule="auto"/>
        <w:rPr>
          <w:rFonts w:ascii="Times New Roman" w:hAnsi="Times New Roman" w:cs="Times New Roman"/>
          <w:b/>
          <w:bCs/>
          <w:sz w:val="22"/>
          <w:szCs w:val="22"/>
        </w:rPr>
      </w:pPr>
      <w:r w:rsidRPr="00127BD1">
        <w:rPr>
          <w:rFonts w:ascii="Times New Roman" w:hAnsi="Times New Roman" w:cs="Times New Roman"/>
          <w:b/>
          <w:bCs/>
          <w:sz w:val="22"/>
          <w:szCs w:val="22"/>
        </w:rPr>
        <w:t xml:space="preserve"> </w:t>
      </w:r>
    </w:p>
    <w:p w14:paraId="1C112708" w14:textId="4D97970B" w:rsidR="00130990" w:rsidRPr="00127BD1" w:rsidRDefault="00130990" w:rsidP="00C31CAA">
      <w:pPr>
        <w:spacing w:line="360" w:lineRule="auto"/>
        <w:rPr>
          <w:rFonts w:ascii="Times New Roman" w:hAnsi="Times New Roman" w:cs="Times New Roman"/>
          <w:sz w:val="22"/>
          <w:szCs w:val="22"/>
        </w:rPr>
      </w:pPr>
      <w:r w:rsidRPr="00127BD1">
        <w:rPr>
          <w:rFonts w:ascii="Times New Roman" w:hAnsi="Times New Roman" w:cs="Times New Roman"/>
          <w:b/>
          <w:bCs/>
          <w:sz w:val="22"/>
          <w:szCs w:val="22"/>
        </w:rPr>
        <w:lastRenderedPageBreak/>
        <w:t>Table 3</w:t>
      </w:r>
      <w:r w:rsidR="008C61C6" w:rsidRPr="00127BD1">
        <w:rPr>
          <w:rFonts w:ascii="Times New Roman" w:hAnsi="Times New Roman" w:cs="Times New Roman"/>
          <w:sz w:val="22"/>
          <w:szCs w:val="22"/>
        </w:rPr>
        <w:t xml:space="preserve"> </w:t>
      </w:r>
      <w:r w:rsidRPr="00127BD1">
        <w:rPr>
          <w:rFonts w:ascii="Times New Roman" w:hAnsi="Times New Roman" w:cs="Times New Roman"/>
          <w:sz w:val="22"/>
          <w:szCs w:val="22"/>
        </w:rPr>
        <w:t>Country-pair baseline analysis</w:t>
      </w:r>
    </w:p>
    <w:tbl>
      <w:tblPr>
        <w:tblW w:w="5000" w:type="pct"/>
        <w:tblBorders>
          <w:top w:val="single" w:sz="4" w:space="0" w:color="auto"/>
          <w:bottom w:val="single" w:sz="4" w:space="0" w:color="auto"/>
        </w:tblBorders>
        <w:tblLook w:val="04A0" w:firstRow="1" w:lastRow="0" w:firstColumn="1" w:lastColumn="0" w:noHBand="0" w:noVBand="1"/>
      </w:tblPr>
      <w:tblGrid>
        <w:gridCol w:w="3261"/>
        <w:gridCol w:w="2097"/>
        <w:gridCol w:w="2195"/>
        <w:gridCol w:w="2193"/>
      </w:tblGrid>
      <w:tr w:rsidR="00130990" w:rsidRPr="00127BD1" w14:paraId="453E99B0" w14:textId="77777777" w:rsidTr="00623D9A">
        <w:trPr>
          <w:trHeight w:val="300"/>
        </w:trPr>
        <w:tc>
          <w:tcPr>
            <w:tcW w:w="1673" w:type="pct"/>
            <w:tcBorders>
              <w:top w:val="single" w:sz="4" w:space="0" w:color="auto"/>
              <w:bottom w:val="single" w:sz="4" w:space="0" w:color="auto"/>
            </w:tcBorders>
            <w:noWrap/>
            <w:vAlign w:val="bottom"/>
            <w:hideMark/>
          </w:tcPr>
          <w:p w14:paraId="59132A8F" w14:textId="77777777" w:rsidR="00130990" w:rsidRPr="00127BD1" w:rsidRDefault="00130990" w:rsidP="00EC4DE0">
            <w:pPr>
              <w:rPr>
                <w:rFonts w:ascii="Times New Roman" w:eastAsia="Times New Roman" w:hAnsi="Times New Roman" w:cs="Times New Roman"/>
                <w:sz w:val="22"/>
                <w:szCs w:val="22"/>
              </w:rPr>
            </w:pPr>
          </w:p>
        </w:tc>
        <w:tc>
          <w:tcPr>
            <w:tcW w:w="1076" w:type="pct"/>
            <w:tcBorders>
              <w:top w:val="single" w:sz="4" w:space="0" w:color="auto"/>
              <w:bottom w:val="single" w:sz="4" w:space="0" w:color="auto"/>
            </w:tcBorders>
            <w:noWrap/>
            <w:vAlign w:val="bottom"/>
            <w:hideMark/>
          </w:tcPr>
          <w:p w14:paraId="4F5482D2"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(1)</w:t>
            </w:r>
          </w:p>
        </w:tc>
        <w:tc>
          <w:tcPr>
            <w:tcW w:w="1126" w:type="pct"/>
            <w:tcBorders>
              <w:top w:val="single" w:sz="4" w:space="0" w:color="auto"/>
              <w:bottom w:val="single" w:sz="4" w:space="0" w:color="auto"/>
            </w:tcBorders>
            <w:noWrap/>
            <w:vAlign w:val="bottom"/>
            <w:hideMark/>
          </w:tcPr>
          <w:p w14:paraId="782B8814"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(2)</w:t>
            </w:r>
          </w:p>
        </w:tc>
        <w:tc>
          <w:tcPr>
            <w:tcW w:w="1125" w:type="pct"/>
            <w:tcBorders>
              <w:top w:val="single" w:sz="4" w:space="0" w:color="auto"/>
              <w:bottom w:val="single" w:sz="4" w:space="0" w:color="auto"/>
            </w:tcBorders>
            <w:noWrap/>
            <w:vAlign w:val="bottom"/>
            <w:hideMark/>
          </w:tcPr>
          <w:p w14:paraId="391066A5"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(3)</w:t>
            </w:r>
          </w:p>
        </w:tc>
      </w:tr>
      <w:tr w:rsidR="00130990" w:rsidRPr="00127BD1" w14:paraId="29F26158" w14:textId="77777777" w:rsidTr="00623D9A">
        <w:trPr>
          <w:trHeight w:val="300"/>
        </w:trPr>
        <w:tc>
          <w:tcPr>
            <w:tcW w:w="1673" w:type="pct"/>
            <w:tcBorders>
              <w:top w:val="single" w:sz="4" w:space="0" w:color="auto"/>
            </w:tcBorders>
            <w:noWrap/>
            <w:vAlign w:val="bottom"/>
            <w:hideMark/>
          </w:tcPr>
          <w:p w14:paraId="0D9AD54C"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sz w:val="22"/>
                <w:szCs w:val="22"/>
              </w:rPr>
              <w:t>lag AMB</w:t>
            </w:r>
          </w:p>
        </w:tc>
        <w:tc>
          <w:tcPr>
            <w:tcW w:w="1076" w:type="pct"/>
            <w:tcBorders>
              <w:top w:val="single" w:sz="4" w:space="0" w:color="auto"/>
            </w:tcBorders>
            <w:noWrap/>
            <w:vAlign w:val="bottom"/>
            <w:hideMark/>
          </w:tcPr>
          <w:p w14:paraId="07F58EB8"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0.0137***</w:t>
            </w:r>
          </w:p>
        </w:tc>
        <w:tc>
          <w:tcPr>
            <w:tcW w:w="1126" w:type="pct"/>
            <w:tcBorders>
              <w:top w:val="single" w:sz="4" w:space="0" w:color="auto"/>
            </w:tcBorders>
            <w:noWrap/>
            <w:vAlign w:val="bottom"/>
            <w:hideMark/>
          </w:tcPr>
          <w:p w14:paraId="7270CE9B"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0.0241***</w:t>
            </w:r>
          </w:p>
        </w:tc>
        <w:tc>
          <w:tcPr>
            <w:tcW w:w="1125" w:type="pct"/>
            <w:tcBorders>
              <w:top w:val="single" w:sz="4" w:space="0" w:color="auto"/>
            </w:tcBorders>
            <w:noWrap/>
            <w:vAlign w:val="bottom"/>
            <w:hideMark/>
          </w:tcPr>
          <w:p w14:paraId="6CB2FF20"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0.0188**</w:t>
            </w:r>
          </w:p>
        </w:tc>
      </w:tr>
      <w:tr w:rsidR="00130990" w:rsidRPr="00127BD1" w14:paraId="03020B7C" w14:textId="77777777" w:rsidTr="00623D9A">
        <w:trPr>
          <w:trHeight w:val="300"/>
        </w:trPr>
        <w:tc>
          <w:tcPr>
            <w:tcW w:w="1673" w:type="pct"/>
            <w:noWrap/>
            <w:vAlign w:val="bottom"/>
            <w:hideMark/>
          </w:tcPr>
          <w:p w14:paraId="528D240A" w14:textId="77777777" w:rsidR="00130990" w:rsidRPr="00127BD1" w:rsidRDefault="00130990" w:rsidP="00EC4DE0">
            <w:pPr>
              <w:rPr>
                <w:rFonts w:ascii="Times New Roman" w:eastAsia="Times New Roman" w:hAnsi="Times New Roman" w:cs="Times New Roman"/>
                <w:color w:val="000000"/>
                <w:sz w:val="22"/>
                <w:szCs w:val="22"/>
              </w:rPr>
            </w:pPr>
          </w:p>
        </w:tc>
        <w:tc>
          <w:tcPr>
            <w:tcW w:w="1076" w:type="pct"/>
            <w:noWrap/>
            <w:vAlign w:val="bottom"/>
            <w:hideMark/>
          </w:tcPr>
          <w:p w14:paraId="0BAC80E2"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(0.0036)</w:t>
            </w:r>
          </w:p>
        </w:tc>
        <w:tc>
          <w:tcPr>
            <w:tcW w:w="1126" w:type="pct"/>
            <w:noWrap/>
            <w:vAlign w:val="bottom"/>
            <w:hideMark/>
          </w:tcPr>
          <w:p w14:paraId="73D90B21"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(0.0042)</w:t>
            </w:r>
          </w:p>
        </w:tc>
        <w:tc>
          <w:tcPr>
            <w:tcW w:w="1125" w:type="pct"/>
            <w:noWrap/>
            <w:vAlign w:val="bottom"/>
            <w:hideMark/>
          </w:tcPr>
          <w:p w14:paraId="688CF78F"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(0.0075)</w:t>
            </w:r>
          </w:p>
        </w:tc>
      </w:tr>
      <w:tr w:rsidR="00130990" w:rsidRPr="00127BD1" w14:paraId="53BA02E3" w14:textId="77777777" w:rsidTr="00623D9A">
        <w:trPr>
          <w:trHeight w:val="300"/>
        </w:trPr>
        <w:tc>
          <w:tcPr>
            <w:tcW w:w="1673" w:type="pct"/>
            <w:noWrap/>
            <w:vAlign w:val="bottom"/>
            <w:hideMark/>
          </w:tcPr>
          <w:p w14:paraId="007F420F"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lag RGDPG</w:t>
            </w:r>
          </w:p>
        </w:tc>
        <w:tc>
          <w:tcPr>
            <w:tcW w:w="1076" w:type="pct"/>
            <w:noWrap/>
            <w:vAlign w:val="bottom"/>
            <w:hideMark/>
          </w:tcPr>
          <w:p w14:paraId="2D15DACC" w14:textId="77777777" w:rsidR="00130990" w:rsidRPr="00127BD1" w:rsidRDefault="00130990" w:rsidP="00EC4DE0">
            <w:pPr>
              <w:rPr>
                <w:rFonts w:ascii="Times New Roman" w:eastAsia="Times New Roman" w:hAnsi="Times New Roman" w:cs="Times New Roman"/>
                <w:color w:val="000000"/>
                <w:sz w:val="22"/>
                <w:szCs w:val="22"/>
              </w:rPr>
            </w:pPr>
          </w:p>
        </w:tc>
        <w:tc>
          <w:tcPr>
            <w:tcW w:w="1126" w:type="pct"/>
            <w:noWrap/>
            <w:vAlign w:val="bottom"/>
            <w:hideMark/>
          </w:tcPr>
          <w:p w14:paraId="3A778810"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0.0003</w:t>
            </w:r>
          </w:p>
        </w:tc>
        <w:tc>
          <w:tcPr>
            <w:tcW w:w="1125" w:type="pct"/>
            <w:noWrap/>
            <w:vAlign w:val="bottom"/>
            <w:hideMark/>
          </w:tcPr>
          <w:p w14:paraId="16ABB135"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-0.0033**</w:t>
            </w:r>
          </w:p>
        </w:tc>
      </w:tr>
      <w:tr w:rsidR="00130990" w:rsidRPr="00127BD1" w14:paraId="7999F833" w14:textId="77777777" w:rsidTr="00623D9A">
        <w:trPr>
          <w:trHeight w:val="300"/>
        </w:trPr>
        <w:tc>
          <w:tcPr>
            <w:tcW w:w="1673" w:type="pct"/>
            <w:noWrap/>
            <w:vAlign w:val="bottom"/>
            <w:hideMark/>
          </w:tcPr>
          <w:p w14:paraId="220DA6FE" w14:textId="77777777" w:rsidR="00130990" w:rsidRPr="00127BD1" w:rsidRDefault="00130990" w:rsidP="00EC4DE0">
            <w:pPr>
              <w:rPr>
                <w:rFonts w:ascii="Times New Roman" w:eastAsia="Times New Roman" w:hAnsi="Times New Roman" w:cs="Times New Roman"/>
                <w:color w:val="000000"/>
                <w:sz w:val="22"/>
                <w:szCs w:val="22"/>
              </w:rPr>
            </w:pPr>
          </w:p>
        </w:tc>
        <w:tc>
          <w:tcPr>
            <w:tcW w:w="1076" w:type="pct"/>
            <w:noWrap/>
            <w:vAlign w:val="bottom"/>
            <w:hideMark/>
          </w:tcPr>
          <w:p w14:paraId="00CC20AA" w14:textId="77777777" w:rsidR="00130990" w:rsidRPr="00127BD1" w:rsidRDefault="00130990" w:rsidP="00EC4DE0">
            <w:pPr>
              <w:rPr>
                <w:rFonts w:ascii="Times New Roman" w:eastAsia="Times New Roman" w:hAnsi="Times New Roman" w:cs="Times New Roman"/>
                <w:sz w:val="22"/>
                <w:szCs w:val="22"/>
              </w:rPr>
            </w:pPr>
          </w:p>
        </w:tc>
        <w:tc>
          <w:tcPr>
            <w:tcW w:w="1126" w:type="pct"/>
            <w:noWrap/>
            <w:vAlign w:val="bottom"/>
            <w:hideMark/>
          </w:tcPr>
          <w:p w14:paraId="320DCAB0"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(0.0008)</w:t>
            </w:r>
          </w:p>
        </w:tc>
        <w:tc>
          <w:tcPr>
            <w:tcW w:w="1125" w:type="pct"/>
            <w:noWrap/>
            <w:vAlign w:val="bottom"/>
            <w:hideMark/>
          </w:tcPr>
          <w:p w14:paraId="56258CDE"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(0.0016)</w:t>
            </w:r>
          </w:p>
        </w:tc>
      </w:tr>
      <w:tr w:rsidR="00130990" w:rsidRPr="00127BD1" w14:paraId="6C8CBA2B" w14:textId="77777777" w:rsidTr="00623D9A">
        <w:trPr>
          <w:trHeight w:val="300"/>
        </w:trPr>
        <w:tc>
          <w:tcPr>
            <w:tcW w:w="1673" w:type="pct"/>
            <w:noWrap/>
            <w:vAlign w:val="bottom"/>
            <w:hideMark/>
          </w:tcPr>
          <w:p w14:paraId="22D3B311"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 xml:space="preserve">lag </w:t>
            </w:r>
            <w:r w:rsidRPr="00127BD1">
              <w:rPr>
                <w:rFonts w:ascii="Times New Roman" w:hAnsi="Times New Roman" w:cs="Times New Roman"/>
                <w:sz w:val="22"/>
                <w:szCs w:val="22"/>
              </w:rPr>
              <w:t>INFLA</w:t>
            </w:r>
          </w:p>
        </w:tc>
        <w:tc>
          <w:tcPr>
            <w:tcW w:w="1076" w:type="pct"/>
            <w:noWrap/>
            <w:vAlign w:val="bottom"/>
            <w:hideMark/>
          </w:tcPr>
          <w:p w14:paraId="2E895471" w14:textId="77777777" w:rsidR="00130990" w:rsidRPr="00127BD1" w:rsidRDefault="00130990" w:rsidP="00EC4DE0">
            <w:pPr>
              <w:rPr>
                <w:rFonts w:ascii="Times New Roman" w:eastAsia="Times New Roman" w:hAnsi="Times New Roman" w:cs="Times New Roman"/>
                <w:color w:val="000000"/>
                <w:sz w:val="22"/>
                <w:szCs w:val="22"/>
              </w:rPr>
            </w:pPr>
          </w:p>
        </w:tc>
        <w:tc>
          <w:tcPr>
            <w:tcW w:w="1126" w:type="pct"/>
            <w:noWrap/>
            <w:vAlign w:val="bottom"/>
            <w:hideMark/>
          </w:tcPr>
          <w:p w14:paraId="65792E8B"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0.0001</w:t>
            </w:r>
          </w:p>
        </w:tc>
        <w:tc>
          <w:tcPr>
            <w:tcW w:w="1125" w:type="pct"/>
            <w:noWrap/>
            <w:vAlign w:val="bottom"/>
            <w:hideMark/>
          </w:tcPr>
          <w:p w14:paraId="74FB6CE0"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0.0007***</w:t>
            </w:r>
          </w:p>
        </w:tc>
      </w:tr>
      <w:tr w:rsidR="00130990" w:rsidRPr="00127BD1" w14:paraId="43640059" w14:textId="77777777" w:rsidTr="00623D9A">
        <w:trPr>
          <w:trHeight w:val="300"/>
        </w:trPr>
        <w:tc>
          <w:tcPr>
            <w:tcW w:w="1673" w:type="pct"/>
            <w:noWrap/>
            <w:vAlign w:val="bottom"/>
            <w:hideMark/>
          </w:tcPr>
          <w:p w14:paraId="6DCEF9EE" w14:textId="77777777" w:rsidR="00130990" w:rsidRPr="00127BD1" w:rsidRDefault="00130990" w:rsidP="00EC4DE0">
            <w:pPr>
              <w:rPr>
                <w:rFonts w:ascii="Times New Roman" w:eastAsia="Times New Roman" w:hAnsi="Times New Roman" w:cs="Times New Roman"/>
                <w:color w:val="000000"/>
                <w:sz w:val="22"/>
                <w:szCs w:val="22"/>
              </w:rPr>
            </w:pPr>
          </w:p>
        </w:tc>
        <w:tc>
          <w:tcPr>
            <w:tcW w:w="1076" w:type="pct"/>
            <w:noWrap/>
            <w:vAlign w:val="bottom"/>
            <w:hideMark/>
          </w:tcPr>
          <w:p w14:paraId="38571879" w14:textId="77777777" w:rsidR="00130990" w:rsidRPr="00127BD1" w:rsidRDefault="00130990" w:rsidP="00EC4DE0">
            <w:pPr>
              <w:rPr>
                <w:rFonts w:ascii="Times New Roman" w:eastAsia="Times New Roman" w:hAnsi="Times New Roman" w:cs="Times New Roman"/>
                <w:sz w:val="22"/>
                <w:szCs w:val="22"/>
              </w:rPr>
            </w:pPr>
          </w:p>
        </w:tc>
        <w:tc>
          <w:tcPr>
            <w:tcW w:w="1126" w:type="pct"/>
            <w:noWrap/>
            <w:vAlign w:val="bottom"/>
            <w:hideMark/>
          </w:tcPr>
          <w:p w14:paraId="00529AED"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(0.0001)</w:t>
            </w:r>
          </w:p>
        </w:tc>
        <w:tc>
          <w:tcPr>
            <w:tcW w:w="1125" w:type="pct"/>
            <w:noWrap/>
            <w:vAlign w:val="bottom"/>
            <w:hideMark/>
          </w:tcPr>
          <w:p w14:paraId="7C0E15B7"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(0.0002)</w:t>
            </w:r>
          </w:p>
        </w:tc>
      </w:tr>
      <w:tr w:rsidR="00130990" w:rsidRPr="00127BD1" w14:paraId="1F22FCE3" w14:textId="77777777" w:rsidTr="00623D9A">
        <w:trPr>
          <w:trHeight w:val="300"/>
        </w:trPr>
        <w:tc>
          <w:tcPr>
            <w:tcW w:w="1673" w:type="pct"/>
            <w:noWrap/>
            <w:vAlign w:val="bottom"/>
            <w:hideMark/>
          </w:tcPr>
          <w:p w14:paraId="6E6E29BA"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lag EXGG</w:t>
            </w:r>
          </w:p>
        </w:tc>
        <w:tc>
          <w:tcPr>
            <w:tcW w:w="1076" w:type="pct"/>
            <w:noWrap/>
            <w:vAlign w:val="bottom"/>
            <w:hideMark/>
          </w:tcPr>
          <w:p w14:paraId="1343A4C8" w14:textId="77777777" w:rsidR="00130990" w:rsidRPr="00127BD1" w:rsidRDefault="00130990" w:rsidP="00EC4DE0">
            <w:pPr>
              <w:rPr>
                <w:rFonts w:ascii="Times New Roman" w:eastAsia="Times New Roman" w:hAnsi="Times New Roman" w:cs="Times New Roman"/>
                <w:color w:val="000000"/>
                <w:sz w:val="22"/>
                <w:szCs w:val="22"/>
              </w:rPr>
            </w:pPr>
          </w:p>
        </w:tc>
        <w:tc>
          <w:tcPr>
            <w:tcW w:w="1126" w:type="pct"/>
            <w:noWrap/>
            <w:vAlign w:val="bottom"/>
            <w:hideMark/>
          </w:tcPr>
          <w:p w14:paraId="251548D3"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-0.0170</w:t>
            </w:r>
          </w:p>
        </w:tc>
        <w:tc>
          <w:tcPr>
            <w:tcW w:w="1125" w:type="pct"/>
            <w:noWrap/>
            <w:vAlign w:val="bottom"/>
            <w:hideMark/>
          </w:tcPr>
          <w:p w14:paraId="3C979B06"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-0.0344</w:t>
            </w:r>
          </w:p>
        </w:tc>
      </w:tr>
      <w:tr w:rsidR="00130990" w:rsidRPr="00127BD1" w14:paraId="79934946" w14:textId="77777777" w:rsidTr="00623D9A">
        <w:trPr>
          <w:trHeight w:val="300"/>
        </w:trPr>
        <w:tc>
          <w:tcPr>
            <w:tcW w:w="1673" w:type="pct"/>
            <w:noWrap/>
            <w:vAlign w:val="bottom"/>
            <w:hideMark/>
          </w:tcPr>
          <w:p w14:paraId="1C4C63CA" w14:textId="77777777" w:rsidR="00130990" w:rsidRPr="00127BD1" w:rsidRDefault="00130990" w:rsidP="00EC4DE0">
            <w:pPr>
              <w:rPr>
                <w:rFonts w:ascii="Times New Roman" w:eastAsia="Times New Roman" w:hAnsi="Times New Roman" w:cs="Times New Roman"/>
                <w:color w:val="000000"/>
                <w:sz w:val="22"/>
                <w:szCs w:val="22"/>
              </w:rPr>
            </w:pPr>
          </w:p>
        </w:tc>
        <w:tc>
          <w:tcPr>
            <w:tcW w:w="1076" w:type="pct"/>
            <w:noWrap/>
            <w:vAlign w:val="bottom"/>
            <w:hideMark/>
          </w:tcPr>
          <w:p w14:paraId="399CEF43" w14:textId="77777777" w:rsidR="00130990" w:rsidRPr="00127BD1" w:rsidRDefault="00130990" w:rsidP="00EC4DE0">
            <w:pPr>
              <w:rPr>
                <w:rFonts w:ascii="Times New Roman" w:eastAsia="Times New Roman" w:hAnsi="Times New Roman" w:cs="Times New Roman"/>
                <w:sz w:val="22"/>
                <w:szCs w:val="22"/>
              </w:rPr>
            </w:pPr>
          </w:p>
        </w:tc>
        <w:tc>
          <w:tcPr>
            <w:tcW w:w="1126" w:type="pct"/>
            <w:noWrap/>
            <w:vAlign w:val="bottom"/>
            <w:hideMark/>
          </w:tcPr>
          <w:p w14:paraId="54939DA1"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(0.0465)</w:t>
            </w:r>
          </w:p>
        </w:tc>
        <w:tc>
          <w:tcPr>
            <w:tcW w:w="1125" w:type="pct"/>
            <w:noWrap/>
            <w:vAlign w:val="bottom"/>
            <w:hideMark/>
          </w:tcPr>
          <w:p w14:paraId="3E12FD7C"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(0.0573)</w:t>
            </w:r>
          </w:p>
        </w:tc>
      </w:tr>
      <w:tr w:rsidR="00130990" w:rsidRPr="00127BD1" w14:paraId="5C005F9A" w14:textId="77777777" w:rsidTr="00623D9A">
        <w:trPr>
          <w:trHeight w:val="300"/>
        </w:trPr>
        <w:tc>
          <w:tcPr>
            <w:tcW w:w="1673" w:type="pct"/>
            <w:noWrap/>
            <w:vAlign w:val="bottom"/>
            <w:hideMark/>
          </w:tcPr>
          <w:p w14:paraId="226EEA5B"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lag DEBTGDP</w:t>
            </w:r>
          </w:p>
        </w:tc>
        <w:tc>
          <w:tcPr>
            <w:tcW w:w="1076" w:type="pct"/>
            <w:noWrap/>
            <w:vAlign w:val="bottom"/>
            <w:hideMark/>
          </w:tcPr>
          <w:p w14:paraId="14217C81" w14:textId="77777777" w:rsidR="00130990" w:rsidRPr="00127BD1" w:rsidRDefault="00130990" w:rsidP="00EC4DE0">
            <w:pPr>
              <w:rPr>
                <w:rFonts w:ascii="Times New Roman" w:eastAsia="Times New Roman" w:hAnsi="Times New Roman" w:cs="Times New Roman"/>
                <w:color w:val="000000"/>
                <w:sz w:val="22"/>
                <w:szCs w:val="22"/>
              </w:rPr>
            </w:pPr>
          </w:p>
        </w:tc>
        <w:tc>
          <w:tcPr>
            <w:tcW w:w="1126" w:type="pct"/>
            <w:noWrap/>
            <w:vAlign w:val="bottom"/>
            <w:hideMark/>
          </w:tcPr>
          <w:p w14:paraId="63B2135D"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-0.0000</w:t>
            </w:r>
          </w:p>
        </w:tc>
        <w:tc>
          <w:tcPr>
            <w:tcW w:w="1125" w:type="pct"/>
            <w:noWrap/>
            <w:vAlign w:val="bottom"/>
            <w:hideMark/>
          </w:tcPr>
          <w:p w14:paraId="419DC0F5"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-0.0001***</w:t>
            </w:r>
          </w:p>
        </w:tc>
      </w:tr>
      <w:tr w:rsidR="00130990" w:rsidRPr="00127BD1" w14:paraId="4686E98B" w14:textId="77777777" w:rsidTr="00623D9A">
        <w:trPr>
          <w:trHeight w:val="300"/>
        </w:trPr>
        <w:tc>
          <w:tcPr>
            <w:tcW w:w="1673" w:type="pct"/>
            <w:noWrap/>
            <w:vAlign w:val="bottom"/>
            <w:hideMark/>
          </w:tcPr>
          <w:p w14:paraId="156086AB" w14:textId="77777777" w:rsidR="00130990" w:rsidRPr="00127BD1" w:rsidRDefault="00130990" w:rsidP="00EC4DE0">
            <w:pPr>
              <w:rPr>
                <w:rFonts w:ascii="Times New Roman" w:eastAsia="Times New Roman" w:hAnsi="Times New Roman" w:cs="Times New Roman"/>
                <w:color w:val="000000"/>
                <w:sz w:val="22"/>
                <w:szCs w:val="22"/>
              </w:rPr>
            </w:pPr>
          </w:p>
        </w:tc>
        <w:tc>
          <w:tcPr>
            <w:tcW w:w="1076" w:type="pct"/>
            <w:noWrap/>
            <w:vAlign w:val="bottom"/>
            <w:hideMark/>
          </w:tcPr>
          <w:p w14:paraId="331AFAEE" w14:textId="77777777" w:rsidR="00130990" w:rsidRPr="00127BD1" w:rsidRDefault="00130990" w:rsidP="00EC4DE0">
            <w:pPr>
              <w:rPr>
                <w:rFonts w:ascii="Times New Roman" w:eastAsia="Times New Roman" w:hAnsi="Times New Roman" w:cs="Times New Roman"/>
                <w:sz w:val="22"/>
                <w:szCs w:val="22"/>
              </w:rPr>
            </w:pPr>
          </w:p>
        </w:tc>
        <w:tc>
          <w:tcPr>
            <w:tcW w:w="1126" w:type="pct"/>
            <w:noWrap/>
            <w:vAlign w:val="bottom"/>
            <w:hideMark/>
          </w:tcPr>
          <w:p w14:paraId="2D1947C4"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(0.0000)</w:t>
            </w:r>
          </w:p>
        </w:tc>
        <w:tc>
          <w:tcPr>
            <w:tcW w:w="1125" w:type="pct"/>
            <w:noWrap/>
            <w:vAlign w:val="bottom"/>
            <w:hideMark/>
          </w:tcPr>
          <w:p w14:paraId="3DE2F2BC"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(0.0000)</w:t>
            </w:r>
          </w:p>
        </w:tc>
      </w:tr>
      <w:tr w:rsidR="00130990" w:rsidRPr="00127BD1" w14:paraId="7844F9A3" w14:textId="77777777" w:rsidTr="00623D9A">
        <w:trPr>
          <w:trHeight w:val="300"/>
        </w:trPr>
        <w:tc>
          <w:tcPr>
            <w:tcW w:w="1673" w:type="pct"/>
            <w:noWrap/>
            <w:vAlign w:val="bottom"/>
            <w:hideMark/>
          </w:tcPr>
          <w:p w14:paraId="40BA4BC5"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sz w:val="22"/>
                <w:szCs w:val="22"/>
              </w:rPr>
              <w:t>lag LRATE</w:t>
            </w:r>
          </w:p>
        </w:tc>
        <w:tc>
          <w:tcPr>
            <w:tcW w:w="1076" w:type="pct"/>
            <w:noWrap/>
            <w:vAlign w:val="bottom"/>
            <w:hideMark/>
          </w:tcPr>
          <w:p w14:paraId="45F988FA" w14:textId="77777777" w:rsidR="00130990" w:rsidRPr="00127BD1" w:rsidRDefault="00130990" w:rsidP="00EC4DE0">
            <w:pPr>
              <w:rPr>
                <w:rFonts w:ascii="Times New Roman" w:eastAsia="Times New Roman" w:hAnsi="Times New Roman" w:cs="Times New Roman"/>
                <w:color w:val="000000"/>
                <w:sz w:val="22"/>
                <w:szCs w:val="22"/>
              </w:rPr>
            </w:pPr>
          </w:p>
        </w:tc>
        <w:tc>
          <w:tcPr>
            <w:tcW w:w="1126" w:type="pct"/>
            <w:noWrap/>
            <w:vAlign w:val="bottom"/>
            <w:hideMark/>
          </w:tcPr>
          <w:p w14:paraId="1108B272" w14:textId="77777777" w:rsidR="00130990" w:rsidRPr="00127BD1" w:rsidRDefault="00130990" w:rsidP="00EC4DE0">
            <w:pPr>
              <w:rPr>
                <w:rFonts w:ascii="Times New Roman" w:eastAsia="Times New Roman" w:hAnsi="Times New Roman" w:cs="Times New Roman"/>
                <w:sz w:val="22"/>
                <w:szCs w:val="22"/>
              </w:rPr>
            </w:pPr>
          </w:p>
        </w:tc>
        <w:tc>
          <w:tcPr>
            <w:tcW w:w="1125" w:type="pct"/>
            <w:noWrap/>
            <w:vAlign w:val="bottom"/>
            <w:hideMark/>
          </w:tcPr>
          <w:p w14:paraId="15B267CE"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0.0050***</w:t>
            </w:r>
          </w:p>
        </w:tc>
      </w:tr>
      <w:tr w:rsidR="00130990" w:rsidRPr="00127BD1" w14:paraId="035AB9EF" w14:textId="77777777" w:rsidTr="00623D9A">
        <w:trPr>
          <w:trHeight w:val="300"/>
        </w:trPr>
        <w:tc>
          <w:tcPr>
            <w:tcW w:w="1673" w:type="pct"/>
            <w:noWrap/>
            <w:vAlign w:val="bottom"/>
            <w:hideMark/>
          </w:tcPr>
          <w:p w14:paraId="0929DE13" w14:textId="77777777" w:rsidR="00130990" w:rsidRPr="00127BD1" w:rsidRDefault="00130990" w:rsidP="00EC4DE0">
            <w:pPr>
              <w:rPr>
                <w:rFonts w:ascii="Times New Roman" w:eastAsia="Times New Roman" w:hAnsi="Times New Roman" w:cs="Times New Roman"/>
                <w:color w:val="000000"/>
                <w:sz w:val="22"/>
                <w:szCs w:val="22"/>
              </w:rPr>
            </w:pPr>
          </w:p>
        </w:tc>
        <w:tc>
          <w:tcPr>
            <w:tcW w:w="1076" w:type="pct"/>
            <w:noWrap/>
            <w:vAlign w:val="bottom"/>
            <w:hideMark/>
          </w:tcPr>
          <w:p w14:paraId="26393C1F" w14:textId="77777777" w:rsidR="00130990" w:rsidRPr="00127BD1" w:rsidRDefault="00130990" w:rsidP="00EC4DE0">
            <w:pPr>
              <w:rPr>
                <w:rFonts w:ascii="Times New Roman" w:eastAsia="Times New Roman" w:hAnsi="Times New Roman" w:cs="Times New Roman"/>
                <w:sz w:val="22"/>
                <w:szCs w:val="22"/>
              </w:rPr>
            </w:pPr>
          </w:p>
        </w:tc>
        <w:tc>
          <w:tcPr>
            <w:tcW w:w="1126" w:type="pct"/>
            <w:noWrap/>
            <w:vAlign w:val="bottom"/>
            <w:hideMark/>
          </w:tcPr>
          <w:p w14:paraId="7CC43418" w14:textId="77777777" w:rsidR="00130990" w:rsidRPr="00127BD1" w:rsidRDefault="00130990" w:rsidP="00EC4DE0">
            <w:pPr>
              <w:rPr>
                <w:rFonts w:ascii="Times New Roman" w:eastAsia="Times New Roman" w:hAnsi="Times New Roman" w:cs="Times New Roman"/>
                <w:sz w:val="22"/>
                <w:szCs w:val="22"/>
              </w:rPr>
            </w:pPr>
          </w:p>
        </w:tc>
        <w:tc>
          <w:tcPr>
            <w:tcW w:w="1125" w:type="pct"/>
            <w:noWrap/>
            <w:vAlign w:val="bottom"/>
            <w:hideMark/>
          </w:tcPr>
          <w:p w14:paraId="0E0F7DD3"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(0.0010)</w:t>
            </w:r>
          </w:p>
        </w:tc>
      </w:tr>
      <w:tr w:rsidR="00130990" w:rsidRPr="00127BD1" w14:paraId="24D1400E" w14:textId="77777777" w:rsidTr="00623D9A">
        <w:trPr>
          <w:trHeight w:val="300"/>
        </w:trPr>
        <w:tc>
          <w:tcPr>
            <w:tcW w:w="1673" w:type="pct"/>
            <w:noWrap/>
            <w:vAlign w:val="bottom"/>
            <w:hideMark/>
          </w:tcPr>
          <w:p w14:paraId="4A9BB4BB" w14:textId="0BDE52F9" w:rsidR="00130990" w:rsidRPr="00127BD1" w:rsidRDefault="009F6FBD"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Obs.</w:t>
            </w:r>
          </w:p>
        </w:tc>
        <w:tc>
          <w:tcPr>
            <w:tcW w:w="1076" w:type="pct"/>
            <w:noWrap/>
            <w:vAlign w:val="bottom"/>
            <w:hideMark/>
          </w:tcPr>
          <w:p w14:paraId="52713888"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135955</w:t>
            </w:r>
          </w:p>
        </w:tc>
        <w:tc>
          <w:tcPr>
            <w:tcW w:w="1126" w:type="pct"/>
            <w:noWrap/>
            <w:vAlign w:val="bottom"/>
            <w:hideMark/>
          </w:tcPr>
          <w:p w14:paraId="5C92A800"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118484</w:t>
            </w:r>
          </w:p>
        </w:tc>
        <w:tc>
          <w:tcPr>
            <w:tcW w:w="1125" w:type="pct"/>
            <w:noWrap/>
            <w:vAlign w:val="bottom"/>
            <w:hideMark/>
          </w:tcPr>
          <w:p w14:paraId="0143E5BD"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55597</w:t>
            </w:r>
          </w:p>
        </w:tc>
      </w:tr>
      <w:tr w:rsidR="00130990" w:rsidRPr="00127BD1" w14:paraId="56205555" w14:textId="77777777" w:rsidTr="00623D9A">
        <w:trPr>
          <w:trHeight w:val="300"/>
        </w:trPr>
        <w:tc>
          <w:tcPr>
            <w:tcW w:w="1673" w:type="pct"/>
            <w:noWrap/>
            <w:vAlign w:val="bottom"/>
            <w:hideMark/>
          </w:tcPr>
          <w:p w14:paraId="0A931C00" w14:textId="7D6B3B3B" w:rsidR="00130990" w:rsidRPr="00127BD1" w:rsidRDefault="00F429A6"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Adj R</w:t>
            </w:r>
            <w:r w:rsidRPr="00127BD1">
              <w:rPr>
                <w:rFonts w:ascii="Times New Roman" w:eastAsia="Times New Roman" w:hAnsi="Times New Roman" w:cs="Times New Roman"/>
                <w:color w:val="000000"/>
                <w:sz w:val="22"/>
                <w:szCs w:val="22"/>
                <w:vertAlign w:val="superscript"/>
              </w:rPr>
              <w:t>2</w:t>
            </w:r>
          </w:p>
        </w:tc>
        <w:tc>
          <w:tcPr>
            <w:tcW w:w="1076" w:type="pct"/>
            <w:noWrap/>
            <w:vAlign w:val="bottom"/>
            <w:hideMark/>
          </w:tcPr>
          <w:p w14:paraId="48A5F2D8"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0.0226</w:t>
            </w:r>
          </w:p>
        </w:tc>
        <w:tc>
          <w:tcPr>
            <w:tcW w:w="1126" w:type="pct"/>
            <w:noWrap/>
            <w:vAlign w:val="bottom"/>
            <w:hideMark/>
          </w:tcPr>
          <w:p w14:paraId="21622B90"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0.0255</w:t>
            </w:r>
          </w:p>
        </w:tc>
        <w:tc>
          <w:tcPr>
            <w:tcW w:w="1125" w:type="pct"/>
            <w:noWrap/>
            <w:vAlign w:val="bottom"/>
            <w:hideMark/>
          </w:tcPr>
          <w:p w14:paraId="4E2E0270"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0.0310</w:t>
            </w:r>
          </w:p>
        </w:tc>
      </w:tr>
      <w:tr w:rsidR="00FF70BE" w:rsidRPr="00127BD1" w14:paraId="0EFE8310" w14:textId="77777777" w:rsidTr="00623D9A">
        <w:trPr>
          <w:trHeight w:val="300"/>
        </w:trPr>
        <w:tc>
          <w:tcPr>
            <w:tcW w:w="1673" w:type="pct"/>
            <w:noWrap/>
            <w:vAlign w:val="center"/>
          </w:tcPr>
          <w:p w14:paraId="44CD05EA" w14:textId="707C1F54" w:rsidR="00FF70BE" w:rsidRPr="00127BD1" w:rsidRDefault="00FF70BE" w:rsidP="00FF70BE">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Borrower Country*Quarter FE</w:t>
            </w:r>
          </w:p>
        </w:tc>
        <w:tc>
          <w:tcPr>
            <w:tcW w:w="1076" w:type="pct"/>
            <w:noWrap/>
            <w:vAlign w:val="bottom"/>
          </w:tcPr>
          <w:p w14:paraId="0868B196" w14:textId="1F757E5F" w:rsidR="00FF70BE" w:rsidRPr="00127BD1" w:rsidRDefault="00FF70BE" w:rsidP="00FF70BE">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w:t>
            </w:r>
            <w:r w:rsidR="005816FC" w:rsidRPr="00127BD1">
              <w:rPr>
                <w:rFonts w:ascii="Times New Roman" w:eastAsia="Times New Roman" w:hAnsi="Times New Roman" w:cs="Times New Roman"/>
                <w:color w:val="000000"/>
                <w:sz w:val="22"/>
                <w:szCs w:val="22"/>
              </w:rPr>
              <w:t>es</w:t>
            </w:r>
          </w:p>
        </w:tc>
        <w:tc>
          <w:tcPr>
            <w:tcW w:w="1126" w:type="pct"/>
            <w:noWrap/>
            <w:vAlign w:val="bottom"/>
          </w:tcPr>
          <w:p w14:paraId="33717739" w14:textId="6BC342A4" w:rsidR="00FF70BE" w:rsidRPr="00127BD1" w:rsidRDefault="00FF70BE" w:rsidP="00FF70BE">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w:t>
            </w:r>
            <w:r w:rsidR="005816FC" w:rsidRPr="00127BD1">
              <w:rPr>
                <w:rFonts w:ascii="Times New Roman" w:eastAsia="Times New Roman" w:hAnsi="Times New Roman" w:cs="Times New Roman"/>
                <w:color w:val="000000"/>
                <w:sz w:val="22"/>
                <w:szCs w:val="22"/>
              </w:rPr>
              <w:t>es</w:t>
            </w:r>
          </w:p>
        </w:tc>
        <w:tc>
          <w:tcPr>
            <w:tcW w:w="1125" w:type="pct"/>
            <w:noWrap/>
            <w:vAlign w:val="bottom"/>
          </w:tcPr>
          <w:p w14:paraId="22F7943C" w14:textId="0CE88C33" w:rsidR="00FF70BE" w:rsidRPr="00127BD1" w:rsidRDefault="00FF70BE" w:rsidP="00FF70BE">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w:t>
            </w:r>
            <w:r w:rsidR="005816FC" w:rsidRPr="00127BD1">
              <w:rPr>
                <w:rFonts w:ascii="Times New Roman" w:eastAsia="Times New Roman" w:hAnsi="Times New Roman" w:cs="Times New Roman"/>
                <w:color w:val="000000"/>
                <w:sz w:val="22"/>
                <w:szCs w:val="22"/>
              </w:rPr>
              <w:t>es</w:t>
            </w:r>
          </w:p>
        </w:tc>
      </w:tr>
    </w:tbl>
    <w:p w14:paraId="6AA7D29A" w14:textId="61E2CC7E" w:rsidR="00C93F15" w:rsidRPr="00127BD1" w:rsidRDefault="00130990" w:rsidP="00130990">
      <w:pPr>
        <w:rPr>
          <w:rFonts w:ascii="Times New Roman" w:hAnsi="Times New Roman" w:cs="Times New Roman"/>
          <w:sz w:val="20"/>
          <w:szCs w:val="20"/>
        </w:rPr>
      </w:pPr>
      <w:r w:rsidRPr="00127BD1">
        <w:rPr>
          <w:rFonts w:ascii="Times New Roman" w:hAnsi="Times New Roman" w:cs="Times New Roman"/>
          <w:sz w:val="20"/>
          <w:szCs w:val="20"/>
        </w:rPr>
        <w:t>Note: All variables are specified in</w:t>
      </w:r>
      <w:r w:rsidR="004D58AF" w:rsidRPr="00127BD1">
        <w:rPr>
          <w:rFonts w:ascii="Times New Roman" w:hAnsi="Times New Roman" w:cs="Times New Roman"/>
          <w:sz w:val="20"/>
          <w:szCs w:val="20"/>
        </w:rPr>
        <w:t xml:space="preserve"> the</w:t>
      </w:r>
      <w:r w:rsidRPr="00127BD1">
        <w:rPr>
          <w:rFonts w:ascii="Times New Roman" w:hAnsi="Times New Roman" w:cs="Times New Roman"/>
          <w:sz w:val="20"/>
          <w:szCs w:val="20"/>
        </w:rPr>
        <w:t xml:space="preserve"> Appendix. The dependent variables are the growth rate of exchange rate-adjusted cross-border claims. All independent variables are lagged by one period. </w:t>
      </w:r>
      <w:r w:rsidR="00C87D13" w:rsidRPr="00127BD1">
        <w:rPr>
          <w:rFonts w:ascii="Times New Roman" w:hAnsi="Times New Roman" w:cs="Times New Roman"/>
          <w:sz w:val="20"/>
          <w:szCs w:val="20"/>
        </w:rPr>
        <w:t xml:space="preserve">A recipient country-time fixed effect is included. </w:t>
      </w:r>
      <w:r w:rsidRPr="00127BD1">
        <w:rPr>
          <w:rFonts w:ascii="Times New Roman" w:hAnsi="Times New Roman" w:cs="Times New Roman"/>
          <w:sz w:val="20"/>
          <w:szCs w:val="20"/>
        </w:rPr>
        <w:t>Heteroskedasticity-robust standard errors are clustered at the source-recipient levels. *** denotes 1% significan</w:t>
      </w:r>
      <w:r w:rsidR="008C61C6" w:rsidRPr="00127BD1">
        <w:rPr>
          <w:rFonts w:ascii="Times New Roman" w:hAnsi="Times New Roman" w:cs="Times New Roman"/>
          <w:sz w:val="20"/>
          <w:szCs w:val="20"/>
        </w:rPr>
        <w:t>ce</w:t>
      </w:r>
      <w:r w:rsidRPr="00127BD1">
        <w:rPr>
          <w:rFonts w:ascii="Times New Roman" w:hAnsi="Times New Roman" w:cs="Times New Roman"/>
          <w:sz w:val="20"/>
          <w:szCs w:val="20"/>
        </w:rPr>
        <w:t xml:space="preserve"> level, ** denotes 5% significance level, and * denotes 10% significance level. </w:t>
      </w:r>
    </w:p>
    <w:p w14:paraId="15513410" w14:textId="77777777" w:rsidR="006B4570" w:rsidRPr="00127BD1" w:rsidRDefault="006B4570" w:rsidP="00C31CAA">
      <w:pPr>
        <w:spacing w:line="360" w:lineRule="auto"/>
        <w:rPr>
          <w:rFonts w:ascii="Times New Roman" w:hAnsi="Times New Roman" w:cs="Times New Roman"/>
          <w:b/>
          <w:bCs/>
          <w:sz w:val="22"/>
          <w:szCs w:val="22"/>
        </w:rPr>
        <w:sectPr w:rsidR="006B4570" w:rsidRPr="00127BD1" w:rsidSect="00C8430E">
          <w:pgSz w:w="11906" w:h="16838"/>
          <w:pgMar w:top="1440" w:right="1080" w:bottom="1440" w:left="1080" w:header="708" w:footer="708" w:gutter="0"/>
          <w:cols w:space="708"/>
          <w:docGrid w:linePitch="360"/>
        </w:sectPr>
      </w:pPr>
    </w:p>
    <w:p w14:paraId="2ADE285E" w14:textId="16418569" w:rsidR="00130990" w:rsidRPr="00127BD1" w:rsidRDefault="00130990" w:rsidP="00C31CAA">
      <w:pPr>
        <w:spacing w:line="360" w:lineRule="auto"/>
        <w:rPr>
          <w:rFonts w:ascii="Times New Roman" w:hAnsi="Times New Roman" w:cs="Times New Roman"/>
          <w:sz w:val="22"/>
          <w:szCs w:val="22"/>
        </w:rPr>
      </w:pPr>
      <w:r w:rsidRPr="00127BD1">
        <w:rPr>
          <w:rFonts w:ascii="Times New Roman" w:hAnsi="Times New Roman" w:cs="Times New Roman"/>
          <w:b/>
          <w:bCs/>
          <w:sz w:val="22"/>
          <w:szCs w:val="22"/>
        </w:rPr>
        <w:lastRenderedPageBreak/>
        <w:t>Table 4</w:t>
      </w:r>
      <w:r w:rsidR="008C61C6" w:rsidRPr="00127BD1">
        <w:rPr>
          <w:rFonts w:ascii="Times New Roman" w:hAnsi="Times New Roman" w:cs="Times New Roman"/>
          <w:sz w:val="22"/>
          <w:szCs w:val="22"/>
        </w:rPr>
        <w:t xml:space="preserve"> </w:t>
      </w:r>
      <w:r w:rsidR="00B04C83" w:rsidRPr="00127BD1">
        <w:rPr>
          <w:rFonts w:ascii="Times New Roman" w:hAnsi="Times New Roman" w:cs="Times New Roman"/>
          <w:sz w:val="22"/>
          <w:szCs w:val="22"/>
        </w:rPr>
        <w:t>Further analysis: country-pair level baseline results</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2268"/>
        <w:gridCol w:w="1246"/>
        <w:gridCol w:w="1246"/>
        <w:gridCol w:w="1247"/>
        <w:gridCol w:w="1246"/>
        <w:gridCol w:w="1246"/>
        <w:gridCol w:w="1247"/>
      </w:tblGrid>
      <w:tr w:rsidR="00130990" w:rsidRPr="00127BD1" w14:paraId="32E5B15B" w14:textId="77777777" w:rsidTr="00FF70BE">
        <w:trPr>
          <w:trHeight w:val="300"/>
        </w:trPr>
        <w:tc>
          <w:tcPr>
            <w:tcW w:w="1164" w:type="pct"/>
            <w:tcBorders>
              <w:top w:val="single" w:sz="4" w:space="0" w:color="auto"/>
              <w:bottom w:val="single" w:sz="4" w:space="0" w:color="auto"/>
            </w:tcBorders>
            <w:noWrap/>
            <w:vAlign w:val="center"/>
            <w:hideMark/>
          </w:tcPr>
          <w:p w14:paraId="27BF6EC6" w14:textId="77777777" w:rsidR="00130990" w:rsidRPr="00127BD1" w:rsidRDefault="00130990" w:rsidP="00EC4DE0">
            <w:pPr>
              <w:rPr>
                <w:rFonts w:ascii="Times New Roman" w:eastAsia="Times New Roman" w:hAnsi="Times New Roman" w:cs="Times New Roman"/>
                <w:sz w:val="22"/>
                <w:szCs w:val="22"/>
              </w:rPr>
            </w:pPr>
          </w:p>
        </w:tc>
        <w:tc>
          <w:tcPr>
            <w:tcW w:w="639" w:type="pct"/>
            <w:tcBorders>
              <w:top w:val="single" w:sz="4" w:space="0" w:color="auto"/>
              <w:bottom w:val="single" w:sz="4" w:space="0" w:color="auto"/>
            </w:tcBorders>
            <w:vAlign w:val="center"/>
          </w:tcPr>
          <w:p w14:paraId="7609667C"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(1)</w:t>
            </w:r>
          </w:p>
        </w:tc>
        <w:tc>
          <w:tcPr>
            <w:tcW w:w="639" w:type="pct"/>
            <w:tcBorders>
              <w:top w:val="single" w:sz="4" w:space="0" w:color="auto"/>
              <w:bottom w:val="single" w:sz="4" w:space="0" w:color="auto"/>
            </w:tcBorders>
            <w:vAlign w:val="center"/>
          </w:tcPr>
          <w:p w14:paraId="61ADAAF7"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(2)</w:t>
            </w:r>
          </w:p>
        </w:tc>
        <w:tc>
          <w:tcPr>
            <w:tcW w:w="640" w:type="pct"/>
            <w:tcBorders>
              <w:top w:val="single" w:sz="4" w:space="0" w:color="auto"/>
              <w:bottom w:val="single" w:sz="4" w:space="0" w:color="auto"/>
            </w:tcBorders>
            <w:noWrap/>
            <w:vAlign w:val="center"/>
            <w:hideMark/>
          </w:tcPr>
          <w:p w14:paraId="5E84B2C0"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(3)</w:t>
            </w:r>
          </w:p>
        </w:tc>
        <w:tc>
          <w:tcPr>
            <w:tcW w:w="639" w:type="pct"/>
            <w:tcBorders>
              <w:top w:val="single" w:sz="4" w:space="0" w:color="auto"/>
              <w:bottom w:val="single" w:sz="4" w:space="0" w:color="auto"/>
            </w:tcBorders>
            <w:noWrap/>
            <w:vAlign w:val="center"/>
            <w:hideMark/>
          </w:tcPr>
          <w:p w14:paraId="23CA549B"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(4)</w:t>
            </w:r>
          </w:p>
        </w:tc>
        <w:tc>
          <w:tcPr>
            <w:tcW w:w="639" w:type="pct"/>
            <w:tcBorders>
              <w:top w:val="single" w:sz="4" w:space="0" w:color="auto"/>
              <w:bottom w:val="single" w:sz="4" w:space="0" w:color="auto"/>
            </w:tcBorders>
            <w:noWrap/>
            <w:vAlign w:val="center"/>
            <w:hideMark/>
          </w:tcPr>
          <w:p w14:paraId="241C8485"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(5)</w:t>
            </w:r>
          </w:p>
        </w:tc>
        <w:tc>
          <w:tcPr>
            <w:tcW w:w="640" w:type="pct"/>
            <w:tcBorders>
              <w:top w:val="single" w:sz="4" w:space="0" w:color="auto"/>
              <w:bottom w:val="single" w:sz="4" w:space="0" w:color="auto"/>
            </w:tcBorders>
            <w:vAlign w:val="center"/>
          </w:tcPr>
          <w:p w14:paraId="75149D5B"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(6)</w:t>
            </w:r>
          </w:p>
        </w:tc>
      </w:tr>
      <w:tr w:rsidR="00130990" w:rsidRPr="00127BD1" w14:paraId="047D3C9C" w14:textId="77777777" w:rsidTr="00FF70BE">
        <w:trPr>
          <w:trHeight w:val="300"/>
        </w:trPr>
        <w:tc>
          <w:tcPr>
            <w:tcW w:w="1164" w:type="pct"/>
            <w:tcBorders>
              <w:top w:val="single" w:sz="4" w:space="0" w:color="auto"/>
            </w:tcBorders>
            <w:noWrap/>
            <w:vAlign w:val="center"/>
            <w:hideMark/>
          </w:tcPr>
          <w:p w14:paraId="30D1CF4B" w14:textId="3B3B037C"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sz w:val="22"/>
                <w:szCs w:val="22"/>
              </w:rPr>
              <w:t>lag AM</w:t>
            </w:r>
            <w:r w:rsidR="00D8347E" w:rsidRPr="00127BD1">
              <w:rPr>
                <w:rFonts w:ascii="Times New Roman" w:hAnsi="Times New Roman" w:cs="Times New Roman"/>
                <w:sz w:val="22"/>
                <w:szCs w:val="22"/>
              </w:rPr>
              <w:t>B</w:t>
            </w:r>
          </w:p>
        </w:tc>
        <w:tc>
          <w:tcPr>
            <w:tcW w:w="639" w:type="pct"/>
            <w:tcBorders>
              <w:top w:val="single" w:sz="4" w:space="0" w:color="auto"/>
            </w:tcBorders>
            <w:vAlign w:val="center"/>
          </w:tcPr>
          <w:p w14:paraId="7C0A44E9"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0.0222***</w:t>
            </w:r>
          </w:p>
        </w:tc>
        <w:tc>
          <w:tcPr>
            <w:tcW w:w="639" w:type="pct"/>
            <w:tcBorders>
              <w:top w:val="single" w:sz="4" w:space="0" w:color="auto"/>
            </w:tcBorders>
            <w:vAlign w:val="center"/>
          </w:tcPr>
          <w:p w14:paraId="3102A897"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0.0139*</w:t>
            </w:r>
          </w:p>
        </w:tc>
        <w:tc>
          <w:tcPr>
            <w:tcW w:w="640" w:type="pct"/>
            <w:tcBorders>
              <w:top w:val="single" w:sz="4" w:space="0" w:color="auto"/>
            </w:tcBorders>
            <w:noWrap/>
            <w:vAlign w:val="center"/>
            <w:hideMark/>
          </w:tcPr>
          <w:p w14:paraId="4E0A6BC4"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0.0250***</w:t>
            </w:r>
          </w:p>
        </w:tc>
        <w:tc>
          <w:tcPr>
            <w:tcW w:w="639" w:type="pct"/>
            <w:tcBorders>
              <w:top w:val="single" w:sz="4" w:space="0" w:color="auto"/>
            </w:tcBorders>
            <w:noWrap/>
            <w:vAlign w:val="center"/>
            <w:hideMark/>
          </w:tcPr>
          <w:p w14:paraId="00D51FEA"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0.0218***</w:t>
            </w:r>
          </w:p>
        </w:tc>
        <w:tc>
          <w:tcPr>
            <w:tcW w:w="639" w:type="pct"/>
            <w:tcBorders>
              <w:top w:val="single" w:sz="4" w:space="0" w:color="auto"/>
            </w:tcBorders>
            <w:noWrap/>
            <w:vAlign w:val="center"/>
            <w:hideMark/>
          </w:tcPr>
          <w:p w14:paraId="0B360218"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0.0123**</w:t>
            </w:r>
          </w:p>
        </w:tc>
        <w:tc>
          <w:tcPr>
            <w:tcW w:w="640" w:type="pct"/>
            <w:tcBorders>
              <w:top w:val="single" w:sz="4" w:space="0" w:color="auto"/>
            </w:tcBorders>
            <w:vAlign w:val="center"/>
          </w:tcPr>
          <w:p w14:paraId="31FAFB08"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0.0231**</w:t>
            </w:r>
          </w:p>
        </w:tc>
      </w:tr>
      <w:tr w:rsidR="00130990" w:rsidRPr="00127BD1" w14:paraId="0DFCF3AD" w14:textId="77777777" w:rsidTr="00FF70BE">
        <w:trPr>
          <w:trHeight w:val="300"/>
        </w:trPr>
        <w:tc>
          <w:tcPr>
            <w:tcW w:w="1164" w:type="pct"/>
            <w:noWrap/>
            <w:vAlign w:val="center"/>
            <w:hideMark/>
          </w:tcPr>
          <w:p w14:paraId="538AEE92" w14:textId="77777777" w:rsidR="00130990" w:rsidRPr="00127BD1" w:rsidRDefault="00130990" w:rsidP="00EC4DE0">
            <w:pPr>
              <w:rPr>
                <w:rFonts w:ascii="Times New Roman" w:eastAsia="Times New Roman" w:hAnsi="Times New Roman" w:cs="Times New Roman"/>
                <w:color w:val="000000"/>
                <w:sz w:val="22"/>
                <w:szCs w:val="22"/>
              </w:rPr>
            </w:pPr>
          </w:p>
        </w:tc>
        <w:tc>
          <w:tcPr>
            <w:tcW w:w="639" w:type="pct"/>
            <w:vAlign w:val="center"/>
          </w:tcPr>
          <w:p w14:paraId="13EF3A96"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(0.0045)</w:t>
            </w:r>
          </w:p>
        </w:tc>
        <w:tc>
          <w:tcPr>
            <w:tcW w:w="639" w:type="pct"/>
            <w:vAlign w:val="center"/>
          </w:tcPr>
          <w:p w14:paraId="5BA738B3"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(0.0081)</w:t>
            </w:r>
          </w:p>
        </w:tc>
        <w:tc>
          <w:tcPr>
            <w:tcW w:w="640" w:type="pct"/>
            <w:noWrap/>
            <w:vAlign w:val="center"/>
            <w:hideMark/>
          </w:tcPr>
          <w:p w14:paraId="39370B50"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(0.0043)</w:t>
            </w:r>
          </w:p>
        </w:tc>
        <w:tc>
          <w:tcPr>
            <w:tcW w:w="639" w:type="pct"/>
            <w:noWrap/>
            <w:vAlign w:val="center"/>
            <w:hideMark/>
          </w:tcPr>
          <w:p w14:paraId="0FB9BF34"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(0.0077)</w:t>
            </w:r>
          </w:p>
        </w:tc>
        <w:tc>
          <w:tcPr>
            <w:tcW w:w="639" w:type="pct"/>
            <w:noWrap/>
            <w:vAlign w:val="center"/>
            <w:hideMark/>
          </w:tcPr>
          <w:p w14:paraId="63E8D7C6"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(0.0056)</w:t>
            </w:r>
          </w:p>
        </w:tc>
        <w:tc>
          <w:tcPr>
            <w:tcW w:w="640" w:type="pct"/>
            <w:vAlign w:val="center"/>
          </w:tcPr>
          <w:p w14:paraId="76AAB55F"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(0.0104)</w:t>
            </w:r>
          </w:p>
        </w:tc>
      </w:tr>
      <w:tr w:rsidR="00130990" w:rsidRPr="00127BD1" w14:paraId="18472088" w14:textId="77777777" w:rsidTr="00FF70BE">
        <w:trPr>
          <w:trHeight w:val="300"/>
        </w:trPr>
        <w:tc>
          <w:tcPr>
            <w:tcW w:w="1164" w:type="pct"/>
            <w:noWrap/>
            <w:vAlign w:val="center"/>
          </w:tcPr>
          <w:p w14:paraId="3C1CF88F"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lag SIGMA</w:t>
            </w:r>
          </w:p>
        </w:tc>
        <w:tc>
          <w:tcPr>
            <w:tcW w:w="639" w:type="pct"/>
            <w:vAlign w:val="center"/>
          </w:tcPr>
          <w:p w14:paraId="3E784F14"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-0.0824</w:t>
            </w:r>
          </w:p>
        </w:tc>
        <w:tc>
          <w:tcPr>
            <w:tcW w:w="639" w:type="pct"/>
            <w:vAlign w:val="center"/>
          </w:tcPr>
          <w:p w14:paraId="287E96E5"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-0.2947*</w:t>
            </w:r>
          </w:p>
        </w:tc>
        <w:tc>
          <w:tcPr>
            <w:tcW w:w="640" w:type="pct"/>
            <w:noWrap/>
            <w:vAlign w:val="center"/>
          </w:tcPr>
          <w:p w14:paraId="1B6FA6DC" w14:textId="77777777" w:rsidR="00130990" w:rsidRPr="00127BD1" w:rsidRDefault="00130990" w:rsidP="00EC4DE0">
            <w:pPr>
              <w:rPr>
                <w:rFonts w:ascii="Times New Roman" w:hAnsi="Times New Roman" w:cs="Times New Roman"/>
                <w:color w:val="000000"/>
                <w:sz w:val="22"/>
                <w:szCs w:val="22"/>
              </w:rPr>
            </w:pPr>
          </w:p>
        </w:tc>
        <w:tc>
          <w:tcPr>
            <w:tcW w:w="639" w:type="pct"/>
            <w:noWrap/>
            <w:vAlign w:val="center"/>
          </w:tcPr>
          <w:p w14:paraId="25610D55" w14:textId="77777777" w:rsidR="00130990" w:rsidRPr="00127BD1" w:rsidRDefault="00130990" w:rsidP="00EC4DE0">
            <w:pPr>
              <w:rPr>
                <w:rFonts w:ascii="Times New Roman" w:hAnsi="Times New Roman" w:cs="Times New Roman"/>
                <w:color w:val="000000"/>
                <w:sz w:val="22"/>
                <w:szCs w:val="22"/>
              </w:rPr>
            </w:pPr>
          </w:p>
        </w:tc>
        <w:tc>
          <w:tcPr>
            <w:tcW w:w="639" w:type="pct"/>
            <w:noWrap/>
            <w:vAlign w:val="center"/>
          </w:tcPr>
          <w:p w14:paraId="17492D54" w14:textId="77777777" w:rsidR="00130990" w:rsidRPr="00127BD1" w:rsidRDefault="00130990" w:rsidP="00EC4DE0">
            <w:pPr>
              <w:rPr>
                <w:rFonts w:ascii="Times New Roman" w:hAnsi="Times New Roman" w:cs="Times New Roman"/>
                <w:color w:val="000000"/>
                <w:sz w:val="22"/>
                <w:szCs w:val="22"/>
              </w:rPr>
            </w:pPr>
          </w:p>
        </w:tc>
        <w:tc>
          <w:tcPr>
            <w:tcW w:w="640" w:type="pct"/>
            <w:vAlign w:val="center"/>
          </w:tcPr>
          <w:p w14:paraId="6D5CB2E0" w14:textId="77777777" w:rsidR="00130990" w:rsidRPr="00127BD1" w:rsidRDefault="00130990" w:rsidP="00EC4DE0">
            <w:pPr>
              <w:rPr>
                <w:rFonts w:ascii="Times New Roman" w:hAnsi="Times New Roman" w:cs="Times New Roman"/>
                <w:color w:val="000000"/>
                <w:sz w:val="22"/>
                <w:szCs w:val="22"/>
              </w:rPr>
            </w:pPr>
          </w:p>
        </w:tc>
      </w:tr>
      <w:tr w:rsidR="00130990" w:rsidRPr="00127BD1" w14:paraId="3B7BEF25" w14:textId="77777777" w:rsidTr="00FF70BE">
        <w:trPr>
          <w:trHeight w:val="300"/>
        </w:trPr>
        <w:tc>
          <w:tcPr>
            <w:tcW w:w="1164" w:type="pct"/>
            <w:noWrap/>
            <w:vAlign w:val="center"/>
          </w:tcPr>
          <w:p w14:paraId="7BB7BD45" w14:textId="77777777" w:rsidR="00130990" w:rsidRPr="00127BD1" w:rsidRDefault="00130990" w:rsidP="00EC4DE0">
            <w:pPr>
              <w:rPr>
                <w:rFonts w:ascii="Times New Roman" w:eastAsia="Times New Roman" w:hAnsi="Times New Roman" w:cs="Times New Roman"/>
                <w:color w:val="000000"/>
                <w:sz w:val="22"/>
                <w:szCs w:val="22"/>
              </w:rPr>
            </w:pPr>
          </w:p>
        </w:tc>
        <w:tc>
          <w:tcPr>
            <w:tcW w:w="639" w:type="pct"/>
            <w:vAlign w:val="center"/>
          </w:tcPr>
          <w:p w14:paraId="52E5054A"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(0.0822)</w:t>
            </w:r>
          </w:p>
        </w:tc>
        <w:tc>
          <w:tcPr>
            <w:tcW w:w="639" w:type="pct"/>
            <w:vAlign w:val="center"/>
          </w:tcPr>
          <w:p w14:paraId="3708C039"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(0.1756)</w:t>
            </w:r>
          </w:p>
        </w:tc>
        <w:tc>
          <w:tcPr>
            <w:tcW w:w="640" w:type="pct"/>
            <w:noWrap/>
            <w:vAlign w:val="center"/>
          </w:tcPr>
          <w:p w14:paraId="65C32A77" w14:textId="77777777" w:rsidR="00130990" w:rsidRPr="00127BD1" w:rsidRDefault="00130990" w:rsidP="00EC4DE0">
            <w:pPr>
              <w:rPr>
                <w:rFonts w:ascii="Times New Roman" w:hAnsi="Times New Roman" w:cs="Times New Roman"/>
                <w:color w:val="000000"/>
                <w:sz w:val="22"/>
                <w:szCs w:val="22"/>
              </w:rPr>
            </w:pPr>
          </w:p>
        </w:tc>
        <w:tc>
          <w:tcPr>
            <w:tcW w:w="639" w:type="pct"/>
            <w:noWrap/>
            <w:vAlign w:val="center"/>
          </w:tcPr>
          <w:p w14:paraId="0B40F651" w14:textId="77777777" w:rsidR="00130990" w:rsidRPr="00127BD1" w:rsidRDefault="00130990" w:rsidP="00EC4DE0">
            <w:pPr>
              <w:rPr>
                <w:rFonts w:ascii="Times New Roman" w:hAnsi="Times New Roman" w:cs="Times New Roman"/>
                <w:color w:val="000000"/>
                <w:sz w:val="22"/>
                <w:szCs w:val="22"/>
              </w:rPr>
            </w:pPr>
          </w:p>
        </w:tc>
        <w:tc>
          <w:tcPr>
            <w:tcW w:w="639" w:type="pct"/>
            <w:noWrap/>
            <w:vAlign w:val="center"/>
          </w:tcPr>
          <w:p w14:paraId="56364828" w14:textId="77777777" w:rsidR="00130990" w:rsidRPr="00127BD1" w:rsidRDefault="00130990" w:rsidP="00EC4DE0">
            <w:pPr>
              <w:rPr>
                <w:rFonts w:ascii="Times New Roman" w:hAnsi="Times New Roman" w:cs="Times New Roman"/>
                <w:color w:val="000000"/>
                <w:sz w:val="22"/>
                <w:szCs w:val="22"/>
              </w:rPr>
            </w:pPr>
          </w:p>
        </w:tc>
        <w:tc>
          <w:tcPr>
            <w:tcW w:w="640" w:type="pct"/>
            <w:vAlign w:val="center"/>
          </w:tcPr>
          <w:p w14:paraId="7B7B125A" w14:textId="77777777" w:rsidR="00130990" w:rsidRPr="00127BD1" w:rsidRDefault="00130990" w:rsidP="00EC4DE0">
            <w:pPr>
              <w:rPr>
                <w:rFonts w:ascii="Times New Roman" w:hAnsi="Times New Roman" w:cs="Times New Roman"/>
                <w:color w:val="000000"/>
                <w:sz w:val="22"/>
                <w:szCs w:val="22"/>
              </w:rPr>
            </w:pPr>
          </w:p>
        </w:tc>
      </w:tr>
      <w:tr w:rsidR="00130990" w:rsidRPr="00127BD1" w14:paraId="27EA0279" w14:textId="77777777" w:rsidTr="00FF70BE">
        <w:trPr>
          <w:trHeight w:val="300"/>
        </w:trPr>
        <w:tc>
          <w:tcPr>
            <w:tcW w:w="1164" w:type="pct"/>
            <w:noWrap/>
            <w:vAlign w:val="bottom"/>
            <w:hideMark/>
          </w:tcPr>
          <w:p w14:paraId="1C924060"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lag RGDPG</w:t>
            </w:r>
          </w:p>
        </w:tc>
        <w:tc>
          <w:tcPr>
            <w:tcW w:w="639" w:type="pct"/>
            <w:vAlign w:val="center"/>
          </w:tcPr>
          <w:p w14:paraId="31BC65DD"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0.0002</w:t>
            </w:r>
          </w:p>
        </w:tc>
        <w:tc>
          <w:tcPr>
            <w:tcW w:w="639" w:type="pct"/>
            <w:vAlign w:val="center"/>
          </w:tcPr>
          <w:p w14:paraId="239C9199"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-0.0036**</w:t>
            </w:r>
          </w:p>
        </w:tc>
        <w:tc>
          <w:tcPr>
            <w:tcW w:w="640" w:type="pct"/>
            <w:noWrap/>
            <w:vAlign w:val="center"/>
            <w:hideMark/>
          </w:tcPr>
          <w:p w14:paraId="488A6AE8"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0.0003</w:t>
            </w:r>
          </w:p>
        </w:tc>
        <w:tc>
          <w:tcPr>
            <w:tcW w:w="639" w:type="pct"/>
            <w:noWrap/>
            <w:vAlign w:val="center"/>
            <w:hideMark/>
          </w:tcPr>
          <w:p w14:paraId="01341556"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-0.0025</w:t>
            </w:r>
          </w:p>
        </w:tc>
        <w:tc>
          <w:tcPr>
            <w:tcW w:w="639" w:type="pct"/>
            <w:noWrap/>
            <w:vAlign w:val="center"/>
            <w:hideMark/>
          </w:tcPr>
          <w:p w14:paraId="4623298E"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0.0001</w:t>
            </w:r>
          </w:p>
        </w:tc>
        <w:tc>
          <w:tcPr>
            <w:tcW w:w="640" w:type="pct"/>
            <w:vAlign w:val="center"/>
          </w:tcPr>
          <w:p w14:paraId="4DFE17F5"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-0.0023</w:t>
            </w:r>
          </w:p>
        </w:tc>
      </w:tr>
      <w:tr w:rsidR="00130990" w:rsidRPr="00127BD1" w14:paraId="4AD56E5D" w14:textId="77777777" w:rsidTr="00FF70BE">
        <w:trPr>
          <w:trHeight w:val="300"/>
        </w:trPr>
        <w:tc>
          <w:tcPr>
            <w:tcW w:w="1164" w:type="pct"/>
            <w:noWrap/>
            <w:vAlign w:val="bottom"/>
            <w:hideMark/>
          </w:tcPr>
          <w:p w14:paraId="576DA815" w14:textId="77777777" w:rsidR="00130990" w:rsidRPr="00127BD1" w:rsidRDefault="00130990" w:rsidP="00EC4DE0">
            <w:pPr>
              <w:rPr>
                <w:rFonts w:ascii="Times New Roman" w:eastAsia="Times New Roman" w:hAnsi="Times New Roman" w:cs="Times New Roman"/>
                <w:color w:val="000000"/>
                <w:sz w:val="22"/>
                <w:szCs w:val="22"/>
              </w:rPr>
            </w:pPr>
          </w:p>
        </w:tc>
        <w:tc>
          <w:tcPr>
            <w:tcW w:w="639" w:type="pct"/>
            <w:vAlign w:val="center"/>
          </w:tcPr>
          <w:p w14:paraId="24D61C73"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(0.0008)</w:t>
            </w:r>
          </w:p>
        </w:tc>
        <w:tc>
          <w:tcPr>
            <w:tcW w:w="639" w:type="pct"/>
            <w:vAlign w:val="center"/>
          </w:tcPr>
          <w:p w14:paraId="450E340E"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(0.0017)</w:t>
            </w:r>
          </w:p>
        </w:tc>
        <w:tc>
          <w:tcPr>
            <w:tcW w:w="640" w:type="pct"/>
            <w:noWrap/>
            <w:vAlign w:val="center"/>
            <w:hideMark/>
          </w:tcPr>
          <w:p w14:paraId="4CEFD37A" w14:textId="77777777" w:rsidR="00130990" w:rsidRPr="00127BD1" w:rsidRDefault="00130990" w:rsidP="00EC4DE0">
            <w:pPr>
              <w:rPr>
                <w:rFonts w:ascii="Times New Roman" w:eastAsia="Times New Roman" w:hAnsi="Times New Roman" w:cs="Times New Roman"/>
                <w:sz w:val="22"/>
                <w:szCs w:val="22"/>
              </w:rPr>
            </w:pPr>
            <w:r w:rsidRPr="00127BD1">
              <w:rPr>
                <w:rFonts w:ascii="Times New Roman" w:hAnsi="Times New Roman" w:cs="Times New Roman"/>
                <w:color w:val="000000"/>
                <w:sz w:val="22"/>
                <w:szCs w:val="22"/>
              </w:rPr>
              <w:t>(0.0009)</w:t>
            </w:r>
          </w:p>
        </w:tc>
        <w:tc>
          <w:tcPr>
            <w:tcW w:w="639" w:type="pct"/>
            <w:noWrap/>
            <w:vAlign w:val="center"/>
            <w:hideMark/>
          </w:tcPr>
          <w:p w14:paraId="2790D9B8"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(0.0017)</w:t>
            </w:r>
          </w:p>
        </w:tc>
        <w:tc>
          <w:tcPr>
            <w:tcW w:w="639" w:type="pct"/>
            <w:noWrap/>
            <w:vAlign w:val="center"/>
            <w:hideMark/>
          </w:tcPr>
          <w:p w14:paraId="7AFD3EFB"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(0.0009)</w:t>
            </w:r>
          </w:p>
        </w:tc>
        <w:tc>
          <w:tcPr>
            <w:tcW w:w="640" w:type="pct"/>
            <w:vAlign w:val="center"/>
          </w:tcPr>
          <w:p w14:paraId="60662CE6"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(0.0018)</w:t>
            </w:r>
          </w:p>
        </w:tc>
      </w:tr>
      <w:tr w:rsidR="00130990" w:rsidRPr="00127BD1" w14:paraId="42ABE2E5" w14:textId="77777777" w:rsidTr="00FF70BE">
        <w:trPr>
          <w:trHeight w:val="300"/>
        </w:trPr>
        <w:tc>
          <w:tcPr>
            <w:tcW w:w="1164" w:type="pct"/>
            <w:noWrap/>
            <w:vAlign w:val="bottom"/>
            <w:hideMark/>
          </w:tcPr>
          <w:p w14:paraId="78F7B475"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 xml:space="preserve">lag </w:t>
            </w:r>
            <w:r w:rsidRPr="00127BD1">
              <w:rPr>
                <w:rFonts w:ascii="Times New Roman" w:hAnsi="Times New Roman" w:cs="Times New Roman"/>
                <w:sz w:val="22"/>
                <w:szCs w:val="22"/>
              </w:rPr>
              <w:t>INFLA</w:t>
            </w:r>
          </w:p>
        </w:tc>
        <w:tc>
          <w:tcPr>
            <w:tcW w:w="639" w:type="pct"/>
            <w:vAlign w:val="center"/>
          </w:tcPr>
          <w:p w14:paraId="51D2E211"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0.0001</w:t>
            </w:r>
          </w:p>
        </w:tc>
        <w:tc>
          <w:tcPr>
            <w:tcW w:w="639" w:type="pct"/>
            <w:vAlign w:val="center"/>
          </w:tcPr>
          <w:p w14:paraId="22377FDE"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0.0007***</w:t>
            </w:r>
          </w:p>
        </w:tc>
        <w:tc>
          <w:tcPr>
            <w:tcW w:w="640" w:type="pct"/>
            <w:noWrap/>
            <w:vAlign w:val="center"/>
            <w:hideMark/>
          </w:tcPr>
          <w:p w14:paraId="46312B62"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0.0001</w:t>
            </w:r>
          </w:p>
        </w:tc>
        <w:tc>
          <w:tcPr>
            <w:tcW w:w="639" w:type="pct"/>
            <w:noWrap/>
            <w:vAlign w:val="center"/>
            <w:hideMark/>
          </w:tcPr>
          <w:p w14:paraId="675A303B"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0.0007***</w:t>
            </w:r>
          </w:p>
        </w:tc>
        <w:tc>
          <w:tcPr>
            <w:tcW w:w="639" w:type="pct"/>
            <w:noWrap/>
            <w:vAlign w:val="center"/>
            <w:hideMark/>
          </w:tcPr>
          <w:p w14:paraId="09F93B47"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0.0009***</w:t>
            </w:r>
          </w:p>
        </w:tc>
        <w:tc>
          <w:tcPr>
            <w:tcW w:w="640" w:type="pct"/>
            <w:vAlign w:val="center"/>
          </w:tcPr>
          <w:p w14:paraId="3963BF3A"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0.0008***</w:t>
            </w:r>
          </w:p>
        </w:tc>
      </w:tr>
      <w:tr w:rsidR="00130990" w:rsidRPr="00127BD1" w14:paraId="4AD771B8" w14:textId="77777777" w:rsidTr="00FF70BE">
        <w:trPr>
          <w:trHeight w:val="300"/>
        </w:trPr>
        <w:tc>
          <w:tcPr>
            <w:tcW w:w="1164" w:type="pct"/>
            <w:noWrap/>
            <w:vAlign w:val="bottom"/>
            <w:hideMark/>
          </w:tcPr>
          <w:p w14:paraId="572C4854" w14:textId="77777777" w:rsidR="00130990" w:rsidRPr="00127BD1" w:rsidRDefault="00130990" w:rsidP="00EC4DE0">
            <w:pPr>
              <w:rPr>
                <w:rFonts w:ascii="Times New Roman" w:eastAsia="Times New Roman" w:hAnsi="Times New Roman" w:cs="Times New Roman"/>
                <w:color w:val="000000"/>
                <w:sz w:val="22"/>
                <w:szCs w:val="22"/>
              </w:rPr>
            </w:pPr>
          </w:p>
        </w:tc>
        <w:tc>
          <w:tcPr>
            <w:tcW w:w="639" w:type="pct"/>
            <w:vAlign w:val="center"/>
          </w:tcPr>
          <w:p w14:paraId="58DF8FE3"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(0.0001)</w:t>
            </w:r>
          </w:p>
        </w:tc>
        <w:tc>
          <w:tcPr>
            <w:tcW w:w="639" w:type="pct"/>
            <w:vAlign w:val="center"/>
          </w:tcPr>
          <w:p w14:paraId="139FDB59"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(0.0002)</w:t>
            </w:r>
          </w:p>
        </w:tc>
        <w:tc>
          <w:tcPr>
            <w:tcW w:w="640" w:type="pct"/>
            <w:noWrap/>
            <w:vAlign w:val="center"/>
            <w:hideMark/>
          </w:tcPr>
          <w:p w14:paraId="76AE9DAD" w14:textId="77777777" w:rsidR="00130990" w:rsidRPr="00127BD1" w:rsidRDefault="00130990" w:rsidP="00EC4DE0">
            <w:pPr>
              <w:rPr>
                <w:rFonts w:ascii="Times New Roman" w:eastAsia="Times New Roman" w:hAnsi="Times New Roman" w:cs="Times New Roman"/>
                <w:sz w:val="22"/>
                <w:szCs w:val="22"/>
              </w:rPr>
            </w:pPr>
            <w:r w:rsidRPr="00127BD1">
              <w:rPr>
                <w:rFonts w:ascii="Times New Roman" w:hAnsi="Times New Roman" w:cs="Times New Roman"/>
                <w:color w:val="000000"/>
                <w:sz w:val="22"/>
                <w:szCs w:val="22"/>
              </w:rPr>
              <w:t>(0.0001)</w:t>
            </w:r>
          </w:p>
        </w:tc>
        <w:tc>
          <w:tcPr>
            <w:tcW w:w="639" w:type="pct"/>
            <w:noWrap/>
            <w:vAlign w:val="center"/>
            <w:hideMark/>
          </w:tcPr>
          <w:p w14:paraId="23E3E678"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(0.0002)</w:t>
            </w:r>
          </w:p>
        </w:tc>
        <w:tc>
          <w:tcPr>
            <w:tcW w:w="639" w:type="pct"/>
            <w:noWrap/>
            <w:vAlign w:val="center"/>
            <w:hideMark/>
          </w:tcPr>
          <w:p w14:paraId="790D3D5E"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(0.0002)</w:t>
            </w:r>
          </w:p>
        </w:tc>
        <w:tc>
          <w:tcPr>
            <w:tcW w:w="640" w:type="pct"/>
            <w:vAlign w:val="center"/>
          </w:tcPr>
          <w:p w14:paraId="0BF82CB2"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(0.0003)</w:t>
            </w:r>
          </w:p>
        </w:tc>
      </w:tr>
      <w:tr w:rsidR="00130990" w:rsidRPr="00127BD1" w14:paraId="02409CD8" w14:textId="77777777" w:rsidTr="00FF70BE">
        <w:trPr>
          <w:trHeight w:val="300"/>
        </w:trPr>
        <w:tc>
          <w:tcPr>
            <w:tcW w:w="1164" w:type="pct"/>
            <w:noWrap/>
            <w:vAlign w:val="bottom"/>
            <w:hideMark/>
          </w:tcPr>
          <w:p w14:paraId="46327D81"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lag EXGG</w:t>
            </w:r>
          </w:p>
        </w:tc>
        <w:tc>
          <w:tcPr>
            <w:tcW w:w="639" w:type="pct"/>
            <w:vAlign w:val="center"/>
          </w:tcPr>
          <w:p w14:paraId="1A0599A7"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-0.0199</w:t>
            </w:r>
          </w:p>
        </w:tc>
        <w:tc>
          <w:tcPr>
            <w:tcW w:w="639" w:type="pct"/>
            <w:vAlign w:val="center"/>
          </w:tcPr>
          <w:p w14:paraId="63E462B3"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-0.0483</w:t>
            </w:r>
          </w:p>
        </w:tc>
        <w:tc>
          <w:tcPr>
            <w:tcW w:w="640" w:type="pct"/>
            <w:noWrap/>
            <w:vAlign w:val="center"/>
            <w:hideMark/>
          </w:tcPr>
          <w:p w14:paraId="4BAB4E5C"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0.0315</w:t>
            </w:r>
          </w:p>
        </w:tc>
        <w:tc>
          <w:tcPr>
            <w:tcW w:w="639" w:type="pct"/>
            <w:noWrap/>
            <w:vAlign w:val="center"/>
            <w:hideMark/>
          </w:tcPr>
          <w:p w14:paraId="05E9F764"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0.0552</w:t>
            </w:r>
          </w:p>
        </w:tc>
        <w:tc>
          <w:tcPr>
            <w:tcW w:w="639" w:type="pct"/>
            <w:noWrap/>
            <w:vAlign w:val="center"/>
            <w:hideMark/>
          </w:tcPr>
          <w:p w14:paraId="7BC4743E"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0.0076</w:t>
            </w:r>
          </w:p>
        </w:tc>
        <w:tc>
          <w:tcPr>
            <w:tcW w:w="640" w:type="pct"/>
            <w:vAlign w:val="center"/>
          </w:tcPr>
          <w:p w14:paraId="3AAC6237"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0.0272</w:t>
            </w:r>
          </w:p>
        </w:tc>
      </w:tr>
      <w:tr w:rsidR="00130990" w:rsidRPr="00127BD1" w14:paraId="0329700C" w14:textId="77777777" w:rsidTr="00FF70BE">
        <w:trPr>
          <w:trHeight w:val="300"/>
        </w:trPr>
        <w:tc>
          <w:tcPr>
            <w:tcW w:w="1164" w:type="pct"/>
            <w:noWrap/>
            <w:vAlign w:val="bottom"/>
            <w:hideMark/>
          </w:tcPr>
          <w:p w14:paraId="03CDBB2D" w14:textId="77777777" w:rsidR="00130990" w:rsidRPr="00127BD1" w:rsidRDefault="00130990" w:rsidP="00EC4DE0">
            <w:pPr>
              <w:rPr>
                <w:rFonts w:ascii="Times New Roman" w:eastAsia="Times New Roman" w:hAnsi="Times New Roman" w:cs="Times New Roman"/>
                <w:color w:val="000000"/>
                <w:sz w:val="22"/>
                <w:szCs w:val="22"/>
              </w:rPr>
            </w:pPr>
          </w:p>
        </w:tc>
        <w:tc>
          <w:tcPr>
            <w:tcW w:w="639" w:type="pct"/>
            <w:vAlign w:val="center"/>
          </w:tcPr>
          <w:p w14:paraId="06926361"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(0.0463)</w:t>
            </w:r>
          </w:p>
        </w:tc>
        <w:tc>
          <w:tcPr>
            <w:tcW w:w="639" w:type="pct"/>
            <w:vAlign w:val="center"/>
          </w:tcPr>
          <w:p w14:paraId="38FB22EC"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(0.0572)</w:t>
            </w:r>
          </w:p>
        </w:tc>
        <w:tc>
          <w:tcPr>
            <w:tcW w:w="640" w:type="pct"/>
            <w:noWrap/>
            <w:vAlign w:val="center"/>
            <w:hideMark/>
          </w:tcPr>
          <w:p w14:paraId="15778624" w14:textId="77777777" w:rsidR="00130990" w:rsidRPr="00127BD1" w:rsidRDefault="00130990" w:rsidP="00EC4DE0">
            <w:pPr>
              <w:rPr>
                <w:rFonts w:ascii="Times New Roman" w:eastAsia="Times New Roman" w:hAnsi="Times New Roman" w:cs="Times New Roman"/>
                <w:sz w:val="22"/>
                <w:szCs w:val="22"/>
              </w:rPr>
            </w:pPr>
            <w:r w:rsidRPr="00127BD1">
              <w:rPr>
                <w:rFonts w:ascii="Times New Roman" w:hAnsi="Times New Roman" w:cs="Times New Roman"/>
                <w:color w:val="000000"/>
                <w:sz w:val="22"/>
                <w:szCs w:val="22"/>
              </w:rPr>
              <w:t>(0.0566)</w:t>
            </w:r>
          </w:p>
        </w:tc>
        <w:tc>
          <w:tcPr>
            <w:tcW w:w="639" w:type="pct"/>
            <w:noWrap/>
            <w:vAlign w:val="center"/>
            <w:hideMark/>
          </w:tcPr>
          <w:p w14:paraId="2561CDD3"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(0.0735)</w:t>
            </w:r>
          </w:p>
        </w:tc>
        <w:tc>
          <w:tcPr>
            <w:tcW w:w="639" w:type="pct"/>
            <w:noWrap/>
            <w:vAlign w:val="center"/>
            <w:hideMark/>
          </w:tcPr>
          <w:p w14:paraId="3421DAB7"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(0.0644)</w:t>
            </w:r>
          </w:p>
        </w:tc>
        <w:tc>
          <w:tcPr>
            <w:tcW w:w="640" w:type="pct"/>
            <w:vAlign w:val="center"/>
          </w:tcPr>
          <w:p w14:paraId="11D067C3"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(0.0797)</w:t>
            </w:r>
          </w:p>
        </w:tc>
      </w:tr>
      <w:tr w:rsidR="00130990" w:rsidRPr="00127BD1" w14:paraId="31427BED" w14:textId="77777777" w:rsidTr="00FF70BE">
        <w:trPr>
          <w:trHeight w:val="300"/>
        </w:trPr>
        <w:tc>
          <w:tcPr>
            <w:tcW w:w="1164" w:type="pct"/>
            <w:noWrap/>
            <w:vAlign w:val="bottom"/>
            <w:hideMark/>
          </w:tcPr>
          <w:p w14:paraId="67BC256B"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lag DEBTGDP</w:t>
            </w:r>
          </w:p>
        </w:tc>
        <w:tc>
          <w:tcPr>
            <w:tcW w:w="639" w:type="pct"/>
            <w:vAlign w:val="center"/>
          </w:tcPr>
          <w:p w14:paraId="37F46865"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-0.0000</w:t>
            </w:r>
          </w:p>
        </w:tc>
        <w:tc>
          <w:tcPr>
            <w:tcW w:w="639" w:type="pct"/>
            <w:vAlign w:val="center"/>
          </w:tcPr>
          <w:p w14:paraId="3655B219"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-0.0001***</w:t>
            </w:r>
          </w:p>
        </w:tc>
        <w:tc>
          <w:tcPr>
            <w:tcW w:w="640" w:type="pct"/>
            <w:noWrap/>
            <w:vAlign w:val="center"/>
            <w:hideMark/>
          </w:tcPr>
          <w:p w14:paraId="109E46E5"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-0.0000</w:t>
            </w:r>
          </w:p>
        </w:tc>
        <w:tc>
          <w:tcPr>
            <w:tcW w:w="639" w:type="pct"/>
            <w:noWrap/>
            <w:vAlign w:val="center"/>
            <w:hideMark/>
          </w:tcPr>
          <w:p w14:paraId="2312828E"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-0.0001***</w:t>
            </w:r>
          </w:p>
        </w:tc>
        <w:tc>
          <w:tcPr>
            <w:tcW w:w="639" w:type="pct"/>
            <w:noWrap/>
            <w:vAlign w:val="center"/>
            <w:hideMark/>
          </w:tcPr>
          <w:p w14:paraId="18274061"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-0.0001***</w:t>
            </w:r>
          </w:p>
        </w:tc>
        <w:tc>
          <w:tcPr>
            <w:tcW w:w="640" w:type="pct"/>
            <w:vAlign w:val="center"/>
          </w:tcPr>
          <w:p w14:paraId="34DD84F5"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-0.0001***</w:t>
            </w:r>
          </w:p>
        </w:tc>
      </w:tr>
      <w:tr w:rsidR="00130990" w:rsidRPr="00127BD1" w14:paraId="0CDFBE68" w14:textId="77777777" w:rsidTr="00FF70BE">
        <w:trPr>
          <w:trHeight w:val="300"/>
        </w:trPr>
        <w:tc>
          <w:tcPr>
            <w:tcW w:w="1164" w:type="pct"/>
            <w:noWrap/>
            <w:vAlign w:val="bottom"/>
            <w:hideMark/>
          </w:tcPr>
          <w:p w14:paraId="5E991387" w14:textId="77777777" w:rsidR="00130990" w:rsidRPr="00127BD1" w:rsidRDefault="00130990" w:rsidP="00EC4DE0">
            <w:pPr>
              <w:rPr>
                <w:rFonts w:ascii="Times New Roman" w:eastAsia="Times New Roman" w:hAnsi="Times New Roman" w:cs="Times New Roman"/>
                <w:color w:val="000000"/>
                <w:sz w:val="22"/>
                <w:szCs w:val="22"/>
              </w:rPr>
            </w:pPr>
          </w:p>
        </w:tc>
        <w:tc>
          <w:tcPr>
            <w:tcW w:w="639" w:type="pct"/>
            <w:vAlign w:val="center"/>
          </w:tcPr>
          <w:p w14:paraId="318F197B"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(0.0000)</w:t>
            </w:r>
          </w:p>
        </w:tc>
        <w:tc>
          <w:tcPr>
            <w:tcW w:w="639" w:type="pct"/>
            <w:vAlign w:val="center"/>
          </w:tcPr>
          <w:p w14:paraId="59D14BB0"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(0.0000)</w:t>
            </w:r>
          </w:p>
        </w:tc>
        <w:tc>
          <w:tcPr>
            <w:tcW w:w="640" w:type="pct"/>
            <w:noWrap/>
            <w:vAlign w:val="center"/>
            <w:hideMark/>
          </w:tcPr>
          <w:p w14:paraId="4D518E21" w14:textId="77777777" w:rsidR="00130990" w:rsidRPr="00127BD1" w:rsidRDefault="00130990" w:rsidP="00EC4DE0">
            <w:pPr>
              <w:rPr>
                <w:rFonts w:ascii="Times New Roman" w:eastAsia="Times New Roman" w:hAnsi="Times New Roman" w:cs="Times New Roman"/>
                <w:sz w:val="22"/>
                <w:szCs w:val="22"/>
              </w:rPr>
            </w:pPr>
            <w:r w:rsidRPr="00127BD1">
              <w:rPr>
                <w:rFonts w:ascii="Times New Roman" w:hAnsi="Times New Roman" w:cs="Times New Roman"/>
                <w:color w:val="000000"/>
                <w:sz w:val="22"/>
                <w:szCs w:val="22"/>
              </w:rPr>
              <w:t>(0.0000)</w:t>
            </w:r>
          </w:p>
        </w:tc>
        <w:tc>
          <w:tcPr>
            <w:tcW w:w="639" w:type="pct"/>
            <w:noWrap/>
            <w:vAlign w:val="center"/>
            <w:hideMark/>
          </w:tcPr>
          <w:p w14:paraId="4CC6771B"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(0.0000)</w:t>
            </w:r>
          </w:p>
        </w:tc>
        <w:tc>
          <w:tcPr>
            <w:tcW w:w="639" w:type="pct"/>
            <w:noWrap/>
            <w:vAlign w:val="center"/>
            <w:hideMark/>
          </w:tcPr>
          <w:p w14:paraId="74D42EF5"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(0.0000)</w:t>
            </w:r>
          </w:p>
        </w:tc>
        <w:tc>
          <w:tcPr>
            <w:tcW w:w="640" w:type="pct"/>
            <w:vAlign w:val="center"/>
          </w:tcPr>
          <w:p w14:paraId="0B1A5947"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(0.0000)</w:t>
            </w:r>
          </w:p>
        </w:tc>
      </w:tr>
      <w:tr w:rsidR="00130990" w:rsidRPr="00127BD1" w14:paraId="4F44D1CD" w14:textId="77777777" w:rsidTr="00FF70BE">
        <w:trPr>
          <w:trHeight w:val="331"/>
        </w:trPr>
        <w:tc>
          <w:tcPr>
            <w:tcW w:w="1164" w:type="pct"/>
            <w:noWrap/>
            <w:vAlign w:val="bottom"/>
            <w:hideMark/>
          </w:tcPr>
          <w:p w14:paraId="7E984570"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sz w:val="22"/>
                <w:szCs w:val="22"/>
              </w:rPr>
              <w:t>lag LRATE</w:t>
            </w:r>
          </w:p>
        </w:tc>
        <w:tc>
          <w:tcPr>
            <w:tcW w:w="639" w:type="pct"/>
            <w:vAlign w:val="center"/>
          </w:tcPr>
          <w:p w14:paraId="32ACD997" w14:textId="77777777" w:rsidR="00130990" w:rsidRPr="00127BD1" w:rsidRDefault="00130990" w:rsidP="00EC4DE0">
            <w:pPr>
              <w:rPr>
                <w:rFonts w:ascii="Times New Roman" w:eastAsia="Times New Roman" w:hAnsi="Times New Roman" w:cs="Times New Roman"/>
                <w:color w:val="000000"/>
                <w:sz w:val="22"/>
                <w:szCs w:val="22"/>
              </w:rPr>
            </w:pPr>
          </w:p>
        </w:tc>
        <w:tc>
          <w:tcPr>
            <w:tcW w:w="639" w:type="pct"/>
            <w:vAlign w:val="center"/>
          </w:tcPr>
          <w:p w14:paraId="2C245218"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0.0048***</w:t>
            </w:r>
          </w:p>
        </w:tc>
        <w:tc>
          <w:tcPr>
            <w:tcW w:w="640" w:type="pct"/>
            <w:noWrap/>
            <w:vAlign w:val="center"/>
            <w:hideMark/>
          </w:tcPr>
          <w:p w14:paraId="086E2D34" w14:textId="77777777" w:rsidR="00130990" w:rsidRPr="00127BD1" w:rsidRDefault="00130990" w:rsidP="00EC4DE0">
            <w:pPr>
              <w:rPr>
                <w:rFonts w:ascii="Times New Roman" w:eastAsia="Times New Roman" w:hAnsi="Times New Roman" w:cs="Times New Roman"/>
                <w:color w:val="000000"/>
                <w:sz w:val="22"/>
                <w:szCs w:val="22"/>
              </w:rPr>
            </w:pPr>
          </w:p>
        </w:tc>
        <w:tc>
          <w:tcPr>
            <w:tcW w:w="639" w:type="pct"/>
            <w:noWrap/>
            <w:vAlign w:val="center"/>
            <w:hideMark/>
          </w:tcPr>
          <w:p w14:paraId="05C8C623" w14:textId="77777777" w:rsidR="00130990" w:rsidRPr="00127BD1" w:rsidRDefault="00130990" w:rsidP="00EC4DE0">
            <w:pPr>
              <w:rPr>
                <w:rFonts w:ascii="Times New Roman" w:eastAsia="Times New Roman" w:hAnsi="Times New Roman" w:cs="Times New Roman"/>
                <w:sz w:val="22"/>
                <w:szCs w:val="22"/>
              </w:rPr>
            </w:pPr>
            <w:r w:rsidRPr="00127BD1">
              <w:rPr>
                <w:rFonts w:ascii="Times New Roman" w:hAnsi="Times New Roman" w:cs="Times New Roman"/>
                <w:color w:val="000000"/>
                <w:sz w:val="22"/>
                <w:szCs w:val="22"/>
              </w:rPr>
              <w:t>0.0047***</w:t>
            </w:r>
          </w:p>
        </w:tc>
        <w:tc>
          <w:tcPr>
            <w:tcW w:w="639" w:type="pct"/>
            <w:noWrap/>
            <w:vAlign w:val="center"/>
            <w:hideMark/>
          </w:tcPr>
          <w:p w14:paraId="0265E092" w14:textId="77777777" w:rsidR="00130990" w:rsidRPr="00127BD1" w:rsidRDefault="00130990" w:rsidP="00EC4DE0">
            <w:pPr>
              <w:rPr>
                <w:rFonts w:ascii="Times New Roman" w:eastAsia="Times New Roman" w:hAnsi="Times New Roman" w:cs="Times New Roman"/>
                <w:color w:val="000000"/>
                <w:sz w:val="22"/>
                <w:szCs w:val="22"/>
              </w:rPr>
            </w:pPr>
          </w:p>
        </w:tc>
        <w:tc>
          <w:tcPr>
            <w:tcW w:w="640" w:type="pct"/>
            <w:vAlign w:val="center"/>
          </w:tcPr>
          <w:p w14:paraId="1964E8D4"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0.0042**</w:t>
            </w:r>
          </w:p>
        </w:tc>
      </w:tr>
      <w:tr w:rsidR="00130990" w:rsidRPr="00127BD1" w14:paraId="05618D19" w14:textId="77777777" w:rsidTr="00FF70BE">
        <w:trPr>
          <w:trHeight w:val="300"/>
        </w:trPr>
        <w:tc>
          <w:tcPr>
            <w:tcW w:w="1164" w:type="pct"/>
            <w:noWrap/>
            <w:vAlign w:val="center"/>
          </w:tcPr>
          <w:p w14:paraId="1E318C94" w14:textId="77777777" w:rsidR="00130990" w:rsidRPr="00127BD1" w:rsidRDefault="00130990" w:rsidP="00EC4DE0">
            <w:pPr>
              <w:rPr>
                <w:rFonts w:ascii="Times New Roman" w:hAnsi="Times New Roman" w:cs="Times New Roman"/>
                <w:sz w:val="22"/>
                <w:szCs w:val="22"/>
              </w:rPr>
            </w:pPr>
          </w:p>
        </w:tc>
        <w:tc>
          <w:tcPr>
            <w:tcW w:w="639" w:type="pct"/>
            <w:vAlign w:val="center"/>
          </w:tcPr>
          <w:p w14:paraId="6DEABAD7" w14:textId="77777777" w:rsidR="00130990" w:rsidRPr="00127BD1" w:rsidRDefault="00130990" w:rsidP="00EC4DE0">
            <w:pPr>
              <w:rPr>
                <w:rFonts w:ascii="Times New Roman" w:eastAsia="Times New Roman" w:hAnsi="Times New Roman" w:cs="Times New Roman"/>
                <w:color w:val="000000"/>
                <w:sz w:val="22"/>
                <w:szCs w:val="22"/>
              </w:rPr>
            </w:pPr>
          </w:p>
        </w:tc>
        <w:tc>
          <w:tcPr>
            <w:tcW w:w="639" w:type="pct"/>
            <w:vAlign w:val="center"/>
          </w:tcPr>
          <w:p w14:paraId="610EC955"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(0.0010)</w:t>
            </w:r>
          </w:p>
        </w:tc>
        <w:tc>
          <w:tcPr>
            <w:tcW w:w="640" w:type="pct"/>
            <w:noWrap/>
            <w:vAlign w:val="center"/>
          </w:tcPr>
          <w:p w14:paraId="0F4EAC35" w14:textId="77777777" w:rsidR="00130990" w:rsidRPr="00127BD1" w:rsidRDefault="00130990" w:rsidP="00EC4DE0">
            <w:pPr>
              <w:rPr>
                <w:rFonts w:ascii="Times New Roman" w:eastAsia="Times New Roman" w:hAnsi="Times New Roman" w:cs="Times New Roman"/>
                <w:color w:val="000000"/>
                <w:sz w:val="22"/>
                <w:szCs w:val="22"/>
              </w:rPr>
            </w:pPr>
          </w:p>
        </w:tc>
        <w:tc>
          <w:tcPr>
            <w:tcW w:w="639" w:type="pct"/>
            <w:noWrap/>
            <w:vAlign w:val="center"/>
          </w:tcPr>
          <w:p w14:paraId="58311710"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(0.0011)</w:t>
            </w:r>
          </w:p>
        </w:tc>
        <w:tc>
          <w:tcPr>
            <w:tcW w:w="639" w:type="pct"/>
            <w:noWrap/>
            <w:vAlign w:val="center"/>
          </w:tcPr>
          <w:p w14:paraId="6E4EA849" w14:textId="77777777" w:rsidR="00130990" w:rsidRPr="00127BD1" w:rsidRDefault="00130990" w:rsidP="00EC4DE0">
            <w:pPr>
              <w:rPr>
                <w:rFonts w:ascii="Times New Roman" w:eastAsia="Times New Roman" w:hAnsi="Times New Roman" w:cs="Times New Roman"/>
                <w:color w:val="000000"/>
                <w:sz w:val="22"/>
                <w:szCs w:val="22"/>
              </w:rPr>
            </w:pPr>
          </w:p>
        </w:tc>
        <w:tc>
          <w:tcPr>
            <w:tcW w:w="640" w:type="pct"/>
            <w:vAlign w:val="center"/>
          </w:tcPr>
          <w:p w14:paraId="5A9AF2CD"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(0.0021)</w:t>
            </w:r>
          </w:p>
        </w:tc>
      </w:tr>
      <w:tr w:rsidR="00130990" w:rsidRPr="00127BD1" w14:paraId="4A568573" w14:textId="77777777" w:rsidTr="00FF70BE">
        <w:trPr>
          <w:trHeight w:val="300"/>
        </w:trPr>
        <w:tc>
          <w:tcPr>
            <w:tcW w:w="1164" w:type="pct"/>
            <w:noWrap/>
            <w:vAlign w:val="center"/>
          </w:tcPr>
          <w:p w14:paraId="0A6EBDC5"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CONTIG</w:t>
            </w:r>
          </w:p>
        </w:tc>
        <w:tc>
          <w:tcPr>
            <w:tcW w:w="639" w:type="pct"/>
            <w:vAlign w:val="center"/>
          </w:tcPr>
          <w:p w14:paraId="5572DF32" w14:textId="77777777" w:rsidR="00130990" w:rsidRPr="00127BD1" w:rsidRDefault="00130990" w:rsidP="00EC4DE0">
            <w:pPr>
              <w:rPr>
                <w:rFonts w:ascii="Times New Roman" w:eastAsia="Times New Roman" w:hAnsi="Times New Roman" w:cs="Times New Roman"/>
                <w:sz w:val="22"/>
                <w:szCs w:val="22"/>
              </w:rPr>
            </w:pPr>
          </w:p>
        </w:tc>
        <w:tc>
          <w:tcPr>
            <w:tcW w:w="639" w:type="pct"/>
            <w:vAlign w:val="center"/>
          </w:tcPr>
          <w:p w14:paraId="32E95695" w14:textId="77777777" w:rsidR="00130990" w:rsidRPr="00127BD1" w:rsidRDefault="00130990" w:rsidP="00EC4DE0">
            <w:pPr>
              <w:rPr>
                <w:rFonts w:ascii="Times New Roman" w:eastAsia="Times New Roman" w:hAnsi="Times New Roman" w:cs="Times New Roman"/>
                <w:sz w:val="22"/>
                <w:szCs w:val="22"/>
              </w:rPr>
            </w:pPr>
          </w:p>
        </w:tc>
        <w:tc>
          <w:tcPr>
            <w:tcW w:w="640" w:type="pct"/>
            <w:noWrap/>
            <w:vAlign w:val="center"/>
          </w:tcPr>
          <w:p w14:paraId="3CAB6EAA" w14:textId="77777777" w:rsidR="00130990" w:rsidRPr="00127BD1" w:rsidRDefault="00130990" w:rsidP="00EC4DE0">
            <w:pPr>
              <w:rPr>
                <w:rFonts w:ascii="Times New Roman" w:eastAsia="Times New Roman" w:hAnsi="Times New Roman" w:cs="Times New Roman"/>
                <w:sz w:val="22"/>
                <w:szCs w:val="22"/>
              </w:rPr>
            </w:pPr>
          </w:p>
        </w:tc>
        <w:tc>
          <w:tcPr>
            <w:tcW w:w="639" w:type="pct"/>
            <w:noWrap/>
            <w:vAlign w:val="center"/>
          </w:tcPr>
          <w:p w14:paraId="17C1561D" w14:textId="77777777" w:rsidR="00130990" w:rsidRPr="00127BD1" w:rsidRDefault="00130990" w:rsidP="00EC4DE0">
            <w:pPr>
              <w:rPr>
                <w:rFonts w:ascii="Times New Roman" w:hAnsi="Times New Roman" w:cs="Times New Roman"/>
                <w:color w:val="000000"/>
                <w:sz w:val="22"/>
                <w:szCs w:val="22"/>
              </w:rPr>
            </w:pPr>
          </w:p>
        </w:tc>
        <w:tc>
          <w:tcPr>
            <w:tcW w:w="639" w:type="pct"/>
            <w:noWrap/>
            <w:vAlign w:val="center"/>
          </w:tcPr>
          <w:p w14:paraId="6F114EA7"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-0.0055</w:t>
            </w:r>
          </w:p>
        </w:tc>
        <w:tc>
          <w:tcPr>
            <w:tcW w:w="640" w:type="pct"/>
            <w:vAlign w:val="center"/>
          </w:tcPr>
          <w:p w14:paraId="06035EBF"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-0.0141</w:t>
            </w:r>
          </w:p>
        </w:tc>
      </w:tr>
      <w:tr w:rsidR="00130990" w:rsidRPr="00127BD1" w14:paraId="3199505B" w14:textId="77777777" w:rsidTr="00FF70BE">
        <w:trPr>
          <w:trHeight w:val="300"/>
        </w:trPr>
        <w:tc>
          <w:tcPr>
            <w:tcW w:w="1164" w:type="pct"/>
            <w:noWrap/>
            <w:vAlign w:val="center"/>
          </w:tcPr>
          <w:p w14:paraId="744A723A" w14:textId="77777777" w:rsidR="00130990" w:rsidRPr="00127BD1" w:rsidRDefault="00130990" w:rsidP="00EC4DE0">
            <w:pPr>
              <w:rPr>
                <w:rFonts w:ascii="Times New Roman" w:eastAsia="Times New Roman" w:hAnsi="Times New Roman" w:cs="Times New Roman"/>
                <w:color w:val="000000"/>
                <w:sz w:val="22"/>
                <w:szCs w:val="22"/>
              </w:rPr>
            </w:pPr>
          </w:p>
        </w:tc>
        <w:tc>
          <w:tcPr>
            <w:tcW w:w="639" w:type="pct"/>
            <w:vAlign w:val="center"/>
          </w:tcPr>
          <w:p w14:paraId="670D1906" w14:textId="77777777" w:rsidR="00130990" w:rsidRPr="00127BD1" w:rsidRDefault="00130990" w:rsidP="00EC4DE0">
            <w:pPr>
              <w:rPr>
                <w:rFonts w:ascii="Times New Roman" w:eastAsia="Times New Roman" w:hAnsi="Times New Roman" w:cs="Times New Roman"/>
                <w:sz w:val="22"/>
                <w:szCs w:val="22"/>
              </w:rPr>
            </w:pPr>
          </w:p>
        </w:tc>
        <w:tc>
          <w:tcPr>
            <w:tcW w:w="639" w:type="pct"/>
            <w:vAlign w:val="center"/>
          </w:tcPr>
          <w:p w14:paraId="7C85E20E" w14:textId="77777777" w:rsidR="00130990" w:rsidRPr="00127BD1" w:rsidRDefault="00130990" w:rsidP="00EC4DE0">
            <w:pPr>
              <w:rPr>
                <w:rFonts w:ascii="Times New Roman" w:eastAsia="Times New Roman" w:hAnsi="Times New Roman" w:cs="Times New Roman"/>
                <w:sz w:val="22"/>
                <w:szCs w:val="22"/>
              </w:rPr>
            </w:pPr>
          </w:p>
        </w:tc>
        <w:tc>
          <w:tcPr>
            <w:tcW w:w="640" w:type="pct"/>
            <w:noWrap/>
            <w:vAlign w:val="center"/>
          </w:tcPr>
          <w:p w14:paraId="373E1BFD" w14:textId="77777777" w:rsidR="00130990" w:rsidRPr="00127BD1" w:rsidRDefault="00130990" w:rsidP="00EC4DE0">
            <w:pPr>
              <w:rPr>
                <w:rFonts w:ascii="Times New Roman" w:eastAsia="Times New Roman" w:hAnsi="Times New Roman" w:cs="Times New Roman"/>
                <w:sz w:val="22"/>
                <w:szCs w:val="22"/>
              </w:rPr>
            </w:pPr>
          </w:p>
        </w:tc>
        <w:tc>
          <w:tcPr>
            <w:tcW w:w="639" w:type="pct"/>
            <w:noWrap/>
            <w:vAlign w:val="center"/>
          </w:tcPr>
          <w:p w14:paraId="64C477C6" w14:textId="77777777" w:rsidR="00130990" w:rsidRPr="00127BD1" w:rsidRDefault="00130990" w:rsidP="00EC4DE0">
            <w:pPr>
              <w:rPr>
                <w:rFonts w:ascii="Times New Roman" w:hAnsi="Times New Roman" w:cs="Times New Roman"/>
                <w:color w:val="000000"/>
                <w:sz w:val="22"/>
                <w:szCs w:val="22"/>
              </w:rPr>
            </w:pPr>
          </w:p>
        </w:tc>
        <w:tc>
          <w:tcPr>
            <w:tcW w:w="639" w:type="pct"/>
            <w:noWrap/>
            <w:vAlign w:val="center"/>
          </w:tcPr>
          <w:p w14:paraId="6033CFFA"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(0.0047)</w:t>
            </w:r>
          </w:p>
        </w:tc>
        <w:tc>
          <w:tcPr>
            <w:tcW w:w="640" w:type="pct"/>
            <w:vAlign w:val="center"/>
          </w:tcPr>
          <w:p w14:paraId="3EBE9CFC"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(0.0106)</w:t>
            </w:r>
          </w:p>
        </w:tc>
      </w:tr>
      <w:tr w:rsidR="00130990" w:rsidRPr="00127BD1" w14:paraId="4F87EEE2" w14:textId="77777777" w:rsidTr="00FF70BE">
        <w:trPr>
          <w:trHeight w:val="300"/>
        </w:trPr>
        <w:tc>
          <w:tcPr>
            <w:tcW w:w="1164" w:type="pct"/>
            <w:noWrap/>
            <w:vAlign w:val="center"/>
          </w:tcPr>
          <w:p w14:paraId="61AC809C"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COMLAND_OFF</w:t>
            </w:r>
          </w:p>
        </w:tc>
        <w:tc>
          <w:tcPr>
            <w:tcW w:w="639" w:type="pct"/>
            <w:vAlign w:val="center"/>
          </w:tcPr>
          <w:p w14:paraId="31CEBA70" w14:textId="77777777" w:rsidR="00130990" w:rsidRPr="00127BD1" w:rsidRDefault="00130990" w:rsidP="00EC4DE0">
            <w:pPr>
              <w:rPr>
                <w:rFonts w:ascii="Times New Roman" w:eastAsia="Times New Roman" w:hAnsi="Times New Roman" w:cs="Times New Roman"/>
                <w:sz w:val="22"/>
                <w:szCs w:val="22"/>
              </w:rPr>
            </w:pPr>
          </w:p>
        </w:tc>
        <w:tc>
          <w:tcPr>
            <w:tcW w:w="639" w:type="pct"/>
            <w:vAlign w:val="center"/>
          </w:tcPr>
          <w:p w14:paraId="62D32564" w14:textId="77777777" w:rsidR="00130990" w:rsidRPr="00127BD1" w:rsidRDefault="00130990" w:rsidP="00EC4DE0">
            <w:pPr>
              <w:rPr>
                <w:rFonts w:ascii="Times New Roman" w:eastAsia="Times New Roman" w:hAnsi="Times New Roman" w:cs="Times New Roman"/>
                <w:sz w:val="22"/>
                <w:szCs w:val="22"/>
              </w:rPr>
            </w:pPr>
          </w:p>
        </w:tc>
        <w:tc>
          <w:tcPr>
            <w:tcW w:w="640" w:type="pct"/>
            <w:noWrap/>
            <w:vAlign w:val="center"/>
          </w:tcPr>
          <w:p w14:paraId="594E4AD6" w14:textId="77777777" w:rsidR="00130990" w:rsidRPr="00127BD1" w:rsidRDefault="00130990" w:rsidP="00EC4DE0">
            <w:pPr>
              <w:rPr>
                <w:rFonts w:ascii="Times New Roman" w:eastAsia="Times New Roman" w:hAnsi="Times New Roman" w:cs="Times New Roman"/>
                <w:sz w:val="22"/>
                <w:szCs w:val="22"/>
              </w:rPr>
            </w:pPr>
          </w:p>
        </w:tc>
        <w:tc>
          <w:tcPr>
            <w:tcW w:w="639" w:type="pct"/>
            <w:noWrap/>
            <w:vAlign w:val="center"/>
          </w:tcPr>
          <w:p w14:paraId="2B99E7F5" w14:textId="77777777" w:rsidR="00130990" w:rsidRPr="00127BD1" w:rsidRDefault="00130990" w:rsidP="00EC4DE0">
            <w:pPr>
              <w:rPr>
                <w:rFonts w:ascii="Times New Roman" w:hAnsi="Times New Roman" w:cs="Times New Roman"/>
                <w:color w:val="000000"/>
                <w:sz w:val="22"/>
                <w:szCs w:val="22"/>
              </w:rPr>
            </w:pPr>
          </w:p>
        </w:tc>
        <w:tc>
          <w:tcPr>
            <w:tcW w:w="639" w:type="pct"/>
            <w:noWrap/>
            <w:vAlign w:val="center"/>
          </w:tcPr>
          <w:p w14:paraId="4A647147"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0.0057</w:t>
            </w:r>
          </w:p>
        </w:tc>
        <w:tc>
          <w:tcPr>
            <w:tcW w:w="640" w:type="pct"/>
            <w:vAlign w:val="center"/>
          </w:tcPr>
          <w:p w14:paraId="0A5A9161"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0.0035</w:t>
            </w:r>
          </w:p>
        </w:tc>
      </w:tr>
      <w:tr w:rsidR="00130990" w:rsidRPr="00127BD1" w14:paraId="1A601891" w14:textId="77777777" w:rsidTr="00FF70BE">
        <w:trPr>
          <w:trHeight w:val="300"/>
        </w:trPr>
        <w:tc>
          <w:tcPr>
            <w:tcW w:w="1164" w:type="pct"/>
            <w:noWrap/>
            <w:vAlign w:val="center"/>
          </w:tcPr>
          <w:p w14:paraId="2CE43A3B" w14:textId="77777777" w:rsidR="00130990" w:rsidRPr="00127BD1" w:rsidRDefault="00130990" w:rsidP="00EC4DE0">
            <w:pPr>
              <w:rPr>
                <w:rFonts w:ascii="Times New Roman" w:eastAsia="Times New Roman" w:hAnsi="Times New Roman" w:cs="Times New Roman"/>
                <w:color w:val="000000"/>
                <w:sz w:val="22"/>
                <w:szCs w:val="22"/>
              </w:rPr>
            </w:pPr>
          </w:p>
        </w:tc>
        <w:tc>
          <w:tcPr>
            <w:tcW w:w="639" w:type="pct"/>
            <w:vAlign w:val="center"/>
          </w:tcPr>
          <w:p w14:paraId="4A9AB303" w14:textId="77777777" w:rsidR="00130990" w:rsidRPr="00127BD1" w:rsidRDefault="00130990" w:rsidP="00EC4DE0">
            <w:pPr>
              <w:rPr>
                <w:rFonts w:ascii="Times New Roman" w:eastAsia="Times New Roman" w:hAnsi="Times New Roman" w:cs="Times New Roman"/>
                <w:sz w:val="22"/>
                <w:szCs w:val="22"/>
              </w:rPr>
            </w:pPr>
          </w:p>
        </w:tc>
        <w:tc>
          <w:tcPr>
            <w:tcW w:w="639" w:type="pct"/>
            <w:vAlign w:val="center"/>
          </w:tcPr>
          <w:p w14:paraId="2BD2622B" w14:textId="77777777" w:rsidR="00130990" w:rsidRPr="00127BD1" w:rsidRDefault="00130990" w:rsidP="00EC4DE0">
            <w:pPr>
              <w:rPr>
                <w:rFonts w:ascii="Times New Roman" w:eastAsia="Times New Roman" w:hAnsi="Times New Roman" w:cs="Times New Roman"/>
                <w:sz w:val="22"/>
                <w:szCs w:val="22"/>
              </w:rPr>
            </w:pPr>
          </w:p>
        </w:tc>
        <w:tc>
          <w:tcPr>
            <w:tcW w:w="640" w:type="pct"/>
            <w:noWrap/>
            <w:vAlign w:val="center"/>
          </w:tcPr>
          <w:p w14:paraId="410CCA90" w14:textId="77777777" w:rsidR="00130990" w:rsidRPr="00127BD1" w:rsidRDefault="00130990" w:rsidP="00EC4DE0">
            <w:pPr>
              <w:rPr>
                <w:rFonts w:ascii="Times New Roman" w:eastAsia="Times New Roman" w:hAnsi="Times New Roman" w:cs="Times New Roman"/>
                <w:sz w:val="22"/>
                <w:szCs w:val="22"/>
              </w:rPr>
            </w:pPr>
          </w:p>
        </w:tc>
        <w:tc>
          <w:tcPr>
            <w:tcW w:w="639" w:type="pct"/>
            <w:noWrap/>
            <w:vAlign w:val="center"/>
          </w:tcPr>
          <w:p w14:paraId="22C3BFF8" w14:textId="77777777" w:rsidR="00130990" w:rsidRPr="00127BD1" w:rsidRDefault="00130990" w:rsidP="00EC4DE0">
            <w:pPr>
              <w:rPr>
                <w:rFonts w:ascii="Times New Roman" w:hAnsi="Times New Roman" w:cs="Times New Roman"/>
                <w:color w:val="000000"/>
                <w:sz w:val="22"/>
                <w:szCs w:val="22"/>
              </w:rPr>
            </w:pPr>
          </w:p>
        </w:tc>
        <w:tc>
          <w:tcPr>
            <w:tcW w:w="639" w:type="pct"/>
            <w:noWrap/>
            <w:vAlign w:val="center"/>
          </w:tcPr>
          <w:p w14:paraId="4AA855C6"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(0.0036)</w:t>
            </w:r>
          </w:p>
        </w:tc>
        <w:tc>
          <w:tcPr>
            <w:tcW w:w="640" w:type="pct"/>
            <w:vAlign w:val="center"/>
          </w:tcPr>
          <w:p w14:paraId="36EF6E1D"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(0.0057)</w:t>
            </w:r>
          </w:p>
        </w:tc>
      </w:tr>
      <w:tr w:rsidR="00130990" w:rsidRPr="00127BD1" w14:paraId="4C304758" w14:textId="77777777" w:rsidTr="00FF70BE">
        <w:trPr>
          <w:trHeight w:val="300"/>
        </w:trPr>
        <w:tc>
          <w:tcPr>
            <w:tcW w:w="1164" w:type="pct"/>
            <w:noWrap/>
            <w:vAlign w:val="center"/>
          </w:tcPr>
          <w:p w14:paraId="739B37D5"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LOGDIS</w:t>
            </w:r>
          </w:p>
        </w:tc>
        <w:tc>
          <w:tcPr>
            <w:tcW w:w="639" w:type="pct"/>
            <w:vAlign w:val="center"/>
          </w:tcPr>
          <w:p w14:paraId="24B9D952" w14:textId="77777777" w:rsidR="00130990" w:rsidRPr="00127BD1" w:rsidRDefault="00130990" w:rsidP="00EC4DE0">
            <w:pPr>
              <w:rPr>
                <w:rFonts w:ascii="Times New Roman" w:eastAsia="Times New Roman" w:hAnsi="Times New Roman" w:cs="Times New Roman"/>
                <w:sz w:val="22"/>
                <w:szCs w:val="22"/>
              </w:rPr>
            </w:pPr>
          </w:p>
        </w:tc>
        <w:tc>
          <w:tcPr>
            <w:tcW w:w="639" w:type="pct"/>
            <w:vAlign w:val="center"/>
          </w:tcPr>
          <w:p w14:paraId="08D2EAD8" w14:textId="77777777" w:rsidR="00130990" w:rsidRPr="00127BD1" w:rsidRDefault="00130990" w:rsidP="00EC4DE0">
            <w:pPr>
              <w:rPr>
                <w:rFonts w:ascii="Times New Roman" w:eastAsia="Times New Roman" w:hAnsi="Times New Roman" w:cs="Times New Roman"/>
                <w:sz w:val="22"/>
                <w:szCs w:val="22"/>
              </w:rPr>
            </w:pPr>
          </w:p>
        </w:tc>
        <w:tc>
          <w:tcPr>
            <w:tcW w:w="640" w:type="pct"/>
            <w:noWrap/>
            <w:vAlign w:val="center"/>
          </w:tcPr>
          <w:p w14:paraId="1E8821F5" w14:textId="77777777" w:rsidR="00130990" w:rsidRPr="00127BD1" w:rsidRDefault="00130990" w:rsidP="00EC4DE0">
            <w:pPr>
              <w:rPr>
                <w:rFonts w:ascii="Times New Roman" w:eastAsia="Times New Roman" w:hAnsi="Times New Roman" w:cs="Times New Roman"/>
                <w:sz w:val="22"/>
                <w:szCs w:val="22"/>
              </w:rPr>
            </w:pPr>
          </w:p>
        </w:tc>
        <w:tc>
          <w:tcPr>
            <w:tcW w:w="639" w:type="pct"/>
            <w:noWrap/>
            <w:vAlign w:val="center"/>
          </w:tcPr>
          <w:p w14:paraId="678B8466" w14:textId="77777777" w:rsidR="00130990" w:rsidRPr="00127BD1" w:rsidRDefault="00130990" w:rsidP="00EC4DE0">
            <w:pPr>
              <w:rPr>
                <w:rFonts w:ascii="Times New Roman" w:hAnsi="Times New Roman" w:cs="Times New Roman"/>
                <w:color w:val="000000"/>
                <w:sz w:val="22"/>
                <w:szCs w:val="22"/>
              </w:rPr>
            </w:pPr>
          </w:p>
        </w:tc>
        <w:tc>
          <w:tcPr>
            <w:tcW w:w="639" w:type="pct"/>
            <w:noWrap/>
            <w:vAlign w:val="center"/>
          </w:tcPr>
          <w:p w14:paraId="6E63396F"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0.0108***</w:t>
            </w:r>
          </w:p>
        </w:tc>
        <w:tc>
          <w:tcPr>
            <w:tcW w:w="640" w:type="pct"/>
            <w:vAlign w:val="center"/>
          </w:tcPr>
          <w:p w14:paraId="6F9F453E"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0.0092***</w:t>
            </w:r>
          </w:p>
        </w:tc>
      </w:tr>
      <w:tr w:rsidR="00130990" w:rsidRPr="00127BD1" w14:paraId="08AB6E22" w14:textId="77777777" w:rsidTr="00FF70BE">
        <w:trPr>
          <w:trHeight w:val="300"/>
        </w:trPr>
        <w:tc>
          <w:tcPr>
            <w:tcW w:w="1164" w:type="pct"/>
            <w:noWrap/>
            <w:vAlign w:val="center"/>
          </w:tcPr>
          <w:p w14:paraId="732DE37E" w14:textId="77777777" w:rsidR="00130990" w:rsidRPr="00127BD1" w:rsidRDefault="00130990" w:rsidP="00EC4DE0">
            <w:pPr>
              <w:rPr>
                <w:rFonts w:ascii="Times New Roman" w:eastAsia="Times New Roman" w:hAnsi="Times New Roman" w:cs="Times New Roman"/>
                <w:color w:val="000000"/>
                <w:sz w:val="22"/>
                <w:szCs w:val="22"/>
              </w:rPr>
            </w:pPr>
          </w:p>
        </w:tc>
        <w:tc>
          <w:tcPr>
            <w:tcW w:w="639" w:type="pct"/>
            <w:vAlign w:val="center"/>
          </w:tcPr>
          <w:p w14:paraId="427D4186" w14:textId="77777777" w:rsidR="00130990" w:rsidRPr="00127BD1" w:rsidRDefault="00130990" w:rsidP="00EC4DE0">
            <w:pPr>
              <w:rPr>
                <w:rFonts w:ascii="Times New Roman" w:eastAsia="Times New Roman" w:hAnsi="Times New Roman" w:cs="Times New Roman"/>
                <w:sz w:val="22"/>
                <w:szCs w:val="22"/>
              </w:rPr>
            </w:pPr>
          </w:p>
        </w:tc>
        <w:tc>
          <w:tcPr>
            <w:tcW w:w="639" w:type="pct"/>
            <w:vAlign w:val="center"/>
          </w:tcPr>
          <w:p w14:paraId="5A47891F" w14:textId="77777777" w:rsidR="00130990" w:rsidRPr="00127BD1" w:rsidRDefault="00130990" w:rsidP="00EC4DE0">
            <w:pPr>
              <w:rPr>
                <w:rFonts w:ascii="Times New Roman" w:eastAsia="Times New Roman" w:hAnsi="Times New Roman" w:cs="Times New Roman"/>
                <w:sz w:val="22"/>
                <w:szCs w:val="22"/>
              </w:rPr>
            </w:pPr>
          </w:p>
        </w:tc>
        <w:tc>
          <w:tcPr>
            <w:tcW w:w="640" w:type="pct"/>
            <w:noWrap/>
            <w:vAlign w:val="center"/>
          </w:tcPr>
          <w:p w14:paraId="05644321" w14:textId="77777777" w:rsidR="00130990" w:rsidRPr="00127BD1" w:rsidRDefault="00130990" w:rsidP="00EC4DE0">
            <w:pPr>
              <w:rPr>
                <w:rFonts w:ascii="Times New Roman" w:eastAsia="Times New Roman" w:hAnsi="Times New Roman" w:cs="Times New Roman"/>
                <w:sz w:val="22"/>
                <w:szCs w:val="22"/>
              </w:rPr>
            </w:pPr>
          </w:p>
        </w:tc>
        <w:tc>
          <w:tcPr>
            <w:tcW w:w="639" w:type="pct"/>
            <w:noWrap/>
            <w:vAlign w:val="center"/>
          </w:tcPr>
          <w:p w14:paraId="72700CCC" w14:textId="77777777" w:rsidR="00130990" w:rsidRPr="00127BD1" w:rsidRDefault="00130990" w:rsidP="00EC4DE0">
            <w:pPr>
              <w:rPr>
                <w:rFonts w:ascii="Times New Roman" w:hAnsi="Times New Roman" w:cs="Times New Roman"/>
                <w:color w:val="000000"/>
                <w:sz w:val="22"/>
                <w:szCs w:val="22"/>
              </w:rPr>
            </w:pPr>
          </w:p>
        </w:tc>
        <w:tc>
          <w:tcPr>
            <w:tcW w:w="639" w:type="pct"/>
            <w:noWrap/>
            <w:vAlign w:val="center"/>
          </w:tcPr>
          <w:p w14:paraId="4FA7D6B5"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(0.0021)</w:t>
            </w:r>
          </w:p>
        </w:tc>
        <w:tc>
          <w:tcPr>
            <w:tcW w:w="640" w:type="pct"/>
            <w:vAlign w:val="center"/>
          </w:tcPr>
          <w:p w14:paraId="74E4CD78"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(0.0026)</w:t>
            </w:r>
          </w:p>
        </w:tc>
      </w:tr>
      <w:tr w:rsidR="00130990" w:rsidRPr="00127BD1" w14:paraId="792ACE8F" w14:textId="77777777" w:rsidTr="00FF70BE">
        <w:trPr>
          <w:trHeight w:val="300"/>
        </w:trPr>
        <w:tc>
          <w:tcPr>
            <w:tcW w:w="1164" w:type="pct"/>
            <w:noWrap/>
            <w:vAlign w:val="center"/>
            <w:hideMark/>
          </w:tcPr>
          <w:p w14:paraId="33ACB371" w14:textId="38C95101" w:rsidR="00130990" w:rsidRPr="00127BD1" w:rsidRDefault="009F6FBD"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Obs.</w:t>
            </w:r>
          </w:p>
        </w:tc>
        <w:tc>
          <w:tcPr>
            <w:tcW w:w="639" w:type="pct"/>
            <w:vAlign w:val="center"/>
          </w:tcPr>
          <w:p w14:paraId="036CCC86"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118484</w:t>
            </w:r>
          </w:p>
        </w:tc>
        <w:tc>
          <w:tcPr>
            <w:tcW w:w="639" w:type="pct"/>
            <w:vAlign w:val="center"/>
          </w:tcPr>
          <w:p w14:paraId="7FEED551"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55597</w:t>
            </w:r>
          </w:p>
        </w:tc>
        <w:tc>
          <w:tcPr>
            <w:tcW w:w="640" w:type="pct"/>
            <w:noWrap/>
            <w:vAlign w:val="center"/>
            <w:hideMark/>
          </w:tcPr>
          <w:p w14:paraId="087A7DD0"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106256</w:t>
            </w:r>
          </w:p>
        </w:tc>
        <w:tc>
          <w:tcPr>
            <w:tcW w:w="639" w:type="pct"/>
            <w:noWrap/>
            <w:vAlign w:val="center"/>
            <w:hideMark/>
          </w:tcPr>
          <w:p w14:paraId="5E3951ED"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49325</w:t>
            </w:r>
          </w:p>
        </w:tc>
        <w:tc>
          <w:tcPr>
            <w:tcW w:w="639" w:type="pct"/>
            <w:noWrap/>
            <w:vAlign w:val="center"/>
            <w:hideMark/>
          </w:tcPr>
          <w:p w14:paraId="5808E83C"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55597</w:t>
            </w:r>
          </w:p>
        </w:tc>
        <w:tc>
          <w:tcPr>
            <w:tcW w:w="640" w:type="pct"/>
            <w:vAlign w:val="center"/>
          </w:tcPr>
          <w:p w14:paraId="68C2184A"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69587</w:t>
            </w:r>
          </w:p>
        </w:tc>
      </w:tr>
      <w:tr w:rsidR="00130990" w:rsidRPr="00127BD1" w14:paraId="0C5B9B68" w14:textId="77777777" w:rsidTr="00FF70BE">
        <w:trPr>
          <w:trHeight w:val="300"/>
        </w:trPr>
        <w:tc>
          <w:tcPr>
            <w:tcW w:w="1164" w:type="pct"/>
            <w:noWrap/>
            <w:vAlign w:val="center"/>
            <w:hideMark/>
          </w:tcPr>
          <w:p w14:paraId="7A433191" w14:textId="1CFC1BFD" w:rsidR="00130990" w:rsidRPr="00127BD1" w:rsidRDefault="00F429A6"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Adj R</w:t>
            </w:r>
            <w:r w:rsidRPr="00127BD1">
              <w:rPr>
                <w:rFonts w:ascii="Times New Roman" w:eastAsia="Times New Roman" w:hAnsi="Times New Roman" w:cs="Times New Roman"/>
                <w:color w:val="000000"/>
                <w:sz w:val="22"/>
                <w:szCs w:val="22"/>
                <w:vertAlign w:val="superscript"/>
              </w:rPr>
              <w:t>2</w:t>
            </w:r>
          </w:p>
        </w:tc>
        <w:tc>
          <w:tcPr>
            <w:tcW w:w="639" w:type="pct"/>
            <w:vAlign w:val="center"/>
          </w:tcPr>
          <w:p w14:paraId="7ED17DFC"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0.0254</w:t>
            </w:r>
          </w:p>
        </w:tc>
        <w:tc>
          <w:tcPr>
            <w:tcW w:w="639" w:type="pct"/>
            <w:vAlign w:val="center"/>
          </w:tcPr>
          <w:p w14:paraId="45DB258E"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0.0310</w:t>
            </w:r>
          </w:p>
        </w:tc>
        <w:tc>
          <w:tcPr>
            <w:tcW w:w="640" w:type="pct"/>
            <w:noWrap/>
            <w:vAlign w:val="center"/>
            <w:hideMark/>
          </w:tcPr>
          <w:p w14:paraId="033C9FEB"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0.0256</w:t>
            </w:r>
          </w:p>
        </w:tc>
        <w:tc>
          <w:tcPr>
            <w:tcW w:w="639" w:type="pct"/>
            <w:noWrap/>
            <w:vAlign w:val="center"/>
            <w:hideMark/>
          </w:tcPr>
          <w:p w14:paraId="47CF99FE"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0.0305</w:t>
            </w:r>
          </w:p>
        </w:tc>
        <w:tc>
          <w:tcPr>
            <w:tcW w:w="639" w:type="pct"/>
            <w:noWrap/>
            <w:vAlign w:val="center"/>
            <w:hideMark/>
          </w:tcPr>
          <w:p w14:paraId="025371C8"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0.0310</w:t>
            </w:r>
          </w:p>
        </w:tc>
        <w:tc>
          <w:tcPr>
            <w:tcW w:w="640" w:type="pct"/>
            <w:vAlign w:val="center"/>
          </w:tcPr>
          <w:p w14:paraId="5640BB3B"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0.0213</w:t>
            </w:r>
          </w:p>
        </w:tc>
      </w:tr>
      <w:tr w:rsidR="00FF70BE" w:rsidRPr="00127BD1" w14:paraId="25F2A0CB" w14:textId="77777777" w:rsidTr="00FF70BE">
        <w:trPr>
          <w:trHeight w:val="300"/>
        </w:trPr>
        <w:tc>
          <w:tcPr>
            <w:tcW w:w="1164" w:type="pct"/>
            <w:noWrap/>
            <w:vAlign w:val="center"/>
          </w:tcPr>
          <w:p w14:paraId="409DB6E3" w14:textId="6C238AC3" w:rsidR="00FF70BE" w:rsidRPr="00127BD1" w:rsidRDefault="00FF70BE" w:rsidP="00FF70BE">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Borrower Country*Quarter FE</w:t>
            </w:r>
          </w:p>
        </w:tc>
        <w:tc>
          <w:tcPr>
            <w:tcW w:w="639" w:type="pct"/>
            <w:vAlign w:val="center"/>
          </w:tcPr>
          <w:p w14:paraId="7D7DF197" w14:textId="3F2D5C9C" w:rsidR="00FF70BE" w:rsidRPr="00127BD1" w:rsidRDefault="00FF70BE" w:rsidP="00FF70BE">
            <w:pPr>
              <w:rPr>
                <w:rFonts w:ascii="Times New Roman" w:hAnsi="Times New Roman" w:cs="Times New Roman"/>
                <w:color w:val="000000"/>
                <w:sz w:val="22"/>
                <w:szCs w:val="22"/>
              </w:rPr>
            </w:pPr>
            <w:r w:rsidRPr="00127BD1">
              <w:rPr>
                <w:rFonts w:ascii="Times New Roman" w:hAnsi="Times New Roman" w:cs="Times New Roman"/>
                <w:color w:val="000000"/>
                <w:sz w:val="22"/>
                <w:szCs w:val="22"/>
              </w:rPr>
              <w:t>Y</w:t>
            </w:r>
            <w:r w:rsidR="005816FC" w:rsidRPr="00127BD1">
              <w:rPr>
                <w:rFonts w:ascii="Times New Roman" w:hAnsi="Times New Roman" w:cs="Times New Roman"/>
                <w:color w:val="000000"/>
                <w:sz w:val="22"/>
                <w:szCs w:val="22"/>
              </w:rPr>
              <w:t>es</w:t>
            </w:r>
          </w:p>
        </w:tc>
        <w:tc>
          <w:tcPr>
            <w:tcW w:w="639" w:type="pct"/>
            <w:vAlign w:val="center"/>
          </w:tcPr>
          <w:p w14:paraId="63AA1781" w14:textId="12C528E5" w:rsidR="00FF70BE" w:rsidRPr="00127BD1" w:rsidRDefault="00FF70BE" w:rsidP="00FF70BE">
            <w:pPr>
              <w:rPr>
                <w:rFonts w:ascii="Times New Roman" w:hAnsi="Times New Roman" w:cs="Times New Roman"/>
                <w:color w:val="000000"/>
                <w:sz w:val="22"/>
                <w:szCs w:val="22"/>
              </w:rPr>
            </w:pPr>
            <w:r w:rsidRPr="00127BD1">
              <w:rPr>
                <w:rFonts w:ascii="Times New Roman" w:hAnsi="Times New Roman" w:cs="Times New Roman"/>
                <w:color w:val="000000"/>
                <w:sz w:val="22"/>
                <w:szCs w:val="22"/>
              </w:rPr>
              <w:t>Y</w:t>
            </w:r>
            <w:r w:rsidR="005816FC" w:rsidRPr="00127BD1">
              <w:rPr>
                <w:rFonts w:ascii="Times New Roman" w:hAnsi="Times New Roman" w:cs="Times New Roman"/>
                <w:color w:val="000000"/>
                <w:sz w:val="22"/>
                <w:szCs w:val="22"/>
              </w:rPr>
              <w:t>es</w:t>
            </w:r>
          </w:p>
        </w:tc>
        <w:tc>
          <w:tcPr>
            <w:tcW w:w="640" w:type="pct"/>
            <w:noWrap/>
            <w:vAlign w:val="center"/>
          </w:tcPr>
          <w:p w14:paraId="0F548E34" w14:textId="1B075833" w:rsidR="00FF70BE" w:rsidRPr="00127BD1" w:rsidRDefault="00FF70BE" w:rsidP="00FF70BE">
            <w:pPr>
              <w:rPr>
                <w:rFonts w:ascii="Times New Roman" w:hAnsi="Times New Roman" w:cs="Times New Roman"/>
                <w:color w:val="000000"/>
                <w:sz w:val="22"/>
                <w:szCs w:val="22"/>
              </w:rPr>
            </w:pPr>
            <w:r w:rsidRPr="00127BD1">
              <w:rPr>
                <w:rFonts w:ascii="Times New Roman" w:hAnsi="Times New Roman" w:cs="Times New Roman"/>
                <w:color w:val="000000"/>
                <w:sz w:val="22"/>
                <w:szCs w:val="22"/>
              </w:rPr>
              <w:t>Y</w:t>
            </w:r>
            <w:r w:rsidR="005816FC" w:rsidRPr="00127BD1">
              <w:rPr>
                <w:rFonts w:ascii="Times New Roman" w:hAnsi="Times New Roman" w:cs="Times New Roman"/>
                <w:color w:val="000000"/>
                <w:sz w:val="22"/>
                <w:szCs w:val="22"/>
              </w:rPr>
              <w:t>es</w:t>
            </w:r>
          </w:p>
        </w:tc>
        <w:tc>
          <w:tcPr>
            <w:tcW w:w="639" w:type="pct"/>
            <w:noWrap/>
            <w:vAlign w:val="center"/>
          </w:tcPr>
          <w:p w14:paraId="39E0084E" w14:textId="4384E4CD" w:rsidR="00FF70BE" w:rsidRPr="00127BD1" w:rsidRDefault="00FF70BE" w:rsidP="00FF70BE">
            <w:pPr>
              <w:rPr>
                <w:rFonts w:ascii="Times New Roman" w:hAnsi="Times New Roman" w:cs="Times New Roman"/>
                <w:color w:val="000000"/>
                <w:sz w:val="22"/>
                <w:szCs w:val="22"/>
              </w:rPr>
            </w:pPr>
            <w:r w:rsidRPr="00127BD1">
              <w:rPr>
                <w:rFonts w:ascii="Times New Roman" w:hAnsi="Times New Roman" w:cs="Times New Roman"/>
                <w:color w:val="000000"/>
                <w:sz w:val="22"/>
                <w:szCs w:val="22"/>
              </w:rPr>
              <w:t>Y</w:t>
            </w:r>
            <w:r w:rsidR="005816FC" w:rsidRPr="00127BD1">
              <w:rPr>
                <w:rFonts w:ascii="Times New Roman" w:hAnsi="Times New Roman" w:cs="Times New Roman"/>
                <w:color w:val="000000"/>
                <w:sz w:val="22"/>
                <w:szCs w:val="22"/>
              </w:rPr>
              <w:t>es</w:t>
            </w:r>
          </w:p>
        </w:tc>
        <w:tc>
          <w:tcPr>
            <w:tcW w:w="639" w:type="pct"/>
            <w:noWrap/>
            <w:vAlign w:val="center"/>
          </w:tcPr>
          <w:p w14:paraId="62AB60A4" w14:textId="2F0168B1" w:rsidR="00FF70BE" w:rsidRPr="00127BD1" w:rsidRDefault="00FF70BE" w:rsidP="00FF70BE">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Y</w:t>
            </w:r>
            <w:r w:rsidR="005816FC" w:rsidRPr="00127BD1">
              <w:rPr>
                <w:rFonts w:ascii="Times New Roman" w:hAnsi="Times New Roman" w:cs="Times New Roman"/>
                <w:color w:val="000000"/>
                <w:sz w:val="22"/>
                <w:szCs w:val="22"/>
              </w:rPr>
              <w:t>es</w:t>
            </w:r>
          </w:p>
        </w:tc>
        <w:tc>
          <w:tcPr>
            <w:tcW w:w="640" w:type="pct"/>
            <w:vAlign w:val="center"/>
          </w:tcPr>
          <w:p w14:paraId="63A75848" w14:textId="56B44A97" w:rsidR="00FF70BE" w:rsidRPr="00127BD1" w:rsidRDefault="00FF70BE" w:rsidP="00FF70BE">
            <w:pPr>
              <w:rPr>
                <w:rFonts w:ascii="Times New Roman" w:hAnsi="Times New Roman" w:cs="Times New Roman"/>
                <w:color w:val="000000"/>
                <w:sz w:val="22"/>
                <w:szCs w:val="22"/>
              </w:rPr>
            </w:pPr>
            <w:r w:rsidRPr="00127BD1">
              <w:rPr>
                <w:rFonts w:ascii="Times New Roman" w:hAnsi="Times New Roman" w:cs="Times New Roman"/>
                <w:color w:val="000000"/>
                <w:sz w:val="22"/>
                <w:szCs w:val="22"/>
              </w:rPr>
              <w:t>Y</w:t>
            </w:r>
            <w:r w:rsidR="005816FC" w:rsidRPr="00127BD1">
              <w:rPr>
                <w:rFonts w:ascii="Times New Roman" w:hAnsi="Times New Roman" w:cs="Times New Roman"/>
                <w:color w:val="000000"/>
                <w:sz w:val="22"/>
                <w:szCs w:val="22"/>
              </w:rPr>
              <w:t>es</w:t>
            </w:r>
          </w:p>
        </w:tc>
      </w:tr>
    </w:tbl>
    <w:p w14:paraId="3165AE83" w14:textId="114ADDCC" w:rsidR="00130990" w:rsidRPr="00127BD1" w:rsidRDefault="00130990" w:rsidP="00130990">
      <w:pPr>
        <w:jc w:val="both"/>
        <w:rPr>
          <w:rFonts w:ascii="Times New Roman" w:hAnsi="Times New Roman" w:cs="Times New Roman"/>
          <w:b/>
          <w:bCs/>
          <w:sz w:val="20"/>
          <w:szCs w:val="20"/>
        </w:rPr>
      </w:pPr>
      <w:r w:rsidRPr="00127BD1">
        <w:rPr>
          <w:rFonts w:ascii="Times New Roman" w:hAnsi="Times New Roman" w:cs="Times New Roman"/>
          <w:sz w:val="20"/>
          <w:szCs w:val="20"/>
        </w:rPr>
        <w:t xml:space="preserve">Note: All variables are specified in </w:t>
      </w:r>
      <w:r w:rsidR="004D58AF" w:rsidRPr="00127BD1">
        <w:rPr>
          <w:rFonts w:ascii="Times New Roman" w:hAnsi="Times New Roman" w:cs="Times New Roman"/>
          <w:sz w:val="20"/>
          <w:szCs w:val="20"/>
        </w:rPr>
        <w:t xml:space="preserve">the </w:t>
      </w:r>
      <w:r w:rsidRPr="00127BD1">
        <w:rPr>
          <w:rFonts w:ascii="Times New Roman" w:hAnsi="Times New Roman" w:cs="Times New Roman"/>
          <w:sz w:val="20"/>
          <w:szCs w:val="20"/>
        </w:rPr>
        <w:t>Appendix. The dependent variables are the growth rate of exchange rate-adjusted cross-border claims. All independent variables are lagged by one period.</w:t>
      </w:r>
      <w:r w:rsidR="00C87D13" w:rsidRPr="00127BD1">
        <w:rPr>
          <w:rFonts w:ascii="Times New Roman" w:hAnsi="Times New Roman" w:cs="Times New Roman"/>
          <w:sz w:val="20"/>
          <w:szCs w:val="20"/>
        </w:rPr>
        <w:t xml:space="preserve"> A recipient country-time fixed effect is included.</w:t>
      </w:r>
      <w:r w:rsidRPr="00127BD1">
        <w:rPr>
          <w:rFonts w:ascii="Times New Roman" w:hAnsi="Times New Roman" w:cs="Times New Roman"/>
          <w:sz w:val="20"/>
          <w:szCs w:val="20"/>
        </w:rPr>
        <w:t xml:space="preserve"> </w:t>
      </w:r>
      <w:bookmarkStart w:id="12" w:name="_Hlk216792408"/>
      <w:r w:rsidRPr="00127BD1">
        <w:rPr>
          <w:rFonts w:ascii="Times New Roman" w:hAnsi="Times New Roman" w:cs="Times New Roman"/>
          <w:sz w:val="20"/>
          <w:szCs w:val="20"/>
        </w:rPr>
        <w:t xml:space="preserve">Heteroskedasticity-robust standard errors are clustered at the source-recipient levels. </w:t>
      </w:r>
      <w:bookmarkEnd w:id="12"/>
      <w:r w:rsidRPr="00127BD1">
        <w:rPr>
          <w:rFonts w:ascii="Times New Roman" w:hAnsi="Times New Roman" w:cs="Times New Roman"/>
          <w:sz w:val="20"/>
          <w:szCs w:val="20"/>
        </w:rPr>
        <w:t>*** denotes 1% significan</w:t>
      </w:r>
      <w:r w:rsidR="008C61C6" w:rsidRPr="00127BD1">
        <w:rPr>
          <w:rFonts w:ascii="Times New Roman" w:hAnsi="Times New Roman" w:cs="Times New Roman"/>
          <w:sz w:val="20"/>
          <w:szCs w:val="20"/>
        </w:rPr>
        <w:t>ce</w:t>
      </w:r>
      <w:r w:rsidRPr="00127BD1">
        <w:rPr>
          <w:rFonts w:ascii="Times New Roman" w:hAnsi="Times New Roman" w:cs="Times New Roman"/>
          <w:sz w:val="20"/>
          <w:szCs w:val="20"/>
        </w:rPr>
        <w:t xml:space="preserve"> level, ** denotes 5% significance level, and * denotes 10% significance level.</w:t>
      </w:r>
    </w:p>
    <w:p w14:paraId="12675CA5" w14:textId="77777777" w:rsidR="00130990" w:rsidRPr="00127BD1" w:rsidRDefault="00130990" w:rsidP="00130990">
      <w:pPr>
        <w:rPr>
          <w:rFonts w:ascii="Times New Roman" w:hAnsi="Times New Roman" w:cs="Times New Roman"/>
          <w:b/>
          <w:bCs/>
          <w:sz w:val="22"/>
          <w:szCs w:val="22"/>
        </w:rPr>
      </w:pPr>
    </w:p>
    <w:p w14:paraId="6EE7CDA8" w14:textId="77777777" w:rsidR="00135010" w:rsidRPr="00127BD1" w:rsidRDefault="00135010" w:rsidP="00130990">
      <w:pPr>
        <w:rPr>
          <w:rFonts w:ascii="Times New Roman" w:hAnsi="Times New Roman" w:cs="Times New Roman"/>
          <w:b/>
          <w:bCs/>
          <w:sz w:val="22"/>
          <w:szCs w:val="22"/>
        </w:rPr>
      </w:pPr>
    </w:p>
    <w:p w14:paraId="4B1527E4" w14:textId="77777777" w:rsidR="00135010" w:rsidRPr="00127BD1" w:rsidRDefault="00135010" w:rsidP="00130990">
      <w:pPr>
        <w:rPr>
          <w:rFonts w:ascii="Times New Roman" w:hAnsi="Times New Roman" w:cs="Times New Roman"/>
          <w:b/>
          <w:bCs/>
          <w:sz w:val="22"/>
          <w:szCs w:val="22"/>
        </w:rPr>
      </w:pPr>
    </w:p>
    <w:p w14:paraId="7EEDFC58" w14:textId="77777777" w:rsidR="003C5927" w:rsidRPr="00127BD1" w:rsidRDefault="003C5927" w:rsidP="00130990">
      <w:pPr>
        <w:rPr>
          <w:rFonts w:ascii="Times New Roman" w:hAnsi="Times New Roman" w:cs="Times New Roman"/>
          <w:b/>
          <w:bCs/>
          <w:sz w:val="22"/>
          <w:szCs w:val="22"/>
        </w:rPr>
        <w:sectPr w:rsidR="003C5927" w:rsidRPr="00127BD1" w:rsidSect="00C8430E">
          <w:pgSz w:w="11906" w:h="16838"/>
          <w:pgMar w:top="1440" w:right="1080" w:bottom="1440" w:left="1080" w:header="708" w:footer="708" w:gutter="0"/>
          <w:cols w:space="708"/>
          <w:docGrid w:linePitch="360"/>
        </w:sectPr>
      </w:pPr>
    </w:p>
    <w:p w14:paraId="52E96AEC" w14:textId="6BEAC6A2" w:rsidR="00545D83" w:rsidRPr="00127BD1" w:rsidRDefault="00545D83" w:rsidP="000B48C7">
      <w:pPr>
        <w:spacing w:line="360" w:lineRule="auto"/>
        <w:rPr>
          <w:rFonts w:ascii="Times New Roman" w:hAnsi="Times New Roman" w:cs="Times New Roman"/>
        </w:rPr>
      </w:pPr>
      <w:r w:rsidRPr="00127BD1">
        <w:rPr>
          <w:rFonts w:ascii="Times New Roman" w:hAnsi="Times New Roman" w:cs="Times New Roman"/>
          <w:b/>
          <w:bCs/>
          <w:sz w:val="22"/>
          <w:szCs w:val="22"/>
        </w:rPr>
        <w:lastRenderedPageBreak/>
        <w:t xml:space="preserve">Table 5 </w:t>
      </w:r>
      <w:r w:rsidRPr="00127BD1">
        <w:rPr>
          <w:rFonts w:ascii="Times New Roman" w:hAnsi="Times New Roman" w:cs="Times New Roman"/>
          <w:sz w:val="22"/>
          <w:szCs w:val="22"/>
        </w:rPr>
        <w:t xml:space="preserve">Difference-in-Differences </w:t>
      </w:r>
      <w:r w:rsidR="00127BD1" w:rsidRPr="00127BD1">
        <w:rPr>
          <w:rFonts w:ascii="Times New Roman" w:hAnsi="Times New Roman" w:cs="Times New Roman"/>
          <w:sz w:val="22"/>
          <w:szCs w:val="22"/>
        </w:rPr>
        <w:t>e</w:t>
      </w:r>
      <w:r w:rsidRPr="00127BD1">
        <w:rPr>
          <w:rFonts w:ascii="Times New Roman" w:hAnsi="Times New Roman" w:cs="Times New Roman"/>
          <w:sz w:val="22"/>
          <w:szCs w:val="22"/>
        </w:rPr>
        <w:t xml:space="preserve">stimates: Brexit </w:t>
      </w:r>
      <w:r w:rsidR="00127BD1" w:rsidRPr="00127BD1">
        <w:rPr>
          <w:rFonts w:ascii="Times New Roman" w:hAnsi="Times New Roman" w:cs="Times New Roman"/>
          <w:sz w:val="22"/>
          <w:szCs w:val="22"/>
        </w:rPr>
        <w:t>r</w:t>
      </w:r>
      <w:r w:rsidRPr="00127BD1">
        <w:rPr>
          <w:rFonts w:ascii="Times New Roman" w:hAnsi="Times New Roman" w:cs="Times New Roman"/>
          <w:sz w:val="22"/>
          <w:szCs w:val="22"/>
        </w:rPr>
        <w:t>eferendum</w:t>
      </w:r>
      <w:r w:rsidRPr="00127BD1">
        <w:rPr>
          <w:rFonts w:ascii="Times New Roman" w:hAnsi="Times New Roman" w:cs="Times New Roman"/>
        </w:rPr>
        <w:t xml:space="preserve"> </w:t>
      </w:r>
    </w:p>
    <w:tbl>
      <w:tblPr>
        <w:tblW w:w="5000" w:type="pct"/>
        <w:tblBorders>
          <w:top w:val="single" w:sz="4" w:space="0" w:color="auto"/>
          <w:bottom w:val="single" w:sz="4" w:space="0" w:color="auto"/>
        </w:tblBorders>
        <w:tblLook w:val="04A0" w:firstRow="1" w:lastRow="0" w:firstColumn="1" w:lastColumn="0" w:noHBand="0" w:noVBand="1"/>
      </w:tblPr>
      <w:tblGrid>
        <w:gridCol w:w="2929"/>
        <w:gridCol w:w="1622"/>
        <w:gridCol w:w="1518"/>
        <w:gridCol w:w="1551"/>
        <w:gridCol w:w="2126"/>
      </w:tblGrid>
      <w:tr w:rsidR="00127BD1" w:rsidRPr="00127BD1" w14:paraId="7C0DBEDE" w14:textId="77777777" w:rsidTr="00F544A0">
        <w:trPr>
          <w:trHeight w:val="300"/>
        </w:trPr>
        <w:tc>
          <w:tcPr>
            <w:tcW w:w="1164" w:type="pct"/>
            <w:tcBorders>
              <w:top w:val="single" w:sz="4" w:space="0" w:color="auto"/>
              <w:bottom w:val="single" w:sz="4" w:space="0" w:color="auto"/>
            </w:tcBorders>
            <w:noWrap/>
            <w:vAlign w:val="bottom"/>
            <w:hideMark/>
          </w:tcPr>
          <w:p w14:paraId="5FB7B826" w14:textId="77777777" w:rsidR="00545D83" w:rsidRPr="00127BD1" w:rsidRDefault="00545D83" w:rsidP="00123FB8">
            <w:pPr>
              <w:rPr>
                <w:rFonts w:ascii="Times New Roman" w:eastAsia="Times New Roman" w:hAnsi="Times New Roman" w:cs="Times New Roman"/>
                <w:sz w:val="22"/>
                <w:szCs w:val="22"/>
              </w:rPr>
            </w:pPr>
          </w:p>
        </w:tc>
        <w:tc>
          <w:tcPr>
            <w:tcW w:w="917" w:type="pct"/>
            <w:tcBorders>
              <w:top w:val="single" w:sz="4" w:space="0" w:color="auto"/>
              <w:bottom w:val="single" w:sz="4" w:space="0" w:color="auto"/>
            </w:tcBorders>
            <w:noWrap/>
            <w:vAlign w:val="bottom"/>
            <w:hideMark/>
          </w:tcPr>
          <w:p w14:paraId="26207089"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(1)</w:t>
            </w:r>
          </w:p>
        </w:tc>
        <w:tc>
          <w:tcPr>
            <w:tcW w:w="825" w:type="pct"/>
            <w:tcBorders>
              <w:top w:val="single" w:sz="4" w:space="0" w:color="auto"/>
              <w:bottom w:val="single" w:sz="4" w:space="0" w:color="auto"/>
            </w:tcBorders>
            <w:noWrap/>
            <w:vAlign w:val="bottom"/>
            <w:hideMark/>
          </w:tcPr>
          <w:p w14:paraId="4589EC5F"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(2)</w:t>
            </w:r>
          </w:p>
        </w:tc>
        <w:tc>
          <w:tcPr>
            <w:tcW w:w="919" w:type="pct"/>
            <w:tcBorders>
              <w:top w:val="single" w:sz="4" w:space="0" w:color="auto"/>
              <w:bottom w:val="single" w:sz="4" w:space="0" w:color="auto"/>
            </w:tcBorders>
            <w:noWrap/>
            <w:vAlign w:val="bottom"/>
            <w:hideMark/>
          </w:tcPr>
          <w:p w14:paraId="573DBF9E"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(3)</w:t>
            </w:r>
          </w:p>
        </w:tc>
        <w:tc>
          <w:tcPr>
            <w:tcW w:w="1176" w:type="pct"/>
            <w:tcBorders>
              <w:top w:val="single" w:sz="4" w:space="0" w:color="auto"/>
              <w:bottom w:val="single" w:sz="4" w:space="0" w:color="auto"/>
            </w:tcBorders>
            <w:noWrap/>
            <w:vAlign w:val="bottom"/>
            <w:hideMark/>
          </w:tcPr>
          <w:p w14:paraId="76ECF8B2"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(4)</w:t>
            </w:r>
          </w:p>
        </w:tc>
      </w:tr>
      <w:tr w:rsidR="00127BD1" w:rsidRPr="00127BD1" w14:paraId="0100AFD9" w14:textId="77777777" w:rsidTr="00F544A0">
        <w:trPr>
          <w:trHeight w:val="300"/>
        </w:trPr>
        <w:tc>
          <w:tcPr>
            <w:tcW w:w="1164" w:type="pct"/>
            <w:tcBorders>
              <w:top w:val="single" w:sz="4" w:space="0" w:color="auto"/>
            </w:tcBorders>
            <w:noWrap/>
            <w:vAlign w:val="bottom"/>
            <w:hideMark/>
          </w:tcPr>
          <w:p w14:paraId="366054BE" w14:textId="77777777" w:rsidR="00545D83" w:rsidRPr="00127BD1" w:rsidRDefault="00545D83" w:rsidP="00123FB8">
            <w:pPr>
              <w:rPr>
                <w:rFonts w:ascii="Times New Roman" w:eastAsia="Times New Roman" w:hAnsi="Times New Roman" w:cs="Times New Roman"/>
                <w:sz w:val="22"/>
                <w:szCs w:val="22"/>
              </w:rPr>
            </w:pPr>
          </w:p>
        </w:tc>
        <w:tc>
          <w:tcPr>
            <w:tcW w:w="917" w:type="pct"/>
            <w:tcBorders>
              <w:top w:val="single" w:sz="4" w:space="0" w:color="auto"/>
            </w:tcBorders>
            <w:noWrap/>
            <w:vAlign w:val="bottom"/>
            <w:hideMark/>
          </w:tcPr>
          <w:p w14:paraId="289FCDDF" w14:textId="77777777" w:rsidR="00545D83" w:rsidRPr="00127BD1" w:rsidRDefault="00545D83" w:rsidP="00123FB8">
            <w:pPr>
              <w:rPr>
                <w:rFonts w:ascii="Times New Roman" w:eastAsia="Times New Roman" w:hAnsi="Times New Roman" w:cs="Times New Roman"/>
                <w:i/>
                <w:iCs/>
                <w:sz w:val="22"/>
                <w:szCs w:val="22"/>
              </w:rPr>
            </w:pPr>
            <w:r w:rsidRPr="00127BD1">
              <w:rPr>
                <w:rFonts w:ascii="Times New Roman" w:eastAsia="Times New Roman" w:hAnsi="Times New Roman" w:cs="Times New Roman"/>
                <w:i/>
                <w:iCs/>
                <w:sz w:val="22"/>
                <w:szCs w:val="22"/>
              </w:rPr>
              <w:t>DID</w:t>
            </w:r>
          </w:p>
        </w:tc>
        <w:tc>
          <w:tcPr>
            <w:tcW w:w="825" w:type="pct"/>
            <w:tcBorders>
              <w:top w:val="single" w:sz="4" w:space="0" w:color="auto"/>
            </w:tcBorders>
            <w:noWrap/>
            <w:vAlign w:val="bottom"/>
            <w:hideMark/>
          </w:tcPr>
          <w:p w14:paraId="15A9BD7B" w14:textId="77777777" w:rsidR="00545D83" w:rsidRPr="00127BD1" w:rsidRDefault="00545D83" w:rsidP="00123FB8">
            <w:pPr>
              <w:rPr>
                <w:rFonts w:ascii="Times New Roman" w:eastAsia="Times New Roman" w:hAnsi="Times New Roman" w:cs="Times New Roman"/>
                <w:i/>
                <w:iCs/>
                <w:sz w:val="22"/>
                <w:szCs w:val="22"/>
              </w:rPr>
            </w:pPr>
            <w:r w:rsidRPr="00127BD1">
              <w:rPr>
                <w:rFonts w:ascii="Times New Roman" w:eastAsia="Times New Roman" w:hAnsi="Times New Roman" w:cs="Times New Roman"/>
                <w:i/>
                <w:iCs/>
                <w:sz w:val="22"/>
                <w:szCs w:val="22"/>
              </w:rPr>
              <w:t>Parallel Trend</w:t>
            </w:r>
          </w:p>
        </w:tc>
        <w:tc>
          <w:tcPr>
            <w:tcW w:w="919" w:type="pct"/>
            <w:tcBorders>
              <w:top w:val="single" w:sz="4" w:space="0" w:color="auto"/>
            </w:tcBorders>
            <w:noWrap/>
            <w:vAlign w:val="bottom"/>
            <w:hideMark/>
          </w:tcPr>
          <w:p w14:paraId="2BD6C684" w14:textId="77777777" w:rsidR="00545D83" w:rsidRPr="00127BD1" w:rsidRDefault="00545D83" w:rsidP="00123FB8">
            <w:pPr>
              <w:rPr>
                <w:rFonts w:ascii="Times New Roman" w:eastAsia="Times New Roman" w:hAnsi="Times New Roman" w:cs="Times New Roman"/>
                <w:i/>
                <w:iCs/>
                <w:sz w:val="22"/>
                <w:szCs w:val="22"/>
              </w:rPr>
            </w:pPr>
            <w:r w:rsidRPr="00127BD1">
              <w:rPr>
                <w:rFonts w:ascii="Times New Roman" w:eastAsia="Times New Roman" w:hAnsi="Times New Roman" w:cs="Times New Roman"/>
                <w:i/>
                <w:iCs/>
                <w:sz w:val="22"/>
                <w:szCs w:val="22"/>
              </w:rPr>
              <w:t>PSM</w:t>
            </w:r>
          </w:p>
        </w:tc>
        <w:tc>
          <w:tcPr>
            <w:tcW w:w="1176" w:type="pct"/>
            <w:tcBorders>
              <w:top w:val="single" w:sz="4" w:space="0" w:color="auto"/>
            </w:tcBorders>
            <w:noWrap/>
            <w:vAlign w:val="bottom"/>
            <w:hideMark/>
          </w:tcPr>
          <w:p w14:paraId="698A7D95" w14:textId="77777777" w:rsidR="00545D83" w:rsidRPr="00127BD1" w:rsidRDefault="00545D83" w:rsidP="00123FB8">
            <w:pPr>
              <w:rPr>
                <w:rFonts w:ascii="Times New Roman" w:hAnsi="Times New Roman" w:cs="Times New Roman"/>
                <w:i/>
                <w:iCs/>
                <w:sz w:val="22"/>
                <w:szCs w:val="22"/>
              </w:rPr>
            </w:pPr>
            <w:r w:rsidRPr="00127BD1">
              <w:rPr>
                <w:rFonts w:ascii="Times New Roman" w:eastAsia="Times New Roman" w:hAnsi="Times New Roman" w:cs="Times New Roman"/>
                <w:i/>
                <w:iCs/>
                <w:sz w:val="22"/>
                <w:szCs w:val="22"/>
              </w:rPr>
              <w:t>Entropy Balancing</w:t>
            </w:r>
          </w:p>
        </w:tc>
      </w:tr>
      <w:tr w:rsidR="00127BD1" w:rsidRPr="00127BD1" w14:paraId="278E90D5" w14:textId="77777777" w:rsidTr="00F544A0">
        <w:trPr>
          <w:trHeight w:val="300"/>
        </w:trPr>
        <w:tc>
          <w:tcPr>
            <w:tcW w:w="1164" w:type="pct"/>
            <w:noWrap/>
            <w:vAlign w:val="bottom"/>
            <w:hideMark/>
          </w:tcPr>
          <w:p w14:paraId="1266CED5"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Treat × Post</w:t>
            </w:r>
          </w:p>
        </w:tc>
        <w:tc>
          <w:tcPr>
            <w:tcW w:w="917" w:type="pct"/>
            <w:noWrap/>
            <w:vAlign w:val="bottom"/>
            <w:hideMark/>
          </w:tcPr>
          <w:p w14:paraId="0D19814C"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0.0244***</w:t>
            </w:r>
          </w:p>
        </w:tc>
        <w:tc>
          <w:tcPr>
            <w:tcW w:w="825" w:type="pct"/>
            <w:noWrap/>
            <w:vAlign w:val="bottom"/>
            <w:hideMark/>
          </w:tcPr>
          <w:p w14:paraId="2681FD44" w14:textId="77777777" w:rsidR="00545D83" w:rsidRPr="00127BD1" w:rsidRDefault="00545D83" w:rsidP="00123FB8">
            <w:pPr>
              <w:rPr>
                <w:rFonts w:ascii="Times New Roman" w:eastAsia="Times New Roman" w:hAnsi="Times New Roman" w:cs="Times New Roman"/>
                <w:sz w:val="22"/>
                <w:szCs w:val="22"/>
              </w:rPr>
            </w:pPr>
          </w:p>
        </w:tc>
        <w:tc>
          <w:tcPr>
            <w:tcW w:w="919" w:type="pct"/>
            <w:noWrap/>
            <w:vAlign w:val="bottom"/>
            <w:hideMark/>
          </w:tcPr>
          <w:p w14:paraId="63DDE1D2"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0.0251**</w:t>
            </w:r>
          </w:p>
        </w:tc>
        <w:tc>
          <w:tcPr>
            <w:tcW w:w="1176" w:type="pct"/>
            <w:noWrap/>
            <w:vAlign w:val="bottom"/>
            <w:hideMark/>
          </w:tcPr>
          <w:p w14:paraId="522D1BC1"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0.0180***</w:t>
            </w:r>
          </w:p>
        </w:tc>
      </w:tr>
      <w:tr w:rsidR="00127BD1" w:rsidRPr="00127BD1" w14:paraId="43149937" w14:textId="77777777" w:rsidTr="00F544A0">
        <w:trPr>
          <w:trHeight w:val="300"/>
        </w:trPr>
        <w:tc>
          <w:tcPr>
            <w:tcW w:w="1164" w:type="pct"/>
            <w:noWrap/>
            <w:vAlign w:val="bottom"/>
            <w:hideMark/>
          </w:tcPr>
          <w:p w14:paraId="23570D6D" w14:textId="77777777" w:rsidR="00545D83" w:rsidRPr="00127BD1" w:rsidRDefault="00545D83" w:rsidP="00123FB8">
            <w:pPr>
              <w:rPr>
                <w:rFonts w:ascii="Times New Roman" w:eastAsia="Times New Roman" w:hAnsi="Times New Roman" w:cs="Times New Roman"/>
                <w:sz w:val="22"/>
                <w:szCs w:val="22"/>
              </w:rPr>
            </w:pPr>
          </w:p>
        </w:tc>
        <w:tc>
          <w:tcPr>
            <w:tcW w:w="917" w:type="pct"/>
            <w:noWrap/>
            <w:vAlign w:val="bottom"/>
            <w:hideMark/>
          </w:tcPr>
          <w:p w14:paraId="5DAAE477"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(0.0075)</w:t>
            </w:r>
          </w:p>
        </w:tc>
        <w:tc>
          <w:tcPr>
            <w:tcW w:w="825" w:type="pct"/>
            <w:noWrap/>
            <w:vAlign w:val="bottom"/>
            <w:hideMark/>
          </w:tcPr>
          <w:p w14:paraId="000B8938" w14:textId="77777777" w:rsidR="00545D83" w:rsidRPr="00127BD1" w:rsidRDefault="00545D83" w:rsidP="00123FB8">
            <w:pPr>
              <w:rPr>
                <w:rFonts w:ascii="Times New Roman" w:eastAsia="Times New Roman" w:hAnsi="Times New Roman" w:cs="Times New Roman"/>
                <w:sz w:val="22"/>
                <w:szCs w:val="22"/>
              </w:rPr>
            </w:pPr>
          </w:p>
        </w:tc>
        <w:tc>
          <w:tcPr>
            <w:tcW w:w="919" w:type="pct"/>
            <w:noWrap/>
            <w:vAlign w:val="bottom"/>
            <w:hideMark/>
          </w:tcPr>
          <w:p w14:paraId="559BD09B"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(0.0115)</w:t>
            </w:r>
          </w:p>
        </w:tc>
        <w:tc>
          <w:tcPr>
            <w:tcW w:w="1176" w:type="pct"/>
            <w:noWrap/>
            <w:vAlign w:val="bottom"/>
            <w:hideMark/>
          </w:tcPr>
          <w:p w14:paraId="559EAB0B"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(0.0060)</w:t>
            </w:r>
          </w:p>
        </w:tc>
      </w:tr>
      <w:tr w:rsidR="00127BD1" w:rsidRPr="00127BD1" w14:paraId="77FE1F8E" w14:textId="77777777" w:rsidTr="00F544A0">
        <w:trPr>
          <w:trHeight w:val="300"/>
        </w:trPr>
        <w:tc>
          <w:tcPr>
            <w:tcW w:w="1164" w:type="pct"/>
            <w:noWrap/>
            <w:vAlign w:val="bottom"/>
            <w:hideMark/>
          </w:tcPr>
          <w:p w14:paraId="0846B31E"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lag RGDPG</w:t>
            </w:r>
          </w:p>
        </w:tc>
        <w:tc>
          <w:tcPr>
            <w:tcW w:w="917" w:type="pct"/>
            <w:noWrap/>
            <w:vAlign w:val="bottom"/>
            <w:hideMark/>
          </w:tcPr>
          <w:p w14:paraId="1B523B1A"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0.0021</w:t>
            </w:r>
          </w:p>
        </w:tc>
        <w:tc>
          <w:tcPr>
            <w:tcW w:w="825" w:type="pct"/>
            <w:noWrap/>
            <w:vAlign w:val="bottom"/>
            <w:hideMark/>
          </w:tcPr>
          <w:p w14:paraId="3CB20693"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0.0028</w:t>
            </w:r>
          </w:p>
        </w:tc>
        <w:tc>
          <w:tcPr>
            <w:tcW w:w="919" w:type="pct"/>
            <w:noWrap/>
            <w:vAlign w:val="bottom"/>
            <w:hideMark/>
          </w:tcPr>
          <w:p w14:paraId="14B2FCBD"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0.0125</w:t>
            </w:r>
          </w:p>
        </w:tc>
        <w:tc>
          <w:tcPr>
            <w:tcW w:w="1176" w:type="pct"/>
            <w:noWrap/>
            <w:vAlign w:val="bottom"/>
            <w:hideMark/>
          </w:tcPr>
          <w:p w14:paraId="31968F24"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0.0045</w:t>
            </w:r>
          </w:p>
        </w:tc>
      </w:tr>
      <w:tr w:rsidR="00127BD1" w:rsidRPr="00127BD1" w14:paraId="61CF9238" w14:textId="77777777" w:rsidTr="00F544A0">
        <w:trPr>
          <w:trHeight w:val="300"/>
        </w:trPr>
        <w:tc>
          <w:tcPr>
            <w:tcW w:w="1164" w:type="pct"/>
            <w:noWrap/>
            <w:vAlign w:val="bottom"/>
            <w:hideMark/>
          </w:tcPr>
          <w:p w14:paraId="6B0D95BA" w14:textId="77777777" w:rsidR="00545D83" w:rsidRPr="00127BD1" w:rsidRDefault="00545D83" w:rsidP="00123FB8">
            <w:pPr>
              <w:rPr>
                <w:rFonts w:ascii="Times New Roman" w:eastAsia="Times New Roman" w:hAnsi="Times New Roman" w:cs="Times New Roman"/>
                <w:sz w:val="22"/>
                <w:szCs w:val="22"/>
              </w:rPr>
            </w:pPr>
          </w:p>
        </w:tc>
        <w:tc>
          <w:tcPr>
            <w:tcW w:w="917" w:type="pct"/>
            <w:noWrap/>
            <w:vAlign w:val="bottom"/>
            <w:hideMark/>
          </w:tcPr>
          <w:p w14:paraId="0335E641"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(0.0048)</w:t>
            </w:r>
          </w:p>
        </w:tc>
        <w:tc>
          <w:tcPr>
            <w:tcW w:w="825" w:type="pct"/>
            <w:noWrap/>
            <w:vAlign w:val="bottom"/>
            <w:hideMark/>
          </w:tcPr>
          <w:p w14:paraId="45CEEB75"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(0.0046)</w:t>
            </w:r>
          </w:p>
        </w:tc>
        <w:tc>
          <w:tcPr>
            <w:tcW w:w="919" w:type="pct"/>
            <w:noWrap/>
            <w:vAlign w:val="bottom"/>
            <w:hideMark/>
          </w:tcPr>
          <w:p w14:paraId="2E2BC8EA"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(0.0107)</w:t>
            </w:r>
          </w:p>
        </w:tc>
        <w:tc>
          <w:tcPr>
            <w:tcW w:w="1176" w:type="pct"/>
            <w:noWrap/>
            <w:vAlign w:val="bottom"/>
            <w:hideMark/>
          </w:tcPr>
          <w:p w14:paraId="60C78894"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(0.0060)</w:t>
            </w:r>
          </w:p>
        </w:tc>
      </w:tr>
      <w:tr w:rsidR="00127BD1" w:rsidRPr="00127BD1" w14:paraId="66090CF2" w14:textId="77777777" w:rsidTr="00F544A0">
        <w:trPr>
          <w:trHeight w:val="300"/>
        </w:trPr>
        <w:tc>
          <w:tcPr>
            <w:tcW w:w="1164" w:type="pct"/>
            <w:noWrap/>
            <w:vAlign w:val="bottom"/>
            <w:hideMark/>
          </w:tcPr>
          <w:p w14:paraId="7329633B"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 xml:space="preserve">lag </w:t>
            </w:r>
            <w:r w:rsidRPr="00127BD1">
              <w:rPr>
                <w:rFonts w:ascii="Times New Roman" w:hAnsi="Times New Roman" w:cs="Times New Roman"/>
                <w:sz w:val="22"/>
                <w:szCs w:val="22"/>
              </w:rPr>
              <w:t>INFLA</w:t>
            </w:r>
          </w:p>
        </w:tc>
        <w:tc>
          <w:tcPr>
            <w:tcW w:w="917" w:type="pct"/>
            <w:noWrap/>
            <w:vAlign w:val="bottom"/>
            <w:hideMark/>
          </w:tcPr>
          <w:p w14:paraId="15D0B610"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0.0009***</w:t>
            </w:r>
          </w:p>
        </w:tc>
        <w:tc>
          <w:tcPr>
            <w:tcW w:w="825" w:type="pct"/>
            <w:noWrap/>
            <w:vAlign w:val="bottom"/>
            <w:hideMark/>
          </w:tcPr>
          <w:p w14:paraId="02E53F62"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0.0003</w:t>
            </w:r>
          </w:p>
        </w:tc>
        <w:tc>
          <w:tcPr>
            <w:tcW w:w="919" w:type="pct"/>
            <w:noWrap/>
            <w:vAlign w:val="bottom"/>
            <w:hideMark/>
          </w:tcPr>
          <w:p w14:paraId="2FBD5597"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-0.0008</w:t>
            </w:r>
          </w:p>
        </w:tc>
        <w:tc>
          <w:tcPr>
            <w:tcW w:w="1176" w:type="pct"/>
            <w:noWrap/>
            <w:vAlign w:val="bottom"/>
            <w:hideMark/>
          </w:tcPr>
          <w:p w14:paraId="0D89442C"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0.0010***</w:t>
            </w:r>
          </w:p>
        </w:tc>
      </w:tr>
      <w:tr w:rsidR="00127BD1" w:rsidRPr="00127BD1" w14:paraId="3D28F6B9" w14:textId="77777777" w:rsidTr="00F544A0">
        <w:trPr>
          <w:trHeight w:val="300"/>
        </w:trPr>
        <w:tc>
          <w:tcPr>
            <w:tcW w:w="1164" w:type="pct"/>
            <w:noWrap/>
            <w:vAlign w:val="bottom"/>
            <w:hideMark/>
          </w:tcPr>
          <w:p w14:paraId="04428C44" w14:textId="77777777" w:rsidR="00545D83" w:rsidRPr="00127BD1" w:rsidRDefault="00545D83" w:rsidP="00123FB8">
            <w:pPr>
              <w:rPr>
                <w:rFonts w:ascii="Times New Roman" w:eastAsia="Times New Roman" w:hAnsi="Times New Roman" w:cs="Times New Roman"/>
                <w:sz w:val="22"/>
                <w:szCs w:val="22"/>
              </w:rPr>
            </w:pPr>
          </w:p>
        </w:tc>
        <w:tc>
          <w:tcPr>
            <w:tcW w:w="917" w:type="pct"/>
            <w:noWrap/>
            <w:vAlign w:val="bottom"/>
            <w:hideMark/>
          </w:tcPr>
          <w:p w14:paraId="080BB2D8"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(0.0003)</w:t>
            </w:r>
          </w:p>
        </w:tc>
        <w:tc>
          <w:tcPr>
            <w:tcW w:w="825" w:type="pct"/>
            <w:noWrap/>
            <w:vAlign w:val="bottom"/>
            <w:hideMark/>
          </w:tcPr>
          <w:p w14:paraId="43D8CD67"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(0.0005)</w:t>
            </w:r>
          </w:p>
        </w:tc>
        <w:tc>
          <w:tcPr>
            <w:tcW w:w="919" w:type="pct"/>
            <w:noWrap/>
            <w:vAlign w:val="bottom"/>
            <w:hideMark/>
          </w:tcPr>
          <w:p w14:paraId="6F4CC673"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(0.0013)</w:t>
            </w:r>
          </w:p>
        </w:tc>
        <w:tc>
          <w:tcPr>
            <w:tcW w:w="1176" w:type="pct"/>
            <w:noWrap/>
            <w:vAlign w:val="bottom"/>
            <w:hideMark/>
          </w:tcPr>
          <w:p w14:paraId="6F662867"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(0.0004)</w:t>
            </w:r>
          </w:p>
        </w:tc>
      </w:tr>
      <w:tr w:rsidR="00127BD1" w:rsidRPr="00127BD1" w14:paraId="4B0CA7D3" w14:textId="77777777" w:rsidTr="00F544A0">
        <w:trPr>
          <w:trHeight w:val="300"/>
        </w:trPr>
        <w:tc>
          <w:tcPr>
            <w:tcW w:w="1164" w:type="pct"/>
            <w:noWrap/>
            <w:vAlign w:val="bottom"/>
            <w:hideMark/>
          </w:tcPr>
          <w:p w14:paraId="678DE20F"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lag EXGG</w:t>
            </w:r>
          </w:p>
        </w:tc>
        <w:tc>
          <w:tcPr>
            <w:tcW w:w="917" w:type="pct"/>
            <w:noWrap/>
            <w:vAlign w:val="bottom"/>
            <w:hideMark/>
          </w:tcPr>
          <w:p w14:paraId="492644E5"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0.0040</w:t>
            </w:r>
          </w:p>
        </w:tc>
        <w:tc>
          <w:tcPr>
            <w:tcW w:w="825" w:type="pct"/>
            <w:noWrap/>
            <w:vAlign w:val="bottom"/>
            <w:hideMark/>
          </w:tcPr>
          <w:p w14:paraId="5C2DF129"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-0.0622</w:t>
            </w:r>
          </w:p>
        </w:tc>
        <w:tc>
          <w:tcPr>
            <w:tcW w:w="919" w:type="pct"/>
            <w:noWrap/>
            <w:vAlign w:val="bottom"/>
            <w:hideMark/>
          </w:tcPr>
          <w:p w14:paraId="6989A847"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0.1687</w:t>
            </w:r>
          </w:p>
        </w:tc>
        <w:tc>
          <w:tcPr>
            <w:tcW w:w="1176" w:type="pct"/>
            <w:noWrap/>
            <w:vAlign w:val="bottom"/>
            <w:hideMark/>
          </w:tcPr>
          <w:p w14:paraId="6109ABB2"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0.0464</w:t>
            </w:r>
          </w:p>
        </w:tc>
      </w:tr>
      <w:tr w:rsidR="00127BD1" w:rsidRPr="00127BD1" w14:paraId="6456B085" w14:textId="77777777" w:rsidTr="00F544A0">
        <w:trPr>
          <w:trHeight w:val="300"/>
        </w:trPr>
        <w:tc>
          <w:tcPr>
            <w:tcW w:w="1164" w:type="pct"/>
            <w:noWrap/>
            <w:vAlign w:val="bottom"/>
            <w:hideMark/>
          </w:tcPr>
          <w:p w14:paraId="3F8F3387" w14:textId="77777777" w:rsidR="00545D83" w:rsidRPr="00127BD1" w:rsidRDefault="00545D83" w:rsidP="00123FB8">
            <w:pPr>
              <w:rPr>
                <w:rFonts w:ascii="Times New Roman" w:eastAsia="Times New Roman" w:hAnsi="Times New Roman" w:cs="Times New Roman"/>
                <w:sz w:val="22"/>
                <w:szCs w:val="22"/>
              </w:rPr>
            </w:pPr>
          </w:p>
        </w:tc>
        <w:tc>
          <w:tcPr>
            <w:tcW w:w="917" w:type="pct"/>
            <w:noWrap/>
            <w:vAlign w:val="bottom"/>
            <w:hideMark/>
          </w:tcPr>
          <w:p w14:paraId="73B88EC4"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(0.0792)</w:t>
            </w:r>
          </w:p>
        </w:tc>
        <w:tc>
          <w:tcPr>
            <w:tcW w:w="825" w:type="pct"/>
            <w:noWrap/>
            <w:vAlign w:val="bottom"/>
            <w:hideMark/>
          </w:tcPr>
          <w:p w14:paraId="0A49F569"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(0.0848)</w:t>
            </w:r>
          </w:p>
        </w:tc>
        <w:tc>
          <w:tcPr>
            <w:tcW w:w="919" w:type="pct"/>
            <w:noWrap/>
            <w:vAlign w:val="bottom"/>
            <w:hideMark/>
          </w:tcPr>
          <w:p w14:paraId="52586887"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(0.1441)</w:t>
            </w:r>
          </w:p>
        </w:tc>
        <w:tc>
          <w:tcPr>
            <w:tcW w:w="1176" w:type="pct"/>
            <w:noWrap/>
            <w:vAlign w:val="bottom"/>
            <w:hideMark/>
          </w:tcPr>
          <w:p w14:paraId="24AEE367"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(0.0903)</w:t>
            </w:r>
          </w:p>
        </w:tc>
      </w:tr>
      <w:tr w:rsidR="00127BD1" w:rsidRPr="00127BD1" w14:paraId="695B6838" w14:textId="77777777" w:rsidTr="00F544A0">
        <w:trPr>
          <w:trHeight w:val="300"/>
        </w:trPr>
        <w:tc>
          <w:tcPr>
            <w:tcW w:w="1164" w:type="pct"/>
            <w:noWrap/>
            <w:vAlign w:val="bottom"/>
            <w:hideMark/>
          </w:tcPr>
          <w:p w14:paraId="6CBED0CE"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lag DEBTGDP</w:t>
            </w:r>
          </w:p>
        </w:tc>
        <w:tc>
          <w:tcPr>
            <w:tcW w:w="917" w:type="pct"/>
            <w:noWrap/>
            <w:vAlign w:val="bottom"/>
            <w:hideMark/>
          </w:tcPr>
          <w:p w14:paraId="6F5D5DA7"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-0.0001**</w:t>
            </w:r>
          </w:p>
        </w:tc>
        <w:tc>
          <w:tcPr>
            <w:tcW w:w="825" w:type="pct"/>
            <w:noWrap/>
            <w:vAlign w:val="bottom"/>
            <w:hideMark/>
          </w:tcPr>
          <w:p w14:paraId="6BDEC261"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0.0002</w:t>
            </w:r>
          </w:p>
        </w:tc>
        <w:tc>
          <w:tcPr>
            <w:tcW w:w="919" w:type="pct"/>
            <w:noWrap/>
            <w:vAlign w:val="bottom"/>
            <w:hideMark/>
          </w:tcPr>
          <w:p w14:paraId="5BD40709"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-0.0005***</w:t>
            </w:r>
          </w:p>
        </w:tc>
        <w:tc>
          <w:tcPr>
            <w:tcW w:w="1176" w:type="pct"/>
            <w:noWrap/>
            <w:vAlign w:val="bottom"/>
            <w:hideMark/>
          </w:tcPr>
          <w:p w14:paraId="701ED196"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-0.0001***</w:t>
            </w:r>
          </w:p>
        </w:tc>
      </w:tr>
      <w:tr w:rsidR="00127BD1" w:rsidRPr="00127BD1" w14:paraId="66712FED" w14:textId="77777777" w:rsidTr="00F544A0">
        <w:trPr>
          <w:trHeight w:val="300"/>
        </w:trPr>
        <w:tc>
          <w:tcPr>
            <w:tcW w:w="1164" w:type="pct"/>
            <w:noWrap/>
            <w:vAlign w:val="bottom"/>
            <w:hideMark/>
          </w:tcPr>
          <w:p w14:paraId="72BA0894" w14:textId="77777777" w:rsidR="00545D83" w:rsidRPr="00127BD1" w:rsidRDefault="00545D83" w:rsidP="00123FB8">
            <w:pPr>
              <w:rPr>
                <w:rFonts w:ascii="Times New Roman" w:eastAsia="Times New Roman" w:hAnsi="Times New Roman" w:cs="Times New Roman"/>
                <w:sz w:val="22"/>
                <w:szCs w:val="22"/>
              </w:rPr>
            </w:pPr>
          </w:p>
        </w:tc>
        <w:tc>
          <w:tcPr>
            <w:tcW w:w="917" w:type="pct"/>
            <w:noWrap/>
            <w:vAlign w:val="bottom"/>
            <w:hideMark/>
          </w:tcPr>
          <w:p w14:paraId="65E8069B"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(0.0000)</w:t>
            </w:r>
          </w:p>
        </w:tc>
        <w:tc>
          <w:tcPr>
            <w:tcW w:w="825" w:type="pct"/>
            <w:noWrap/>
            <w:vAlign w:val="bottom"/>
            <w:hideMark/>
          </w:tcPr>
          <w:p w14:paraId="1152576E"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(0.0003)</w:t>
            </w:r>
          </w:p>
        </w:tc>
        <w:tc>
          <w:tcPr>
            <w:tcW w:w="919" w:type="pct"/>
            <w:noWrap/>
            <w:vAlign w:val="bottom"/>
            <w:hideMark/>
          </w:tcPr>
          <w:p w14:paraId="1EF0D8C0"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(0.0002)</w:t>
            </w:r>
          </w:p>
        </w:tc>
        <w:tc>
          <w:tcPr>
            <w:tcW w:w="1176" w:type="pct"/>
            <w:noWrap/>
            <w:vAlign w:val="bottom"/>
            <w:hideMark/>
          </w:tcPr>
          <w:p w14:paraId="18B803A9"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(0.0000)</w:t>
            </w:r>
          </w:p>
        </w:tc>
      </w:tr>
      <w:tr w:rsidR="00127BD1" w:rsidRPr="00127BD1" w14:paraId="2C880840" w14:textId="77777777" w:rsidTr="00F544A0">
        <w:trPr>
          <w:trHeight w:val="300"/>
        </w:trPr>
        <w:tc>
          <w:tcPr>
            <w:tcW w:w="1164" w:type="pct"/>
            <w:noWrap/>
            <w:vAlign w:val="bottom"/>
            <w:hideMark/>
          </w:tcPr>
          <w:p w14:paraId="1F488685"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hAnsi="Times New Roman" w:cs="Times New Roman"/>
                <w:sz w:val="22"/>
                <w:szCs w:val="22"/>
              </w:rPr>
              <w:t>lag LRATE</w:t>
            </w:r>
          </w:p>
        </w:tc>
        <w:tc>
          <w:tcPr>
            <w:tcW w:w="917" w:type="pct"/>
            <w:noWrap/>
            <w:vAlign w:val="bottom"/>
            <w:hideMark/>
          </w:tcPr>
          <w:p w14:paraId="3C5D539D"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0.0042**</w:t>
            </w:r>
          </w:p>
        </w:tc>
        <w:tc>
          <w:tcPr>
            <w:tcW w:w="825" w:type="pct"/>
            <w:noWrap/>
            <w:vAlign w:val="bottom"/>
            <w:hideMark/>
          </w:tcPr>
          <w:p w14:paraId="635D89D2"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-0.0007</w:t>
            </w:r>
          </w:p>
        </w:tc>
        <w:tc>
          <w:tcPr>
            <w:tcW w:w="919" w:type="pct"/>
            <w:noWrap/>
            <w:vAlign w:val="bottom"/>
            <w:hideMark/>
          </w:tcPr>
          <w:p w14:paraId="167D2AB0"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0.0052</w:t>
            </w:r>
          </w:p>
        </w:tc>
        <w:tc>
          <w:tcPr>
            <w:tcW w:w="1176" w:type="pct"/>
            <w:noWrap/>
            <w:vAlign w:val="bottom"/>
            <w:hideMark/>
          </w:tcPr>
          <w:p w14:paraId="5ADB5CE8"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0.0031</w:t>
            </w:r>
          </w:p>
        </w:tc>
      </w:tr>
      <w:tr w:rsidR="00127BD1" w:rsidRPr="00127BD1" w14:paraId="7E6F3126" w14:textId="77777777" w:rsidTr="00F544A0">
        <w:trPr>
          <w:trHeight w:val="300"/>
        </w:trPr>
        <w:tc>
          <w:tcPr>
            <w:tcW w:w="1164" w:type="pct"/>
            <w:noWrap/>
            <w:vAlign w:val="bottom"/>
            <w:hideMark/>
          </w:tcPr>
          <w:p w14:paraId="79B13C2A" w14:textId="77777777" w:rsidR="00545D83" w:rsidRPr="00127BD1" w:rsidRDefault="00545D83" w:rsidP="00123FB8">
            <w:pPr>
              <w:rPr>
                <w:rFonts w:ascii="Times New Roman" w:eastAsia="Times New Roman" w:hAnsi="Times New Roman" w:cs="Times New Roman"/>
                <w:sz w:val="22"/>
                <w:szCs w:val="22"/>
              </w:rPr>
            </w:pPr>
          </w:p>
        </w:tc>
        <w:tc>
          <w:tcPr>
            <w:tcW w:w="917" w:type="pct"/>
            <w:noWrap/>
            <w:vAlign w:val="bottom"/>
            <w:hideMark/>
          </w:tcPr>
          <w:p w14:paraId="1F5E0AF3"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(0.0019)</w:t>
            </w:r>
          </w:p>
        </w:tc>
        <w:tc>
          <w:tcPr>
            <w:tcW w:w="825" w:type="pct"/>
            <w:noWrap/>
            <w:vAlign w:val="bottom"/>
            <w:hideMark/>
          </w:tcPr>
          <w:p w14:paraId="75D6D122"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(0.0027)</w:t>
            </w:r>
          </w:p>
        </w:tc>
        <w:tc>
          <w:tcPr>
            <w:tcW w:w="919" w:type="pct"/>
            <w:noWrap/>
            <w:vAlign w:val="bottom"/>
            <w:hideMark/>
          </w:tcPr>
          <w:p w14:paraId="4D2202C8"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(0.0105)</w:t>
            </w:r>
          </w:p>
        </w:tc>
        <w:tc>
          <w:tcPr>
            <w:tcW w:w="1176" w:type="pct"/>
            <w:noWrap/>
            <w:vAlign w:val="bottom"/>
            <w:hideMark/>
          </w:tcPr>
          <w:p w14:paraId="2CD18F32"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(0.0023)</w:t>
            </w:r>
          </w:p>
        </w:tc>
      </w:tr>
      <w:tr w:rsidR="00127BD1" w:rsidRPr="00127BD1" w14:paraId="5CD10D6C" w14:textId="77777777" w:rsidTr="00F544A0">
        <w:trPr>
          <w:trHeight w:val="300"/>
        </w:trPr>
        <w:tc>
          <w:tcPr>
            <w:tcW w:w="1164" w:type="pct"/>
            <w:noWrap/>
            <w:vAlign w:val="bottom"/>
            <w:hideMark/>
          </w:tcPr>
          <w:p w14:paraId="0ABD83A8"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Treat × Pre (t = -4)</w:t>
            </w:r>
          </w:p>
        </w:tc>
        <w:tc>
          <w:tcPr>
            <w:tcW w:w="917" w:type="pct"/>
            <w:noWrap/>
            <w:vAlign w:val="bottom"/>
            <w:hideMark/>
          </w:tcPr>
          <w:p w14:paraId="23707975" w14:textId="77777777" w:rsidR="00545D83" w:rsidRPr="00127BD1" w:rsidRDefault="00545D83" w:rsidP="00123FB8">
            <w:pPr>
              <w:rPr>
                <w:rFonts w:ascii="Times New Roman" w:eastAsia="Times New Roman" w:hAnsi="Times New Roman" w:cs="Times New Roman"/>
                <w:sz w:val="22"/>
                <w:szCs w:val="22"/>
              </w:rPr>
            </w:pPr>
          </w:p>
        </w:tc>
        <w:tc>
          <w:tcPr>
            <w:tcW w:w="825" w:type="pct"/>
            <w:noWrap/>
            <w:vAlign w:val="bottom"/>
            <w:hideMark/>
          </w:tcPr>
          <w:p w14:paraId="2CF0448A"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0.0179</w:t>
            </w:r>
          </w:p>
        </w:tc>
        <w:tc>
          <w:tcPr>
            <w:tcW w:w="919" w:type="pct"/>
            <w:noWrap/>
            <w:vAlign w:val="bottom"/>
            <w:hideMark/>
          </w:tcPr>
          <w:p w14:paraId="18821D1B" w14:textId="77777777" w:rsidR="00545D83" w:rsidRPr="00127BD1" w:rsidRDefault="00545D83" w:rsidP="00123FB8">
            <w:pPr>
              <w:rPr>
                <w:rFonts w:ascii="Times New Roman" w:eastAsia="Times New Roman" w:hAnsi="Times New Roman" w:cs="Times New Roman"/>
                <w:sz w:val="22"/>
                <w:szCs w:val="22"/>
              </w:rPr>
            </w:pPr>
          </w:p>
        </w:tc>
        <w:tc>
          <w:tcPr>
            <w:tcW w:w="1176" w:type="pct"/>
            <w:noWrap/>
            <w:vAlign w:val="bottom"/>
            <w:hideMark/>
          </w:tcPr>
          <w:p w14:paraId="52A34669" w14:textId="77777777" w:rsidR="00545D83" w:rsidRPr="00127BD1" w:rsidRDefault="00545D83" w:rsidP="00123FB8">
            <w:pPr>
              <w:rPr>
                <w:rFonts w:ascii="Times New Roman" w:eastAsia="Times New Roman" w:hAnsi="Times New Roman" w:cs="Times New Roman"/>
                <w:sz w:val="22"/>
                <w:szCs w:val="22"/>
              </w:rPr>
            </w:pPr>
          </w:p>
        </w:tc>
      </w:tr>
      <w:tr w:rsidR="00127BD1" w:rsidRPr="00127BD1" w14:paraId="059BBF52" w14:textId="77777777" w:rsidTr="00F544A0">
        <w:trPr>
          <w:trHeight w:val="300"/>
        </w:trPr>
        <w:tc>
          <w:tcPr>
            <w:tcW w:w="1164" w:type="pct"/>
            <w:noWrap/>
            <w:vAlign w:val="bottom"/>
            <w:hideMark/>
          </w:tcPr>
          <w:p w14:paraId="5AFCDBEC" w14:textId="77777777" w:rsidR="00545D83" w:rsidRPr="00127BD1" w:rsidRDefault="00545D83" w:rsidP="00123FB8">
            <w:pPr>
              <w:rPr>
                <w:rFonts w:ascii="Times New Roman" w:eastAsia="Times New Roman" w:hAnsi="Times New Roman" w:cs="Times New Roman"/>
                <w:sz w:val="22"/>
                <w:szCs w:val="22"/>
              </w:rPr>
            </w:pPr>
          </w:p>
        </w:tc>
        <w:tc>
          <w:tcPr>
            <w:tcW w:w="917" w:type="pct"/>
            <w:noWrap/>
            <w:vAlign w:val="bottom"/>
            <w:hideMark/>
          </w:tcPr>
          <w:p w14:paraId="318DD7F5" w14:textId="77777777" w:rsidR="00545D83" w:rsidRPr="00127BD1" w:rsidRDefault="00545D83" w:rsidP="00123FB8">
            <w:pPr>
              <w:rPr>
                <w:rFonts w:ascii="Times New Roman" w:eastAsia="Times New Roman" w:hAnsi="Times New Roman" w:cs="Times New Roman"/>
                <w:sz w:val="22"/>
                <w:szCs w:val="22"/>
              </w:rPr>
            </w:pPr>
          </w:p>
        </w:tc>
        <w:tc>
          <w:tcPr>
            <w:tcW w:w="825" w:type="pct"/>
            <w:noWrap/>
            <w:vAlign w:val="bottom"/>
            <w:hideMark/>
          </w:tcPr>
          <w:p w14:paraId="29A2A913"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(0.0334)</w:t>
            </w:r>
          </w:p>
        </w:tc>
        <w:tc>
          <w:tcPr>
            <w:tcW w:w="919" w:type="pct"/>
            <w:noWrap/>
            <w:vAlign w:val="bottom"/>
            <w:hideMark/>
          </w:tcPr>
          <w:p w14:paraId="603CF3ED" w14:textId="77777777" w:rsidR="00545D83" w:rsidRPr="00127BD1" w:rsidRDefault="00545D83" w:rsidP="00123FB8">
            <w:pPr>
              <w:rPr>
                <w:rFonts w:ascii="Times New Roman" w:eastAsia="Times New Roman" w:hAnsi="Times New Roman" w:cs="Times New Roman"/>
                <w:sz w:val="22"/>
                <w:szCs w:val="22"/>
              </w:rPr>
            </w:pPr>
          </w:p>
        </w:tc>
        <w:tc>
          <w:tcPr>
            <w:tcW w:w="1176" w:type="pct"/>
            <w:noWrap/>
            <w:vAlign w:val="bottom"/>
            <w:hideMark/>
          </w:tcPr>
          <w:p w14:paraId="1D66A384" w14:textId="77777777" w:rsidR="00545D83" w:rsidRPr="00127BD1" w:rsidRDefault="00545D83" w:rsidP="00123FB8">
            <w:pPr>
              <w:rPr>
                <w:rFonts w:ascii="Times New Roman" w:eastAsia="Times New Roman" w:hAnsi="Times New Roman" w:cs="Times New Roman"/>
                <w:sz w:val="22"/>
                <w:szCs w:val="22"/>
              </w:rPr>
            </w:pPr>
          </w:p>
        </w:tc>
      </w:tr>
      <w:tr w:rsidR="00127BD1" w:rsidRPr="00127BD1" w14:paraId="4617EF8E" w14:textId="77777777" w:rsidTr="00F544A0">
        <w:trPr>
          <w:trHeight w:val="300"/>
        </w:trPr>
        <w:tc>
          <w:tcPr>
            <w:tcW w:w="1164" w:type="pct"/>
            <w:noWrap/>
            <w:vAlign w:val="bottom"/>
            <w:hideMark/>
          </w:tcPr>
          <w:p w14:paraId="43076164"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Treat × Pre (t = -3)</w:t>
            </w:r>
          </w:p>
        </w:tc>
        <w:tc>
          <w:tcPr>
            <w:tcW w:w="917" w:type="pct"/>
            <w:noWrap/>
            <w:vAlign w:val="bottom"/>
            <w:hideMark/>
          </w:tcPr>
          <w:p w14:paraId="0D300070" w14:textId="77777777" w:rsidR="00545D83" w:rsidRPr="00127BD1" w:rsidRDefault="00545D83" w:rsidP="00123FB8">
            <w:pPr>
              <w:rPr>
                <w:rFonts w:ascii="Times New Roman" w:eastAsia="Times New Roman" w:hAnsi="Times New Roman" w:cs="Times New Roman"/>
                <w:sz w:val="22"/>
                <w:szCs w:val="22"/>
              </w:rPr>
            </w:pPr>
          </w:p>
        </w:tc>
        <w:tc>
          <w:tcPr>
            <w:tcW w:w="825" w:type="pct"/>
            <w:noWrap/>
            <w:vAlign w:val="bottom"/>
            <w:hideMark/>
          </w:tcPr>
          <w:p w14:paraId="058D8AA1"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-0.0240</w:t>
            </w:r>
          </w:p>
        </w:tc>
        <w:tc>
          <w:tcPr>
            <w:tcW w:w="919" w:type="pct"/>
            <w:noWrap/>
            <w:vAlign w:val="bottom"/>
            <w:hideMark/>
          </w:tcPr>
          <w:p w14:paraId="220BEFF9" w14:textId="77777777" w:rsidR="00545D83" w:rsidRPr="00127BD1" w:rsidRDefault="00545D83" w:rsidP="00123FB8">
            <w:pPr>
              <w:rPr>
                <w:rFonts w:ascii="Times New Roman" w:eastAsia="Times New Roman" w:hAnsi="Times New Roman" w:cs="Times New Roman"/>
                <w:sz w:val="22"/>
                <w:szCs w:val="22"/>
              </w:rPr>
            </w:pPr>
          </w:p>
        </w:tc>
        <w:tc>
          <w:tcPr>
            <w:tcW w:w="1176" w:type="pct"/>
            <w:noWrap/>
            <w:vAlign w:val="bottom"/>
            <w:hideMark/>
          </w:tcPr>
          <w:p w14:paraId="3F01E0C0" w14:textId="77777777" w:rsidR="00545D83" w:rsidRPr="00127BD1" w:rsidRDefault="00545D83" w:rsidP="00123FB8">
            <w:pPr>
              <w:rPr>
                <w:rFonts w:ascii="Times New Roman" w:eastAsia="Times New Roman" w:hAnsi="Times New Roman" w:cs="Times New Roman"/>
                <w:sz w:val="22"/>
                <w:szCs w:val="22"/>
              </w:rPr>
            </w:pPr>
          </w:p>
        </w:tc>
      </w:tr>
      <w:tr w:rsidR="00127BD1" w:rsidRPr="00127BD1" w14:paraId="3DF2ECCF" w14:textId="77777777" w:rsidTr="00F544A0">
        <w:trPr>
          <w:trHeight w:val="300"/>
        </w:trPr>
        <w:tc>
          <w:tcPr>
            <w:tcW w:w="1164" w:type="pct"/>
            <w:noWrap/>
            <w:vAlign w:val="bottom"/>
            <w:hideMark/>
          </w:tcPr>
          <w:p w14:paraId="1F4DF135" w14:textId="77777777" w:rsidR="00545D83" w:rsidRPr="00127BD1" w:rsidRDefault="00545D83" w:rsidP="00123FB8">
            <w:pPr>
              <w:rPr>
                <w:rFonts w:ascii="Times New Roman" w:eastAsia="Times New Roman" w:hAnsi="Times New Roman" w:cs="Times New Roman"/>
                <w:sz w:val="22"/>
                <w:szCs w:val="22"/>
              </w:rPr>
            </w:pPr>
          </w:p>
        </w:tc>
        <w:tc>
          <w:tcPr>
            <w:tcW w:w="917" w:type="pct"/>
            <w:noWrap/>
            <w:vAlign w:val="bottom"/>
            <w:hideMark/>
          </w:tcPr>
          <w:p w14:paraId="0C2B30D6" w14:textId="77777777" w:rsidR="00545D83" w:rsidRPr="00127BD1" w:rsidRDefault="00545D83" w:rsidP="00123FB8">
            <w:pPr>
              <w:rPr>
                <w:rFonts w:ascii="Times New Roman" w:eastAsia="Times New Roman" w:hAnsi="Times New Roman" w:cs="Times New Roman"/>
                <w:sz w:val="22"/>
                <w:szCs w:val="22"/>
              </w:rPr>
            </w:pPr>
          </w:p>
        </w:tc>
        <w:tc>
          <w:tcPr>
            <w:tcW w:w="825" w:type="pct"/>
            <w:noWrap/>
            <w:vAlign w:val="bottom"/>
            <w:hideMark/>
          </w:tcPr>
          <w:p w14:paraId="6FFD2628"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(0.0306)</w:t>
            </w:r>
          </w:p>
        </w:tc>
        <w:tc>
          <w:tcPr>
            <w:tcW w:w="919" w:type="pct"/>
            <w:noWrap/>
            <w:vAlign w:val="bottom"/>
            <w:hideMark/>
          </w:tcPr>
          <w:p w14:paraId="5DADB102" w14:textId="77777777" w:rsidR="00545D83" w:rsidRPr="00127BD1" w:rsidRDefault="00545D83" w:rsidP="00123FB8">
            <w:pPr>
              <w:rPr>
                <w:rFonts w:ascii="Times New Roman" w:eastAsia="Times New Roman" w:hAnsi="Times New Roman" w:cs="Times New Roman"/>
                <w:sz w:val="22"/>
                <w:szCs w:val="22"/>
              </w:rPr>
            </w:pPr>
          </w:p>
        </w:tc>
        <w:tc>
          <w:tcPr>
            <w:tcW w:w="1176" w:type="pct"/>
            <w:noWrap/>
            <w:vAlign w:val="bottom"/>
            <w:hideMark/>
          </w:tcPr>
          <w:p w14:paraId="6B6C89E4" w14:textId="77777777" w:rsidR="00545D83" w:rsidRPr="00127BD1" w:rsidRDefault="00545D83" w:rsidP="00123FB8">
            <w:pPr>
              <w:rPr>
                <w:rFonts w:ascii="Times New Roman" w:eastAsia="Times New Roman" w:hAnsi="Times New Roman" w:cs="Times New Roman"/>
                <w:sz w:val="22"/>
                <w:szCs w:val="22"/>
              </w:rPr>
            </w:pPr>
          </w:p>
        </w:tc>
      </w:tr>
      <w:tr w:rsidR="00127BD1" w:rsidRPr="00127BD1" w14:paraId="033EC0C2" w14:textId="77777777" w:rsidTr="00F544A0">
        <w:trPr>
          <w:trHeight w:val="300"/>
        </w:trPr>
        <w:tc>
          <w:tcPr>
            <w:tcW w:w="1164" w:type="pct"/>
            <w:noWrap/>
            <w:vAlign w:val="bottom"/>
            <w:hideMark/>
          </w:tcPr>
          <w:p w14:paraId="2B739A24"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Treat × Pre (t = -2)</w:t>
            </w:r>
          </w:p>
        </w:tc>
        <w:tc>
          <w:tcPr>
            <w:tcW w:w="917" w:type="pct"/>
            <w:noWrap/>
            <w:vAlign w:val="bottom"/>
            <w:hideMark/>
          </w:tcPr>
          <w:p w14:paraId="0CED21DC" w14:textId="77777777" w:rsidR="00545D83" w:rsidRPr="00127BD1" w:rsidRDefault="00545D83" w:rsidP="00123FB8">
            <w:pPr>
              <w:rPr>
                <w:rFonts w:ascii="Times New Roman" w:eastAsia="Times New Roman" w:hAnsi="Times New Roman" w:cs="Times New Roman"/>
                <w:sz w:val="22"/>
                <w:szCs w:val="22"/>
              </w:rPr>
            </w:pPr>
          </w:p>
        </w:tc>
        <w:tc>
          <w:tcPr>
            <w:tcW w:w="825" w:type="pct"/>
            <w:noWrap/>
            <w:vAlign w:val="bottom"/>
            <w:hideMark/>
          </w:tcPr>
          <w:p w14:paraId="0038B30B"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-0.0293</w:t>
            </w:r>
          </w:p>
        </w:tc>
        <w:tc>
          <w:tcPr>
            <w:tcW w:w="919" w:type="pct"/>
            <w:noWrap/>
            <w:vAlign w:val="bottom"/>
            <w:hideMark/>
          </w:tcPr>
          <w:p w14:paraId="1A39505D" w14:textId="77777777" w:rsidR="00545D83" w:rsidRPr="00127BD1" w:rsidRDefault="00545D83" w:rsidP="00123FB8">
            <w:pPr>
              <w:rPr>
                <w:rFonts w:ascii="Times New Roman" w:eastAsia="Times New Roman" w:hAnsi="Times New Roman" w:cs="Times New Roman"/>
                <w:sz w:val="22"/>
                <w:szCs w:val="22"/>
              </w:rPr>
            </w:pPr>
          </w:p>
        </w:tc>
        <w:tc>
          <w:tcPr>
            <w:tcW w:w="1176" w:type="pct"/>
            <w:noWrap/>
            <w:vAlign w:val="bottom"/>
            <w:hideMark/>
          </w:tcPr>
          <w:p w14:paraId="23CCCF70" w14:textId="77777777" w:rsidR="00545D83" w:rsidRPr="00127BD1" w:rsidRDefault="00545D83" w:rsidP="00123FB8">
            <w:pPr>
              <w:rPr>
                <w:rFonts w:ascii="Times New Roman" w:eastAsia="Times New Roman" w:hAnsi="Times New Roman" w:cs="Times New Roman"/>
                <w:sz w:val="22"/>
                <w:szCs w:val="22"/>
              </w:rPr>
            </w:pPr>
          </w:p>
        </w:tc>
      </w:tr>
      <w:tr w:rsidR="00127BD1" w:rsidRPr="00127BD1" w14:paraId="07FB3696" w14:textId="77777777" w:rsidTr="00F544A0">
        <w:trPr>
          <w:trHeight w:val="300"/>
        </w:trPr>
        <w:tc>
          <w:tcPr>
            <w:tcW w:w="1164" w:type="pct"/>
            <w:noWrap/>
            <w:vAlign w:val="bottom"/>
            <w:hideMark/>
          </w:tcPr>
          <w:p w14:paraId="19757998" w14:textId="77777777" w:rsidR="00545D83" w:rsidRPr="00127BD1" w:rsidRDefault="00545D83" w:rsidP="00123FB8">
            <w:pPr>
              <w:rPr>
                <w:rFonts w:ascii="Times New Roman" w:eastAsia="Times New Roman" w:hAnsi="Times New Roman" w:cs="Times New Roman"/>
                <w:sz w:val="22"/>
                <w:szCs w:val="22"/>
              </w:rPr>
            </w:pPr>
          </w:p>
        </w:tc>
        <w:tc>
          <w:tcPr>
            <w:tcW w:w="917" w:type="pct"/>
            <w:noWrap/>
            <w:vAlign w:val="bottom"/>
            <w:hideMark/>
          </w:tcPr>
          <w:p w14:paraId="4AC668A7" w14:textId="77777777" w:rsidR="00545D83" w:rsidRPr="00127BD1" w:rsidRDefault="00545D83" w:rsidP="00123FB8">
            <w:pPr>
              <w:rPr>
                <w:rFonts w:ascii="Times New Roman" w:eastAsia="Times New Roman" w:hAnsi="Times New Roman" w:cs="Times New Roman"/>
                <w:sz w:val="22"/>
                <w:szCs w:val="22"/>
              </w:rPr>
            </w:pPr>
          </w:p>
        </w:tc>
        <w:tc>
          <w:tcPr>
            <w:tcW w:w="825" w:type="pct"/>
            <w:noWrap/>
            <w:vAlign w:val="bottom"/>
            <w:hideMark/>
          </w:tcPr>
          <w:p w14:paraId="38A9B47F"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(0.0295)</w:t>
            </w:r>
          </w:p>
        </w:tc>
        <w:tc>
          <w:tcPr>
            <w:tcW w:w="919" w:type="pct"/>
            <w:noWrap/>
            <w:vAlign w:val="bottom"/>
            <w:hideMark/>
          </w:tcPr>
          <w:p w14:paraId="617E4034" w14:textId="77777777" w:rsidR="00545D83" w:rsidRPr="00127BD1" w:rsidRDefault="00545D83" w:rsidP="00123FB8">
            <w:pPr>
              <w:rPr>
                <w:rFonts w:ascii="Times New Roman" w:eastAsia="Times New Roman" w:hAnsi="Times New Roman" w:cs="Times New Roman"/>
                <w:sz w:val="22"/>
                <w:szCs w:val="22"/>
              </w:rPr>
            </w:pPr>
          </w:p>
        </w:tc>
        <w:tc>
          <w:tcPr>
            <w:tcW w:w="1176" w:type="pct"/>
            <w:noWrap/>
            <w:vAlign w:val="bottom"/>
            <w:hideMark/>
          </w:tcPr>
          <w:p w14:paraId="43720373" w14:textId="77777777" w:rsidR="00545D83" w:rsidRPr="00127BD1" w:rsidRDefault="00545D83" w:rsidP="00123FB8">
            <w:pPr>
              <w:rPr>
                <w:rFonts w:ascii="Times New Roman" w:eastAsia="Times New Roman" w:hAnsi="Times New Roman" w:cs="Times New Roman"/>
                <w:sz w:val="22"/>
                <w:szCs w:val="22"/>
              </w:rPr>
            </w:pPr>
          </w:p>
        </w:tc>
      </w:tr>
      <w:tr w:rsidR="00127BD1" w:rsidRPr="00127BD1" w14:paraId="0F789839" w14:textId="77777777" w:rsidTr="00F544A0">
        <w:trPr>
          <w:trHeight w:val="300"/>
        </w:trPr>
        <w:tc>
          <w:tcPr>
            <w:tcW w:w="1164" w:type="pct"/>
            <w:noWrap/>
            <w:vAlign w:val="bottom"/>
            <w:hideMark/>
          </w:tcPr>
          <w:p w14:paraId="4B69C9DF"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Treat × Current (t = -0)</w:t>
            </w:r>
          </w:p>
        </w:tc>
        <w:tc>
          <w:tcPr>
            <w:tcW w:w="917" w:type="pct"/>
            <w:noWrap/>
            <w:vAlign w:val="bottom"/>
            <w:hideMark/>
          </w:tcPr>
          <w:p w14:paraId="34723E63" w14:textId="77777777" w:rsidR="00545D83" w:rsidRPr="00127BD1" w:rsidRDefault="00545D83" w:rsidP="00123FB8">
            <w:pPr>
              <w:rPr>
                <w:rFonts w:ascii="Times New Roman" w:eastAsia="Times New Roman" w:hAnsi="Times New Roman" w:cs="Times New Roman"/>
                <w:sz w:val="22"/>
                <w:szCs w:val="22"/>
              </w:rPr>
            </w:pPr>
          </w:p>
        </w:tc>
        <w:tc>
          <w:tcPr>
            <w:tcW w:w="825" w:type="pct"/>
            <w:noWrap/>
            <w:vAlign w:val="bottom"/>
            <w:hideMark/>
          </w:tcPr>
          <w:p w14:paraId="1DD035A8"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0.0286</w:t>
            </w:r>
          </w:p>
        </w:tc>
        <w:tc>
          <w:tcPr>
            <w:tcW w:w="919" w:type="pct"/>
            <w:noWrap/>
            <w:vAlign w:val="bottom"/>
            <w:hideMark/>
          </w:tcPr>
          <w:p w14:paraId="57A731C4" w14:textId="77777777" w:rsidR="00545D83" w:rsidRPr="00127BD1" w:rsidRDefault="00545D83" w:rsidP="00123FB8">
            <w:pPr>
              <w:rPr>
                <w:rFonts w:ascii="Times New Roman" w:eastAsia="Times New Roman" w:hAnsi="Times New Roman" w:cs="Times New Roman"/>
                <w:sz w:val="22"/>
                <w:szCs w:val="22"/>
              </w:rPr>
            </w:pPr>
          </w:p>
        </w:tc>
        <w:tc>
          <w:tcPr>
            <w:tcW w:w="1176" w:type="pct"/>
            <w:noWrap/>
            <w:vAlign w:val="bottom"/>
            <w:hideMark/>
          </w:tcPr>
          <w:p w14:paraId="442D0DD6" w14:textId="77777777" w:rsidR="00545D83" w:rsidRPr="00127BD1" w:rsidRDefault="00545D83" w:rsidP="00123FB8">
            <w:pPr>
              <w:rPr>
                <w:rFonts w:ascii="Times New Roman" w:eastAsia="Times New Roman" w:hAnsi="Times New Roman" w:cs="Times New Roman"/>
                <w:sz w:val="22"/>
                <w:szCs w:val="22"/>
              </w:rPr>
            </w:pPr>
          </w:p>
        </w:tc>
      </w:tr>
      <w:tr w:rsidR="00127BD1" w:rsidRPr="00127BD1" w14:paraId="1D5D5150" w14:textId="77777777" w:rsidTr="00F544A0">
        <w:trPr>
          <w:trHeight w:val="300"/>
        </w:trPr>
        <w:tc>
          <w:tcPr>
            <w:tcW w:w="1164" w:type="pct"/>
            <w:noWrap/>
            <w:vAlign w:val="bottom"/>
            <w:hideMark/>
          </w:tcPr>
          <w:p w14:paraId="20746F24" w14:textId="77777777" w:rsidR="00545D83" w:rsidRPr="00127BD1" w:rsidRDefault="00545D83" w:rsidP="00123FB8">
            <w:pPr>
              <w:rPr>
                <w:rFonts w:ascii="Times New Roman" w:eastAsia="Times New Roman" w:hAnsi="Times New Roman" w:cs="Times New Roman"/>
                <w:sz w:val="22"/>
                <w:szCs w:val="22"/>
              </w:rPr>
            </w:pPr>
          </w:p>
        </w:tc>
        <w:tc>
          <w:tcPr>
            <w:tcW w:w="917" w:type="pct"/>
            <w:noWrap/>
            <w:vAlign w:val="bottom"/>
            <w:hideMark/>
          </w:tcPr>
          <w:p w14:paraId="2DD886E7" w14:textId="77777777" w:rsidR="00545D83" w:rsidRPr="00127BD1" w:rsidRDefault="00545D83" w:rsidP="00123FB8">
            <w:pPr>
              <w:rPr>
                <w:rFonts w:ascii="Times New Roman" w:eastAsia="Times New Roman" w:hAnsi="Times New Roman" w:cs="Times New Roman"/>
                <w:sz w:val="22"/>
                <w:szCs w:val="22"/>
              </w:rPr>
            </w:pPr>
          </w:p>
        </w:tc>
        <w:tc>
          <w:tcPr>
            <w:tcW w:w="825" w:type="pct"/>
            <w:noWrap/>
            <w:vAlign w:val="bottom"/>
            <w:hideMark/>
          </w:tcPr>
          <w:p w14:paraId="66BC290D"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(0.0306)</w:t>
            </w:r>
          </w:p>
        </w:tc>
        <w:tc>
          <w:tcPr>
            <w:tcW w:w="919" w:type="pct"/>
            <w:noWrap/>
            <w:vAlign w:val="bottom"/>
            <w:hideMark/>
          </w:tcPr>
          <w:p w14:paraId="5B7FCF75" w14:textId="77777777" w:rsidR="00545D83" w:rsidRPr="00127BD1" w:rsidRDefault="00545D83" w:rsidP="00123FB8">
            <w:pPr>
              <w:rPr>
                <w:rFonts w:ascii="Times New Roman" w:eastAsia="Times New Roman" w:hAnsi="Times New Roman" w:cs="Times New Roman"/>
                <w:sz w:val="22"/>
                <w:szCs w:val="22"/>
              </w:rPr>
            </w:pPr>
          </w:p>
        </w:tc>
        <w:tc>
          <w:tcPr>
            <w:tcW w:w="1176" w:type="pct"/>
            <w:noWrap/>
            <w:vAlign w:val="bottom"/>
            <w:hideMark/>
          </w:tcPr>
          <w:p w14:paraId="51469F62" w14:textId="77777777" w:rsidR="00545D83" w:rsidRPr="00127BD1" w:rsidRDefault="00545D83" w:rsidP="00123FB8">
            <w:pPr>
              <w:rPr>
                <w:rFonts w:ascii="Times New Roman" w:eastAsia="Times New Roman" w:hAnsi="Times New Roman" w:cs="Times New Roman"/>
                <w:sz w:val="22"/>
                <w:szCs w:val="22"/>
              </w:rPr>
            </w:pPr>
          </w:p>
        </w:tc>
      </w:tr>
      <w:tr w:rsidR="00127BD1" w:rsidRPr="00127BD1" w14:paraId="5E7A717D" w14:textId="77777777" w:rsidTr="00F544A0">
        <w:trPr>
          <w:trHeight w:val="300"/>
        </w:trPr>
        <w:tc>
          <w:tcPr>
            <w:tcW w:w="1164" w:type="pct"/>
            <w:noWrap/>
            <w:vAlign w:val="bottom"/>
            <w:hideMark/>
          </w:tcPr>
          <w:p w14:paraId="20053452"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Treat × Post (t = +1)</w:t>
            </w:r>
          </w:p>
        </w:tc>
        <w:tc>
          <w:tcPr>
            <w:tcW w:w="917" w:type="pct"/>
            <w:noWrap/>
            <w:vAlign w:val="bottom"/>
            <w:hideMark/>
          </w:tcPr>
          <w:p w14:paraId="02B4E17E" w14:textId="77777777" w:rsidR="00545D83" w:rsidRPr="00127BD1" w:rsidRDefault="00545D83" w:rsidP="00123FB8">
            <w:pPr>
              <w:rPr>
                <w:rFonts w:ascii="Times New Roman" w:eastAsia="Times New Roman" w:hAnsi="Times New Roman" w:cs="Times New Roman"/>
                <w:sz w:val="22"/>
                <w:szCs w:val="22"/>
              </w:rPr>
            </w:pPr>
          </w:p>
        </w:tc>
        <w:tc>
          <w:tcPr>
            <w:tcW w:w="825" w:type="pct"/>
            <w:noWrap/>
            <w:vAlign w:val="bottom"/>
            <w:hideMark/>
          </w:tcPr>
          <w:p w14:paraId="703B5EFC"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0.0787**</w:t>
            </w:r>
          </w:p>
        </w:tc>
        <w:tc>
          <w:tcPr>
            <w:tcW w:w="919" w:type="pct"/>
            <w:noWrap/>
            <w:vAlign w:val="bottom"/>
            <w:hideMark/>
          </w:tcPr>
          <w:p w14:paraId="30B7DCF1" w14:textId="77777777" w:rsidR="00545D83" w:rsidRPr="00127BD1" w:rsidRDefault="00545D83" w:rsidP="00123FB8">
            <w:pPr>
              <w:rPr>
                <w:rFonts w:ascii="Times New Roman" w:eastAsia="Times New Roman" w:hAnsi="Times New Roman" w:cs="Times New Roman"/>
                <w:sz w:val="22"/>
                <w:szCs w:val="22"/>
              </w:rPr>
            </w:pPr>
          </w:p>
        </w:tc>
        <w:tc>
          <w:tcPr>
            <w:tcW w:w="1176" w:type="pct"/>
            <w:noWrap/>
            <w:vAlign w:val="bottom"/>
            <w:hideMark/>
          </w:tcPr>
          <w:p w14:paraId="18A3C99E" w14:textId="77777777" w:rsidR="00545D83" w:rsidRPr="00127BD1" w:rsidRDefault="00545D83" w:rsidP="00123FB8">
            <w:pPr>
              <w:rPr>
                <w:rFonts w:ascii="Times New Roman" w:eastAsia="Times New Roman" w:hAnsi="Times New Roman" w:cs="Times New Roman"/>
                <w:sz w:val="22"/>
                <w:szCs w:val="22"/>
              </w:rPr>
            </w:pPr>
          </w:p>
        </w:tc>
      </w:tr>
      <w:tr w:rsidR="00127BD1" w:rsidRPr="00127BD1" w14:paraId="4B7D5310" w14:textId="77777777" w:rsidTr="00F544A0">
        <w:trPr>
          <w:trHeight w:val="300"/>
        </w:trPr>
        <w:tc>
          <w:tcPr>
            <w:tcW w:w="1164" w:type="pct"/>
            <w:noWrap/>
            <w:vAlign w:val="bottom"/>
            <w:hideMark/>
          </w:tcPr>
          <w:p w14:paraId="1A60A001" w14:textId="77777777" w:rsidR="00545D83" w:rsidRPr="00127BD1" w:rsidRDefault="00545D83" w:rsidP="00123FB8">
            <w:pPr>
              <w:rPr>
                <w:rFonts w:ascii="Times New Roman" w:eastAsia="Times New Roman" w:hAnsi="Times New Roman" w:cs="Times New Roman"/>
                <w:sz w:val="22"/>
                <w:szCs w:val="22"/>
              </w:rPr>
            </w:pPr>
          </w:p>
        </w:tc>
        <w:tc>
          <w:tcPr>
            <w:tcW w:w="917" w:type="pct"/>
            <w:noWrap/>
            <w:vAlign w:val="bottom"/>
            <w:hideMark/>
          </w:tcPr>
          <w:p w14:paraId="07E706CE" w14:textId="77777777" w:rsidR="00545D83" w:rsidRPr="00127BD1" w:rsidRDefault="00545D83" w:rsidP="00123FB8">
            <w:pPr>
              <w:rPr>
                <w:rFonts w:ascii="Times New Roman" w:eastAsia="Times New Roman" w:hAnsi="Times New Roman" w:cs="Times New Roman"/>
                <w:sz w:val="22"/>
                <w:szCs w:val="22"/>
              </w:rPr>
            </w:pPr>
          </w:p>
        </w:tc>
        <w:tc>
          <w:tcPr>
            <w:tcW w:w="825" w:type="pct"/>
            <w:noWrap/>
            <w:vAlign w:val="bottom"/>
            <w:hideMark/>
          </w:tcPr>
          <w:p w14:paraId="44FCC867"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(0.0326)</w:t>
            </w:r>
          </w:p>
        </w:tc>
        <w:tc>
          <w:tcPr>
            <w:tcW w:w="919" w:type="pct"/>
            <w:noWrap/>
            <w:vAlign w:val="bottom"/>
            <w:hideMark/>
          </w:tcPr>
          <w:p w14:paraId="30A100C5" w14:textId="77777777" w:rsidR="00545D83" w:rsidRPr="00127BD1" w:rsidRDefault="00545D83" w:rsidP="00123FB8">
            <w:pPr>
              <w:rPr>
                <w:rFonts w:ascii="Times New Roman" w:eastAsia="Times New Roman" w:hAnsi="Times New Roman" w:cs="Times New Roman"/>
                <w:sz w:val="22"/>
                <w:szCs w:val="22"/>
              </w:rPr>
            </w:pPr>
          </w:p>
        </w:tc>
        <w:tc>
          <w:tcPr>
            <w:tcW w:w="1176" w:type="pct"/>
            <w:noWrap/>
            <w:vAlign w:val="bottom"/>
            <w:hideMark/>
          </w:tcPr>
          <w:p w14:paraId="2BA747E1" w14:textId="77777777" w:rsidR="00545D83" w:rsidRPr="00127BD1" w:rsidRDefault="00545D83" w:rsidP="00123FB8">
            <w:pPr>
              <w:rPr>
                <w:rFonts w:ascii="Times New Roman" w:eastAsia="Times New Roman" w:hAnsi="Times New Roman" w:cs="Times New Roman"/>
                <w:sz w:val="22"/>
                <w:szCs w:val="22"/>
              </w:rPr>
            </w:pPr>
          </w:p>
        </w:tc>
      </w:tr>
      <w:tr w:rsidR="00127BD1" w:rsidRPr="00127BD1" w14:paraId="5FE1FF15" w14:textId="77777777" w:rsidTr="00F544A0">
        <w:trPr>
          <w:trHeight w:val="300"/>
        </w:trPr>
        <w:tc>
          <w:tcPr>
            <w:tcW w:w="1164" w:type="pct"/>
            <w:noWrap/>
            <w:vAlign w:val="bottom"/>
            <w:hideMark/>
          </w:tcPr>
          <w:p w14:paraId="21E85BDD"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Treat × Post (t = +2)</w:t>
            </w:r>
          </w:p>
        </w:tc>
        <w:tc>
          <w:tcPr>
            <w:tcW w:w="917" w:type="pct"/>
            <w:noWrap/>
            <w:vAlign w:val="bottom"/>
            <w:hideMark/>
          </w:tcPr>
          <w:p w14:paraId="6A18F8F6" w14:textId="77777777" w:rsidR="00545D83" w:rsidRPr="00127BD1" w:rsidRDefault="00545D83" w:rsidP="00123FB8">
            <w:pPr>
              <w:rPr>
                <w:rFonts w:ascii="Times New Roman" w:eastAsia="Times New Roman" w:hAnsi="Times New Roman" w:cs="Times New Roman"/>
                <w:sz w:val="22"/>
                <w:szCs w:val="22"/>
              </w:rPr>
            </w:pPr>
          </w:p>
        </w:tc>
        <w:tc>
          <w:tcPr>
            <w:tcW w:w="825" w:type="pct"/>
            <w:noWrap/>
            <w:vAlign w:val="bottom"/>
            <w:hideMark/>
          </w:tcPr>
          <w:p w14:paraId="5B13E0BD"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0.0581*</w:t>
            </w:r>
          </w:p>
        </w:tc>
        <w:tc>
          <w:tcPr>
            <w:tcW w:w="919" w:type="pct"/>
            <w:noWrap/>
            <w:vAlign w:val="bottom"/>
            <w:hideMark/>
          </w:tcPr>
          <w:p w14:paraId="24A197AA" w14:textId="77777777" w:rsidR="00545D83" w:rsidRPr="00127BD1" w:rsidRDefault="00545D83" w:rsidP="00123FB8">
            <w:pPr>
              <w:rPr>
                <w:rFonts w:ascii="Times New Roman" w:eastAsia="Times New Roman" w:hAnsi="Times New Roman" w:cs="Times New Roman"/>
                <w:sz w:val="22"/>
                <w:szCs w:val="22"/>
              </w:rPr>
            </w:pPr>
          </w:p>
        </w:tc>
        <w:tc>
          <w:tcPr>
            <w:tcW w:w="1176" w:type="pct"/>
            <w:noWrap/>
            <w:vAlign w:val="bottom"/>
            <w:hideMark/>
          </w:tcPr>
          <w:p w14:paraId="664428E6" w14:textId="77777777" w:rsidR="00545D83" w:rsidRPr="00127BD1" w:rsidRDefault="00545D83" w:rsidP="00123FB8">
            <w:pPr>
              <w:rPr>
                <w:rFonts w:ascii="Times New Roman" w:eastAsia="Times New Roman" w:hAnsi="Times New Roman" w:cs="Times New Roman"/>
                <w:sz w:val="22"/>
                <w:szCs w:val="22"/>
              </w:rPr>
            </w:pPr>
          </w:p>
        </w:tc>
      </w:tr>
      <w:tr w:rsidR="00127BD1" w:rsidRPr="00127BD1" w14:paraId="4CC1E0CD" w14:textId="77777777" w:rsidTr="00F544A0">
        <w:trPr>
          <w:trHeight w:val="300"/>
        </w:trPr>
        <w:tc>
          <w:tcPr>
            <w:tcW w:w="1164" w:type="pct"/>
            <w:noWrap/>
            <w:vAlign w:val="bottom"/>
            <w:hideMark/>
          </w:tcPr>
          <w:p w14:paraId="7C03A84F" w14:textId="77777777" w:rsidR="00545D83" w:rsidRPr="00127BD1" w:rsidRDefault="00545D83" w:rsidP="00123FB8">
            <w:pPr>
              <w:rPr>
                <w:rFonts w:ascii="Times New Roman" w:eastAsia="Times New Roman" w:hAnsi="Times New Roman" w:cs="Times New Roman"/>
                <w:sz w:val="22"/>
                <w:szCs w:val="22"/>
              </w:rPr>
            </w:pPr>
          </w:p>
        </w:tc>
        <w:tc>
          <w:tcPr>
            <w:tcW w:w="917" w:type="pct"/>
            <w:noWrap/>
            <w:vAlign w:val="bottom"/>
            <w:hideMark/>
          </w:tcPr>
          <w:p w14:paraId="335CDD2E" w14:textId="77777777" w:rsidR="00545D83" w:rsidRPr="00127BD1" w:rsidRDefault="00545D83" w:rsidP="00123FB8">
            <w:pPr>
              <w:rPr>
                <w:rFonts w:ascii="Times New Roman" w:eastAsia="Times New Roman" w:hAnsi="Times New Roman" w:cs="Times New Roman"/>
                <w:sz w:val="22"/>
                <w:szCs w:val="22"/>
              </w:rPr>
            </w:pPr>
          </w:p>
        </w:tc>
        <w:tc>
          <w:tcPr>
            <w:tcW w:w="825" w:type="pct"/>
            <w:noWrap/>
            <w:vAlign w:val="bottom"/>
            <w:hideMark/>
          </w:tcPr>
          <w:p w14:paraId="0C9DF891"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(0.0305)</w:t>
            </w:r>
          </w:p>
        </w:tc>
        <w:tc>
          <w:tcPr>
            <w:tcW w:w="919" w:type="pct"/>
            <w:noWrap/>
            <w:vAlign w:val="bottom"/>
            <w:hideMark/>
          </w:tcPr>
          <w:p w14:paraId="235597C3" w14:textId="77777777" w:rsidR="00545D83" w:rsidRPr="00127BD1" w:rsidRDefault="00545D83" w:rsidP="00123FB8">
            <w:pPr>
              <w:rPr>
                <w:rFonts w:ascii="Times New Roman" w:eastAsia="Times New Roman" w:hAnsi="Times New Roman" w:cs="Times New Roman"/>
                <w:sz w:val="22"/>
                <w:szCs w:val="22"/>
              </w:rPr>
            </w:pPr>
          </w:p>
        </w:tc>
        <w:tc>
          <w:tcPr>
            <w:tcW w:w="1176" w:type="pct"/>
            <w:noWrap/>
            <w:vAlign w:val="bottom"/>
            <w:hideMark/>
          </w:tcPr>
          <w:p w14:paraId="25ABD973" w14:textId="77777777" w:rsidR="00545D83" w:rsidRPr="00127BD1" w:rsidRDefault="00545D83" w:rsidP="00123FB8">
            <w:pPr>
              <w:rPr>
                <w:rFonts w:ascii="Times New Roman" w:eastAsia="Times New Roman" w:hAnsi="Times New Roman" w:cs="Times New Roman"/>
                <w:sz w:val="22"/>
                <w:szCs w:val="22"/>
              </w:rPr>
            </w:pPr>
          </w:p>
        </w:tc>
      </w:tr>
      <w:tr w:rsidR="00127BD1" w:rsidRPr="00127BD1" w14:paraId="78244733" w14:textId="77777777" w:rsidTr="00F544A0">
        <w:trPr>
          <w:trHeight w:val="300"/>
        </w:trPr>
        <w:tc>
          <w:tcPr>
            <w:tcW w:w="1164" w:type="pct"/>
            <w:noWrap/>
            <w:vAlign w:val="bottom"/>
            <w:hideMark/>
          </w:tcPr>
          <w:p w14:paraId="44D9F203" w14:textId="3FF3E0A2"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Treat</w:t>
            </w:r>
            <w:r w:rsidR="00D1352B">
              <w:rPr>
                <w:rFonts w:ascii="Times New Roman" w:eastAsia="Times New Roman" w:hAnsi="Times New Roman" w:cs="Times New Roman"/>
                <w:sz w:val="22"/>
                <w:szCs w:val="22"/>
              </w:rPr>
              <w:t xml:space="preserve"> </w:t>
            </w:r>
            <w:r w:rsidR="00D1352B" w:rsidRPr="00127BD1">
              <w:rPr>
                <w:rFonts w:ascii="Times New Roman" w:eastAsia="Times New Roman" w:hAnsi="Times New Roman" w:cs="Times New Roman"/>
                <w:sz w:val="22"/>
                <w:szCs w:val="22"/>
              </w:rPr>
              <w:t>×</w:t>
            </w:r>
            <w:r w:rsidRPr="00127BD1">
              <w:rPr>
                <w:rFonts w:ascii="Times New Roman" w:eastAsia="Times New Roman" w:hAnsi="Times New Roman" w:cs="Times New Roman"/>
                <w:sz w:val="22"/>
                <w:szCs w:val="22"/>
              </w:rPr>
              <w:t xml:space="preserve"> Post (t = +3)</w:t>
            </w:r>
          </w:p>
        </w:tc>
        <w:tc>
          <w:tcPr>
            <w:tcW w:w="917" w:type="pct"/>
            <w:noWrap/>
            <w:vAlign w:val="bottom"/>
            <w:hideMark/>
          </w:tcPr>
          <w:p w14:paraId="78263940" w14:textId="77777777" w:rsidR="00545D83" w:rsidRPr="00127BD1" w:rsidRDefault="00545D83" w:rsidP="00123FB8">
            <w:pPr>
              <w:rPr>
                <w:rFonts w:ascii="Times New Roman" w:eastAsia="Times New Roman" w:hAnsi="Times New Roman" w:cs="Times New Roman"/>
                <w:sz w:val="22"/>
                <w:szCs w:val="22"/>
              </w:rPr>
            </w:pPr>
          </w:p>
        </w:tc>
        <w:tc>
          <w:tcPr>
            <w:tcW w:w="825" w:type="pct"/>
            <w:noWrap/>
            <w:vAlign w:val="bottom"/>
            <w:hideMark/>
          </w:tcPr>
          <w:p w14:paraId="6D6F361F"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0.0108</w:t>
            </w:r>
          </w:p>
        </w:tc>
        <w:tc>
          <w:tcPr>
            <w:tcW w:w="919" w:type="pct"/>
            <w:noWrap/>
            <w:vAlign w:val="bottom"/>
            <w:hideMark/>
          </w:tcPr>
          <w:p w14:paraId="5E7C366D" w14:textId="77777777" w:rsidR="00545D83" w:rsidRPr="00127BD1" w:rsidRDefault="00545D83" w:rsidP="00123FB8">
            <w:pPr>
              <w:rPr>
                <w:rFonts w:ascii="Times New Roman" w:eastAsia="Times New Roman" w:hAnsi="Times New Roman" w:cs="Times New Roman"/>
                <w:sz w:val="22"/>
                <w:szCs w:val="22"/>
              </w:rPr>
            </w:pPr>
          </w:p>
        </w:tc>
        <w:tc>
          <w:tcPr>
            <w:tcW w:w="1176" w:type="pct"/>
            <w:noWrap/>
            <w:vAlign w:val="bottom"/>
            <w:hideMark/>
          </w:tcPr>
          <w:p w14:paraId="5E40D47A" w14:textId="77777777" w:rsidR="00545D83" w:rsidRPr="00127BD1" w:rsidRDefault="00545D83" w:rsidP="00123FB8">
            <w:pPr>
              <w:rPr>
                <w:rFonts w:ascii="Times New Roman" w:eastAsia="Times New Roman" w:hAnsi="Times New Roman" w:cs="Times New Roman"/>
                <w:sz w:val="22"/>
                <w:szCs w:val="22"/>
              </w:rPr>
            </w:pPr>
          </w:p>
        </w:tc>
      </w:tr>
      <w:tr w:rsidR="00127BD1" w:rsidRPr="00127BD1" w14:paraId="530BCD9B" w14:textId="77777777" w:rsidTr="00F544A0">
        <w:trPr>
          <w:trHeight w:val="300"/>
        </w:trPr>
        <w:tc>
          <w:tcPr>
            <w:tcW w:w="1164" w:type="pct"/>
            <w:noWrap/>
            <w:vAlign w:val="bottom"/>
            <w:hideMark/>
          </w:tcPr>
          <w:p w14:paraId="22CC6B89" w14:textId="77777777" w:rsidR="00545D83" w:rsidRPr="00127BD1" w:rsidRDefault="00545D83" w:rsidP="00123FB8">
            <w:pPr>
              <w:rPr>
                <w:rFonts w:ascii="Times New Roman" w:eastAsia="Times New Roman" w:hAnsi="Times New Roman" w:cs="Times New Roman"/>
                <w:sz w:val="22"/>
                <w:szCs w:val="22"/>
              </w:rPr>
            </w:pPr>
          </w:p>
        </w:tc>
        <w:tc>
          <w:tcPr>
            <w:tcW w:w="917" w:type="pct"/>
            <w:noWrap/>
            <w:vAlign w:val="bottom"/>
            <w:hideMark/>
          </w:tcPr>
          <w:p w14:paraId="174631ED" w14:textId="77777777" w:rsidR="00545D83" w:rsidRPr="00127BD1" w:rsidRDefault="00545D83" w:rsidP="00123FB8">
            <w:pPr>
              <w:rPr>
                <w:rFonts w:ascii="Times New Roman" w:eastAsia="Times New Roman" w:hAnsi="Times New Roman" w:cs="Times New Roman"/>
                <w:sz w:val="22"/>
                <w:szCs w:val="22"/>
              </w:rPr>
            </w:pPr>
          </w:p>
        </w:tc>
        <w:tc>
          <w:tcPr>
            <w:tcW w:w="825" w:type="pct"/>
            <w:noWrap/>
            <w:vAlign w:val="bottom"/>
            <w:hideMark/>
          </w:tcPr>
          <w:p w14:paraId="7AF60BB0"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(0.0238)</w:t>
            </w:r>
          </w:p>
        </w:tc>
        <w:tc>
          <w:tcPr>
            <w:tcW w:w="919" w:type="pct"/>
            <w:noWrap/>
            <w:vAlign w:val="bottom"/>
            <w:hideMark/>
          </w:tcPr>
          <w:p w14:paraId="4C2B60CA" w14:textId="77777777" w:rsidR="00545D83" w:rsidRPr="00127BD1" w:rsidRDefault="00545D83" w:rsidP="00123FB8">
            <w:pPr>
              <w:rPr>
                <w:rFonts w:ascii="Times New Roman" w:eastAsia="Times New Roman" w:hAnsi="Times New Roman" w:cs="Times New Roman"/>
                <w:sz w:val="22"/>
                <w:szCs w:val="22"/>
              </w:rPr>
            </w:pPr>
          </w:p>
        </w:tc>
        <w:tc>
          <w:tcPr>
            <w:tcW w:w="1176" w:type="pct"/>
            <w:noWrap/>
            <w:vAlign w:val="bottom"/>
            <w:hideMark/>
          </w:tcPr>
          <w:p w14:paraId="372CF6FB" w14:textId="77777777" w:rsidR="00545D83" w:rsidRPr="00127BD1" w:rsidRDefault="00545D83" w:rsidP="00123FB8">
            <w:pPr>
              <w:rPr>
                <w:rFonts w:ascii="Times New Roman" w:eastAsia="Times New Roman" w:hAnsi="Times New Roman" w:cs="Times New Roman"/>
                <w:sz w:val="22"/>
                <w:szCs w:val="22"/>
              </w:rPr>
            </w:pPr>
          </w:p>
        </w:tc>
      </w:tr>
      <w:tr w:rsidR="00127BD1" w:rsidRPr="00127BD1" w14:paraId="4027668A" w14:textId="77777777" w:rsidTr="00F544A0">
        <w:trPr>
          <w:trHeight w:val="300"/>
        </w:trPr>
        <w:tc>
          <w:tcPr>
            <w:tcW w:w="1164" w:type="pct"/>
            <w:noWrap/>
            <w:vAlign w:val="bottom"/>
            <w:hideMark/>
          </w:tcPr>
          <w:p w14:paraId="06DB85A9"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Treat × Post (t = +4)</w:t>
            </w:r>
          </w:p>
        </w:tc>
        <w:tc>
          <w:tcPr>
            <w:tcW w:w="917" w:type="pct"/>
            <w:noWrap/>
            <w:vAlign w:val="bottom"/>
            <w:hideMark/>
          </w:tcPr>
          <w:p w14:paraId="2EA34969" w14:textId="77777777" w:rsidR="00545D83" w:rsidRPr="00127BD1" w:rsidRDefault="00545D83" w:rsidP="00123FB8">
            <w:pPr>
              <w:rPr>
                <w:rFonts w:ascii="Times New Roman" w:eastAsia="Times New Roman" w:hAnsi="Times New Roman" w:cs="Times New Roman"/>
                <w:sz w:val="22"/>
                <w:szCs w:val="22"/>
              </w:rPr>
            </w:pPr>
          </w:p>
        </w:tc>
        <w:tc>
          <w:tcPr>
            <w:tcW w:w="825" w:type="pct"/>
            <w:noWrap/>
            <w:vAlign w:val="bottom"/>
            <w:hideMark/>
          </w:tcPr>
          <w:p w14:paraId="494410A5"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0.0263</w:t>
            </w:r>
          </w:p>
        </w:tc>
        <w:tc>
          <w:tcPr>
            <w:tcW w:w="919" w:type="pct"/>
            <w:noWrap/>
            <w:vAlign w:val="bottom"/>
            <w:hideMark/>
          </w:tcPr>
          <w:p w14:paraId="533F5911" w14:textId="77777777" w:rsidR="00545D83" w:rsidRPr="00127BD1" w:rsidRDefault="00545D83" w:rsidP="00123FB8">
            <w:pPr>
              <w:rPr>
                <w:rFonts w:ascii="Times New Roman" w:eastAsia="Times New Roman" w:hAnsi="Times New Roman" w:cs="Times New Roman"/>
                <w:sz w:val="22"/>
                <w:szCs w:val="22"/>
              </w:rPr>
            </w:pPr>
          </w:p>
        </w:tc>
        <w:tc>
          <w:tcPr>
            <w:tcW w:w="1176" w:type="pct"/>
            <w:noWrap/>
            <w:vAlign w:val="bottom"/>
            <w:hideMark/>
          </w:tcPr>
          <w:p w14:paraId="4048B3D2" w14:textId="77777777" w:rsidR="00545D83" w:rsidRPr="00127BD1" w:rsidRDefault="00545D83" w:rsidP="00123FB8">
            <w:pPr>
              <w:rPr>
                <w:rFonts w:ascii="Times New Roman" w:eastAsia="Times New Roman" w:hAnsi="Times New Roman" w:cs="Times New Roman"/>
                <w:sz w:val="22"/>
                <w:szCs w:val="22"/>
              </w:rPr>
            </w:pPr>
          </w:p>
        </w:tc>
      </w:tr>
      <w:tr w:rsidR="00127BD1" w:rsidRPr="00127BD1" w14:paraId="1376244E" w14:textId="77777777" w:rsidTr="00F544A0">
        <w:trPr>
          <w:trHeight w:val="300"/>
        </w:trPr>
        <w:tc>
          <w:tcPr>
            <w:tcW w:w="1164" w:type="pct"/>
            <w:noWrap/>
            <w:vAlign w:val="bottom"/>
            <w:hideMark/>
          </w:tcPr>
          <w:p w14:paraId="4295A183" w14:textId="77777777" w:rsidR="00545D83" w:rsidRPr="00127BD1" w:rsidRDefault="00545D83" w:rsidP="00123FB8">
            <w:pPr>
              <w:rPr>
                <w:rFonts w:ascii="Times New Roman" w:eastAsia="Times New Roman" w:hAnsi="Times New Roman" w:cs="Times New Roman"/>
                <w:sz w:val="22"/>
                <w:szCs w:val="22"/>
              </w:rPr>
            </w:pPr>
          </w:p>
        </w:tc>
        <w:tc>
          <w:tcPr>
            <w:tcW w:w="917" w:type="pct"/>
            <w:noWrap/>
            <w:vAlign w:val="bottom"/>
            <w:hideMark/>
          </w:tcPr>
          <w:p w14:paraId="0161EF38" w14:textId="77777777" w:rsidR="00545D83" w:rsidRPr="00127BD1" w:rsidRDefault="00545D83" w:rsidP="00123FB8">
            <w:pPr>
              <w:rPr>
                <w:rFonts w:ascii="Times New Roman" w:eastAsia="Times New Roman" w:hAnsi="Times New Roman" w:cs="Times New Roman"/>
                <w:sz w:val="22"/>
                <w:szCs w:val="22"/>
              </w:rPr>
            </w:pPr>
          </w:p>
        </w:tc>
        <w:tc>
          <w:tcPr>
            <w:tcW w:w="825" w:type="pct"/>
            <w:noWrap/>
            <w:vAlign w:val="bottom"/>
            <w:hideMark/>
          </w:tcPr>
          <w:p w14:paraId="2522D58B"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(0.0275)</w:t>
            </w:r>
          </w:p>
        </w:tc>
        <w:tc>
          <w:tcPr>
            <w:tcW w:w="919" w:type="pct"/>
            <w:noWrap/>
            <w:vAlign w:val="bottom"/>
            <w:hideMark/>
          </w:tcPr>
          <w:p w14:paraId="4466F0B1" w14:textId="77777777" w:rsidR="00545D83" w:rsidRPr="00127BD1" w:rsidRDefault="00545D83" w:rsidP="00123FB8">
            <w:pPr>
              <w:rPr>
                <w:rFonts w:ascii="Times New Roman" w:eastAsia="Times New Roman" w:hAnsi="Times New Roman" w:cs="Times New Roman"/>
                <w:sz w:val="22"/>
                <w:szCs w:val="22"/>
              </w:rPr>
            </w:pPr>
          </w:p>
        </w:tc>
        <w:tc>
          <w:tcPr>
            <w:tcW w:w="1176" w:type="pct"/>
            <w:noWrap/>
            <w:vAlign w:val="bottom"/>
            <w:hideMark/>
          </w:tcPr>
          <w:p w14:paraId="3C2C884F" w14:textId="77777777" w:rsidR="00545D83" w:rsidRPr="00127BD1" w:rsidRDefault="00545D83" w:rsidP="00123FB8">
            <w:pPr>
              <w:rPr>
                <w:rFonts w:ascii="Times New Roman" w:eastAsia="Times New Roman" w:hAnsi="Times New Roman" w:cs="Times New Roman"/>
                <w:sz w:val="22"/>
                <w:szCs w:val="22"/>
              </w:rPr>
            </w:pPr>
          </w:p>
        </w:tc>
      </w:tr>
      <w:tr w:rsidR="00127BD1" w:rsidRPr="00127BD1" w14:paraId="27FDCFDD" w14:textId="77777777" w:rsidTr="00F544A0">
        <w:trPr>
          <w:trHeight w:val="300"/>
        </w:trPr>
        <w:tc>
          <w:tcPr>
            <w:tcW w:w="1164" w:type="pct"/>
            <w:noWrap/>
            <w:vAlign w:val="bottom"/>
            <w:hideMark/>
          </w:tcPr>
          <w:p w14:paraId="365B8380" w14:textId="0F8835C8" w:rsidR="00545D83" w:rsidRPr="00127BD1" w:rsidRDefault="009F6FBD"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Obs.</w:t>
            </w:r>
          </w:p>
        </w:tc>
        <w:tc>
          <w:tcPr>
            <w:tcW w:w="917" w:type="pct"/>
            <w:noWrap/>
            <w:vAlign w:val="bottom"/>
            <w:hideMark/>
          </w:tcPr>
          <w:p w14:paraId="6FD0A40F"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26565</w:t>
            </w:r>
          </w:p>
        </w:tc>
        <w:tc>
          <w:tcPr>
            <w:tcW w:w="825" w:type="pct"/>
            <w:noWrap/>
            <w:vAlign w:val="bottom"/>
            <w:hideMark/>
          </w:tcPr>
          <w:p w14:paraId="3232B622"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27688</w:t>
            </w:r>
          </w:p>
        </w:tc>
        <w:tc>
          <w:tcPr>
            <w:tcW w:w="919" w:type="pct"/>
            <w:noWrap/>
            <w:vAlign w:val="bottom"/>
            <w:hideMark/>
          </w:tcPr>
          <w:p w14:paraId="5E81F25E"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8146</w:t>
            </w:r>
          </w:p>
        </w:tc>
        <w:tc>
          <w:tcPr>
            <w:tcW w:w="1176" w:type="pct"/>
            <w:noWrap/>
            <w:vAlign w:val="bottom"/>
            <w:hideMark/>
          </w:tcPr>
          <w:p w14:paraId="3A3BECF2"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26565</w:t>
            </w:r>
          </w:p>
        </w:tc>
      </w:tr>
      <w:tr w:rsidR="00127BD1" w:rsidRPr="00127BD1" w14:paraId="4B1C07B4" w14:textId="77777777" w:rsidTr="00F544A0">
        <w:trPr>
          <w:trHeight w:val="300"/>
        </w:trPr>
        <w:tc>
          <w:tcPr>
            <w:tcW w:w="1164" w:type="pct"/>
            <w:noWrap/>
            <w:vAlign w:val="bottom"/>
            <w:hideMark/>
          </w:tcPr>
          <w:p w14:paraId="4F1C23DB" w14:textId="07FD20F3" w:rsidR="00545D83" w:rsidRPr="00127BD1" w:rsidRDefault="00F429A6"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Adj R</w:t>
            </w:r>
            <w:r w:rsidRPr="00127BD1">
              <w:rPr>
                <w:rFonts w:ascii="Times New Roman" w:eastAsia="Times New Roman" w:hAnsi="Times New Roman" w:cs="Times New Roman"/>
                <w:sz w:val="22"/>
                <w:szCs w:val="22"/>
                <w:vertAlign w:val="superscript"/>
              </w:rPr>
              <w:t>2</w:t>
            </w:r>
          </w:p>
        </w:tc>
        <w:tc>
          <w:tcPr>
            <w:tcW w:w="917" w:type="pct"/>
            <w:noWrap/>
            <w:vAlign w:val="bottom"/>
            <w:hideMark/>
          </w:tcPr>
          <w:p w14:paraId="059868D8"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0.0310</w:t>
            </w:r>
          </w:p>
        </w:tc>
        <w:tc>
          <w:tcPr>
            <w:tcW w:w="825" w:type="pct"/>
            <w:noWrap/>
            <w:vAlign w:val="bottom"/>
            <w:hideMark/>
          </w:tcPr>
          <w:p w14:paraId="42FAE99B"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-0.0011</w:t>
            </w:r>
          </w:p>
        </w:tc>
        <w:tc>
          <w:tcPr>
            <w:tcW w:w="919" w:type="pct"/>
            <w:noWrap/>
            <w:vAlign w:val="bottom"/>
            <w:hideMark/>
          </w:tcPr>
          <w:p w14:paraId="2EE0AF8F"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0.1695</w:t>
            </w:r>
          </w:p>
        </w:tc>
        <w:tc>
          <w:tcPr>
            <w:tcW w:w="1176" w:type="pct"/>
            <w:noWrap/>
            <w:vAlign w:val="bottom"/>
            <w:hideMark/>
          </w:tcPr>
          <w:p w14:paraId="7CBBC907" w14:textId="77777777" w:rsidR="00545D83" w:rsidRPr="00127BD1" w:rsidRDefault="00545D83"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0.2562</w:t>
            </w:r>
          </w:p>
        </w:tc>
      </w:tr>
      <w:tr w:rsidR="00127BD1" w:rsidRPr="00127BD1" w14:paraId="323A4C72" w14:textId="77777777" w:rsidTr="00F544A0">
        <w:trPr>
          <w:trHeight w:val="300"/>
        </w:trPr>
        <w:tc>
          <w:tcPr>
            <w:tcW w:w="1164" w:type="pct"/>
            <w:noWrap/>
            <w:vAlign w:val="bottom"/>
          </w:tcPr>
          <w:p w14:paraId="0922202D" w14:textId="4C579F22" w:rsidR="00F544A0" w:rsidRPr="00127BD1" w:rsidRDefault="00F544A0"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Borrower Country*Quarter FE</w:t>
            </w:r>
          </w:p>
        </w:tc>
        <w:tc>
          <w:tcPr>
            <w:tcW w:w="917" w:type="pct"/>
            <w:noWrap/>
            <w:vAlign w:val="bottom"/>
          </w:tcPr>
          <w:p w14:paraId="7D392201" w14:textId="0D5BB515" w:rsidR="00F544A0" w:rsidRPr="00127BD1" w:rsidRDefault="00F544A0"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Y</w:t>
            </w:r>
            <w:r w:rsidR="005816FC" w:rsidRPr="00127BD1">
              <w:rPr>
                <w:rFonts w:ascii="Times New Roman" w:eastAsia="Times New Roman" w:hAnsi="Times New Roman" w:cs="Times New Roman"/>
                <w:sz w:val="22"/>
                <w:szCs w:val="22"/>
              </w:rPr>
              <w:t>es</w:t>
            </w:r>
          </w:p>
        </w:tc>
        <w:tc>
          <w:tcPr>
            <w:tcW w:w="825" w:type="pct"/>
            <w:noWrap/>
            <w:vAlign w:val="bottom"/>
          </w:tcPr>
          <w:p w14:paraId="13DA8165" w14:textId="06183614" w:rsidR="00F544A0" w:rsidRPr="00127BD1" w:rsidRDefault="00F544A0"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Y</w:t>
            </w:r>
            <w:r w:rsidR="005816FC" w:rsidRPr="00127BD1">
              <w:rPr>
                <w:rFonts w:ascii="Times New Roman" w:eastAsia="Times New Roman" w:hAnsi="Times New Roman" w:cs="Times New Roman"/>
                <w:sz w:val="22"/>
                <w:szCs w:val="22"/>
              </w:rPr>
              <w:t>es</w:t>
            </w:r>
          </w:p>
        </w:tc>
        <w:tc>
          <w:tcPr>
            <w:tcW w:w="919" w:type="pct"/>
            <w:noWrap/>
            <w:vAlign w:val="bottom"/>
          </w:tcPr>
          <w:p w14:paraId="40A2AB13" w14:textId="39D85BC9" w:rsidR="00F544A0" w:rsidRPr="00127BD1" w:rsidRDefault="00F544A0"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Y</w:t>
            </w:r>
            <w:r w:rsidR="005816FC" w:rsidRPr="00127BD1">
              <w:rPr>
                <w:rFonts w:ascii="Times New Roman" w:eastAsia="Times New Roman" w:hAnsi="Times New Roman" w:cs="Times New Roman"/>
                <w:sz w:val="22"/>
                <w:szCs w:val="22"/>
              </w:rPr>
              <w:t>es</w:t>
            </w:r>
          </w:p>
        </w:tc>
        <w:tc>
          <w:tcPr>
            <w:tcW w:w="1176" w:type="pct"/>
            <w:noWrap/>
            <w:vAlign w:val="bottom"/>
          </w:tcPr>
          <w:p w14:paraId="3B89D843" w14:textId="67771FC5" w:rsidR="00F544A0" w:rsidRPr="00127BD1" w:rsidRDefault="00F544A0" w:rsidP="00123FB8">
            <w:pPr>
              <w:rPr>
                <w:rFonts w:ascii="Times New Roman" w:eastAsia="Times New Roman" w:hAnsi="Times New Roman" w:cs="Times New Roman"/>
                <w:sz w:val="22"/>
                <w:szCs w:val="22"/>
              </w:rPr>
            </w:pPr>
            <w:r w:rsidRPr="00127BD1">
              <w:rPr>
                <w:rFonts w:ascii="Times New Roman" w:eastAsia="Times New Roman" w:hAnsi="Times New Roman" w:cs="Times New Roman"/>
                <w:sz w:val="22"/>
                <w:szCs w:val="22"/>
              </w:rPr>
              <w:t>Y</w:t>
            </w:r>
            <w:r w:rsidR="005816FC" w:rsidRPr="00127BD1">
              <w:rPr>
                <w:rFonts w:ascii="Times New Roman" w:eastAsia="Times New Roman" w:hAnsi="Times New Roman" w:cs="Times New Roman"/>
                <w:sz w:val="22"/>
                <w:szCs w:val="22"/>
              </w:rPr>
              <w:t>es</w:t>
            </w:r>
          </w:p>
        </w:tc>
      </w:tr>
    </w:tbl>
    <w:p w14:paraId="24E4A73E" w14:textId="538A0559" w:rsidR="00135010" w:rsidRPr="00127BD1" w:rsidRDefault="006C66DB" w:rsidP="00130990">
      <w:pPr>
        <w:rPr>
          <w:rFonts w:ascii="Times New Roman" w:hAnsi="Times New Roman" w:cs="Times New Roman"/>
          <w:sz w:val="22"/>
          <w:szCs w:val="22"/>
        </w:rPr>
        <w:sectPr w:rsidR="00135010" w:rsidRPr="00127BD1" w:rsidSect="00C8430E">
          <w:pgSz w:w="11906" w:h="16838"/>
          <w:pgMar w:top="1440" w:right="1080" w:bottom="1440" w:left="1080" w:header="708" w:footer="708" w:gutter="0"/>
          <w:cols w:space="708"/>
          <w:docGrid w:linePitch="360"/>
        </w:sectPr>
      </w:pPr>
      <w:r w:rsidRPr="00127BD1">
        <w:rPr>
          <w:rFonts w:ascii="Times New Roman" w:hAnsi="Times New Roman" w:cs="Times New Roman"/>
          <w:sz w:val="20"/>
          <w:szCs w:val="20"/>
        </w:rPr>
        <w:t xml:space="preserve">Notes: The dependent variables are the growth rate of exchange rate-adjusted cross-border claims. “Treat × Post” equals one for UK lenders in quarters at or after 2016Q2 (the Brexit referendum quarter) and zero otherwise. </w:t>
      </w:r>
      <w:r w:rsidR="00C87D13" w:rsidRPr="00127BD1">
        <w:rPr>
          <w:rFonts w:ascii="Times New Roman" w:hAnsi="Times New Roman" w:cs="Times New Roman"/>
          <w:sz w:val="20"/>
          <w:szCs w:val="20"/>
        </w:rPr>
        <w:t xml:space="preserve">A recipient country-time fixed effect is included. </w:t>
      </w:r>
      <w:r w:rsidRPr="00127BD1">
        <w:rPr>
          <w:rFonts w:ascii="Times New Roman" w:hAnsi="Times New Roman" w:cs="Times New Roman"/>
          <w:sz w:val="20"/>
          <w:szCs w:val="20"/>
        </w:rPr>
        <w:t>Heteroskedasticity-robust standard errors are clustered at the source-recipient levels.. *, **, and *** denote significance at the 10%, 5%, and 1% levels, respectively</w:t>
      </w:r>
      <w:r w:rsidRPr="00127BD1">
        <w:rPr>
          <w:rFonts w:ascii="Times New Roman" w:hAnsi="Times New Roman" w:cs="Times New Roman"/>
          <w:sz w:val="22"/>
          <w:szCs w:val="22"/>
        </w:rPr>
        <w:t>.</w:t>
      </w:r>
    </w:p>
    <w:p w14:paraId="72F0AC38" w14:textId="333F4362" w:rsidR="00130990" w:rsidRPr="00127BD1" w:rsidRDefault="00130990" w:rsidP="00C31CAA">
      <w:pPr>
        <w:spacing w:line="360" w:lineRule="auto"/>
        <w:rPr>
          <w:rFonts w:ascii="Times New Roman" w:hAnsi="Times New Roman" w:cs="Times New Roman"/>
          <w:sz w:val="22"/>
          <w:szCs w:val="22"/>
        </w:rPr>
      </w:pPr>
      <w:r w:rsidRPr="00127BD1">
        <w:rPr>
          <w:rFonts w:ascii="Times New Roman" w:hAnsi="Times New Roman" w:cs="Times New Roman"/>
          <w:b/>
          <w:bCs/>
          <w:sz w:val="22"/>
          <w:szCs w:val="22"/>
        </w:rPr>
        <w:lastRenderedPageBreak/>
        <w:t xml:space="preserve">Table </w:t>
      </w:r>
      <w:r w:rsidR="009D42ED" w:rsidRPr="00FC6C1F">
        <w:rPr>
          <w:rFonts w:ascii="Times New Roman" w:hAnsi="Times New Roman" w:cs="Times New Roman"/>
          <w:b/>
          <w:bCs/>
          <w:sz w:val="22"/>
          <w:szCs w:val="22"/>
        </w:rPr>
        <w:t>6</w:t>
      </w:r>
      <w:r w:rsidR="008C61C6" w:rsidRPr="00127BD1">
        <w:rPr>
          <w:rFonts w:ascii="Times New Roman" w:hAnsi="Times New Roman" w:cs="Times New Roman"/>
          <w:sz w:val="22"/>
          <w:szCs w:val="22"/>
        </w:rPr>
        <w:t xml:space="preserve"> </w:t>
      </w:r>
      <w:r w:rsidR="00B04C83" w:rsidRPr="00127BD1">
        <w:rPr>
          <w:rFonts w:ascii="Times New Roman" w:hAnsi="Times New Roman" w:cs="Times New Roman"/>
          <w:sz w:val="22"/>
          <w:szCs w:val="22"/>
        </w:rPr>
        <w:t>Lender level cross-border lending</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3461"/>
        <w:gridCol w:w="1867"/>
        <w:gridCol w:w="1870"/>
        <w:gridCol w:w="1870"/>
        <w:gridCol w:w="1870"/>
        <w:gridCol w:w="1870"/>
        <w:gridCol w:w="1870"/>
      </w:tblGrid>
      <w:tr w:rsidR="00130990" w:rsidRPr="00127BD1" w14:paraId="0B3F2122" w14:textId="77777777" w:rsidTr="00EC4DE0">
        <w:trPr>
          <w:trHeight w:val="300"/>
        </w:trPr>
        <w:tc>
          <w:tcPr>
            <w:tcW w:w="1179" w:type="pct"/>
            <w:tcBorders>
              <w:top w:val="single" w:sz="4" w:space="0" w:color="auto"/>
              <w:bottom w:val="single" w:sz="4" w:space="0" w:color="auto"/>
            </w:tcBorders>
            <w:noWrap/>
            <w:hideMark/>
          </w:tcPr>
          <w:p w14:paraId="160BD11D" w14:textId="77777777" w:rsidR="00130990" w:rsidRPr="00127BD1" w:rsidRDefault="00130990" w:rsidP="00EC4DE0">
            <w:pPr>
              <w:rPr>
                <w:rFonts w:ascii="Times New Roman" w:eastAsia="Times New Roman" w:hAnsi="Times New Roman" w:cs="Times New Roman"/>
                <w:sz w:val="22"/>
                <w:szCs w:val="22"/>
              </w:rPr>
            </w:pPr>
          </w:p>
        </w:tc>
        <w:tc>
          <w:tcPr>
            <w:tcW w:w="636" w:type="pct"/>
            <w:tcBorders>
              <w:top w:val="single" w:sz="4" w:space="0" w:color="auto"/>
              <w:bottom w:val="single" w:sz="4" w:space="0" w:color="auto"/>
            </w:tcBorders>
            <w:noWrap/>
            <w:hideMark/>
          </w:tcPr>
          <w:p w14:paraId="5E62073F"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(1)</w:t>
            </w:r>
          </w:p>
        </w:tc>
        <w:tc>
          <w:tcPr>
            <w:tcW w:w="637" w:type="pct"/>
            <w:tcBorders>
              <w:top w:val="single" w:sz="4" w:space="0" w:color="auto"/>
              <w:bottom w:val="single" w:sz="4" w:space="0" w:color="auto"/>
            </w:tcBorders>
          </w:tcPr>
          <w:p w14:paraId="71BCE130"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(2)</w:t>
            </w:r>
          </w:p>
        </w:tc>
        <w:tc>
          <w:tcPr>
            <w:tcW w:w="637" w:type="pct"/>
            <w:tcBorders>
              <w:top w:val="single" w:sz="4" w:space="0" w:color="auto"/>
              <w:bottom w:val="single" w:sz="4" w:space="0" w:color="auto"/>
            </w:tcBorders>
            <w:noWrap/>
            <w:hideMark/>
          </w:tcPr>
          <w:p w14:paraId="7617DE74"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(3)</w:t>
            </w:r>
          </w:p>
        </w:tc>
        <w:tc>
          <w:tcPr>
            <w:tcW w:w="637" w:type="pct"/>
            <w:tcBorders>
              <w:top w:val="single" w:sz="4" w:space="0" w:color="auto"/>
              <w:bottom w:val="single" w:sz="4" w:space="0" w:color="auto"/>
            </w:tcBorders>
          </w:tcPr>
          <w:p w14:paraId="0CBDF743"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(4)</w:t>
            </w:r>
          </w:p>
        </w:tc>
        <w:tc>
          <w:tcPr>
            <w:tcW w:w="637" w:type="pct"/>
            <w:tcBorders>
              <w:top w:val="single" w:sz="4" w:space="0" w:color="auto"/>
              <w:bottom w:val="single" w:sz="4" w:space="0" w:color="auto"/>
            </w:tcBorders>
            <w:noWrap/>
            <w:hideMark/>
          </w:tcPr>
          <w:p w14:paraId="6EC38733"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(5)</w:t>
            </w:r>
          </w:p>
        </w:tc>
        <w:tc>
          <w:tcPr>
            <w:tcW w:w="637" w:type="pct"/>
            <w:tcBorders>
              <w:top w:val="single" w:sz="4" w:space="0" w:color="auto"/>
              <w:bottom w:val="single" w:sz="4" w:space="0" w:color="auto"/>
            </w:tcBorders>
          </w:tcPr>
          <w:p w14:paraId="5E26A2C4"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(6)</w:t>
            </w:r>
          </w:p>
        </w:tc>
      </w:tr>
      <w:tr w:rsidR="00130990" w:rsidRPr="00127BD1" w14:paraId="026590CD" w14:textId="77777777" w:rsidTr="00EC4DE0">
        <w:trPr>
          <w:trHeight w:val="300"/>
        </w:trPr>
        <w:tc>
          <w:tcPr>
            <w:tcW w:w="1179" w:type="pct"/>
            <w:tcBorders>
              <w:top w:val="single" w:sz="4" w:space="0" w:color="auto"/>
            </w:tcBorders>
            <w:noWrap/>
            <w:hideMark/>
          </w:tcPr>
          <w:p w14:paraId="0FE6C65C"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sz w:val="22"/>
                <w:szCs w:val="22"/>
              </w:rPr>
              <w:t>Dependent Variable:</w:t>
            </w:r>
          </w:p>
        </w:tc>
        <w:tc>
          <w:tcPr>
            <w:tcW w:w="636" w:type="pct"/>
            <w:tcBorders>
              <w:top w:val="single" w:sz="4" w:space="0" w:color="auto"/>
            </w:tcBorders>
            <w:noWrap/>
            <w:hideMark/>
          </w:tcPr>
          <w:p w14:paraId="235462F5"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i/>
                <w:iCs/>
                <w:sz w:val="22"/>
                <w:szCs w:val="22"/>
              </w:rPr>
              <w:t>NUMBER</w:t>
            </w:r>
          </w:p>
        </w:tc>
        <w:tc>
          <w:tcPr>
            <w:tcW w:w="637" w:type="pct"/>
            <w:tcBorders>
              <w:top w:val="single" w:sz="4" w:space="0" w:color="auto"/>
            </w:tcBorders>
          </w:tcPr>
          <w:p w14:paraId="776518EF" w14:textId="6DE7A2BF" w:rsidR="00130990" w:rsidRPr="00127BD1" w:rsidRDefault="000F1B35" w:rsidP="00EC4DE0">
            <w:pPr>
              <w:rPr>
                <w:rFonts w:ascii="Times New Roman" w:eastAsia="Times New Roman" w:hAnsi="Times New Roman" w:cs="Times New Roman"/>
                <w:color w:val="000000"/>
                <w:sz w:val="22"/>
                <w:szCs w:val="22"/>
              </w:rPr>
            </w:pPr>
            <w:r>
              <w:rPr>
                <w:rFonts w:ascii="Times New Roman" w:hAnsi="Times New Roman" w:cs="Times New Roman"/>
                <w:i/>
                <w:iCs/>
                <w:sz w:val="22"/>
                <w:szCs w:val="22"/>
              </w:rPr>
              <w:t>AMOUNT</w:t>
            </w:r>
          </w:p>
        </w:tc>
        <w:tc>
          <w:tcPr>
            <w:tcW w:w="637" w:type="pct"/>
            <w:tcBorders>
              <w:top w:val="single" w:sz="4" w:space="0" w:color="auto"/>
            </w:tcBorders>
            <w:noWrap/>
            <w:hideMark/>
          </w:tcPr>
          <w:p w14:paraId="7C7A710C"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i/>
                <w:iCs/>
                <w:sz w:val="22"/>
                <w:szCs w:val="22"/>
              </w:rPr>
              <w:t>NUMBER</w:t>
            </w:r>
          </w:p>
        </w:tc>
        <w:tc>
          <w:tcPr>
            <w:tcW w:w="637" w:type="pct"/>
            <w:tcBorders>
              <w:top w:val="single" w:sz="4" w:space="0" w:color="auto"/>
            </w:tcBorders>
          </w:tcPr>
          <w:p w14:paraId="004FCCAE" w14:textId="5165D243" w:rsidR="00130990" w:rsidRPr="00127BD1" w:rsidRDefault="000F1B35" w:rsidP="00EC4DE0">
            <w:pPr>
              <w:rPr>
                <w:rFonts w:ascii="Times New Roman" w:eastAsia="Times New Roman" w:hAnsi="Times New Roman" w:cs="Times New Roman"/>
                <w:color w:val="000000"/>
                <w:sz w:val="22"/>
                <w:szCs w:val="22"/>
              </w:rPr>
            </w:pPr>
            <w:r>
              <w:rPr>
                <w:rFonts w:ascii="Times New Roman" w:hAnsi="Times New Roman" w:cs="Times New Roman"/>
                <w:i/>
                <w:iCs/>
                <w:sz w:val="22"/>
                <w:szCs w:val="22"/>
              </w:rPr>
              <w:t>AMOUNT</w:t>
            </w:r>
          </w:p>
        </w:tc>
        <w:tc>
          <w:tcPr>
            <w:tcW w:w="637" w:type="pct"/>
            <w:tcBorders>
              <w:top w:val="single" w:sz="4" w:space="0" w:color="auto"/>
            </w:tcBorders>
            <w:noWrap/>
            <w:hideMark/>
          </w:tcPr>
          <w:p w14:paraId="106BD14E"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i/>
                <w:iCs/>
                <w:sz w:val="22"/>
                <w:szCs w:val="22"/>
              </w:rPr>
              <w:t>NUMBER</w:t>
            </w:r>
          </w:p>
        </w:tc>
        <w:tc>
          <w:tcPr>
            <w:tcW w:w="637" w:type="pct"/>
            <w:tcBorders>
              <w:top w:val="single" w:sz="4" w:space="0" w:color="auto"/>
            </w:tcBorders>
          </w:tcPr>
          <w:p w14:paraId="1349699E" w14:textId="1AAB92B9" w:rsidR="00130990" w:rsidRPr="00127BD1" w:rsidRDefault="000F1B35" w:rsidP="00EC4DE0">
            <w:pPr>
              <w:rPr>
                <w:rFonts w:ascii="Times New Roman" w:eastAsia="Times New Roman" w:hAnsi="Times New Roman" w:cs="Times New Roman"/>
                <w:color w:val="000000"/>
                <w:sz w:val="22"/>
                <w:szCs w:val="22"/>
              </w:rPr>
            </w:pPr>
            <w:r>
              <w:rPr>
                <w:rFonts w:ascii="Times New Roman" w:hAnsi="Times New Roman" w:cs="Times New Roman"/>
                <w:i/>
                <w:iCs/>
                <w:sz w:val="22"/>
                <w:szCs w:val="22"/>
              </w:rPr>
              <w:t>AMOUNT</w:t>
            </w:r>
          </w:p>
        </w:tc>
      </w:tr>
      <w:tr w:rsidR="00130990" w:rsidRPr="00127BD1" w14:paraId="76E73D73" w14:textId="77777777" w:rsidTr="00EC4DE0">
        <w:trPr>
          <w:trHeight w:val="300"/>
        </w:trPr>
        <w:tc>
          <w:tcPr>
            <w:tcW w:w="1179" w:type="pct"/>
            <w:noWrap/>
            <w:hideMark/>
          </w:tcPr>
          <w:p w14:paraId="0D70A933"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sz w:val="22"/>
                <w:szCs w:val="22"/>
              </w:rPr>
              <w:t>lag AMB</w:t>
            </w:r>
          </w:p>
        </w:tc>
        <w:tc>
          <w:tcPr>
            <w:tcW w:w="636" w:type="pct"/>
            <w:noWrap/>
            <w:vAlign w:val="bottom"/>
            <w:hideMark/>
          </w:tcPr>
          <w:p w14:paraId="3617D351"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0.0708**</w:t>
            </w:r>
          </w:p>
        </w:tc>
        <w:tc>
          <w:tcPr>
            <w:tcW w:w="637" w:type="pct"/>
          </w:tcPr>
          <w:p w14:paraId="4B129988"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0.2800***</w:t>
            </w:r>
          </w:p>
        </w:tc>
        <w:tc>
          <w:tcPr>
            <w:tcW w:w="637" w:type="pct"/>
            <w:noWrap/>
            <w:vAlign w:val="bottom"/>
            <w:hideMark/>
          </w:tcPr>
          <w:p w14:paraId="2398D0EC"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0.1039***</w:t>
            </w:r>
          </w:p>
        </w:tc>
        <w:tc>
          <w:tcPr>
            <w:tcW w:w="637" w:type="pct"/>
          </w:tcPr>
          <w:p w14:paraId="3893B165"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0.3028***</w:t>
            </w:r>
          </w:p>
        </w:tc>
        <w:tc>
          <w:tcPr>
            <w:tcW w:w="637" w:type="pct"/>
            <w:noWrap/>
            <w:vAlign w:val="bottom"/>
            <w:hideMark/>
          </w:tcPr>
          <w:p w14:paraId="15094A5C"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0.0764**</w:t>
            </w:r>
          </w:p>
        </w:tc>
        <w:tc>
          <w:tcPr>
            <w:tcW w:w="637" w:type="pct"/>
          </w:tcPr>
          <w:p w14:paraId="207656A8"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0.2757***</w:t>
            </w:r>
          </w:p>
        </w:tc>
      </w:tr>
      <w:tr w:rsidR="00130990" w:rsidRPr="00127BD1" w14:paraId="59481ED7" w14:textId="77777777" w:rsidTr="00EC4DE0">
        <w:trPr>
          <w:trHeight w:val="300"/>
        </w:trPr>
        <w:tc>
          <w:tcPr>
            <w:tcW w:w="1179" w:type="pct"/>
            <w:noWrap/>
            <w:hideMark/>
          </w:tcPr>
          <w:p w14:paraId="202D5D7D" w14:textId="77777777" w:rsidR="00130990" w:rsidRPr="00127BD1" w:rsidRDefault="00130990" w:rsidP="00EC4DE0">
            <w:pPr>
              <w:rPr>
                <w:rFonts w:ascii="Times New Roman" w:eastAsia="Times New Roman" w:hAnsi="Times New Roman" w:cs="Times New Roman"/>
                <w:color w:val="000000"/>
                <w:sz w:val="22"/>
                <w:szCs w:val="22"/>
              </w:rPr>
            </w:pPr>
          </w:p>
        </w:tc>
        <w:tc>
          <w:tcPr>
            <w:tcW w:w="636" w:type="pct"/>
            <w:noWrap/>
            <w:vAlign w:val="bottom"/>
            <w:hideMark/>
          </w:tcPr>
          <w:p w14:paraId="07684FDE"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(0.0337)</w:t>
            </w:r>
          </w:p>
        </w:tc>
        <w:tc>
          <w:tcPr>
            <w:tcW w:w="637" w:type="pct"/>
          </w:tcPr>
          <w:p w14:paraId="47CCA7C1"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(0.0663)</w:t>
            </w:r>
          </w:p>
        </w:tc>
        <w:tc>
          <w:tcPr>
            <w:tcW w:w="637" w:type="pct"/>
            <w:noWrap/>
            <w:vAlign w:val="bottom"/>
            <w:hideMark/>
          </w:tcPr>
          <w:p w14:paraId="114C621F"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(0.0323)</w:t>
            </w:r>
          </w:p>
        </w:tc>
        <w:tc>
          <w:tcPr>
            <w:tcW w:w="637" w:type="pct"/>
          </w:tcPr>
          <w:p w14:paraId="3A5CEBEB"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(0.0645)</w:t>
            </w:r>
          </w:p>
        </w:tc>
        <w:tc>
          <w:tcPr>
            <w:tcW w:w="637" w:type="pct"/>
            <w:noWrap/>
            <w:vAlign w:val="bottom"/>
            <w:hideMark/>
          </w:tcPr>
          <w:p w14:paraId="19D37A1A"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(0.0323)</w:t>
            </w:r>
          </w:p>
        </w:tc>
        <w:tc>
          <w:tcPr>
            <w:tcW w:w="637" w:type="pct"/>
          </w:tcPr>
          <w:p w14:paraId="61000837"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(0.0685)</w:t>
            </w:r>
          </w:p>
        </w:tc>
      </w:tr>
      <w:tr w:rsidR="00130990" w:rsidRPr="00127BD1" w14:paraId="186977CC" w14:textId="77777777" w:rsidTr="00EC4DE0">
        <w:trPr>
          <w:trHeight w:val="300"/>
        </w:trPr>
        <w:tc>
          <w:tcPr>
            <w:tcW w:w="1179" w:type="pct"/>
            <w:noWrap/>
            <w:hideMark/>
          </w:tcPr>
          <w:p w14:paraId="3ED3F76C"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lag RGDPG</w:t>
            </w:r>
          </w:p>
        </w:tc>
        <w:tc>
          <w:tcPr>
            <w:tcW w:w="636" w:type="pct"/>
            <w:noWrap/>
            <w:vAlign w:val="bottom"/>
            <w:hideMark/>
          </w:tcPr>
          <w:p w14:paraId="64C7B17D"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-0.0023</w:t>
            </w:r>
          </w:p>
        </w:tc>
        <w:tc>
          <w:tcPr>
            <w:tcW w:w="637" w:type="pct"/>
          </w:tcPr>
          <w:p w14:paraId="5BF0FEA5"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-0.0066</w:t>
            </w:r>
          </w:p>
        </w:tc>
        <w:tc>
          <w:tcPr>
            <w:tcW w:w="637" w:type="pct"/>
            <w:noWrap/>
            <w:vAlign w:val="bottom"/>
            <w:hideMark/>
          </w:tcPr>
          <w:p w14:paraId="4765F1E8"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-0.0003</w:t>
            </w:r>
          </w:p>
        </w:tc>
        <w:tc>
          <w:tcPr>
            <w:tcW w:w="637" w:type="pct"/>
          </w:tcPr>
          <w:p w14:paraId="2CFE35B0"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-0.0042</w:t>
            </w:r>
          </w:p>
        </w:tc>
        <w:tc>
          <w:tcPr>
            <w:tcW w:w="637" w:type="pct"/>
            <w:noWrap/>
            <w:vAlign w:val="bottom"/>
            <w:hideMark/>
          </w:tcPr>
          <w:p w14:paraId="2F5E63B3"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0.0014</w:t>
            </w:r>
          </w:p>
        </w:tc>
        <w:tc>
          <w:tcPr>
            <w:tcW w:w="637" w:type="pct"/>
          </w:tcPr>
          <w:p w14:paraId="53239DCC"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-0.0035</w:t>
            </w:r>
          </w:p>
        </w:tc>
      </w:tr>
      <w:tr w:rsidR="00130990" w:rsidRPr="00127BD1" w14:paraId="799BC5C4" w14:textId="77777777" w:rsidTr="00EC4DE0">
        <w:trPr>
          <w:trHeight w:val="300"/>
        </w:trPr>
        <w:tc>
          <w:tcPr>
            <w:tcW w:w="1179" w:type="pct"/>
            <w:noWrap/>
            <w:hideMark/>
          </w:tcPr>
          <w:p w14:paraId="21259B09" w14:textId="77777777" w:rsidR="00130990" w:rsidRPr="00127BD1" w:rsidRDefault="00130990" w:rsidP="00EC4DE0">
            <w:pPr>
              <w:rPr>
                <w:rFonts w:ascii="Times New Roman" w:eastAsia="Times New Roman" w:hAnsi="Times New Roman" w:cs="Times New Roman"/>
                <w:color w:val="000000"/>
                <w:sz w:val="22"/>
                <w:szCs w:val="22"/>
              </w:rPr>
            </w:pPr>
          </w:p>
        </w:tc>
        <w:tc>
          <w:tcPr>
            <w:tcW w:w="636" w:type="pct"/>
            <w:noWrap/>
            <w:vAlign w:val="bottom"/>
            <w:hideMark/>
          </w:tcPr>
          <w:p w14:paraId="3AB97E83"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(0.0036)</w:t>
            </w:r>
          </w:p>
        </w:tc>
        <w:tc>
          <w:tcPr>
            <w:tcW w:w="637" w:type="pct"/>
          </w:tcPr>
          <w:p w14:paraId="7937440C"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(0.0080)</w:t>
            </w:r>
          </w:p>
        </w:tc>
        <w:tc>
          <w:tcPr>
            <w:tcW w:w="637" w:type="pct"/>
            <w:noWrap/>
            <w:vAlign w:val="bottom"/>
            <w:hideMark/>
          </w:tcPr>
          <w:p w14:paraId="583A861B"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(0.0039)</w:t>
            </w:r>
          </w:p>
        </w:tc>
        <w:tc>
          <w:tcPr>
            <w:tcW w:w="637" w:type="pct"/>
          </w:tcPr>
          <w:p w14:paraId="58379C7D"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(0.0081)</w:t>
            </w:r>
          </w:p>
        </w:tc>
        <w:tc>
          <w:tcPr>
            <w:tcW w:w="637" w:type="pct"/>
            <w:noWrap/>
            <w:vAlign w:val="bottom"/>
            <w:hideMark/>
          </w:tcPr>
          <w:p w14:paraId="687B49B7"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(0.0038)</w:t>
            </w:r>
          </w:p>
        </w:tc>
        <w:tc>
          <w:tcPr>
            <w:tcW w:w="637" w:type="pct"/>
          </w:tcPr>
          <w:p w14:paraId="5CC7D74E"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(0.0078)</w:t>
            </w:r>
          </w:p>
        </w:tc>
      </w:tr>
      <w:tr w:rsidR="00130990" w:rsidRPr="00127BD1" w14:paraId="7CE2B7CD" w14:textId="77777777" w:rsidTr="00EC4DE0">
        <w:trPr>
          <w:trHeight w:val="300"/>
        </w:trPr>
        <w:tc>
          <w:tcPr>
            <w:tcW w:w="1179" w:type="pct"/>
            <w:noWrap/>
            <w:vAlign w:val="bottom"/>
            <w:hideMark/>
          </w:tcPr>
          <w:p w14:paraId="67FEE8C3"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 xml:space="preserve">lag </w:t>
            </w:r>
            <w:r w:rsidRPr="00127BD1">
              <w:rPr>
                <w:rFonts w:ascii="Times New Roman" w:hAnsi="Times New Roman" w:cs="Times New Roman"/>
                <w:sz w:val="22"/>
                <w:szCs w:val="22"/>
              </w:rPr>
              <w:t>INFLA</w:t>
            </w:r>
          </w:p>
        </w:tc>
        <w:tc>
          <w:tcPr>
            <w:tcW w:w="636" w:type="pct"/>
            <w:noWrap/>
            <w:vAlign w:val="bottom"/>
            <w:hideMark/>
          </w:tcPr>
          <w:p w14:paraId="393464B8"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-0.0009**</w:t>
            </w:r>
          </w:p>
        </w:tc>
        <w:tc>
          <w:tcPr>
            <w:tcW w:w="637" w:type="pct"/>
          </w:tcPr>
          <w:p w14:paraId="2A08C58E"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0.0004</w:t>
            </w:r>
          </w:p>
        </w:tc>
        <w:tc>
          <w:tcPr>
            <w:tcW w:w="637" w:type="pct"/>
            <w:noWrap/>
            <w:vAlign w:val="bottom"/>
            <w:hideMark/>
          </w:tcPr>
          <w:p w14:paraId="2D8FA2D7"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-0.0012***</w:t>
            </w:r>
          </w:p>
        </w:tc>
        <w:tc>
          <w:tcPr>
            <w:tcW w:w="637" w:type="pct"/>
          </w:tcPr>
          <w:p w14:paraId="7A66EC2B"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-0.0003</w:t>
            </w:r>
          </w:p>
        </w:tc>
        <w:tc>
          <w:tcPr>
            <w:tcW w:w="637" w:type="pct"/>
            <w:noWrap/>
            <w:vAlign w:val="bottom"/>
            <w:hideMark/>
          </w:tcPr>
          <w:p w14:paraId="597F1432"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-0.0014***</w:t>
            </w:r>
          </w:p>
        </w:tc>
        <w:tc>
          <w:tcPr>
            <w:tcW w:w="637" w:type="pct"/>
          </w:tcPr>
          <w:p w14:paraId="7B36B5A0"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-0.0009</w:t>
            </w:r>
          </w:p>
        </w:tc>
      </w:tr>
      <w:tr w:rsidR="00130990" w:rsidRPr="00127BD1" w14:paraId="7EBA866D" w14:textId="77777777" w:rsidTr="00EC4DE0">
        <w:trPr>
          <w:trHeight w:val="300"/>
        </w:trPr>
        <w:tc>
          <w:tcPr>
            <w:tcW w:w="1179" w:type="pct"/>
            <w:noWrap/>
            <w:vAlign w:val="bottom"/>
            <w:hideMark/>
          </w:tcPr>
          <w:p w14:paraId="20B23D45" w14:textId="77777777" w:rsidR="00130990" w:rsidRPr="00127BD1" w:rsidRDefault="00130990" w:rsidP="00EC4DE0">
            <w:pPr>
              <w:rPr>
                <w:rFonts w:ascii="Times New Roman" w:eastAsia="Times New Roman" w:hAnsi="Times New Roman" w:cs="Times New Roman"/>
                <w:color w:val="000000"/>
                <w:sz w:val="22"/>
                <w:szCs w:val="22"/>
              </w:rPr>
            </w:pPr>
          </w:p>
        </w:tc>
        <w:tc>
          <w:tcPr>
            <w:tcW w:w="636" w:type="pct"/>
            <w:noWrap/>
            <w:vAlign w:val="bottom"/>
            <w:hideMark/>
          </w:tcPr>
          <w:p w14:paraId="70E5350A"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(0.0004)</w:t>
            </w:r>
          </w:p>
        </w:tc>
        <w:tc>
          <w:tcPr>
            <w:tcW w:w="637" w:type="pct"/>
          </w:tcPr>
          <w:p w14:paraId="2430AA95"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(0.0008)</w:t>
            </w:r>
          </w:p>
        </w:tc>
        <w:tc>
          <w:tcPr>
            <w:tcW w:w="637" w:type="pct"/>
            <w:noWrap/>
            <w:vAlign w:val="bottom"/>
            <w:hideMark/>
          </w:tcPr>
          <w:p w14:paraId="7A0CE9F8"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(0.0004)</w:t>
            </w:r>
          </w:p>
        </w:tc>
        <w:tc>
          <w:tcPr>
            <w:tcW w:w="637" w:type="pct"/>
          </w:tcPr>
          <w:p w14:paraId="5C78D91C"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(0.0007)</w:t>
            </w:r>
          </w:p>
        </w:tc>
        <w:tc>
          <w:tcPr>
            <w:tcW w:w="637" w:type="pct"/>
            <w:noWrap/>
            <w:vAlign w:val="bottom"/>
            <w:hideMark/>
          </w:tcPr>
          <w:p w14:paraId="232DF77E"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(0.0004)</w:t>
            </w:r>
          </w:p>
        </w:tc>
        <w:tc>
          <w:tcPr>
            <w:tcW w:w="637" w:type="pct"/>
          </w:tcPr>
          <w:p w14:paraId="357C5AF7"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(0.0007)</w:t>
            </w:r>
          </w:p>
        </w:tc>
      </w:tr>
      <w:tr w:rsidR="00130990" w:rsidRPr="00127BD1" w14:paraId="13406AA7" w14:textId="77777777" w:rsidTr="00EC4DE0">
        <w:trPr>
          <w:trHeight w:val="300"/>
        </w:trPr>
        <w:tc>
          <w:tcPr>
            <w:tcW w:w="1179" w:type="pct"/>
            <w:noWrap/>
            <w:vAlign w:val="bottom"/>
            <w:hideMark/>
          </w:tcPr>
          <w:p w14:paraId="54C3F57D"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lag EXGG</w:t>
            </w:r>
          </w:p>
        </w:tc>
        <w:tc>
          <w:tcPr>
            <w:tcW w:w="636" w:type="pct"/>
            <w:noWrap/>
            <w:vAlign w:val="bottom"/>
            <w:hideMark/>
          </w:tcPr>
          <w:p w14:paraId="7CAD99D8"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0.0008</w:t>
            </w:r>
          </w:p>
        </w:tc>
        <w:tc>
          <w:tcPr>
            <w:tcW w:w="637" w:type="pct"/>
          </w:tcPr>
          <w:p w14:paraId="2AF3E0B7"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-0.0031</w:t>
            </w:r>
          </w:p>
        </w:tc>
        <w:tc>
          <w:tcPr>
            <w:tcW w:w="637" w:type="pct"/>
            <w:noWrap/>
            <w:vAlign w:val="bottom"/>
            <w:hideMark/>
          </w:tcPr>
          <w:p w14:paraId="6900A006"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0.0025*</w:t>
            </w:r>
          </w:p>
        </w:tc>
        <w:tc>
          <w:tcPr>
            <w:tcW w:w="637" w:type="pct"/>
          </w:tcPr>
          <w:p w14:paraId="5807F453"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-0.0008</w:t>
            </w:r>
          </w:p>
        </w:tc>
        <w:tc>
          <w:tcPr>
            <w:tcW w:w="637" w:type="pct"/>
            <w:noWrap/>
            <w:vAlign w:val="bottom"/>
            <w:hideMark/>
          </w:tcPr>
          <w:p w14:paraId="4434EE71"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0.0027*</w:t>
            </w:r>
          </w:p>
        </w:tc>
        <w:tc>
          <w:tcPr>
            <w:tcW w:w="637" w:type="pct"/>
          </w:tcPr>
          <w:p w14:paraId="3DAC3A2B"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-0.0003</w:t>
            </w:r>
          </w:p>
        </w:tc>
      </w:tr>
      <w:tr w:rsidR="00130990" w:rsidRPr="00127BD1" w14:paraId="6045180D" w14:textId="77777777" w:rsidTr="00EC4DE0">
        <w:trPr>
          <w:trHeight w:val="300"/>
        </w:trPr>
        <w:tc>
          <w:tcPr>
            <w:tcW w:w="1179" w:type="pct"/>
            <w:noWrap/>
            <w:vAlign w:val="bottom"/>
            <w:hideMark/>
          </w:tcPr>
          <w:p w14:paraId="294832C8" w14:textId="77777777" w:rsidR="00130990" w:rsidRPr="00127BD1" w:rsidRDefault="00130990" w:rsidP="00EC4DE0">
            <w:pPr>
              <w:rPr>
                <w:rFonts w:ascii="Times New Roman" w:eastAsia="Times New Roman" w:hAnsi="Times New Roman" w:cs="Times New Roman"/>
                <w:color w:val="000000"/>
                <w:sz w:val="22"/>
                <w:szCs w:val="22"/>
              </w:rPr>
            </w:pPr>
          </w:p>
        </w:tc>
        <w:tc>
          <w:tcPr>
            <w:tcW w:w="636" w:type="pct"/>
            <w:noWrap/>
            <w:vAlign w:val="bottom"/>
            <w:hideMark/>
          </w:tcPr>
          <w:p w14:paraId="51D0D947"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(0.0013)</w:t>
            </w:r>
          </w:p>
        </w:tc>
        <w:tc>
          <w:tcPr>
            <w:tcW w:w="637" w:type="pct"/>
          </w:tcPr>
          <w:p w14:paraId="542C6297"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(0.0028)</w:t>
            </w:r>
          </w:p>
        </w:tc>
        <w:tc>
          <w:tcPr>
            <w:tcW w:w="637" w:type="pct"/>
            <w:noWrap/>
            <w:vAlign w:val="bottom"/>
            <w:hideMark/>
          </w:tcPr>
          <w:p w14:paraId="45CF26FA"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(0.0014)</w:t>
            </w:r>
          </w:p>
        </w:tc>
        <w:tc>
          <w:tcPr>
            <w:tcW w:w="637" w:type="pct"/>
          </w:tcPr>
          <w:p w14:paraId="371722C8"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(0.0028)</w:t>
            </w:r>
          </w:p>
        </w:tc>
        <w:tc>
          <w:tcPr>
            <w:tcW w:w="637" w:type="pct"/>
            <w:noWrap/>
            <w:vAlign w:val="bottom"/>
            <w:hideMark/>
          </w:tcPr>
          <w:p w14:paraId="0D9E23F5"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(0.0015)</w:t>
            </w:r>
          </w:p>
        </w:tc>
        <w:tc>
          <w:tcPr>
            <w:tcW w:w="637" w:type="pct"/>
          </w:tcPr>
          <w:p w14:paraId="06D6248E"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(0.0027)</w:t>
            </w:r>
          </w:p>
        </w:tc>
      </w:tr>
      <w:tr w:rsidR="00130990" w:rsidRPr="00127BD1" w14:paraId="564D552C" w14:textId="77777777" w:rsidTr="00EC4DE0">
        <w:trPr>
          <w:trHeight w:val="300"/>
        </w:trPr>
        <w:tc>
          <w:tcPr>
            <w:tcW w:w="1179" w:type="pct"/>
            <w:noWrap/>
            <w:vAlign w:val="bottom"/>
            <w:hideMark/>
          </w:tcPr>
          <w:p w14:paraId="55B89AF7"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lag DEBTGDP</w:t>
            </w:r>
          </w:p>
        </w:tc>
        <w:tc>
          <w:tcPr>
            <w:tcW w:w="636" w:type="pct"/>
            <w:noWrap/>
            <w:vAlign w:val="bottom"/>
            <w:hideMark/>
          </w:tcPr>
          <w:p w14:paraId="261DD351"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-0.0027***</w:t>
            </w:r>
          </w:p>
        </w:tc>
        <w:tc>
          <w:tcPr>
            <w:tcW w:w="637" w:type="pct"/>
          </w:tcPr>
          <w:p w14:paraId="61409F3E"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-0.0001</w:t>
            </w:r>
          </w:p>
        </w:tc>
        <w:tc>
          <w:tcPr>
            <w:tcW w:w="637" w:type="pct"/>
            <w:noWrap/>
            <w:vAlign w:val="bottom"/>
            <w:hideMark/>
          </w:tcPr>
          <w:p w14:paraId="0729FF0B"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-0.0030***</w:t>
            </w:r>
          </w:p>
        </w:tc>
        <w:tc>
          <w:tcPr>
            <w:tcW w:w="637" w:type="pct"/>
          </w:tcPr>
          <w:p w14:paraId="712A0396"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0.0006</w:t>
            </w:r>
          </w:p>
        </w:tc>
        <w:tc>
          <w:tcPr>
            <w:tcW w:w="637" w:type="pct"/>
            <w:noWrap/>
            <w:vAlign w:val="bottom"/>
            <w:hideMark/>
          </w:tcPr>
          <w:p w14:paraId="73D89357"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-0.0033**</w:t>
            </w:r>
          </w:p>
        </w:tc>
        <w:tc>
          <w:tcPr>
            <w:tcW w:w="637" w:type="pct"/>
          </w:tcPr>
          <w:p w14:paraId="56996891"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0.0006</w:t>
            </w:r>
          </w:p>
        </w:tc>
      </w:tr>
      <w:tr w:rsidR="00130990" w:rsidRPr="00127BD1" w14:paraId="157B9E29" w14:textId="77777777" w:rsidTr="00EC4DE0">
        <w:trPr>
          <w:trHeight w:val="300"/>
        </w:trPr>
        <w:tc>
          <w:tcPr>
            <w:tcW w:w="1179" w:type="pct"/>
            <w:noWrap/>
            <w:vAlign w:val="bottom"/>
            <w:hideMark/>
          </w:tcPr>
          <w:p w14:paraId="6FC9524C" w14:textId="77777777" w:rsidR="00130990" w:rsidRPr="00127BD1" w:rsidRDefault="00130990" w:rsidP="00EC4DE0">
            <w:pPr>
              <w:rPr>
                <w:rFonts w:ascii="Times New Roman" w:eastAsia="Times New Roman" w:hAnsi="Times New Roman" w:cs="Times New Roman"/>
                <w:color w:val="000000"/>
                <w:sz w:val="22"/>
                <w:szCs w:val="22"/>
              </w:rPr>
            </w:pPr>
          </w:p>
        </w:tc>
        <w:tc>
          <w:tcPr>
            <w:tcW w:w="636" w:type="pct"/>
            <w:noWrap/>
            <w:vAlign w:val="bottom"/>
            <w:hideMark/>
          </w:tcPr>
          <w:p w14:paraId="19671B3B"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(0.0010)</w:t>
            </w:r>
          </w:p>
        </w:tc>
        <w:tc>
          <w:tcPr>
            <w:tcW w:w="637" w:type="pct"/>
          </w:tcPr>
          <w:p w14:paraId="238C7662"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(0.0026)</w:t>
            </w:r>
          </w:p>
        </w:tc>
        <w:tc>
          <w:tcPr>
            <w:tcW w:w="637" w:type="pct"/>
            <w:noWrap/>
            <w:vAlign w:val="bottom"/>
            <w:hideMark/>
          </w:tcPr>
          <w:p w14:paraId="5EA6602C"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(0.0011)</w:t>
            </w:r>
          </w:p>
        </w:tc>
        <w:tc>
          <w:tcPr>
            <w:tcW w:w="637" w:type="pct"/>
          </w:tcPr>
          <w:p w14:paraId="2FC45845"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(0.0024)</w:t>
            </w:r>
          </w:p>
        </w:tc>
        <w:tc>
          <w:tcPr>
            <w:tcW w:w="637" w:type="pct"/>
            <w:noWrap/>
            <w:vAlign w:val="bottom"/>
            <w:hideMark/>
          </w:tcPr>
          <w:p w14:paraId="1A7B1234"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(0.0015)</w:t>
            </w:r>
          </w:p>
        </w:tc>
        <w:tc>
          <w:tcPr>
            <w:tcW w:w="637" w:type="pct"/>
          </w:tcPr>
          <w:p w14:paraId="7E762523"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(0.0024)</w:t>
            </w:r>
          </w:p>
        </w:tc>
      </w:tr>
      <w:tr w:rsidR="00130990" w:rsidRPr="00127BD1" w14:paraId="73144AFA" w14:textId="77777777" w:rsidTr="00EC4DE0">
        <w:trPr>
          <w:trHeight w:val="300"/>
        </w:trPr>
        <w:tc>
          <w:tcPr>
            <w:tcW w:w="1179" w:type="pct"/>
            <w:noWrap/>
            <w:vAlign w:val="bottom"/>
            <w:hideMark/>
          </w:tcPr>
          <w:p w14:paraId="426F5AD8"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sz w:val="22"/>
                <w:szCs w:val="22"/>
              </w:rPr>
              <w:t>lag LRATE</w:t>
            </w:r>
          </w:p>
        </w:tc>
        <w:tc>
          <w:tcPr>
            <w:tcW w:w="636" w:type="pct"/>
            <w:noWrap/>
            <w:vAlign w:val="bottom"/>
            <w:hideMark/>
          </w:tcPr>
          <w:p w14:paraId="44FCE30A"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0.0020</w:t>
            </w:r>
          </w:p>
        </w:tc>
        <w:tc>
          <w:tcPr>
            <w:tcW w:w="637" w:type="pct"/>
          </w:tcPr>
          <w:p w14:paraId="349ED6EB"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0.0402**</w:t>
            </w:r>
          </w:p>
        </w:tc>
        <w:tc>
          <w:tcPr>
            <w:tcW w:w="637" w:type="pct"/>
            <w:noWrap/>
            <w:vAlign w:val="bottom"/>
            <w:hideMark/>
          </w:tcPr>
          <w:p w14:paraId="4CA7B882"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0.0075</w:t>
            </w:r>
          </w:p>
        </w:tc>
        <w:tc>
          <w:tcPr>
            <w:tcW w:w="637" w:type="pct"/>
          </w:tcPr>
          <w:p w14:paraId="595E2379"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0.0453**</w:t>
            </w:r>
          </w:p>
        </w:tc>
        <w:tc>
          <w:tcPr>
            <w:tcW w:w="637" w:type="pct"/>
            <w:noWrap/>
            <w:vAlign w:val="bottom"/>
            <w:hideMark/>
          </w:tcPr>
          <w:p w14:paraId="0B83C768"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0.0047</w:t>
            </w:r>
          </w:p>
        </w:tc>
        <w:tc>
          <w:tcPr>
            <w:tcW w:w="637" w:type="pct"/>
          </w:tcPr>
          <w:p w14:paraId="59858A37"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0.0429**</w:t>
            </w:r>
          </w:p>
        </w:tc>
      </w:tr>
      <w:tr w:rsidR="00130990" w:rsidRPr="00127BD1" w14:paraId="69A71281" w14:textId="77777777" w:rsidTr="00EC4DE0">
        <w:trPr>
          <w:trHeight w:val="300"/>
        </w:trPr>
        <w:tc>
          <w:tcPr>
            <w:tcW w:w="1179" w:type="pct"/>
            <w:noWrap/>
            <w:hideMark/>
          </w:tcPr>
          <w:p w14:paraId="6C8D4158" w14:textId="77777777" w:rsidR="00130990" w:rsidRPr="00127BD1" w:rsidRDefault="00130990" w:rsidP="00EC4DE0">
            <w:pPr>
              <w:rPr>
                <w:rFonts w:ascii="Times New Roman" w:eastAsia="Times New Roman" w:hAnsi="Times New Roman" w:cs="Times New Roman"/>
                <w:color w:val="000000"/>
                <w:sz w:val="22"/>
                <w:szCs w:val="22"/>
              </w:rPr>
            </w:pPr>
          </w:p>
        </w:tc>
        <w:tc>
          <w:tcPr>
            <w:tcW w:w="636" w:type="pct"/>
            <w:noWrap/>
            <w:vAlign w:val="bottom"/>
            <w:hideMark/>
          </w:tcPr>
          <w:p w14:paraId="0210B5CC"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(0.0108)</w:t>
            </w:r>
          </w:p>
        </w:tc>
        <w:tc>
          <w:tcPr>
            <w:tcW w:w="637" w:type="pct"/>
          </w:tcPr>
          <w:p w14:paraId="561B0B14"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(0.0199)</w:t>
            </w:r>
          </w:p>
        </w:tc>
        <w:tc>
          <w:tcPr>
            <w:tcW w:w="637" w:type="pct"/>
            <w:noWrap/>
            <w:vAlign w:val="bottom"/>
            <w:hideMark/>
          </w:tcPr>
          <w:p w14:paraId="6684F268"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(0.0111)</w:t>
            </w:r>
          </w:p>
        </w:tc>
        <w:tc>
          <w:tcPr>
            <w:tcW w:w="637" w:type="pct"/>
          </w:tcPr>
          <w:p w14:paraId="15545F18"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(0.0199)</w:t>
            </w:r>
          </w:p>
        </w:tc>
        <w:tc>
          <w:tcPr>
            <w:tcW w:w="637" w:type="pct"/>
            <w:noWrap/>
            <w:vAlign w:val="bottom"/>
            <w:hideMark/>
          </w:tcPr>
          <w:p w14:paraId="60D0D0FE"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(0.0123)</w:t>
            </w:r>
          </w:p>
        </w:tc>
        <w:tc>
          <w:tcPr>
            <w:tcW w:w="637" w:type="pct"/>
          </w:tcPr>
          <w:p w14:paraId="45EE7FBB"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(0.0217)</w:t>
            </w:r>
          </w:p>
        </w:tc>
      </w:tr>
      <w:tr w:rsidR="009F6FBD" w:rsidRPr="00127BD1" w14:paraId="44B6C33B" w14:textId="77777777" w:rsidTr="00534284">
        <w:trPr>
          <w:trHeight w:val="300"/>
        </w:trPr>
        <w:tc>
          <w:tcPr>
            <w:tcW w:w="1179" w:type="pct"/>
            <w:noWrap/>
            <w:vAlign w:val="center"/>
            <w:hideMark/>
          </w:tcPr>
          <w:p w14:paraId="497DDC71" w14:textId="767F3FEA" w:rsidR="009F6FBD" w:rsidRPr="00127BD1" w:rsidRDefault="009F6FBD" w:rsidP="009F6FBD">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Obs.</w:t>
            </w:r>
          </w:p>
        </w:tc>
        <w:tc>
          <w:tcPr>
            <w:tcW w:w="636" w:type="pct"/>
            <w:noWrap/>
            <w:vAlign w:val="bottom"/>
            <w:hideMark/>
          </w:tcPr>
          <w:p w14:paraId="7C7EC55F" w14:textId="77777777" w:rsidR="009F6FBD" w:rsidRPr="00127BD1" w:rsidRDefault="009F6FBD" w:rsidP="009F6FBD">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31990</w:t>
            </w:r>
          </w:p>
        </w:tc>
        <w:tc>
          <w:tcPr>
            <w:tcW w:w="637" w:type="pct"/>
          </w:tcPr>
          <w:p w14:paraId="2666C40D" w14:textId="77777777" w:rsidR="009F6FBD" w:rsidRPr="00127BD1" w:rsidRDefault="009F6FBD" w:rsidP="009F6FBD">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31107</w:t>
            </w:r>
          </w:p>
        </w:tc>
        <w:tc>
          <w:tcPr>
            <w:tcW w:w="637" w:type="pct"/>
            <w:noWrap/>
            <w:vAlign w:val="bottom"/>
            <w:hideMark/>
          </w:tcPr>
          <w:p w14:paraId="4F7BE7FC" w14:textId="77777777" w:rsidR="009F6FBD" w:rsidRPr="00127BD1" w:rsidRDefault="009F6FBD" w:rsidP="009F6FBD">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31922</w:t>
            </w:r>
          </w:p>
        </w:tc>
        <w:tc>
          <w:tcPr>
            <w:tcW w:w="637" w:type="pct"/>
          </w:tcPr>
          <w:p w14:paraId="5F7F9067" w14:textId="77777777" w:rsidR="009F6FBD" w:rsidRPr="00127BD1" w:rsidRDefault="009F6FBD" w:rsidP="009F6FBD">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31041</w:t>
            </w:r>
          </w:p>
        </w:tc>
        <w:tc>
          <w:tcPr>
            <w:tcW w:w="637" w:type="pct"/>
            <w:noWrap/>
            <w:vAlign w:val="bottom"/>
            <w:hideMark/>
          </w:tcPr>
          <w:p w14:paraId="3BD3A1CD" w14:textId="77777777" w:rsidR="009F6FBD" w:rsidRPr="00127BD1" w:rsidRDefault="009F6FBD" w:rsidP="009F6FBD">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30642</w:t>
            </w:r>
          </w:p>
        </w:tc>
        <w:tc>
          <w:tcPr>
            <w:tcW w:w="637" w:type="pct"/>
          </w:tcPr>
          <w:p w14:paraId="40F2FBE8" w14:textId="77777777" w:rsidR="009F6FBD" w:rsidRPr="00127BD1" w:rsidRDefault="009F6FBD" w:rsidP="009F6FBD">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29812</w:t>
            </w:r>
          </w:p>
        </w:tc>
      </w:tr>
      <w:tr w:rsidR="009F6FBD" w:rsidRPr="00127BD1" w14:paraId="3F814364" w14:textId="77777777" w:rsidTr="00534284">
        <w:trPr>
          <w:trHeight w:val="300"/>
        </w:trPr>
        <w:tc>
          <w:tcPr>
            <w:tcW w:w="1179" w:type="pct"/>
            <w:noWrap/>
            <w:vAlign w:val="center"/>
            <w:hideMark/>
          </w:tcPr>
          <w:p w14:paraId="326C8101" w14:textId="1B5143CC" w:rsidR="009F6FBD" w:rsidRPr="00127BD1" w:rsidRDefault="009F6FBD" w:rsidP="009F6FBD">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Adj R</w:t>
            </w:r>
            <w:r w:rsidRPr="00127BD1">
              <w:rPr>
                <w:rFonts w:ascii="Times New Roman" w:eastAsia="Times New Roman" w:hAnsi="Times New Roman" w:cs="Times New Roman"/>
                <w:color w:val="000000"/>
                <w:sz w:val="22"/>
                <w:szCs w:val="22"/>
                <w:vertAlign w:val="superscript"/>
              </w:rPr>
              <w:t>2</w:t>
            </w:r>
          </w:p>
        </w:tc>
        <w:tc>
          <w:tcPr>
            <w:tcW w:w="636" w:type="pct"/>
            <w:noWrap/>
            <w:vAlign w:val="bottom"/>
            <w:hideMark/>
          </w:tcPr>
          <w:p w14:paraId="079DE3A6" w14:textId="77777777" w:rsidR="009F6FBD" w:rsidRPr="00127BD1" w:rsidRDefault="009F6FBD" w:rsidP="009F6FBD">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0.4539</w:t>
            </w:r>
          </w:p>
        </w:tc>
        <w:tc>
          <w:tcPr>
            <w:tcW w:w="637" w:type="pct"/>
          </w:tcPr>
          <w:p w14:paraId="4F331A71" w14:textId="77777777" w:rsidR="009F6FBD" w:rsidRPr="00127BD1" w:rsidRDefault="009F6FBD" w:rsidP="009F6FBD">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0.4273</w:t>
            </w:r>
          </w:p>
        </w:tc>
        <w:tc>
          <w:tcPr>
            <w:tcW w:w="637" w:type="pct"/>
            <w:noWrap/>
            <w:vAlign w:val="bottom"/>
            <w:hideMark/>
          </w:tcPr>
          <w:p w14:paraId="768A314C" w14:textId="77777777" w:rsidR="009F6FBD" w:rsidRPr="00127BD1" w:rsidRDefault="009F6FBD" w:rsidP="009F6FBD">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0.5211</w:t>
            </w:r>
          </w:p>
        </w:tc>
        <w:tc>
          <w:tcPr>
            <w:tcW w:w="637" w:type="pct"/>
          </w:tcPr>
          <w:p w14:paraId="2E921F0E" w14:textId="77777777" w:rsidR="009F6FBD" w:rsidRPr="00127BD1" w:rsidRDefault="009F6FBD" w:rsidP="009F6FBD">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0.4552</w:t>
            </w:r>
          </w:p>
        </w:tc>
        <w:tc>
          <w:tcPr>
            <w:tcW w:w="637" w:type="pct"/>
            <w:noWrap/>
            <w:vAlign w:val="bottom"/>
            <w:hideMark/>
          </w:tcPr>
          <w:p w14:paraId="36BE2C09" w14:textId="77777777" w:rsidR="009F6FBD" w:rsidRPr="00127BD1" w:rsidRDefault="009F6FBD" w:rsidP="009F6FBD">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0.6380</w:t>
            </w:r>
          </w:p>
        </w:tc>
        <w:tc>
          <w:tcPr>
            <w:tcW w:w="637" w:type="pct"/>
          </w:tcPr>
          <w:p w14:paraId="38AC27D7" w14:textId="77777777" w:rsidR="009F6FBD" w:rsidRPr="00127BD1" w:rsidRDefault="009F6FBD" w:rsidP="009F6FBD">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0.5092</w:t>
            </w:r>
          </w:p>
        </w:tc>
      </w:tr>
      <w:tr w:rsidR="00130990" w:rsidRPr="00127BD1" w14:paraId="17157B3C" w14:textId="77777777" w:rsidTr="00EC4DE0">
        <w:trPr>
          <w:trHeight w:val="300"/>
        </w:trPr>
        <w:tc>
          <w:tcPr>
            <w:tcW w:w="1179" w:type="pct"/>
            <w:noWrap/>
          </w:tcPr>
          <w:p w14:paraId="5D031676"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Bank FE</w:t>
            </w:r>
          </w:p>
        </w:tc>
        <w:tc>
          <w:tcPr>
            <w:tcW w:w="636" w:type="pct"/>
            <w:noWrap/>
          </w:tcPr>
          <w:p w14:paraId="5A81A37A" w14:textId="1701B38C"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w:t>
            </w:r>
            <w:r w:rsidR="005816FC" w:rsidRPr="00127BD1">
              <w:rPr>
                <w:rFonts w:ascii="Times New Roman" w:eastAsia="Times New Roman" w:hAnsi="Times New Roman" w:cs="Times New Roman"/>
                <w:color w:val="000000"/>
                <w:sz w:val="22"/>
                <w:szCs w:val="22"/>
              </w:rPr>
              <w:t>es</w:t>
            </w:r>
          </w:p>
        </w:tc>
        <w:tc>
          <w:tcPr>
            <w:tcW w:w="637" w:type="pct"/>
          </w:tcPr>
          <w:p w14:paraId="3A696DC4" w14:textId="53CEDF9D" w:rsidR="00130990" w:rsidRPr="00127BD1" w:rsidRDefault="00130990" w:rsidP="00EC4DE0">
            <w:pPr>
              <w:rPr>
                <w:rFonts w:ascii="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w:t>
            </w:r>
            <w:r w:rsidR="005816FC" w:rsidRPr="00127BD1">
              <w:rPr>
                <w:rFonts w:ascii="Times New Roman" w:eastAsia="Times New Roman" w:hAnsi="Times New Roman" w:cs="Times New Roman"/>
                <w:color w:val="000000"/>
                <w:sz w:val="22"/>
                <w:szCs w:val="22"/>
              </w:rPr>
              <w:t>es</w:t>
            </w:r>
          </w:p>
        </w:tc>
        <w:tc>
          <w:tcPr>
            <w:tcW w:w="637" w:type="pct"/>
            <w:noWrap/>
          </w:tcPr>
          <w:p w14:paraId="79A4C800" w14:textId="46F77712"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w:t>
            </w:r>
            <w:r w:rsidR="005816FC" w:rsidRPr="00127BD1">
              <w:rPr>
                <w:rFonts w:ascii="Times New Roman" w:eastAsia="Times New Roman" w:hAnsi="Times New Roman" w:cs="Times New Roman"/>
                <w:color w:val="000000"/>
                <w:sz w:val="22"/>
                <w:szCs w:val="22"/>
              </w:rPr>
              <w:t>es</w:t>
            </w:r>
          </w:p>
        </w:tc>
        <w:tc>
          <w:tcPr>
            <w:tcW w:w="637" w:type="pct"/>
          </w:tcPr>
          <w:p w14:paraId="419992FF" w14:textId="75AA63A3" w:rsidR="00130990" w:rsidRPr="00127BD1" w:rsidRDefault="00130990" w:rsidP="00EC4DE0">
            <w:pPr>
              <w:rPr>
                <w:rFonts w:ascii="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w:t>
            </w:r>
            <w:r w:rsidR="005816FC" w:rsidRPr="00127BD1">
              <w:rPr>
                <w:rFonts w:ascii="Times New Roman" w:eastAsia="Times New Roman" w:hAnsi="Times New Roman" w:cs="Times New Roman"/>
                <w:color w:val="000000"/>
                <w:sz w:val="22"/>
                <w:szCs w:val="22"/>
              </w:rPr>
              <w:t>es</w:t>
            </w:r>
          </w:p>
        </w:tc>
        <w:tc>
          <w:tcPr>
            <w:tcW w:w="637" w:type="pct"/>
            <w:noWrap/>
          </w:tcPr>
          <w:p w14:paraId="3BA9292A" w14:textId="24BD5210"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N</w:t>
            </w:r>
            <w:r w:rsidR="005816FC" w:rsidRPr="00127BD1">
              <w:rPr>
                <w:rFonts w:ascii="Times New Roman" w:eastAsia="Times New Roman" w:hAnsi="Times New Roman" w:cs="Times New Roman"/>
                <w:color w:val="000000"/>
                <w:sz w:val="22"/>
                <w:szCs w:val="22"/>
              </w:rPr>
              <w:t>o</w:t>
            </w:r>
          </w:p>
        </w:tc>
        <w:tc>
          <w:tcPr>
            <w:tcW w:w="637" w:type="pct"/>
          </w:tcPr>
          <w:p w14:paraId="639CF2A4" w14:textId="0E01EE62" w:rsidR="00130990" w:rsidRPr="00127BD1" w:rsidRDefault="00130990" w:rsidP="00EC4DE0">
            <w:pPr>
              <w:rPr>
                <w:rFonts w:ascii="Times New Roman" w:hAnsi="Times New Roman" w:cs="Times New Roman"/>
                <w:color w:val="000000"/>
                <w:sz w:val="22"/>
                <w:szCs w:val="22"/>
              </w:rPr>
            </w:pPr>
            <w:r w:rsidRPr="00127BD1">
              <w:rPr>
                <w:rFonts w:ascii="Times New Roman" w:eastAsia="Times New Roman" w:hAnsi="Times New Roman" w:cs="Times New Roman"/>
                <w:color w:val="000000"/>
                <w:sz w:val="22"/>
                <w:szCs w:val="22"/>
              </w:rPr>
              <w:t>N</w:t>
            </w:r>
            <w:r w:rsidR="005816FC" w:rsidRPr="00127BD1">
              <w:rPr>
                <w:rFonts w:ascii="Times New Roman" w:eastAsia="Times New Roman" w:hAnsi="Times New Roman" w:cs="Times New Roman"/>
                <w:color w:val="000000"/>
                <w:sz w:val="22"/>
                <w:szCs w:val="22"/>
              </w:rPr>
              <w:t>o</w:t>
            </w:r>
          </w:p>
        </w:tc>
      </w:tr>
      <w:tr w:rsidR="00130990" w:rsidRPr="00127BD1" w14:paraId="5822C8D1" w14:textId="77777777" w:rsidTr="00EC4DE0">
        <w:trPr>
          <w:trHeight w:val="300"/>
        </w:trPr>
        <w:tc>
          <w:tcPr>
            <w:tcW w:w="1179" w:type="pct"/>
            <w:noWrap/>
          </w:tcPr>
          <w:p w14:paraId="2E2577BA"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Bank Country*Borrower Country FE</w:t>
            </w:r>
          </w:p>
        </w:tc>
        <w:tc>
          <w:tcPr>
            <w:tcW w:w="636" w:type="pct"/>
            <w:noWrap/>
          </w:tcPr>
          <w:p w14:paraId="6E6EE69F" w14:textId="7B22CC69"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N</w:t>
            </w:r>
            <w:r w:rsidR="005816FC" w:rsidRPr="00127BD1">
              <w:rPr>
                <w:rFonts w:ascii="Times New Roman" w:eastAsia="Times New Roman" w:hAnsi="Times New Roman" w:cs="Times New Roman"/>
                <w:color w:val="000000"/>
                <w:sz w:val="22"/>
                <w:szCs w:val="22"/>
              </w:rPr>
              <w:t>o</w:t>
            </w:r>
          </w:p>
        </w:tc>
        <w:tc>
          <w:tcPr>
            <w:tcW w:w="637" w:type="pct"/>
          </w:tcPr>
          <w:p w14:paraId="2F92499D" w14:textId="0108DBCC" w:rsidR="00130990" w:rsidRPr="00127BD1" w:rsidRDefault="00130990" w:rsidP="00EC4DE0">
            <w:pPr>
              <w:rPr>
                <w:rFonts w:ascii="Times New Roman" w:hAnsi="Times New Roman" w:cs="Times New Roman"/>
                <w:color w:val="000000"/>
                <w:sz w:val="22"/>
                <w:szCs w:val="22"/>
              </w:rPr>
            </w:pPr>
            <w:r w:rsidRPr="00127BD1">
              <w:rPr>
                <w:rFonts w:ascii="Times New Roman" w:eastAsia="Times New Roman" w:hAnsi="Times New Roman" w:cs="Times New Roman"/>
                <w:color w:val="000000"/>
                <w:sz w:val="22"/>
                <w:szCs w:val="22"/>
              </w:rPr>
              <w:t>N</w:t>
            </w:r>
            <w:r w:rsidR="005816FC" w:rsidRPr="00127BD1">
              <w:rPr>
                <w:rFonts w:ascii="Times New Roman" w:eastAsia="Times New Roman" w:hAnsi="Times New Roman" w:cs="Times New Roman"/>
                <w:color w:val="000000"/>
                <w:sz w:val="22"/>
                <w:szCs w:val="22"/>
              </w:rPr>
              <w:t>o</w:t>
            </w:r>
          </w:p>
        </w:tc>
        <w:tc>
          <w:tcPr>
            <w:tcW w:w="637" w:type="pct"/>
            <w:noWrap/>
          </w:tcPr>
          <w:p w14:paraId="1A1EDC96" w14:textId="05F3EDC9"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w:t>
            </w:r>
            <w:r w:rsidR="005816FC" w:rsidRPr="00127BD1">
              <w:rPr>
                <w:rFonts w:ascii="Times New Roman" w:eastAsia="Times New Roman" w:hAnsi="Times New Roman" w:cs="Times New Roman"/>
                <w:color w:val="000000"/>
                <w:sz w:val="22"/>
                <w:szCs w:val="22"/>
              </w:rPr>
              <w:t>es</w:t>
            </w:r>
          </w:p>
        </w:tc>
        <w:tc>
          <w:tcPr>
            <w:tcW w:w="637" w:type="pct"/>
          </w:tcPr>
          <w:p w14:paraId="2D012416" w14:textId="68BA4B6E" w:rsidR="00130990" w:rsidRPr="00127BD1" w:rsidRDefault="00130990" w:rsidP="00EC4DE0">
            <w:pPr>
              <w:rPr>
                <w:rFonts w:ascii="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w:t>
            </w:r>
            <w:r w:rsidR="005816FC" w:rsidRPr="00127BD1">
              <w:rPr>
                <w:rFonts w:ascii="Times New Roman" w:eastAsia="Times New Roman" w:hAnsi="Times New Roman" w:cs="Times New Roman"/>
                <w:color w:val="000000"/>
                <w:sz w:val="22"/>
                <w:szCs w:val="22"/>
              </w:rPr>
              <w:t>es</w:t>
            </w:r>
          </w:p>
        </w:tc>
        <w:tc>
          <w:tcPr>
            <w:tcW w:w="637" w:type="pct"/>
            <w:noWrap/>
          </w:tcPr>
          <w:p w14:paraId="1FD21F4F" w14:textId="4BE4DA21"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N</w:t>
            </w:r>
            <w:r w:rsidR="005816FC" w:rsidRPr="00127BD1">
              <w:rPr>
                <w:rFonts w:ascii="Times New Roman" w:eastAsia="Times New Roman" w:hAnsi="Times New Roman" w:cs="Times New Roman"/>
                <w:color w:val="000000"/>
                <w:sz w:val="22"/>
                <w:szCs w:val="22"/>
              </w:rPr>
              <w:t>o</w:t>
            </w:r>
          </w:p>
        </w:tc>
        <w:tc>
          <w:tcPr>
            <w:tcW w:w="637" w:type="pct"/>
          </w:tcPr>
          <w:p w14:paraId="5B07DFD5" w14:textId="25910699" w:rsidR="00130990" w:rsidRPr="00127BD1" w:rsidRDefault="00130990" w:rsidP="00EC4DE0">
            <w:pPr>
              <w:rPr>
                <w:rFonts w:ascii="Times New Roman" w:hAnsi="Times New Roman" w:cs="Times New Roman"/>
                <w:color w:val="000000"/>
                <w:sz w:val="22"/>
                <w:szCs w:val="22"/>
              </w:rPr>
            </w:pPr>
            <w:r w:rsidRPr="00127BD1">
              <w:rPr>
                <w:rFonts w:ascii="Times New Roman" w:eastAsia="Times New Roman" w:hAnsi="Times New Roman" w:cs="Times New Roman"/>
                <w:color w:val="000000"/>
                <w:sz w:val="22"/>
                <w:szCs w:val="22"/>
              </w:rPr>
              <w:t>N</w:t>
            </w:r>
            <w:r w:rsidR="005816FC" w:rsidRPr="00127BD1">
              <w:rPr>
                <w:rFonts w:ascii="Times New Roman" w:eastAsia="Times New Roman" w:hAnsi="Times New Roman" w:cs="Times New Roman"/>
                <w:color w:val="000000"/>
                <w:sz w:val="22"/>
                <w:szCs w:val="22"/>
              </w:rPr>
              <w:t>o</w:t>
            </w:r>
          </w:p>
        </w:tc>
      </w:tr>
      <w:tr w:rsidR="00130990" w:rsidRPr="00127BD1" w14:paraId="5E856E3A" w14:textId="77777777" w:rsidTr="00EC4DE0">
        <w:trPr>
          <w:trHeight w:val="300"/>
        </w:trPr>
        <w:tc>
          <w:tcPr>
            <w:tcW w:w="1179" w:type="pct"/>
            <w:noWrap/>
          </w:tcPr>
          <w:p w14:paraId="497EDCFB"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Bank*Borrower Country FE</w:t>
            </w:r>
          </w:p>
        </w:tc>
        <w:tc>
          <w:tcPr>
            <w:tcW w:w="636" w:type="pct"/>
            <w:noWrap/>
          </w:tcPr>
          <w:p w14:paraId="22F067F8" w14:textId="6801C1BC"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N</w:t>
            </w:r>
            <w:r w:rsidR="005816FC" w:rsidRPr="00127BD1">
              <w:rPr>
                <w:rFonts w:ascii="Times New Roman" w:eastAsia="Times New Roman" w:hAnsi="Times New Roman" w:cs="Times New Roman"/>
                <w:color w:val="000000"/>
                <w:sz w:val="22"/>
                <w:szCs w:val="22"/>
              </w:rPr>
              <w:t>o</w:t>
            </w:r>
          </w:p>
        </w:tc>
        <w:tc>
          <w:tcPr>
            <w:tcW w:w="637" w:type="pct"/>
          </w:tcPr>
          <w:p w14:paraId="7BD16650" w14:textId="4D238DBF" w:rsidR="00130990" w:rsidRPr="00127BD1" w:rsidRDefault="00130990" w:rsidP="00EC4DE0">
            <w:pPr>
              <w:rPr>
                <w:rFonts w:ascii="Times New Roman" w:hAnsi="Times New Roman" w:cs="Times New Roman"/>
                <w:color w:val="000000"/>
                <w:sz w:val="22"/>
                <w:szCs w:val="22"/>
              </w:rPr>
            </w:pPr>
            <w:r w:rsidRPr="00127BD1">
              <w:rPr>
                <w:rFonts w:ascii="Times New Roman" w:eastAsia="Times New Roman" w:hAnsi="Times New Roman" w:cs="Times New Roman"/>
                <w:color w:val="000000"/>
                <w:sz w:val="22"/>
                <w:szCs w:val="22"/>
              </w:rPr>
              <w:t>N</w:t>
            </w:r>
            <w:r w:rsidR="005816FC" w:rsidRPr="00127BD1">
              <w:rPr>
                <w:rFonts w:ascii="Times New Roman" w:eastAsia="Times New Roman" w:hAnsi="Times New Roman" w:cs="Times New Roman"/>
                <w:color w:val="000000"/>
                <w:sz w:val="22"/>
                <w:szCs w:val="22"/>
              </w:rPr>
              <w:t>o</w:t>
            </w:r>
          </w:p>
        </w:tc>
        <w:tc>
          <w:tcPr>
            <w:tcW w:w="637" w:type="pct"/>
            <w:noWrap/>
          </w:tcPr>
          <w:p w14:paraId="2B4F075F" w14:textId="47B6DC05"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N</w:t>
            </w:r>
            <w:r w:rsidR="005816FC" w:rsidRPr="00127BD1">
              <w:rPr>
                <w:rFonts w:ascii="Times New Roman" w:eastAsia="Times New Roman" w:hAnsi="Times New Roman" w:cs="Times New Roman"/>
                <w:color w:val="000000"/>
                <w:sz w:val="22"/>
                <w:szCs w:val="22"/>
              </w:rPr>
              <w:t>o</w:t>
            </w:r>
          </w:p>
        </w:tc>
        <w:tc>
          <w:tcPr>
            <w:tcW w:w="637" w:type="pct"/>
          </w:tcPr>
          <w:p w14:paraId="11DA882E" w14:textId="1D8DBCAB" w:rsidR="00130990" w:rsidRPr="00127BD1" w:rsidRDefault="00130990" w:rsidP="00EC4DE0">
            <w:pPr>
              <w:rPr>
                <w:rFonts w:ascii="Times New Roman" w:hAnsi="Times New Roman" w:cs="Times New Roman"/>
                <w:color w:val="000000"/>
                <w:sz w:val="22"/>
                <w:szCs w:val="22"/>
              </w:rPr>
            </w:pPr>
            <w:r w:rsidRPr="00127BD1">
              <w:rPr>
                <w:rFonts w:ascii="Times New Roman" w:eastAsia="Times New Roman" w:hAnsi="Times New Roman" w:cs="Times New Roman"/>
                <w:color w:val="000000"/>
                <w:sz w:val="22"/>
                <w:szCs w:val="22"/>
              </w:rPr>
              <w:t>N</w:t>
            </w:r>
            <w:r w:rsidR="005816FC" w:rsidRPr="00127BD1">
              <w:rPr>
                <w:rFonts w:ascii="Times New Roman" w:eastAsia="Times New Roman" w:hAnsi="Times New Roman" w:cs="Times New Roman"/>
                <w:color w:val="000000"/>
                <w:sz w:val="22"/>
                <w:szCs w:val="22"/>
              </w:rPr>
              <w:t>o</w:t>
            </w:r>
          </w:p>
        </w:tc>
        <w:tc>
          <w:tcPr>
            <w:tcW w:w="637" w:type="pct"/>
            <w:noWrap/>
          </w:tcPr>
          <w:p w14:paraId="07A6F6D3" w14:textId="6DB6B842"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w:t>
            </w:r>
            <w:r w:rsidR="005816FC" w:rsidRPr="00127BD1">
              <w:rPr>
                <w:rFonts w:ascii="Times New Roman" w:eastAsia="Times New Roman" w:hAnsi="Times New Roman" w:cs="Times New Roman"/>
                <w:color w:val="000000"/>
                <w:sz w:val="22"/>
                <w:szCs w:val="22"/>
              </w:rPr>
              <w:t>es</w:t>
            </w:r>
          </w:p>
        </w:tc>
        <w:tc>
          <w:tcPr>
            <w:tcW w:w="637" w:type="pct"/>
          </w:tcPr>
          <w:p w14:paraId="2B57B347" w14:textId="55741024" w:rsidR="00130990" w:rsidRPr="00127BD1" w:rsidRDefault="00130990" w:rsidP="00EC4DE0">
            <w:pPr>
              <w:rPr>
                <w:rFonts w:ascii="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w:t>
            </w:r>
            <w:r w:rsidR="005816FC" w:rsidRPr="00127BD1">
              <w:rPr>
                <w:rFonts w:ascii="Times New Roman" w:eastAsia="Times New Roman" w:hAnsi="Times New Roman" w:cs="Times New Roman"/>
                <w:color w:val="000000"/>
                <w:sz w:val="22"/>
                <w:szCs w:val="22"/>
              </w:rPr>
              <w:t>es</w:t>
            </w:r>
          </w:p>
        </w:tc>
      </w:tr>
      <w:tr w:rsidR="00130990" w:rsidRPr="00127BD1" w14:paraId="545E5020" w14:textId="77777777" w:rsidTr="00EC4DE0">
        <w:trPr>
          <w:trHeight w:val="300"/>
        </w:trPr>
        <w:tc>
          <w:tcPr>
            <w:tcW w:w="1179" w:type="pct"/>
            <w:noWrap/>
          </w:tcPr>
          <w:p w14:paraId="3FE29331"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Borrower Country*Quarter FE</w:t>
            </w:r>
          </w:p>
        </w:tc>
        <w:tc>
          <w:tcPr>
            <w:tcW w:w="636" w:type="pct"/>
            <w:noWrap/>
          </w:tcPr>
          <w:p w14:paraId="72359CC2" w14:textId="0ABBAFA1"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w:t>
            </w:r>
            <w:r w:rsidR="005816FC" w:rsidRPr="00127BD1">
              <w:rPr>
                <w:rFonts w:ascii="Times New Roman" w:eastAsia="Times New Roman" w:hAnsi="Times New Roman" w:cs="Times New Roman"/>
                <w:color w:val="000000"/>
                <w:sz w:val="22"/>
                <w:szCs w:val="22"/>
              </w:rPr>
              <w:t>es</w:t>
            </w:r>
          </w:p>
        </w:tc>
        <w:tc>
          <w:tcPr>
            <w:tcW w:w="637" w:type="pct"/>
          </w:tcPr>
          <w:p w14:paraId="0DCBB624" w14:textId="2D43F0C9" w:rsidR="00130990" w:rsidRPr="00127BD1" w:rsidRDefault="00130990" w:rsidP="00EC4DE0">
            <w:pPr>
              <w:rPr>
                <w:rFonts w:ascii="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w:t>
            </w:r>
            <w:r w:rsidR="005816FC" w:rsidRPr="00127BD1">
              <w:rPr>
                <w:rFonts w:ascii="Times New Roman" w:eastAsia="Times New Roman" w:hAnsi="Times New Roman" w:cs="Times New Roman"/>
                <w:color w:val="000000"/>
                <w:sz w:val="22"/>
                <w:szCs w:val="22"/>
              </w:rPr>
              <w:t>es</w:t>
            </w:r>
          </w:p>
        </w:tc>
        <w:tc>
          <w:tcPr>
            <w:tcW w:w="637" w:type="pct"/>
            <w:noWrap/>
          </w:tcPr>
          <w:p w14:paraId="5B1739B3" w14:textId="6BCD0C56"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w:t>
            </w:r>
            <w:r w:rsidR="005816FC" w:rsidRPr="00127BD1">
              <w:rPr>
                <w:rFonts w:ascii="Times New Roman" w:eastAsia="Times New Roman" w:hAnsi="Times New Roman" w:cs="Times New Roman"/>
                <w:color w:val="000000"/>
                <w:sz w:val="22"/>
                <w:szCs w:val="22"/>
              </w:rPr>
              <w:t>es</w:t>
            </w:r>
          </w:p>
        </w:tc>
        <w:tc>
          <w:tcPr>
            <w:tcW w:w="637" w:type="pct"/>
          </w:tcPr>
          <w:p w14:paraId="250D71D4" w14:textId="491C8CB6" w:rsidR="00130990" w:rsidRPr="00127BD1" w:rsidRDefault="00130990" w:rsidP="00EC4DE0">
            <w:pPr>
              <w:rPr>
                <w:rFonts w:ascii="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w:t>
            </w:r>
            <w:r w:rsidR="005816FC" w:rsidRPr="00127BD1">
              <w:rPr>
                <w:rFonts w:ascii="Times New Roman" w:eastAsia="Times New Roman" w:hAnsi="Times New Roman" w:cs="Times New Roman"/>
                <w:color w:val="000000"/>
                <w:sz w:val="22"/>
                <w:szCs w:val="22"/>
              </w:rPr>
              <w:t>es</w:t>
            </w:r>
          </w:p>
        </w:tc>
        <w:tc>
          <w:tcPr>
            <w:tcW w:w="637" w:type="pct"/>
            <w:noWrap/>
          </w:tcPr>
          <w:p w14:paraId="0FD497C7" w14:textId="1D3144EB"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w:t>
            </w:r>
            <w:r w:rsidR="005816FC" w:rsidRPr="00127BD1">
              <w:rPr>
                <w:rFonts w:ascii="Times New Roman" w:eastAsia="Times New Roman" w:hAnsi="Times New Roman" w:cs="Times New Roman"/>
                <w:color w:val="000000"/>
                <w:sz w:val="22"/>
                <w:szCs w:val="22"/>
              </w:rPr>
              <w:t>es</w:t>
            </w:r>
          </w:p>
        </w:tc>
        <w:tc>
          <w:tcPr>
            <w:tcW w:w="637" w:type="pct"/>
          </w:tcPr>
          <w:p w14:paraId="69CF64E3" w14:textId="583AB0D0" w:rsidR="00130990" w:rsidRPr="00127BD1" w:rsidRDefault="00130990" w:rsidP="00EC4DE0">
            <w:pPr>
              <w:rPr>
                <w:rFonts w:ascii="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w:t>
            </w:r>
            <w:r w:rsidR="005816FC" w:rsidRPr="00127BD1">
              <w:rPr>
                <w:rFonts w:ascii="Times New Roman" w:eastAsia="Times New Roman" w:hAnsi="Times New Roman" w:cs="Times New Roman"/>
                <w:color w:val="000000"/>
                <w:sz w:val="22"/>
                <w:szCs w:val="22"/>
              </w:rPr>
              <w:t>es</w:t>
            </w:r>
          </w:p>
        </w:tc>
      </w:tr>
      <w:tr w:rsidR="00130990" w:rsidRPr="00127BD1" w14:paraId="47457B04" w14:textId="77777777" w:rsidTr="00EC4DE0">
        <w:trPr>
          <w:trHeight w:val="300"/>
        </w:trPr>
        <w:tc>
          <w:tcPr>
            <w:tcW w:w="1179" w:type="pct"/>
            <w:noWrap/>
          </w:tcPr>
          <w:p w14:paraId="4134B889" w14:textId="4DA4114F"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 xml:space="preserve">Bank </w:t>
            </w:r>
            <w:r w:rsidR="008C61C6" w:rsidRPr="00127BD1">
              <w:rPr>
                <w:rFonts w:ascii="Times New Roman" w:eastAsia="Times New Roman" w:hAnsi="Times New Roman" w:cs="Times New Roman"/>
                <w:color w:val="000000"/>
                <w:sz w:val="22"/>
                <w:szCs w:val="22"/>
              </w:rPr>
              <w:t>and</w:t>
            </w:r>
            <w:r w:rsidRPr="00127BD1">
              <w:rPr>
                <w:rFonts w:ascii="Times New Roman" w:eastAsia="Times New Roman" w:hAnsi="Times New Roman" w:cs="Times New Roman"/>
                <w:color w:val="000000"/>
                <w:sz w:val="22"/>
                <w:szCs w:val="22"/>
              </w:rPr>
              <w:t xml:space="preserve"> Borrower Country Cluster</w:t>
            </w:r>
          </w:p>
        </w:tc>
        <w:tc>
          <w:tcPr>
            <w:tcW w:w="636" w:type="pct"/>
            <w:noWrap/>
          </w:tcPr>
          <w:p w14:paraId="1E98429A" w14:textId="7B5D3B74"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w:t>
            </w:r>
            <w:r w:rsidR="005816FC" w:rsidRPr="00127BD1">
              <w:rPr>
                <w:rFonts w:ascii="Times New Roman" w:eastAsia="Times New Roman" w:hAnsi="Times New Roman" w:cs="Times New Roman"/>
                <w:color w:val="000000"/>
                <w:sz w:val="22"/>
                <w:szCs w:val="22"/>
              </w:rPr>
              <w:t>es</w:t>
            </w:r>
          </w:p>
        </w:tc>
        <w:tc>
          <w:tcPr>
            <w:tcW w:w="637" w:type="pct"/>
          </w:tcPr>
          <w:p w14:paraId="523FD7D3" w14:textId="1C7D78F8" w:rsidR="00130990" w:rsidRPr="00127BD1" w:rsidRDefault="00130990" w:rsidP="00EC4DE0">
            <w:pPr>
              <w:rPr>
                <w:rFonts w:ascii="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w:t>
            </w:r>
            <w:r w:rsidR="005816FC" w:rsidRPr="00127BD1">
              <w:rPr>
                <w:rFonts w:ascii="Times New Roman" w:eastAsia="Times New Roman" w:hAnsi="Times New Roman" w:cs="Times New Roman"/>
                <w:color w:val="000000"/>
                <w:sz w:val="22"/>
                <w:szCs w:val="22"/>
              </w:rPr>
              <w:t>es</w:t>
            </w:r>
          </w:p>
        </w:tc>
        <w:tc>
          <w:tcPr>
            <w:tcW w:w="637" w:type="pct"/>
            <w:noWrap/>
          </w:tcPr>
          <w:p w14:paraId="7647973C" w14:textId="444B7329"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w:t>
            </w:r>
            <w:r w:rsidR="005816FC" w:rsidRPr="00127BD1">
              <w:rPr>
                <w:rFonts w:ascii="Times New Roman" w:eastAsia="Times New Roman" w:hAnsi="Times New Roman" w:cs="Times New Roman"/>
                <w:color w:val="000000"/>
                <w:sz w:val="22"/>
                <w:szCs w:val="22"/>
              </w:rPr>
              <w:t>es</w:t>
            </w:r>
          </w:p>
        </w:tc>
        <w:tc>
          <w:tcPr>
            <w:tcW w:w="637" w:type="pct"/>
          </w:tcPr>
          <w:p w14:paraId="3381D3FB" w14:textId="5F1B9588" w:rsidR="00130990" w:rsidRPr="00127BD1" w:rsidRDefault="00130990" w:rsidP="00EC4DE0">
            <w:pPr>
              <w:rPr>
                <w:rFonts w:ascii="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w:t>
            </w:r>
            <w:r w:rsidR="005816FC" w:rsidRPr="00127BD1">
              <w:rPr>
                <w:rFonts w:ascii="Times New Roman" w:eastAsia="Times New Roman" w:hAnsi="Times New Roman" w:cs="Times New Roman"/>
                <w:color w:val="000000"/>
                <w:sz w:val="22"/>
                <w:szCs w:val="22"/>
              </w:rPr>
              <w:t>es</w:t>
            </w:r>
          </w:p>
        </w:tc>
        <w:tc>
          <w:tcPr>
            <w:tcW w:w="637" w:type="pct"/>
            <w:noWrap/>
          </w:tcPr>
          <w:p w14:paraId="16AE0F57" w14:textId="29884E19"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w:t>
            </w:r>
            <w:r w:rsidR="005816FC" w:rsidRPr="00127BD1">
              <w:rPr>
                <w:rFonts w:ascii="Times New Roman" w:eastAsia="Times New Roman" w:hAnsi="Times New Roman" w:cs="Times New Roman"/>
                <w:color w:val="000000"/>
                <w:sz w:val="22"/>
                <w:szCs w:val="22"/>
              </w:rPr>
              <w:t>es</w:t>
            </w:r>
          </w:p>
        </w:tc>
        <w:tc>
          <w:tcPr>
            <w:tcW w:w="637" w:type="pct"/>
          </w:tcPr>
          <w:p w14:paraId="2E8F3733" w14:textId="5D6B2540" w:rsidR="00130990" w:rsidRPr="00127BD1" w:rsidRDefault="00130990" w:rsidP="00EC4DE0">
            <w:pPr>
              <w:rPr>
                <w:rFonts w:ascii="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w:t>
            </w:r>
            <w:r w:rsidR="005816FC" w:rsidRPr="00127BD1">
              <w:rPr>
                <w:rFonts w:ascii="Times New Roman" w:eastAsia="Times New Roman" w:hAnsi="Times New Roman" w:cs="Times New Roman"/>
                <w:color w:val="000000"/>
                <w:sz w:val="22"/>
                <w:szCs w:val="22"/>
              </w:rPr>
              <w:t>es</w:t>
            </w:r>
          </w:p>
        </w:tc>
      </w:tr>
    </w:tbl>
    <w:p w14:paraId="4F8D19F9" w14:textId="03D0B891" w:rsidR="00130990" w:rsidRPr="00127BD1" w:rsidRDefault="00130990" w:rsidP="00130990">
      <w:pPr>
        <w:rPr>
          <w:rFonts w:ascii="Times New Roman" w:hAnsi="Times New Roman" w:cs="Times New Roman"/>
          <w:sz w:val="20"/>
          <w:szCs w:val="20"/>
        </w:rPr>
      </w:pPr>
      <w:r w:rsidRPr="00127BD1">
        <w:rPr>
          <w:rFonts w:ascii="Times New Roman" w:hAnsi="Times New Roman" w:cs="Times New Roman"/>
          <w:sz w:val="20"/>
          <w:szCs w:val="20"/>
        </w:rPr>
        <w:t xml:space="preserve">Note: The dependent variables, </w:t>
      </w:r>
      <w:r w:rsidR="000F1B35">
        <w:rPr>
          <w:rFonts w:ascii="Times New Roman" w:hAnsi="Times New Roman" w:cs="Times New Roman"/>
          <w:sz w:val="20"/>
          <w:szCs w:val="20"/>
        </w:rPr>
        <w:t>AMOUNT</w:t>
      </w:r>
      <w:r w:rsidRPr="00127BD1">
        <w:rPr>
          <w:rFonts w:ascii="Times New Roman" w:hAnsi="Times New Roman" w:cs="Times New Roman"/>
          <w:sz w:val="20"/>
          <w:szCs w:val="20"/>
        </w:rPr>
        <w:t xml:space="preserve"> in the even-numbered columns, and Number in the odd-numbered columns, are at the bank-country-quarter level. The macroeconomic variables for the lender country are at the country-quarter level. Variable definitions are found in</w:t>
      </w:r>
      <w:r w:rsidR="004D58AF" w:rsidRPr="00127BD1">
        <w:rPr>
          <w:rFonts w:ascii="Times New Roman" w:hAnsi="Times New Roman" w:cs="Times New Roman"/>
          <w:sz w:val="20"/>
          <w:szCs w:val="20"/>
        </w:rPr>
        <w:t xml:space="preserve"> the</w:t>
      </w:r>
      <w:r w:rsidRPr="00127BD1">
        <w:rPr>
          <w:rFonts w:ascii="Times New Roman" w:hAnsi="Times New Roman" w:cs="Times New Roman"/>
          <w:sz w:val="20"/>
          <w:szCs w:val="20"/>
        </w:rPr>
        <w:t xml:space="preserve"> Appendix. Borrower country*quarter fixed effects are included in all regressions. In columns (3) to (6), we include additional fixed effects: the bank country* borrower country fixed effects in columns (3) and (4), and the bank*borrower country fixed effects in columns (5) and (6). t-statistics in parentheses are calculated using standard errors clustered at source-recipient levels. *** denotes 1% </w:t>
      </w:r>
      <w:r w:rsidR="006C5335" w:rsidRPr="00127BD1">
        <w:rPr>
          <w:rFonts w:ascii="Times New Roman" w:hAnsi="Times New Roman" w:cs="Times New Roman"/>
          <w:sz w:val="20"/>
          <w:szCs w:val="20"/>
        </w:rPr>
        <w:t xml:space="preserve">significance </w:t>
      </w:r>
      <w:r w:rsidRPr="00127BD1">
        <w:rPr>
          <w:rFonts w:ascii="Times New Roman" w:hAnsi="Times New Roman" w:cs="Times New Roman"/>
          <w:sz w:val="20"/>
          <w:szCs w:val="20"/>
        </w:rPr>
        <w:t xml:space="preserve">level, ** denotes 5% significance level, and * denotes 10% significance level. </w:t>
      </w:r>
    </w:p>
    <w:p w14:paraId="732A5745" w14:textId="77777777" w:rsidR="00130990" w:rsidRPr="00127BD1" w:rsidRDefault="00130990" w:rsidP="00C31CAA">
      <w:pPr>
        <w:spacing w:line="360" w:lineRule="auto"/>
        <w:rPr>
          <w:rFonts w:ascii="Times New Roman" w:hAnsi="Times New Roman" w:cs="Times New Roman"/>
          <w:sz w:val="22"/>
          <w:szCs w:val="22"/>
        </w:rPr>
        <w:sectPr w:rsidR="00130990" w:rsidRPr="00127BD1" w:rsidSect="00C8430E">
          <w:pgSz w:w="16838" w:h="11906" w:orient="landscape"/>
          <w:pgMar w:top="1440" w:right="1080" w:bottom="1440" w:left="1080" w:header="708" w:footer="708" w:gutter="0"/>
          <w:cols w:space="708"/>
          <w:docGrid w:linePitch="360"/>
        </w:sectPr>
      </w:pPr>
    </w:p>
    <w:p w14:paraId="3A62EEE6" w14:textId="76A2F739" w:rsidR="00130990" w:rsidRPr="00127BD1" w:rsidRDefault="00130990" w:rsidP="00C31CAA">
      <w:pPr>
        <w:spacing w:line="360" w:lineRule="auto"/>
        <w:rPr>
          <w:rFonts w:ascii="Times New Roman" w:hAnsi="Times New Roman" w:cs="Times New Roman"/>
          <w:sz w:val="22"/>
          <w:szCs w:val="22"/>
        </w:rPr>
      </w:pPr>
      <w:r w:rsidRPr="00127BD1">
        <w:rPr>
          <w:rFonts w:ascii="Times New Roman" w:hAnsi="Times New Roman" w:cs="Times New Roman"/>
          <w:b/>
          <w:bCs/>
          <w:sz w:val="22"/>
          <w:szCs w:val="22"/>
        </w:rPr>
        <w:lastRenderedPageBreak/>
        <w:t xml:space="preserve">Table </w:t>
      </w:r>
      <w:r w:rsidR="009D42ED" w:rsidRPr="00FC6C1F">
        <w:rPr>
          <w:rFonts w:ascii="Times New Roman" w:hAnsi="Times New Roman" w:cs="Times New Roman"/>
          <w:b/>
          <w:bCs/>
          <w:sz w:val="22"/>
          <w:szCs w:val="22"/>
        </w:rPr>
        <w:t>7</w:t>
      </w:r>
      <w:r w:rsidRPr="00FC6C1F">
        <w:rPr>
          <w:rFonts w:ascii="Times New Roman" w:hAnsi="Times New Roman" w:cs="Times New Roman"/>
          <w:sz w:val="22"/>
          <w:szCs w:val="22"/>
        </w:rPr>
        <w:t xml:space="preserve"> </w:t>
      </w:r>
      <w:r w:rsidR="00B04C83" w:rsidRPr="00127BD1">
        <w:rPr>
          <w:rFonts w:ascii="Times New Roman" w:hAnsi="Times New Roman" w:cs="Times New Roman"/>
          <w:sz w:val="22"/>
          <w:szCs w:val="22"/>
        </w:rPr>
        <w:t>Further analysis: lender-level cross-border lending</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3630"/>
        <w:gridCol w:w="1958"/>
        <w:gridCol w:w="1962"/>
        <w:gridCol w:w="1962"/>
        <w:gridCol w:w="1962"/>
        <w:gridCol w:w="1962"/>
        <w:gridCol w:w="1962"/>
      </w:tblGrid>
      <w:tr w:rsidR="00130990" w:rsidRPr="00127BD1" w14:paraId="0C26052A" w14:textId="77777777" w:rsidTr="00EC4DE0">
        <w:trPr>
          <w:trHeight w:val="300"/>
        </w:trPr>
        <w:tc>
          <w:tcPr>
            <w:tcW w:w="1179" w:type="pct"/>
            <w:tcBorders>
              <w:top w:val="single" w:sz="4" w:space="0" w:color="auto"/>
              <w:bottom w:val="single" w:sz="4" w:space="0" w:color="auto"/>
            </w:tcBorders>
            <w:noWrap/>
            <w:vAlign w:val="center"/>
            <w:hideMark/>
          </w:tcPr>
          <w:p w14:paraId="0073B8B6" w14:textId="77777777" w:rsidR="00130990" w:rsidRPr="00127BD1" w:rsidRDefault="00130990" w:rsidP="00EC4DE0">
            <w:pPr>
              <w:rPr>
                <w:rFonts w:ascii="Times New Roman" w:eastAsia="Times New Roman" w:hAnsi="Times New Roman" w:cs="Times New Roman"/>
                <w:sz w:val="22"/>
                <w:szCs w:val="22"/>
              </w:rPr>
            </w:pPr>
          </w:p>
        </w:tc>
        <w:tc>
          <w:tcPr>
            <w:tcW w:w="636" w:type="pct"/>
            <w:tcBorders>
              <w:top w:val="single" w:sz="4" w:space="0" w:color="auto"/>
              <w:bottom w:val="single" w:sz="4" w:space="0" w:color="auto"/>
            </w:tcBorders>
            <w:noWrap/>
            <w:vAlign w:val="center"/>
            <w:hideMark/>
          </w:tcPr>
          <w:p w14:paraId="7281D8B5"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(1)</w:t>
            </w:r>
          </w:p>
        </w:tc>
        <w:tc>
          <w:tcPr>
            <w:tcW w:w="637" w:type="pct"/>
            <w:tcBorders>
              <w:top w:val="single" w:sz="4" w:space="0" w:color="auto"/>
              <w:bottom w:val="single" w:sz="4" w:space="0" w:color="auto"/>
            </w:tcBorders>
            <w:vAlign w:val="center"/>
          </w:tcPr>
          <w:p w14:paraId="7A63999A"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(2)</w:t>
            </w:r>
          </w:p>
        </w:tc>
        <w:tc>
          <w:tcPr>
            <w:tcW w:w="637" w:type="pct"/>
            <w:tcBorders>
              <w:top w:val="single" w:sz="4" w:space="0" w:color="auto"/>
              <w:bottom w:val="single" w:sz="4" w:space="0" w:color="auto"/>
            </w:tcBorders>
            <w:noWrap/>
            <w:vAlign w:val="center"/>
            <w:hideMark/>
          </w:tcPr>
          <w:p w14:paraId="5A08AC71"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(3)</w:t>
            </w:r>
          </w:p>
        </w:tc>
        <w:tc>
          <w:tcPr>
            <w:tcW w:w="637" w:type="pct"/>
            <w:tcBorders>
              <w:top w:val="single" w:sz="4" w:space="0" w:color="auto"/>
              <w:bottom w:val="single" w:sz="4" w:space="0" w:color="auto"/>
            </w:tcBorders>
            <w:vAlign w:val="center"/>
          </w:tcPr>
          <w:p w14:paraId="19CC62DD"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(4)</w:t>
            </w:r>
          </w:p>
        </w:tc>
        <w:tc>
          <w:tcPr>
            <w:tcW w:w="637" w:type="pct"/>
            <w:tcBorders>
              <w:top w:val="single" w:sz="4" w:space="0" w:color="auto"/>
              <w:bottom w:val="single" w:sz="4" w:space="0" w:color="auto"/>
            </w:tcBorders>
            <w:noWrap/>
            <w:vAlign w:val="center"/>
            <w:hideMark/>
          </w:tcPr>
          <w:p w14:paraId="50F97CC5"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(5)</w:t>
            </w:r>
          </w:p>
        </w:tc>
        <w:tc>
          <w:tcPr>
            <w:tcW w:w="637" w:type="pct"/>
            <w:tcBorders>
              <w:top w:val="single" w:sz="4" w:space="0" w:color="auto"/>
              <w:bottom w:val="single" w:sz="4" w:space="0" w:color="auto"/>
            </w:tcBorders>
            <w:vAlign w:val="center"/>
          </w:tcPr>
          <w:p w14:paraId="0E346C28"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(6)</w:t>
            </w:r>
          </w:p>
        </w:tc>
      </w:tr>
      <w:tr w:rsidR="00130990" w:rsidRPr="00127BD1" w14:paraId="778A8348" w14:textId="77777777" w:rsidTr="00EC4DE0">
        <w:trPr>
          <w:trHeight w:val="300"/>
        </w:trPr>
        <w:tc>
          <w:tcPr>
            <w:tcW w:w="1179" w:type="pct"/>
            <w:tcBorders>
              <w:top w:val="single" w:sz="4" w:space="0" w:color="auto"/>
            </w:tcBorders>
            <w:noWrap/>
            <w:vAlign w:val="center"/>
            <w:hideMark/>
          </w:tcPr>
          <w:p w14:paraId="29A0CC70"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sz w:val="22"/>
                <w:szCs w:val="22"/>
              </w:rPr>
              <w:t>Dependent Variable:</w:t>
            </w:r>
          </w:p>
        </w:tc>
        <w:tc>
          <w:tcPr>
            <w:tcW w:w="636" w:type="pct"/>
            <w:tcBorders>
              <w:top w:val="single" w:sz="4" w:space="0" w:color="auto"/>
            </w:tcBorders>
            <w:noWrap/>
            <w:hideMark/>
          </w:tcPr>
          <w:p w14:paraId="18CFB6A9"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i/>
                <w:iCs/>
                <w:sz w:val="22"/>
                <w:szCs w:val="22"/>
              </w:rPr>
              <w:t>NUMBER</w:t>
            </w:r>
          </w:p>
        </w:tc>
        <w:tc>
          <w:tcPr>
            <w:tcW w:w="637" w:type="pct"/>
            <w:tcBorders>
              <w:top w:val="single" w:sz="4" w:space="0" w:color="auto"/>
            </w:tcBorders>
          </w:tcPr>
          <w:p w14:paraId="739F404B" w14:textId="7261AF2C" w:rsidR="00130990" w:rsidRPr="00127BD1" w:rsidRDefault="000F1B35" w:rsidP="00EC4DE0">
            <w:pPr>
              <w:rPr>
                <w:rFonts w:ascii="Times New Roman" w:eastAsia="Times New Roman" w:hAnsi="Times New Roman" w:cs="Times New Roman"/>
                <w:color w:val="000000"/>
                <w:sz w:val="22"/>
                <w:szCs w:val="22"/>
              </w:rPr>
            </w:pPr>
            <w:r>
              <w:rPr>
                <w:rFonts w:ascii="Times New Roman" w:hAnsi="Times New Roman" w:cs="Times New Roman"/>
                <w:i/>
                <w:iCs/>
                <w:sz w:val="22"/>
                <w:szCs w:val="22"/>
              </w:rPr>
              <w:t>AMOUNT</w:t>
            </w:r>
          </w:p>
        </w:tc>
        <w:tc>
          <w:tcPr>
            <w:tcW w:w="637" w:type="pct"/>
            <w:tcBorders>
              <w:top w:val="single" w:sz="4" w:space="0" w:color="auto"/>
            </w:tcBorders>
            <w:noWrap/>
            <w:hideMark/>
          </w:tcPr>
          <w:p w14:paraId="3F72615A"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i/>
                <w:iCs/>
                <w:sz w:val="22"/>
                <w:szCs w:val="22"/>
              </w:rPr>
              <w:t>NUMBER</w:t>
            </w:r>
          </w:p>
        </w:tc>
        <w:tc>
          <w:tcPr>
            <w:tcW w:w="637" w:type="pct"/>
            <w:tcBorders>
              <w:top w:val="single" w:sz="4" w:space="0" w:color="auto"/>
            </w:tcBorders>
          </w:tcPr>
          <w:p w14:paraId="220D86F3" w14:textId="5676EFE4" w:rsidR="00130990" w:rsidRPr="00127BD1" w:rsidRDefault="000F1B35" w:rsidP="00EC4DE0">
            <w:pPr>
              <w:rPr>
                <w:rFonts w:ascii="Times New Roman" w:eastAsia="Times New Roman" w:hAnsi="Times New Roman" w:cs="Times New Roman"/>
                <w:color w:val="000000"/>
                <w:sz w:val="22"/>
                <w:szCs w:val="22"/>
              </w:rPr>
            </w:pPr>
            <w:r>
              <w:rPr>
                <w:rFonts w:ascii="Times New Roman" w:hAnsi="Times New Roman" w:cs="Times New Roman"/>
                <w:i/>
                <w:iCs/>
                <w:sz w:val="22"/>
                <w:szCs w:val="22"/>
              </w:rPr>
              <w:t>AMOUNT</w:t>
            </w:r>
          </w:p>
        </w:tc>
        <w:tc>
          <w:tcPr>
            <w:tcW w:w="637" w:type="pct"/>
            <w:tcBorders>
              <w:top w:val="single" w:sz="4" w:space="0" w:color="auto"/>
            </w:tcBorders>
            <w:noWrap/>
            <w:hideMark/>
          </w:tcPr>
          <w:p w14:paraId="7BFED62A"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i/>
                <w:iCs/>
                <w:sz w:val="22"/>
                <w:szCs w:val="22"/>
              </w:rPr>
              <w:t>NUMBER</w:t>
            </w:r>
          </w:p>
        </w:tc>
        <w:tc>
          <w:tcPr>
            <w:tcW w:w="637" w:type="pct"/>
            <w:tcBorders>
              <w:top w:val="single" w:sz="4" w:space="0" w:color="auto"/>
            </w:tcBorders>
          </w:tcPr>
          <w:p w14:paraId="7A6B0ACE" w14:textId="7BDAC7EF" w:rsidR="00130990" w:rsidRPr="00127BD1" w:rsidRDefault="000F1B35" w:rsidP="00EC4DE0">
            <w:pPr>
              <w:rPr>
                <w:rFonts w:ascii="Times New Roman" w:eastAsia="Times New Roman" w:hAnsi="Times New Roman" w:cs="Times New Roman"/>
                <w:color w:val="000000"/>
                <w:sz w:val="22"/>
                <w:szCs w:val="22"/>
              </w:rPr>
            </w:pPr>
            <w:r>
              <w:rPr>
                <w:rFonts w:ascii="Times New Roman" w:hAnsi="Times New Roman" w:cs="Times New Roman"/>
                <w:i/>
                <w:iCs/>
                <w:sz w:val="22"/>
                <w:szCs w:val="22"/>
              </w:rPr>
              <w:t>AMOUNT</w:t>
            </w:r>
          </w:p>
        </w:tc>
      </w:tr>
      <w:tr w:rsidR="00130990" w:rsidRPr="00127BD1" w14:paraId="2C87B6BA" w14:textId="77777777" w:rsidTr="00EC4DE0">
        <w:trPr>
          <w:trHeight w:val="300"/>
        </w:trPr>
        <w:tc>
          <w:tcPr>
            <w:tcW w:w="1179" w:type="pct"/>
            <w:noWrap/>
            <w:vAlign w:val="center"/>
            <w:hideMark/>
          </w:tcPr>
          <w:p w14:paraId="17DB6A81" w14:textId="57C8515F"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sz w:val="22"/>
                <w:szCs w:val="22"/>
              </w:rPr>
              <w:t>lag AM</w:t>
            </w:r>
            <w:r w:rsidR="00D8347E" w:rsidRPr="00127BD1">
              <w:rPr>
                <w:rFonts w:ascii="Times New Roman" w:hAnsi="Times New Roman" w:cs="Times New Roman"/>
                <w:sz w:val="22"/>
                <w:szCs w:val="22"/>
              </w:rPr>
              <w:t>B</w:t>
            </w:r>
          </w:p>
        </w:tc>
        <w:tc>
          <w:tcPr>
            <w:tcW w:w="636" w:type="pct"/>
            <w:noWrap/>
            <w:vAlign w:val="bottom"/>
            <w:hideMark/>
          </w:tcPr>
          <w:p w14:paraId="57918864"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0.0694**</w:t>
            </w:r>
          </w:p>
        </w:tc>
        <w:tc>
          <w:tcPr>
            <w:tcW w:w="637" w:type="pct"/>
            <w:vAlign w:val="bottom"/>
          </w:tcPr>
          <w:p w14:paraId="052A40A5"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0.3068***</w:t>
            </w:r>
          </w:p>
        </w:tc>
        <w:tc>
          <w:tcPr>
            <w:tcW w:w="637" w:type="pct"/>
            <w:noWrap/>
            <w:vAlign w:val="bottom"/>
            <w:hideMark/>
          </w:tcPr>
          <w:p w14:paraId="40FEA507"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0.0659**</w:t>
            </w:r>
          </w:p>
        </w:tc>
        <w:tc>
          <w:tcPr>
            <w:tcW w:w="637" w:type="pct"/>
            <w:vAlign w:val="bottom"/>
          </w:tcPr>
          <w:p w14:paraId="040DC208"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0.3032***</w:t>
            </w:r>
          </w:p>
        </w:tc>
        <w:tc>
          <w:tcPr>
            <w:tcW w:w="637" w:type="pct"/>
            <w:noWrap/>
            <w:vAlign w:val="bottom"/>
            <w:hideMark/>
          </w:tcPr>
          <w:p w14:paraId="1ED96122"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0.0703**</w:t>
            </w:r>
          </w:p>
        </w:tc>
        <w:tc>
          <w:tcPr>
            <w:tcW w:w="637" w:type="pct"/>
            <w:vAlign w:val="bottom"/>
          </w:tcPr>
          <w:p w14:paraId="14701FFC"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0.3066***</w:t>
            </w:r>
          </w:p>
        </w:tc>
      </w:tr>
      <w:tr w:rsidR="00130990" w:rsidRPr="00127BD1" w14:paraId="79816D5E" w14:textId="77777777" w:rsidTr="00EC4DE0">
        <w:trPr>
          <w:trHeight w:val="300"/>
        </w:trPr>
        <w:tc>
          <w:tcPr>
            <w:tcW w:w="1179" w:type="pct"/>
            <w:noWrap/>
            <w:vAlign w:val="center"/>
            <w:hideMark/>
          </w:tcPr>
          <w:p w14:paraId="6D79CF8A" w14:textId="77777777" w:rsidR="00130990" w:rsidRPr="00127BD1" w:rsidRDefault="00130990" w:rsidP="00EC4DE0">
            <w:pPr>
              <w:rPr>
                <w:rFonts w:ascii="Times New Roman" w:eastAsia="Times New Roman" w:hAnsi="Times New Roman" w:cs="Times New Roman"/>
                <w:color w:val="000000"/>
                <w:sz w:val="22"/>
                <w:szCs w:val="22"/>
              </w:rPr>
            </w:pPr>
          </w:p>
        </w:tc>
        <w:tc>
          <w:tcPr>
            <w:tcW w:w="636" w:type="pct"/>
            <w:noWrap/>
            <w:vAlign w:val="bottom"/>
            <w:hideMark/>
          </w:tcPr>
          <w:p w14:paraId="751BD665"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(0.0347)</w:t>
            </w:r>
          </w:p>
        </w:tc>
        <w:tc>
          <w:tcPr>
            <w:tcW w:w="637" w:type="pct"/>
            <w:vAlign w:val="bottom"/>
          </w:tcPr>
          <w:p w14:paraId="47FCC4DF"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(0.0642)</w:t>
            </w:r>
          </w:p>
        </w:tc>
        <w:tc>
          <w:tcPr>
            <w:tcW w:w="637" w:type="pct"/>
            <w:noWrap/>
            <w:vAlign w:val="bottom"/>
            <w:hideMark/>
          </w:tcPr>
          <w:p w14:paraId="4719734E"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(0.0329)</w:t>
            </w:r>
          </w:p>
        </w:tc>
        <w:tc>
          <w:tcPr>
            <w:tcW w:w="637" w:type="pct"/>
            <w:vAlign w:val="bottom"/>
          </w:tcPr>
          <w:p w14:paraId="36695E70"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(0.0677)</w:t>
            </w:r>
          </w:p>
        </w:tc>
        <w:tc>
          <w:tcPr>
            <w:tcW w:w="637" w:type="pct"/>
            <w:noWrap/>
            <w:vAlign w:val="bottom"/>
            <w:hideMark/>
          </w:tcPr>
          <w:p w14:paraId="0358C622"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(0.0301)</w:t>
            </w:r>
          </w:p>
        </w:tc>
        <w:tc>
          <w:tcPr>
            <w:tcW w:w="637" w:type="pct"/>
            <w:vAlign w:val="bottom"/>
          </w:tcPr>
          <w:p w14:paraId="7FB5B8DA"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(0.0657)</w:t>
            </w:r>
          </w:p>
        </w:tc>
      </w:tr>
      <w:tr w:rsidR="00130990" w:rsidRPr="00127BD1" w14:paraId="29F688C2" w14:textId="77777777" w:rsidTr="00EC4DE0">
        <w:trPr>
          <w:trHeight w:val="300"/>
        </w:trPr>
        <w:tc>
          <w:tcPr>
            <w:tcW w:w="1179" w:type="pct"/>
            <w:noWrap/>
            <w:vAlign w:val="center"/>
          </w:tcPr>
          <w:p w14:paraId="754D97D2"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lag SIGMA</w:t>
            </w:r>
          </w:p>
        </w:tc>
        <w:tc>
          <w:tcPr>
            <w:tcW w:w="636" w:type="pct"/>
            <w:noWrap/>
            <w:vAlign w:val="bottom"/>
          </w:tcPr>
          <w:p w14:paraId="3CC64A0D"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-0.0811</w:t>
            </w:r>
          </w:p>
        </w:tc>
        <w:tc>
          <w:tcPr>
            <w:tcW w:w="637" w:type="pct"/>
            <w:vAlign w:val="bottom"/>
          </w:tcPr>
          <w:p w14:paraId="1E13AAD1"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1.4890</w:t>
            </w:r>
          </w:p>
        </w:tc>
        <w:tc>
          <w:tcPr>
            <w:tcW w:w="637" w:type="pct"/>
            <w:noWrap/>
            <w:vAlign w:val="bottom"/>
          </w:tcPr>
          <w:p w14:paraId="738CE273" w14:textId="77777777" w:rsidR="00130990" w:rsidRPr="00127BD1" w:rsidRDefault="00130990" w:rsidP="00EC4DE0">
            <w:pPr>
              <w:rPr>
                <w:rFonts w:ascii="Times New Roman" w:eastAsia="Times New Roman" w:hAnsi="Times New Roman" w:cs="Times New Roman"/>
                <w:color w:val="000000"/>
                <w:sz w:val="22"/>
                <w:szCs w:val="22"/>
              </w:rPr>
            </w:pPr>
          </w:p>
        </w:tc>
        <w:tc>
          <w:tcPr>
            <w:tcW w:w="637" w:type="pct"/>
            <w:vAlign w:val="bottom"/>
          </w:tcPr>
          <w:p w14:paraId="7ED83D66" w14:textId="77777777" w:rsidR="00130990" w:rsidRPr="00127BD1" w:rsidRDefault="00130990" w:rsidP="00EC4DE0">
            <w:pPr>
              <w:rPr>
                <w:rFonts w:ascii="Times New Roman" w:hAnsi="Times New Roman" w:cs="Times New Roman"/>
                <w:color w:val="000000"/>
                <w:sz w:val="22"/>
                <w:szCs w:val="22"/>
              </w:rPr>
            </w:pPr>
          </w:p>
        </w:tc>
        <w:tc>
          <w:tcPr>
            <w:tcW w:w="637" w:type="pct"/>
            <w:noWrap/>
            <w:vAlign w:val="bottom"/>
          </w:tcPr>
          <w:p w14:paraId="48B87A59" w14:textId="77777777" w:rsidR="00130990" w:rsidRPr="00127BD1" w:rsidRDefault="00130990" w:rsidP="00EC4DE0">
            <w:pPr>
              <w:rPr>
                <w:rFonts w:ascii="Times New Roman" w:eastAsia="Times New Roman" w:hAnsi="Times New Roman" w:cs="Times New Roman"/>
                <w:color w:val="000000"/>
                <w:sz w:val="22"/>
                <w:szCs w:val="22"/>
              </w:rPr>
            </w:pPr>
          </w:p>
        </w:tc>
        <w:tc>
          <w:tcPr>
            <w:tcW w:w="637" w:type="pct"/>
            <w:vAlign w:val="bottom"/>
          </w:tcPr>
          <w:p w14:paraId="683A91C1" w14:textId="77777777" w:rsidR="00130990" w:rsidRPr="00127BD1" w:rsidRDefault="00130990" w:rsidP="00EC4DE0">
            <w:pPr>
              <w:rPr>
                <w:rFonts w:ascii="Times New Roman" w:hAnsi="Times New Roman" w:cs="Times New Roman"/>
                <w:color w:val="000000"/>
                <w:sz w:val="22"/>
                <w:szCs w:val="22"/>
              </w:rPr>
            </w:pPr>
          </w:p>
        </w:tc>
      </w:tr>
      <w:tr w:rsidR="00130990" w:rsidRPr="00127BD1" w14:paraId="7774270B" w14:textId="77777777" w:rsidTr="00EC4DE0">
        <w:trPr>
          <w:trHeight w:val="300"/>
        </w:trPr>
        <w:tc>
          <w:tcPr>
            <w:tcW w:w="1179" w:type="pct"/>
            <w:noWrap/>
            <w:vAlign w:val="center"/>
          </w:tcPr>
          <w:p w14:paraId="71E946AD" w14:textId="77777777" w:rsidR="00130990" w:rsidRPr="00127BD1" w:rsidRDefault="00130990" w:rsidP="00EC4DE0">
            <w:pPr>
              <w:rPr>
                <w:rFonts w:ascii="Times New Roman" w:eastAsia="Times New Roman" w:hAnsi="Times New Roman" w:cs="Times New Roman"/>
                <w:color w:val="000000"/>
                <w:sz w:val="22"/>
                <w:szCs w:val="22"/>
              </w:rPr>
            </w:pPr>
          </w:p>
        </w:tc>
        <w:tc>
          <w:tcPr>
            <w:tcW w:w="636" w:type="pct"/>
            <w:noWrap/>
            <w:vAlign w:val="bottom"/>
          </w:tcPr>
          <w:p w14:paraId="1D4950A3"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(0.5147)</w:t>
            </w:r>
          </w:p>
        </w:tc>
        <w:tc>
          <w:tcPr>
            <w:tcW w:w="637" w:type="pct"/>
            <w:vAlign w:val="bottom"/>
          </w:tcPr>
          <w:p w14:paraId="20A7455F"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(1.2829)</w:t>
            </w:r>
          </w:p>
        </w:tc>
        <w:tc>
          <w:tcPr>
            <w:tcW w:w="637" w:type="pct"/>
            <w:noWrap/>
            <w:vAlign w:val="bottom"/>
          </w:tcPr>
          <w:p w14:paraId="4C1D2447" w14:textId="77777777" w:rsidR="00130990" w:rsidRPr="00127BD1" w:rsidRDefault="00130990" w:rsidP="00EC4DE0">
            <w:pPr>
              <w:rPr>
                <w:rFonts w:ascii="Times New Roman" w:eastAsia="Times New Roman" w:hAnsi="Times New Roman" w:cs="Times New Roman"/>
                <w:color w:val="000000"/>
                <w:sz w:val="22"/>
                <w:szCs w:val="22"/>
              </w:rPr>
            </w:pPr>
          </w:p>
        </w:tc>
        <w:tc>
          <w:tcPr>
            <w:tcW w:w="637" w:type="pct"/>
            <w:vAlign w:val="bottom"/>
          </w:tcPr>
          <w:p w14:paraId="15059EAC" w14:textId="77777777" w:rsidR="00130990" w:rsidRPr="00127BD1" w:rsidRDefault="00130990" w:rsidP="00EC4DE0">
            <w:pPr>
              <w:rPr>
                <w:rFonts w:ascii="Times New Roman" w:hAnsi="Times New Roman" w:cs="Times New Roman"/>
                <w:color w:val="000000"/>
                <w:sz w:val="22"/>
                <w:szCs w:val="22"/>
              </w:rPr>
            </w:pPr>
          </w:p>
        </w:tc>
        <w:tc>
          <w:tcPr>
            <w:tcW w:w="637" w:type="pct"/>
            <w:noWrap/>
            <w:vAlign w:val="bottom"/>
          </w:tcPr>
          <w:p w14:paraId="13A4EF06" w14:textId="77777777" w:rsidR="00130990" w:rsidRPr="00127BD1" w:rsidRDefault="00130990" w:rsidP="00EC4DE0">
            <w:pPr>
              <w:rPr>
                <w:rFonts w:ascii="Times New Roman" w:eastAsia="Times New Roman" w:hAnsi="Times New Roman" w:cs="Times New Roman"/>
                <w:color w:val="000000"/>
                <w:sz w:val="22"/>
                <w:szCs w:val="22"/>
              </w:rPr>
            </w:pPr>
          </w:p>
        </w:tc>
        <w:tc>
          <w:tcPr>
            <w:tcW w:w="637" w:type="pct"/>
            <w:vAlign w:val="bottom"/>
          </w:tcPr>
          <w:p w14:paraId="3972780C" w14:textId="77777777" w:rsidR="00130990" w:rsidRPr="00127BD1" w:rsidRDefault="00130990" w:rsidP="00EC4DE0">
            <w:pPr>
              <w:rPr>
                <w:rFonts w:ascii="Times New Roman" w:hAnsi="Times New Roman" w:cs="Times New Roman"/>
                <w:color w:val="000000"/>
                <w:sz w:val="22"/>
                <w:szCs w:val="22"/>
              </w:rPr>
            </w:pPr>
          </w:p>
        </w:tc>
      </w:tr>
      <w:tr w:rsidR="00130990" w:rsidRPr="00127BD1" w14:paraId="04088747" w14:textId="77777777" w:rsidTr="00EC4DE0">
        <w:trPr>
          <w:trHeight w:val="300"/>
        </w:trPr>
        <w:tc>
          <w:tcPr>
            <w:tcW w:w="1179" w:type="pct"/>
            <w:noWrap/>
            <w:vAlign w:val="bottom"/>
            <w:hideMark/>
          </w:tcPr>
          <w:p w14:paraId="3E0AC429"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lag RGDPG</w:t>
            </w:r>
          </w:p>
        </w:tc>
        <w:tc>
          <w:tcPr>
            <w:tcW w:w="636" w:type="pct"/>
            <w:noWrap/>
            <w:vAlign w:val="bottom"/>
            <w:hideMark/>
          </w:tcPr>
          <w:p w14:paraId="3E1439C7"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-0.0024</w:t>
            </w:r>
          </w:p>
        </w:tc>
        <w:tc>
          <w:tcPr>
            <w:tcW w:w="637" w:type="pct"/>
            <w:vAlign w:val="bottom"/>
          </w:tcPr>
          <w:p w14:paraId="28F95BD0"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-0.0059</w:t>
            </w:r>
          </w:p>
        </w:tc>
        <w:tc>
          <w:tcPr>
            <w:tcW w:w="637" w:type="pct"/>
            <w:noWrap/>
            <w:vAlign w:val="bottom"/>
            <w:hideMark/>
          </w:tcPr>
          <w:p w14:paraId="01441036"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-0.0005</w:t>
            </w:r>
          </w:p>
        </w:tc>
        <w:tc>
          <w:tcPr>
            <w:tcW w:w="637" w:type="pct"/>
            <w:vAlign w:val="bottom"/>
          </w:tcPr>
          <w:p w14:paraId="2B2E8C55"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-0.0063</w:t>
            </w:r>
          </w:p>
        </w:tc>
        <w:tc>
          <w:tcPr>
            <w:tcW w:w="637" w:type="pct"/>
            <w:noWrap/>
            <w:vAlign w:val="bottom"/>
            <w:hideMark/>
          </w:tcPr>
          <w:p w14:paraId="33CA72DF"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-0.0019</w:t>
            </w:r>
          </w:p>
        </w:tc>
        <w:tc>
          <w:tcPr>
            <w:tcW w:w="637" w:type="pct"/>
            <w:vAlign w:val="bottom"/>
          </w:tcPr>
          <w:p w14:paraId="78A599C1"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-0.0072</w:t>
            </w:r>
          </w:p>
        </w:tc>
      </w:tr>
      <w:tr w:rsidR="00130990" w:rsidRPr="00127BD1" w14:paraId="2A1A50AE" w14:textId="77777777" w:rsidTr="00EC4DE0">
        <w:trPr>
          <w:trHeight w:val="300"/>
        </w:trPr>
        <w:tc>
          <w:tcPr>
            <w:tcW w:w="1179" w:type="pct"/>
            <w:noWrap/>
            <w:vAlign w:val="bottom"/>
            <w:hideMark/>
          </w:tcPr>
          <w:p w14:paraId="563A57ED" w14:textId="77777777" w:rsidR="00130990" w:rsidRPr="00127BD1" w:rsidRDefault="00130990" w:rsidP="00EC4DE0">
            <w:pPr>
              <w:rPr>
                <w:rFonts w:ascii="Times New Roman" w:eastAsia="Times New Roman" w:hAnsi="Times New Roman" w:cs="Times New Roman"/>
                <w:color w:val="000000"/>
                <w:sz w:val="22"/>
                <w:szCs w:val="22"/>
              </w:rPr>
            </w:pPr>
          </w:p>
        </w:tc>
        <w:tc>
          <w:tcPr>
            <w:tcW w:w="636" w:type="pct"/>
            <w:noWrap/>
            <w:vAlign w:val="bottom"/>
            <w:hideMark/>
          </w:tcPr>
          <w:p w14:paraId="174C1497"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(0.0036)</w:t>
            </w:r>
          </w:p>
        </w:tc>
        <w:tc>
          <w:tcPr>
            <w:tcW w:w="637" w:type="pct"/>
            <w:vAlign w:val="bottom"/>
          </w:tcPr>
          <w:p w14:paraId="5CBE9123"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(0.0079)</w:t>
            </w:r>
          </w:p>
        </w:tc>
        <w:tc>
          <w:tcPr>
            <w:tcW w:w="637" w:type="pct"/>
            <w:noWrap/>
            <w:vAlign w:val="bottom"/>
            <w:hideMark/>
          </w:tcPr>
          <w:p w14:paraId="15D2D2F8"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(0.0037)</w:t>
            </w:r>
          </w:p>
        </w:tc>
        <w:tc>
          <w:tcPr>
            <w:tcW w:w="637" w:type="pct"/>
            <w:vAlign w:val="bottom"/>
          </w:tcPr>
          <w:p w14:paraId="53F4331C"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(0.0079)</w:t>
            </w:r>
          </w:p>
        </w:tc>
        <w:tc>
          <w:tcPr>
            <w:tcW w:w="637" w:type="pct"/>
            <w:noWrap/>
            <w:vAlign w:val="bottom"/>
            <w:hideMark/>
          </w:tcPr>
          <w:p w14:paraId="5A5989CB"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(0.0036)</w:t>
            </w:r>
          </w:p>
        </w:tc>
        <w:tc>
          <w:tcPr>
            <w:tcW w:w="637" w:type="pct"/>
            <w:vAlign w:val="bottom"/>
          </w:tcPr>
          <w:p w14:paraId="38081BAB"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(0.0080)</w:t>
            </w:r>
          </w:p>
        </w:tc>
      </w:tr>
      <w:tr w:rsidR="00130990" w:rsidRPr="00127BD1" w14:paraId="0B08AC51" w14:textId="77777777" w:rsidTr="00EC4DE0">
        <w:trPr>
          <w:trHeight w:val="300"/>
        </w:trPr>
        <w:tc>
          <w:tcPr>
            <w:tcW w:w="1179" w:type="pct"/>
            <w:noWrap/>
            <w:vAlign w:val="bottom"/>
            <w:hideMark/>
          </w:tcPr>
          <w:p w14:paraId="4E95E9B8"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 xml:space="preserve">lag </w:t>
            </w:r>
            <w:r w:rsidRPr="00127BD1">
              <w:rPr>
                <w:rFonts w:ascii="Times New Roman" w:hAnsi="Times New Roman" w:cs="Times New Roman"/>
                <w:sz w:val="22"/>
                <w:szCs w:val="22"/>
              </w:rPr>
              <w:t>INFLA</w:t>
            </w:r>
          </w:p>
        </w:tc>
        <w:tc>
          <w:tcPr>
            <w:tcW w:w="636" w:type="pct"/>
            <w:noWrap/>
            <w:vAlign w:val="bottom"/>
            <w:hideMark/>
          </w:tcPr>
          <w:p w14:paraId="68340EC2"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-0.0009**</w:t>
            </w:r>
          </w:p>
        </w:tc>
        <w:tc>
          <w:tcPr>
            <w:tcW w:w="637" w:type="pct"/>
            <w:vAlign w:val="bottom"/>
          </w:tcPr>
          <w:p w14:paraId="30271D4B"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0.0003</w:t>
            </w:r>
          </w:p>
        </w:tc>
        <w:tc>
          <w:tcPr>
            <w:tcW w:w="637" w:type="pct"/>
            <w:noWrap/>
            <w:vAlign w:val="bottom"/>
            <w:hideMark/>
          </w:tcPr>
          <w:p w14:paraId="679B808A"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-0.0009**</w:t>
            </w:r>
          </w:p>
        </w:tc>
        <w:tc>
          <w:tcPr>
            <w:tcW w:w="637" w:type="pct"/>
            <w:vAlign w:val="bottom"/>
          </w:tcPr>
          <w:p w14:paraId="539F141C"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0.0006</w:t>
            </w:r>
          </w:p>
        </w:tc>
        <w:tc>
          <w:tcPr>
            <w:tcW w:w="637" w:type="pct"/>
            <w:noWrap/>
            <w:vAlign w:val="bottom"/>
            <w:hideMark/>
          </w:tcPr>
          <w:p w14:paraId="18D3582E"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-0.0010**</w:t>
            </w:r>
          </w:p>
        </w:tc>
        <w:tc>
          <w:tcPr>
            <w:tcW w:w="637" w:type="pct"/>
            <w:vAlign w:val="bottom"/>
          </w:tcPr>
          <w:p w14:paraId="7EEAA6A9"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0.0003</w:t>
            </w:r>
          </w:p>
        </w:tc>
      </w:tr>
      <w:tr w:rsidR="00130990" w:rsidRPr="00127BD1" w14:paraId="0E0634A9" w14:textId="77777777" w:rsidTr="00EC4DE0">
        <w:trPr>
          <w:trHeight w:val="300"/>
        </w:trPr>
        <w:tc>
          <w:tcPr>
            <w:tcW w:w="1179" w:type="pct"/>
            <w:noWrap/>
            <w:vAlign w:val="bottom"/>
            <w:hideMark/>
          </w:tcPr>
          <w:p w14:paraId="66C749E8" w14:textId="77777777" w:rsidR="00130990" w:rsidRPr="00127BD1" w:rsidRDefault="00130990" w:rsidP="00EC4DE0">
            <w:pPr>
              <w:rPr>
                <w:rFonts w:ascii="Times New Roman" w:eastAsia="Times New Roman" w:hAnsi="Times New Roman" w:cs="Times New Roman"/>
                <w:color w:val="000000"/>
                <w:sz w:val="22"/>
                <w:szCs w:val="22"/>
              </w:rPr>
            </w:pPr>
          </w:p>
        </w:tc>
        <w:tc>
          <w:tcPr>
            <w:tcW w:w="636" w:type="pct"/>
            <w:noWrap/>
            <w:vAlign w:val="bottom"/>
            <w:hideMark/>
          </w:tcPr>
          <w:p w14:paraId="066B491D"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(0.0004)</w:t>
            </w:r>
          </w:p>
        </w:tc>
        <w:tc>
          <w:tcPr>
            <w:tcW w:w="637" w:type="pct"/>
            <w:vAlign w:val="bottom"/>
          </w:tcPr>
          <w:p w14:paraId="5CE08C5D"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(0.0008)</w:t>
            </w:r>
          </w:p>
        </w:tc>
        <w:tc>
          <w:tcPr>
            <w:tcW w:w="637" w:type="pct"/>
            <w:noWrap/>
            <w:vAlign w:val="bottom"/>
            <w:hideMark/>
          </w:tcPr>
          <w:p w14:paraId="2D75B9C8"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(0.0004)</w:t>
            </w:r>
          </w:p>
        </w:tc>
        <w:tc>
          <w:tcPr>
            <w:tcW w:w="637" w:type="pct"/>
            <w:vAlign w:val="bottom"/>
          </w:tcPr>
          <w:p w14:paraId="1864FA03"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(0.0008)</w:t>
            </w:r>
          </w:p>
        </w:tc>
        <w:tc>
          <w:tcPr>
            <w:tcW w:w="637" w:type="pct"/>
            <w:noWrap/>
            <w:vAlign w:val="bottom"/>
            <w:hideMark/>
          </w:tcPr>
          <w:p w14:paraId="74D7FC16"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(0.0004)</w:t>
            </w:r>
          </w:p>
        </w:tc>
        <w:tc>
          <w:tcPr>
            <w:tcW w:w="637" w:type="pct"/>
            <w:vAlign w:val="bottom"/>
          </w:tcPr>
          <w:p w14:paraId="1CEEBE46"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(0.0007)</w:t>
            </w:r>
          </w:p>
        </w:tc>
      </w:tr>
      <w:tr w:rsidR="00130990" w:rsidRPr="00127BD1" w14:paraId="46904CA5" w14:textId="77777777" w:rsidTr="00EC4DE0">
        <w:trPr>
          <w:trHeight w:val="300"/>
        </w:trPr>
        <w:tc>
          <w:tcPr>
            <w:tcW w:w="1179" w:type="pct"/>
            <w:noWrap/>
            <w:vAlign w:val="bottom"/>
            <w:hideMark/>
          </w:tcPr>
          <w:p w14:paraId="1F1EF7D6"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lag EXGG</w:t>
            </w:r>
          </w:p>
        </w:tc>
        <w:tc>
          <w:tcPr>
            <w:tcW w:w="636" w:type="pct"/>
            <w:noWrap/>
            <w:vAlign w:val="bottom"/>
            <w:hideMark/>
          </w:tcPr>
          <w:p w14:paraId="02168850"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0.0008</w:t>
            </w:r>
          </w:p>
        </w:tc>
        <w:tc>
          <w:tcPr>
            <w:tcW w:w="637" w:type="pct"/>
            <w:vAlign w:val="bottom"/>
          </w:tcPr>
          <w:p w14:paraId="3578280D"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-0.0032</w:t>
            </w:r>
          </w:p>
        </w:tc>
        <w:tc>
          <w:tcPr>
            <w:tcW w:w="637" w:type="pct"/>
            <w:noWrap/>
            <w:vAlign w:val="bottom"/>
            <w:hideMark/>
          </w:tcPr>
          <w:p w14:paraId="5DA53D09"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0.0003</w:t>
            </w:r>
          </w:p>
        </w:tc>
        <w:tc>
          <w:tcPr>
            <w:tcW w:w="637" w:type="pct"/>
            <w:vAlign w:val="bottom"/>
          </w:tcPr>
          <w:p w14:paraId="27236999"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-0.0027</w:t>
            </w:r>
          </w:p>
        </w:tc>
        <w:tc>
          <w:tcPr>
            <w:tcW w:w="637" w:type="pct"/>
            <w:noWrap/>
            <w:vAlign w:val="bottom"/>
            <w:hideMark/>
          </w:tcPr>
          <w:p w14:paraId="1496D891"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0.0005</w:t>
            </w:r>
          </w:p>
        </w:tc>
        <w:tc>
          <w:tcPr>
            <w:tcW w:w="637" w:type="pct"/>
            <w:vAlign w:val="bottom"/>
          </w:tcPr>
          <w:p w14:paraId="79FEFF2D"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-0.0030</w:t>
            </w:r>
          </w:p>
        </w:tc>
      </w:tr>
      <w:tr w:rsidR="00130990" w:rsidRPr="00127BD1" w14:paraId="10F36440" w14:textId="77777777" w:rsidTr="00EC4DE0">
        <w:trPr>
          <w:trHeight w:val="300"/>
        </w:trPr>
        <w:tc>
          <w:tcPr>
            <w:tcW w:w="1179" w:type="pct"/>
            <w:noWrap/>
            <w:vAlign w:val="bottom"/>
            <w:hideMark/>
          </w:tcPr>
          <w:p w14:paraId="28D933FA" w14:textId="77777777" w:rsidR="00130990" w:rsidRPr="00127BD1" w:rsidRDefault="00130990" w:rsidP="00EC4DE0">
            <w:pPr>
              <w:rPr>
                <w:rFonts w:ascii="Times New Roman" w:eastAsia="Times New Roman" w:hAnsi="Times New Roman" w:cs="Times New Roman"/>
                <w:color w:val="000000"/>
                <w:sz w:val="22"/>
                <w:szCs w:val="22"/>
              </w:rPr>
            </w:pPr>
          </w:p>
        </w:tc>
        <w:tc>
          <w:tcPr>
            <w:tcW w:w="636" w:type="pct"/>
            <w:noWrap/>
            <w:vAlign w:val="bottom"/>
            <w:hideMark/>
          </w:tcPr>
          <w:p w14:paraId="2FABD616"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(0.0013)</w:t>
            </w:r>
          </w:p>
        </w:tc>
        <w:tc>
          <w:tcPr>
            <w:tcW w:w="637" w:type="pct"/>
            <w:vAlign w:val="bottom"/>
          </w:tcPr>
          <w:p w14:paraId="6E40E2C8"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(0.0028)</w:t>
            </w:r>
          </w:p>
        </w:tc>
        <w:tc>
          <w:tcPr>
            <w:tcW w:w="637" w:type="pct"/>
            <w:noWrap/>
            <w:vAlign w:val="bottom"/>
            <w:hideMark/>
          </w:tcPr>
          <w:p w14:paraId="4A48F5DC"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(0.0015)</w:t>
            </w:r>
          </w:p>
        </w:tc>
        <w:tc>
          <w:tcPr>
            <w:tcW w:w="637" w:type="pct"/>
            <w:vAlign w:val="bottom"/>
          </w:tcPr>
          <w:p w14:paraId="6C0CE5A4"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(0.0029)</w:t>
            </w:r>
          </w:p>
        </w:tc>
        <w:tc>
          <w:tcPr>
            <w:tcW w:w="637" w:type="pct"/>
            <w:noWrap/>
            <w:vAlign w:val="bottom"/>
            <w:hideMark/>
          </w:tcPr>
          <w:p w14:paraId="45D2B3EC"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(0.0016)</w:t>
            </w:r>
          </w:p>
        </w:tc>
        <w:tc>
          <w:tcPr>
            <w:tcW w:w="637" w:type="pct"/>
            <w:vAlign w:val="bottom"/>
          </w:tcPr>
          <w:p w14:paraId="3F4D3B94"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(0.0029)</w:t>
            </w:r>
          </w:p>
        </w:tc>
      </w:tr>
      <w:tr w:rsidR="00130990" w:rsidRPr="00127BD1" w14:paraId="33363783" w14:textId="77777777" w:rsidTr="00EC4DE0">
        <w:trPr>
          <w:trHeight w:val="300"/>
        </w:trPr>
        <w:tc>
          <w:tcPr>
            <w:tcW w:w="1179" w:type="pct"/>
            <w:noWrap/>
            <w:vAlign w:val="bottom"/>
            <w:hideMark/>
          </w:tcPr>
          <w:p w14:paraId="6459A9AA"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lag DEBTGDP</w:t>
            </w:r>
          </w:p>
        </w:tc>
        <w:tc>
          <w:tcPr>
            <w:tcW w:w="636" w:type="pct"/>
            <w:noWrap/>
            <w:vAlign w:val="bottom"/>
            <w:hideMark/>
          </w:tcPr>
          <w:p w14:paraId="5ECEC45C"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-0.0027***</w:t>
            </w:r>
          </w:p>
        </w:tc>
        <w:tc>
          <w:tcPr>
            <w:tcW w:w="637" w:type="pct"/>
            <w:vAlign w:val="bottom"/>
          </w:tcPr>
          <w:p w14:paraId="3D4FE2F3"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-0.0002</w:t>
            </w:r>
          </w:p>
        </w:tc>
        <w:tc>
          <w:tcPr>
            <w:tcW w:w="637" w:type="pct"/>
            <w:noWrap/>
            <w:vAlign w:val="bottom"/>
            <w:hideMark/>
          </w:tcPr>
          <w:p w14:paraId="3CC262D6"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-0.0025**</w:t>
            </w:r>
          </w:p>
        </w:tc>
        <w:tc>
          <w:tcPr>
            <w:tcW w:w="637" w:type="pct"/>
            <w:vAlign w:val="bottom"/>
          </w:tcPr>
          <w:p w14:paraId="08568E6D"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0.0004</w:t>
            </w:r>
          </w:p>
        </w:tc>
        <w:tc>
          <w:tcPr>
            <w:tcW w:w="637" w:type="pct"/>
            <w:noWrap/>
            <w:vAlign w:val="bottom"/>
            <w:hideMark/>
          </w:tcPr>
          <w:p w14:paraId="7BA2A789"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-0.0026**</w:t>
            </w:r>
          </w:p>
        </w:tc>
        <w:tc>
          <w:tcPr>
            <w:tcW w:w="637" w:type="pct"/>
            <w:vAlign w:val="bottom"/>
          </w:tcPr>
          <w:p w14:paraId="2A023EF6"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0.0008</w:t>
            </w:r>
          </w:p>
        </w:tc>
      </w:tr>
      <w:tr w:rsidR="00130990" w:rsidRPr="00127BD1" w14:paraId="5DA4C21F" w14:textId="77777777" w:rsidTr="00EC4DE0">
        <w:trPr>
          <w:trHeight w:val="300"/>
        </w:trPr>
        <w:tc>
          <w:tcPr>
            <w:tcW w:w="1179" w:type="pct"/>
            <w:noWrap/>
            <w:vAlign w:val="bottom"/>
            <w:hideMark/>
          </w:tcPr>
          <w:p w14:paraId="41FC75C1" w14:textId="77777777" w:rsidR="00130990" w:rsidRPr="00127BD1" w:rsidRDefault="00130990" w:rsidP="00EC4DE0">
            <w:pPr>
              <w:rPr>
                <w:rFonts w:ascii="Times New Roman" w:eastAsia="Times New Roman" w:hAnsi="Times New Roman" w:cs="Times New Roman"/>
                <w:color w:val="000000"/>
                <w:sz w:val="22"/>
                <w:szCs w:val="22"/>
              </w:rPr>
            </w:pPr>
          </w:p>
        </w:tc>
        <w:tc>
          <w:tcPr>
            <w:tcW w:w="636" w:type="pct"/>
            <w:noWrap/>
            <w:vAlign w:val="bottom"/>
            <w:hideMark/>
          </w:tcPr>
          <w:p w14:paraId="0D3E4CCD"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(0.0010)</w:t>
            </w:r>
          </w:p>
        </w:tc>
        <w:tc>
          <w:tcPr>
            <w:tcW w:w="637" w:type="pct"/>
            <w:vAlign w:val="bottom"/>
          </w:tcPr>
          <w:p w14:paraId="2A15063A"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(0.0026)</w:t>
            </w:r>
          </w:p>
        </w:tc>
        <w:tc>
          <w:tcPr>
            <w:tcW w:w="637" w:type="pct"/>
            <w:noWrap/>
            <w:vAlign w:val="bottom"/>
            <w:hideMark/>
          </w:tcPr>
          <w:p w14:paraId="039CA9ED"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(0.0010)</w:t>
            </w:r>
          </w:p>
        </w:tc>
        <w:tc>
          <w:tcPr>
            <w:tcW w:w="637" w:type="pct"/>
            <w:vAlign w:val="bottom"/>
          </w:tcPr>
          <w:p w14:paraId="2C2FAE2F"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(0.0023)</w:t>
            </w:r>
          </w:p>
        </w:tc>
        <w:tc>
          <w:tcPr>
            <w:tcW w:w="637" w:type="pct"/>
            <w:noWrap/>
            <w:vAlign w:val="bottom"/>
            <w:hideMark/>
          </w:tcPr>
          <w:p w14:paraId="3C3A06AF"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(0.0010)</w:t>
            </w:r>
          </w:p>
        </w:tc>
        <w:tc>
          <w:tcPr>
            <w:tcW w:w="637" w:type="pct"/>
            <w:vAlign w:val="bottom"/>
          </w:tcPr>
          <w:p w14:paraId="191F379A"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(0.0022)</w:t>
            </w:r>
          </w:p>
        </w:tc>
      </w:tr>
      <w:tr w:rsidR="00130990" w:rsidRPr="00127BD1" w14:paraId="20CF7307" w14:textId="77777777" w:rsidTr="00EC4DE0">
        <w:trPr>
          <w:trHeight w:val="300"/>
        </w:trPr>
        <w:tc>
          <w:tcPr>
            <w:tcW w:w="1179" w:type="pct"/>
            <w:noWrap/>
            <w:vAlign w:val="bottom"/>
            <w:hideMark/>
          </w:tcPr>
          <w:p w14:paraId="14B7FB6D"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sz w:val="22"/>
                <w:szCs w:val="22"/>
              </w:rPr>
              <w:t>lag LRATE</w:t>
            </w:r>
          </w:p>
        </w:tc>
        <w:tc>
          <w:tcPr>
            <w:tcW w:w="636" w:type="pct"/>
            <w:noWrap/>
            <w:vAlign w:val="bottom"/>
            <w:hideMark/>
          </w:tcPr>
          <w:p w14:paraId="7135481B"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0.0020</w:t>
            </w:r>
          </w:p>
        </w:tc>
        <w:tc>
          <w:tcPr>
            <w:tcW w:w="637" w:type="pct"/>
            <w:vAlign w:val="bottom"/>
          </w:tcPr>
          <w:p w14:paraId="241C26E7"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0.0393**</w:t>
            </w:r>
          </w:p>
        </w:tc>
        <w:tc>
          <w:tcPr>
            <w:tcW w:w="637" w:type="pct"/>
            <w:noWrap/>
            <w:vAlign w:val="bottom"/>
            <w:hideMark/>
          </w:tcPr>
          <w:p w14:paraId="670D1F64"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0.0029</w:t>
            </w:r>
          </w:p>
        </w:tc>
        <w:tc>
          <w:tcPr>
            <w:tcW w:w="637" w:type="pct"/>
            <w:vAlign w:val="bottom"/>
          </w:tcPr>
          <w:p w14:paraId="7D7A375C"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0.0272</w:t>
            </w:r>
          </w:p>
        </w:tc>
        <w:tc>
          <w:tcPr>
            <w:tcW w:w="637" w:type="pct"/>
            <w:noWrap/>
            <w:vAlign w:val="bottom"/>
            <w:hideMark/>
          </w:tcPr>
          <w:p w14:paraId="54AAC42C"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0.0036</w:t>
            </w:r>
          </w:p>
        </w:tc>
        <w:tc>
          <w:tcPr>
            <w:tcW w:w="637" w:type="pct"/>
            <w:vAlign w:val="bottom"/>
          </w:tcPr>
          <w:p w14:paraId="3634C0A6"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0.0273</w:t>
            </w:r>
          </w:p>
        </w:tc>
      </w:tr>
      <w:tr w:rsidR="00130990" w:rsidRPr="00127BD1" w14:paraId="06F986E7" w14:textId="77777777" w:rsidTr="00EC4DE0">
        <w:trPr>
          <w:trHeight w:val="300"/>
        </w:trPr>
        <w:tc>
          <w:tcPr>
            <w:tcW w:w="1179" w:type="pct"/>
            <w:noWrap/>
            <w:vAlign w:val="center"/>
            <w:hideMark/>
          </w:tcPr>
          <w:p w14:paraId="517C9B66" w14:textId="77777777" w:rsidR="00130990" w:rsidRPr="00127BD1" w:rsidRDefault="00130990" w:rsidP="00EC4DE0">
            <w:pPr>
              <w:rPr>
                <w:rFonts w:ascii="Times New Roman" w:eastAsia="Times New Roman" w:hAnsi="Times New Roman" w:cs="Times New Roman"/>
                <w:color w:val="000000"/>
                <w:sz w:val="22"/>
                <w:szCs w:val="22"/>
              </w:rPr>
            </w:pPr>
          </w:p>
        </w:tc>
        <w:tc>
          <w:tcPr>
            <w:tcW w:w="636" w:type="pct"/>
            <w:noWrap/>
            <w:vAlign w:val="bottom"/>
            <w:hideMark/>
          </w:tcPr>
          <w:p w14:paraId="34627950"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(0.0107)</w:t>
            </w:r>
          </w:p>
        </w:tc>
        <w:tc>
          <w:tcPr>
            <w:tcW w:w="637" w:type="pct"/>
            <w:vAlign w:val="bottom"/>
          </w:tcPr>
          <w:p w14:paraId="40D4C30F"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(0.0195)</w:t>
            </w:r>
          </w:p>
        </w:tc>
        <w:tc>
          <w:tcPr>
            <w:tcW w:w="637" w:type="pct"/>
            <w:noWrap/>
            <w:vAlign w:val="bottom"/>
            <w:hideMark/>
          </w:tcPr>
          <w:p w14:paraId="3D4BFDDA"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(0.0114)</w:t>
            </w:r>
          </w:p>
        </w:tc>
        <w:tc>
          <w:tcPr>
            <w:tcW w:w="637" w:type="pct"/>
            <w:vAlign w:val="bottom"/>
          </w:tcPr>
          <w:p w14:paraId="27566126"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(0.0215)</w:t>
            </w:r>
          </w:p>
        </w:tc>
        <w:tc>
          <w:tcPr>
            <w:tcW w:w="637" w:type="pct"/>
            <w:noWrap/>
            <w:vAlign w:val="bottom"/>
            <w:hideMark/>
          </w:tcPr>
          <w:p w14:paraId="37D9B730"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(0.0112)</w:t>
            </w:r>
          </w:p>
        </w:tc>
        <w:tc>
          <w:tcPr>
            <w:tcW w:w="637" w:type="pct"/>
            <w:vAlign w:val="bottom"/>
          </w:tcPr>
          <w:p w14:paraId="365571BF"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(0.0215)</w:t>
            </w:r>
          </w:p>
        </w:tc>
      </w:tr>
      <w:tr w:rsidR="00130990" w:rsidRPr="00127BD1" w14:paraId="65A73314" w14:textId="77777777" w:rsidTr="00EC4DE0">
        <w:trPr>
          <w:trHeight w:val="300"/>
        </w:trPr>
        <w:tc>
          <w:tcPr>
            <w:tcW w:w="1179" w:type="pct"/>
            <w:noWrap/>
            <w:vAlign w:val="center"/>
          </w:tcPr>
          <w:p w14:paraId="2DB90F94"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CONTIG</w:t>
            </w:r>
          </w:p>
        </w:tc>
        <w:tc>
          <w:tcPr>
            <w:tcW w:w="636" w:type="pct"/>
            <w:noWrap/>
            <w:vAlign w:val="center"/>
          </w:tcPr>
          <w:p w14:paraId="2F977B6E" w14:textId="77777777" w:rsidR="00130990" w:rsidRPr="00127BD1" w:rsidRDefault="00130990" w:rsidP="00EC4DE0">
            <w:pPr>
              <w:rPr>
                <w:rFonts w:ascii="Times New Roman" w:eastAsia="Times New Roman" w:hAnsi="Times New Roman" w:cs="Times New Roman"/>
                <w:color w:val="000000"/>
                <w:sz w:val="22"/>
                <w:szCs w:val="22"/>
              </w:rPr>
            </w:pPr>
          </w:p>
        </w:tc>
        <w:tc>
          <w:tcPr>
            <w:tcW w:w="637" w:type="pct"/>
            <w:vAlign w:val="center"/>
          </w:tcPr>
          <w:p w14:paraId="6166FC8E" w14:textId="77777777" w:rsidR="00130990" w:rsidRPr="00127BD1" w:rsidRDefault="00130990" w:rsidP="00EC4DE0">
            <w:pPr>
              <w:rPr>
                <w:rFonts w:ascii="Times New Roman" w:hAnsi="Times New Roman" w:cs="Times New Roman"/>
                <w:color w:val="000000"/>
                <w:sz w:val="22"/>
                <w:szCs w:val="22"/>
              </w:rPr>
            </w:pPr>
          </w:p>
        </w:tc>
        <w:tc>
          <w:tcPr>
            <w:tcW w:w="637" w:type="pct"/>
            <w:noWrap/>
            <w:vAlign w:val="center"/>
          </w:tcPr>
          <w:p w14:paraId="46F3CC5F" w14:textId="77777777" w:rsidR="00130990" w:rsidRPr="00127BD1" w:rsidRDefault="00130990" w:rsidP="00EC4DE0">
            <w:pPr>
              <w:rPr>
                <w:rFonts w:ascii="Times New Roman" w:eastAsia="Times New Roman" w:hAnsi="Times New Roman" w:cs="Times New Roman"/>
                <w:color w:val="000000"/>
                <w:sz w:val="22"/>
                <w:szCs w:val="22"/>
              </w:rPr>
            </w:pPr>
          </w:p>
        </w:tc>
        <w:tc>
          <w:tcPr>
            <w:tcW w:w="637" w:type="pct"/>
            <w:vAlign w:val="center"/>
          </w:tcPr>
          <w:p w14:paraId="11F42ADC" w14:textId="77777777" w:rsidR="00130990" w:rsidRPr="00127BD1" w:rsidRDefault="00130990" w:rsidP="00EC4DE0">
            <w:pPr>
              <w:rPr>
                <w:rFonts w:ascii="Times New Roman" w:hAnsi="Times New Roman" w:cs="Times New Roman"/>
                <w:color w:val="000000"/>
                <w:sz w:val="22"/>
                <w:szCs w:val="22"/>
              </w:rPr>
            </w:pPr>
          </w:p>
        </w:tc>
        <w:tc>
          <w:tcPr>
            <w:tcW w:w="637" w:type="pct"/>
            <w:noWrap/>
            <w:vAlign w:val="bottom"/>
          </w:tcPr>
          <w:p w14:paraId="5F1D054C"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0.0173</w:t>
            </w:r>
          </w:p>
        </w:tc>
        <w:tc>
          <w:tcPr>
            <w:tcW w:w="637" w:type="pct"/>
            <w:vAlign w:val="bottom"/>
          </w:tcPr>
          <w:p w14:paraId="77612A78"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-0.0498</w:t>
            </w:r>
          </w:p>
        </w:tc>
      </w:tr>
      <w:tr w:rsidR="00130990" w:rsidRPr="00127BD1" w14:paraId="7AAACE85" w14:textId="77777777" w:rsidTr="00EC4DE0">
        <w:trPr>
          <w:trHeight w:val="300"/>
        </w:trPr>
        <w:tc>
          <w:tcPr>
            <w:tcW w:w="1179" w:type="pct"/>
            <w:noWrap/>
            <w:vAlign w:val="center"/>
          </w:tcPr>
          <w:p w14:paraId="5A5F7F46" w14:textId="77777777" w:rsidR="00130990" w:rsidRPr="00127BD1" w:rsidRDefault="00130990" w:rsidP="00EC4DE0">
            <w:pPr>
              <w:rPr>
                <w:rFonts w:ascii="Times New Roman" w:eastAsia="Times New Roman" w:hAnsi="Times New Roman" w:cs="Times New Roman"/>
                <w:color w:val="000000"/>
                <w:sz w:val="22"/>
                <w:szCs w:val="22"/>
              </w:rPr>
            </w:pPr>
          </w:p>
        </w:tc>
        <w:tc>
          <w:tcPr>
            <w:tcW w:w="636" w:type="pct"/>
            <w:noWrap/>
            <w:vAlign w:val="center"/>
          </w:tcPr>
          <w:p w14:paraId="1CA287AF" w14:textId="77777777" w:rsidR="00130990" w:rsidRPr="00127BD1" w:rsidRDefault="00130990" w:rsidP="00EC4DE0">
            <w:pPr>
              <w:rPr>
                <w:rFonts w:ascii="Times New Roman" w:eastAsia="Times New Roman" w:hAnsi="Times New Roman" w:cs="Times New Roman"/>
                <w:color w:val="000000"/>
                <w:sz w:val="22"/>
                <w:szCs w:val="22"/>
              </w:rPr>
            </w:pPr>
          </w:p>
        </w:tc>
        <w:tc>
          <w:tcPr>
            <w:tcW w:w="637" w:type="pct"/>
            <w:vAlign w:val="center"/>
          </w:tcPr>
          <w:p w14:paraId="223C0397" w14:textId="77777777" w:rsidR="00130990" w:rsidRPr="00127BD1" w:rsidRDefault="00130990" w:rsidP="00EC4DE0">
            <w:pPr>
              <w:rPr>
                <w:rFonts w:ascii="Times New Roman" w:hAnsi="Times New Roman" w:cs="Times New Roman"/>
                <w:color w:val="000000"/>
                <w:sz w:val="22"/>
                <w:szCs w:val="22"/>
              </w:rPr>
            </w:pPr>
          </w:p>
        </w:tc>
        <w:tc>
          <w:tcPr>
            <w:tcW w:w="637" w:type="pct"/>
            <w:noWrap/>
            <w:vAlign w:val="center"/>
          </w:tcPr>
          <w:p w14:paraId="7362887A" w14:textId="77777777" w:rsidR="00130990" w:rsidRPr="00127BD1" w:rsidRDefault="00130990" w:rsidP="00EC4DE0">
            <w:pPr>
              <w:rPr>
                <w:rFonts w:ascii="Times New Roman" w:eastAsia="Times New Roman" w:hAnsi="Times New Roman" w:cs="Times New Roman"/>
                <w:color w:val="000000"/>
                <w:sz w:val="22"/>
                <w:szCs w:val="22"/>
              </w:rPr>
            </w:pPr>
          </w:p>
        </w:tc>
        <w:tc>
          <w:tcPr>
            <w:tcW w:w="637" w:type="pct"/>
            <w:vAlign w:val="center"/>
          </w:tcPr>
          <w:p w14:paraId="261A9B3F" w14:textId="77777777" w:rsidR="00130990" w:rsidRPr="00127BD1" w:rsidRDefault="00130990" w:rsidP="00EC4DE0">
            <w:pPr>
              <w:rPr>
                <w:rFonts w:ascii="Times New Roman" w:hAnsi="Times New Roman" w:cs="Times New Roman"/>
                <w:color w:val="000000"/>
                <w:sz w:val="22"/>
                <w:szCs w:val="22"/>
              </w:rPr>
            </w:pPr>
          </w:p>
        </w:tc>
        <w:tc>
          <w:tcPr>
            <w:tcW w:w="637" w:type="pct"/>
            <w:noWrap/>
            <w:vAlign w:val="bottom"/>
          </w:tcPr>
          <w:p w14:paraId="65C27B27"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(0.0983)</w:t>
            </w:r>
          </w:p>
        </w:tc>
        <w:tc>
          <w:tcPr>
            <w:tcW w:w="637" w:type="pct"/>
            <w:vAlign w:val="bottom"/>
          </w:tcPr>
          <w:p w14:paraId="70FB7B01"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(0.1354)</w:t>
            </w:r>
          </w:p>
        </w:tc>
      </w:tr>
      <w:tr w:rsidR="00130990" w:rsidRPr="00127BD1" w14:paraId="5A1E78B2" w14:textId="77777777" w:rsidTr="00EC4DE0">
        <w:trPr>
          <w:trHeight w:val="300"/>
        </w:trPr>
        <w:tc>
          <w:tcPr>
            <w:tcW w:w="1179" w:type="pct"/>
            <w:noWrap/>
            <w:vAlign w:val="center"/>
          </w:tcPr>
          <w:p w14:paraId="05C1B995"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COMLAND_OFF</w:t>
            </w:r>
          </w:p>
        </w:tc>
        <w:tc>
          <w:tcPr>
            <w:tcW w:w="636" w:type="pct"/>
            <w:noWrap/>
            <w:vAlign w:val="center"/>
          </w:tcPr>
          <w:p w14:paraId="73F946F1" w14:textId="77777777" w:rsidR="00130990" w:rsidRPr="00127BD1" w:rsidRDefault="00130990" w:rsidP="00EC4DE0">
            <w:pPr>
              <w:rPr>
                <w:rFonts w:ascii="Times New Roman" w:eastAsia="Times New Roman" w:hAnsi="Times New Roman" w:cs="Times New Roman"/>
                <w:color w:val="000000"/>
                <w:sz w:val="22"/>
                <w:szCs w:val="22"/>
              </w:rPr>
            </w:pPr>
          </w:p>
        </w:tc>
        <w:tc>
          <w:tcPr>
            <w:tcW w:w="637" w:type="pct"/>
            <w:vAlign w:val="center"/>
          </w:tcPr>
          <w:p w14:paraId="3D238622" w14:textId="77777777" w:rsidR="00130990" w:rsidRPr="00127BD1" w:rsidRDefault="00130990" w:rsidP="00EC4DE0">
            <w:pPr>
              <w:rPr>
                <w:rFonts w:ascii="Times New Roman" w:hAnsi="Times New Roman" w:cs="Times New Roman"/>
                <w:color w:val="000000"/>
                <w:sz w:val="22"/>
                <w:szCs w:val="22"/>
              </w:rPr>
            </w:pPr>
          </w:p>
        </w:tc>
        <w:tc>
          <w:tcPr>
            <w:tcW w:w="637" w:type="pct"/>
            <w:noWrap/>
            <w:vAlign w:val="center"/>
          </w:tcPr>
          <w:p w14:paraId="16DDA67D" w14:textId="77777777" w:rsidR="00130990" w:rsidRPr="00127BD1" w:rsidRDefault="00130990" w:rsidP="00EC4DE0">
            <w:pPr>
              <w:rPr>
                <w:rFonts w:ascii="Times New Roman" w:eastAsia="Times New Roman" w:hAnsi="Times New Roman" w:cs="Times New Roman"/>
                <w:color w:val="000000"/>
                <w:sz w:val="22"/>
                <w:szCs w:val="22"/>
              </w:rPr>
            </w:pPr>
          </w:p>
        </w:tc>
        <w:tc>
          <w:tcPr>
            <w:tcW w:w="637" w:type="pct"/>
            <w:vAlign w:val="center"/>
          </w:tcPr>
          <w:p w14:paraId="5048BE9C" w14:textId="77777777" w:rsidR="00130990" w:rsidRPr="00127BD1" w:rsidRDefault="00130990" w:rsidP="00EC4DE0">
            <w:pPr>
              <w:rPr>
                <w:rFonts w:ascii="Times New Roman" w:hAnsi="Times New Roman" w:cs="Times New Roman"/>
                <w:color w:val="000000"/>
                <w:sz w:val="22"/>
                <w:szCs w:val="22"/>
              </w:rPr>
            </w:pPr>
          </w:p>
        </w:tc>
        <w:tc>
          <w:tcPr>
            <w:tcW w:w="637" w:type="pct"/>
            <w:noWrap/>
            <w:vAlign w:val="bottom"/>
          </w:tcPr>
          <w:p w14:paraId="11C53F2A"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-0.1228</w:t>
            </w:r>
          </w:p>
        </w:tc>
        <w:tc>
          <w:tcPr>
            <w:tcW w:w="637" w:type="pct"/>
            <w:vAlign w:val="bottom"/>
          </w:tcPr>
          <w:p w14:paraId="5714F597"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0.0783</w:t>
            </w:r>
          </w:p>
        </w:tc>
      </w:tr>
      <w:tr w:rsidR="00130990" w:rsidRPr="00127BD1" w14:paraId="707FAB3C" w14:textId="77777777" w:rsidTr="00EC4DE0">
        <w:trPr>
          <w:trHeight w:val="300"/>
        </w:trPr>
        <w:tc>
          <w:tcPr>
            <w:tcW w:w="1179" w:type="pct"/>
            <w:noWrap/>
            <w:vAlign w:val="center"/>
          </w:tcPr>
          <w:p w14:paraId="5E093282" w14:textId="77777777" w:rsidR="00130990" w:rsidRPr="00127BD1" w:rsidRDefault="00130990" w:rsidP="00EC4DE0">
            <w:pPr>
              <w:rPr>
                <w:rFonts w:ascii="Times New Roman" w:eastAsia="Times New Roman" w:hAnsi="Times New Roman" w:cs="Times New Roman"/>
                <w:color w:val="000000"/>
                <w:sz w:val="22"/>
                <w:szCs w:val="22"/>
              </w:rPr>
            </w:pPr>
          </w:p>
        </w:tc>
        <w:tc>
          <w:tcPr>
            <w:tcW w:w="636" w:type="pct"/>
            <w:noWrap/>
            <w:vAlign w:val="center"/>
          </w:tcPr>
          <w:p w14:paraId="21E38A02" w14:textId="77777777" w:rsidR="00130990" w:rsidRPr="00127BD1" w:rsidRDefault="00130990" w:rsidP="00EC4DE0">
            <w:pPr>
              <w:rPr>
                <w:rFonts w:ascii="Times New Roman" w:eastAsia="Times New Roman" w:hAnsi="Times New Roman" w:cs="Times New Roman"/>
                <w:color w:val="000000"/>
                <w:sz w:val="22"/>
                <w:szCs w:val="22"/>
              </w:rPr>
            </w:pPr>
          </w:p>
        </w:tc>
        <w:tc>
          <w:tcPr>
            <w:tcW w:w="637" w:type="pct"/>
            <w:vAlign w:val="center"/>
          </w:tcPr>
          <w:p w14:paraId="31322DF8" w14:textId="77777777" w:rsidR="00130990" w:rsidRPr="00127BD1" w:rsidRDefault="00130990" w:rsidP="00EC4DE0">
            <w:pPr>
              <w:rPr>
                <w:rFonts w:ascii="Times New Roman" w:hAnsi="Times New Roman" w:cs="Times New Roman"/>
                <w:color w:val="000000"/>
                <w:sz w:val="22"/>
                <w:szCs w:val="22"/>
              </w:rPr>
            </w:pPr>
          </w:p>
        </w:tc>
        <w:tc>
          <w:tcPr>
            <w:tcW w:w="637" w:type="pct"/>
            <w:noWrap/>
            <w:vAlign w:val="center"/>
          </w:tcPr>
          <w:p w14:paraId="6D1A4242" w14:textId="77777777" w:rsidR="00130990" w:rsidRPr="00127BD1" w:rsidRDefault="00130990" w:rsidP="00EC4DE0">
            <w:pPr>
              <w:rPr>
                <w:rFonts w:ascii="Times New Roman" w:eastAsia="Times New Roman" w:hAnsi="Times New Roman" w:cs="Times New Roman"/>
                <w:color w:val="000000"/>
                <w:sz w:val="22"/>
                <w:szCs w:val="22"/>
              </w:rPr>
            </w:pPr>
          </w:p>
        </w:tc>
        <w:tc>
          <w:tcPr>
            <w:tcW w:w="637" w:type="pct"/>
            <w:vAlign w:val="center"/>
          </w:tcPr>
          <w:p w14:paraId="236CBC8A" w14:textId="77777777" w:rsidR="00130990" w:rsidRPr="00127BD1" w:rsidRDefault="00130990" w:rsidP="00EC4DE0">
            <w:pPr>
              <w:rPr>
                <w:rFonts w:ascii="Times New Roman" w:hAnsi="Times New Roman" w:cs="Times New Roman"/>
                <w:color w:val="000000"/>
                <w:sz w:val="22"/>
                <w:szCs w:val="22"/>
              </w:rPr>
            </w:pPr>
          </w:p>
        </w:tc>
        <w:tc>
          <w:tcPr>
            <w:tcW w:w="637" w:type="pct"/>
            <w:noWrap/>
            <w:vAlign w:val="bottom"/>
          </w:tcPr>
          <w:p w14:paraId="1D89B69A"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(0.1176)</w:t>
            </w:r>
          </w:p>
        </w:tc>
        <w:tc>
          <w:tcPr>
            <w:tcW w:w="637" w:type="pct"/>
            <w:vAlign w:val="bottom"/>
          </w:tcPr>
          <w:p w14:paraId="472EFBD3"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(0.1032)</w:t>
            </w:r>
          </w:p>
        </w:tc>
      </w:tr>
      <w:tr w:rsidR="00130990" w:rsidRPr="00127BD1" w14:paraId="6AFE8F76" w14:textId="77777777" w:rsidTr="00EC4DE0">
        <w:trPr>
          <w:trHeight w:val="300"/>
        </w:trPr>
        <w:tc>
          <w:tcPr>
            <w:tcW w:w="1179" w:type="pct"/>
            <w:noWrap/>
            <w:vAlign w:val="center"/>
          </w:tcPr>
          <w:p w14:paraId="6CD917FA"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LOGDIS</w:t>
            </w:r>
          </w:p>
        </w:tc>
        <w:tc>
          <w:tcPr>
            <w:tcW w:w="636" w:type="pct"/>
            <w:noWrap/>
            <w:vAlign w:val="center"/>
          </w:tcPr>
          <w:p w14:paraId="5F79C356" w14:textId="77777777" w:rsidR="00130990" w:rsidRPr="00127BD1" w:rsidRDefault="00130990" w:rsidP="00EC4DE0">
            <w:pPr>
              <w:rPr>
                <w:rFonts w:ascii="Times New Roman" w:eastAsia="Times New Roman" w:hAnsi="Times New Roman" w:cs="Times New Roman"/>
                <w:color w:val="000000"/>
                <w:sz w:val="22"/>
                <w:szCs w:val="22"/>
              </w:rPr>
            </w:pPr>
          </w:p>
        </w:tc>
        <w:tc>
          <w:tcPr>
            <w:tcW w:w="637" w:type="pct"/>
            <w:vAlign w:val="center"/>
          </w:tcPr>
          <w:p w14:paraId="5D479B46" w14:textId="77777777" w:rsidR="00130990" w:rsidRPr="00127BD1" w:rsidRDefault="00130990" w:rsidP="00EC4DE0">
            <w:pPr>
              <w:rPr>
                <w:rFonts w:ascii="Times New Roman" w:hAnsi="Times New Roman" w:cs="Times New Roman"/>
                <w:color w:val="000000"/>
                <w:sz w:val="22"/>
                <w:szCs w:val="22"/>
              </w:rPr>
            </w:pPr>
          </w:p>
        </w:tc>
        <w:tc>
          <w:tcPr>
            <w:tcW w:w="637" w:type="pct"/>
            <w:noWrap/>
            <w:vAlign w:val="center"/>
          </w:tcPr>
          <w:p w14:paraId="1F1CAEE3" w14:textId="77777777" w:rsidR="00130990" w:rsidRPr="00127BD1" w:rsidRDefault="00130990" w:rsidP="00EC4DE0">
            <w:pPr>
              <w:rPr>
                <w:rFonts w:ascii="Times New Roman" w:eastAsia="Times New Roman" w:hAnsi="Times New Roman" w:cs="Times New Roman"/>
                <w:color w:val="000000"/>
                <w:sz w:val="22"/>
                <w:szCs w:val="22"/>
              </w:rPr>
            </w:pPr>
          </w:p>
        </w:tc>
        <w:tc>
          <w:tcPr>
            <w:tcW w:w="637" w:type="pct"/>
            <w:vAlign w:val="center"/>
          </w:tcPr>
          <w:p w14:paraId="2A6E07DE" w14:textId="77777777" w:rsidR="00130990" w:rsidRPr="00127BD1" w:rsidRDefault="00130990" w:rsidP="00EC4DE0">
            <w:pPr>
              <w:rPr>
                <w:rFonts w:ascii="Times New Roman" w:hAnsi="Times New Roman" w:cs="Times New Roman"/>
                <w:color w:val="000000"/>
                <w:sz w:val="22"/>
                <w:szCs w:val="22"/>
              </w:rPr>
            </w:pPr>
          </w:p>
        </w:tc>
        <w:tc>
          <w:tcPr>
            <w:tcW w:w="637" w:type="pct"/>
            <w:noWrap/>
            <w:vAlign w:val="bottom"/>
          </w:tcPr>
          <w:p w14:paraId="5A309B79"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-0.1293***</w:t>
            </w:r>
          </w:p>
        </w:tc>
        <w:tc>
          <w:tcPr>
            <w:tcW w:w="637" w:type="pct"/>
            <w:vAlign w:val="bottom"/>
          </w:tcPr>
          <w:p w14:paraId="15C96A45"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-0.1801***</w:t>
            </w:r>
          </w:p>
        </w:tc>
      </w:tr>
      <w:tr w:rsidR="00130990" w:rsidRPr="00127BD1" w14:paraId="6145321C" w14:textId="77777777" w:rsidTr="00EC4DE0">
        <w:trPr>
          <w:trHeight w:val="300"/>
        </w:trPr>
        <w:tc>
          <w:tcPr>
            <w:tcW w:w="1179" w:type="pct"/>
            <w:noWrap/>
            <w:vAlign w:val="center"/>
          </w:tcPr>
          <w:p w14:paraId="42D29D20" w14:textId="77777777" w:rsidR="00130990" w:rsidRPr="00127BD1" w:rsidRDefault="00130990" w:rsidP="00EC4DE0">
            <w:pPr>
              <w:rPr>
                <w:rFonts w:ascii="Times New Roman" w:eastAsia="Times New Roman" w:hAnsi="Times New Roman" w:cs="Times New Roman"/>
                <w:color w:val="000000"/>
                <w:sz w:val="22"/>
                <w:szCs w:val="22"/>
              </w:rPr>
            </w:pPr>
          </w:p>
        </w:tc>
        <w:tc>
          <w:tcPr>
            <w:tcW w:w="636" w:type="pct"/>
            <w:noWrap/>
            <w:vAlign w:val="center"/>
          </w:tcPr>
          <w:p w14:paraId="24E2A6D3" w14:textId="77777777" w:rsidR="00130990" w:rsidRPr="00127BD1" w:rsidRDefault="00130990" w:rsidP="00EC4DE0">
            <w:pPr>
              <w:rPr>
                <w:rFonts w:ascii="Times New Roman" w:eastAsia="Times New Roman" w:hAnsi="Times New Roman" w:cs="Times New Roman"/>
                <w:color w:val="000000"/>
                <w:sz w:val="22"/>
                <w:szCs w:val="22"/>
              </w:rPr>
            </w:pPr>
          </w:p>
        </w:tc>
        <w:tc>
          <w:tcPr>
            <w:tcW w:w="637" w:type="pct"/>
            <w:vAlign w:val="center"/>
          </w:tcPr>
          <w:p w14:paraId="2626AA18" w14:textId="77777777" w:rsidR="00130990" w:rsidRPr="00127BD1" w:rsidRDefault="00130990" w:rsidP="00EC4DE0">
            <w:pPr>
              <w:rPr>
                <w:rFonts w:ascii="Times New Roman" w:hAnsi="Times New Roman" w:cs="Times New Roman"/>
                <w:color w:val="000000"/>
                <w:sz w:val="22"/>
                <w:szCs w:val="22"/>
              </w:rPr>
            </w:pPr>
          </w:p>
        </w:tc>
        <w:tc>
          <w:tcPr>
            <w:tcW w:w="637" w:type="pct"/>
            <w:noWrap/>
            <w:vAlign w:val="center"/>
          </w:tcPr>
          <w:p w14:paraId="34583276" w14:textId="77777777" w:rsidR="00130990" w:rsidRPr="00127BD1" w:rsidRDefault="00130990" w:rsidP="00EC4DE0">
            <w:pPr>
              <w:rPr>
                <w:rFonts w:ascii="Times New Roman" w:eastAsia="Times New Roman" w:hAnsi="Times New Roman" w:cs="Times New Roman"/>
                <w:color w:val="000000"/>
                <w:sz w:val="22"/>
                <w:szCs w:val="22"/>
              </w:rPr>
            </w:pPr>
          </w:p>
        </w:tc>
        <w:tc>
          <w:tcPr>
            <w:tcW w:w="637" w:type="pct"/>
            <w:vAlign w:val="center"/>
          </w:tcPr>
          <w:p w14:paraId="3694A73E" w14:textId="77777777" w:rsidR="00130990" w:rsidRPr="00127BD1" w:rsidRDefault="00130990" w:rsidP="00EC4DE0">
            <w:pPr>
              <w:rPr>
                <w:rFonts w:ascii="Times New Roman" w:hAnsi="Times New Roman" w:cs="Times New Roman"/>
                <w:color w:val="000000"/>
                <w:sz w:val="22"/>
                <w:szCs w:val="22"/>
              </w:rPr>
            </w:pPr>
          </w:p>
        </w:tc>
        <w:tc>
          <w:tcPr>
            <w:tcW w:w="637" w:type="pct"/>
            <w:noWrap/>
            <w:vAlign w:val="bottom"/>
          </w:tcPr>
          <w:p w14:paraId="7FE0CF36"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(0.0253)</w:t>
            </w:r>
          </w:p>
        </w:tc>
        <w:tc>
          <w:tcPr>
            <w:tcW w:w="637" w:type="pct"/>
            <w:vAlign w:val="bottom"/>
          </w:tcPr>
          <w:p w14:paraId="6E7A34B7"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(0.0348)</w:t>
            </w:r>
          </w:p>
        </w:tc>
      </w:tr>
      <w:tr w:rsidR="009F6FBD" w:rsidRPr="00127BD1" w14:paraId="4B8E99F7" w14:textId="77777777" w:rsidTr="00EC4DE0">
        <w:trPr>
          <w:trHeight w:val="300"/>
        </w:trPr>
        <w:tc>
          <w:tcPr>
            <w:tcW w:w="1179" w:type="pct"/>
            <w:noWrap/>
            <w:vAlign w:val="center"/>
            <w:hideMark/>
          </w:tcPr>
          <w:p w14:paraId="36A05016" w14:textId="6F890E82" w:rsidR="009F6FBD" w:rsidRPr="00127BD1" w:rsidRDefault="009F6FBD" w:rsidP="009F6FBD">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Obs.</w:t>
            </w:r>
          </w:p>
        </w:tc>
        <w:tc>
          <w:tcPr>
            <w:tcW w:w="636" w:type="pct"/>
            <w:noWrap/>
            <w:vAlign w:val="bottom"/>
            <w:hideMark/>
          </w:tcPr>
          <w:p w14:paraId="3F2D35C2" w14:textId="77777777" w:rsidR="009F6FBD" w:rsidRPr="00127BD1" w:rsidRDefault="009F6FBD" w:rsidP="009F6FBD">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31990</w:t>
            </w:r>
          </w:p>
        </w:tc>
        <w:tc>
          <w:tcPr>
            <w:tcW w:w="637" w:type="pct"/>
            <w:vAlign w:val="bottom"/>
          </w:tcPr>
          <w:p w14:paraId="44741E2E" w14:textId="77777777" w:rsidR="009F6FBD" w:rsidRPr="00127BD1" w:rsidRDefault="009F6FBD" w:rsidP="009F6FBD">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31107</w:t>
            </w:r>
          </w:p>
        </w:tc>
        <w:tc>
          <w:tcPr>
            <w:tcW w:w="637" w:type="pct"/>
            <w:noWrap/>
            <w:vAlign w:val="bottom"/>
            <w:hideMark/>
          </w:tcPr>
          <w:p w14:paraId="35B6A839" w14:textId="77777777" w:rsidR="009F6FBD" w:rsidRPr="00127BD1" w:rsidRDefault="009F6FBD" w:rsidP="009F6FBD">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29422</w:t>
            </w:r>
          </w:p>
        </w:tc>
        <w:tc>
          <w:tcPr>
            <w:tcW w:w="637" w:type="pct"/>
            <w:vAlign w:val="bottom"/>
          </w:tcPr>
          <w:p w14:paraId="3B60608F" w14:textId="77777777" w:rsidR="009F6FBD" w:rsidRPr="00127BD1" w:rsidRDefault="009F6FBD" w:rsidP="009F6FBD">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28626</w:t>
            </w:r>
          </w:p>
        </w:tc>
        <w:tc>
          <w:tcPr>
            <w:tcW w:w="637" w:type="pct"/>
            <w:noWrap/>
            <w:vAlign w:val="bottom"/>
            <w:hideMark/>
          </w:tcPr>
          <w:p w14:paraId="7B651D38" w14:textId="77777777" w:rsidR="009F6FBD" w:rsidRPr="00127BD1" w:rsidRDefault="009F6FBD" w:rsidP="009F6FBD">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29225</w:t>
            </w:r>
          </w:p>
        </w:tc>
        <w:tc>
          <w:tcPr>
            <w:tcW w:w="637" w:type="pct"/>
            <w:vAlign w:val="bottom"/>
          </w:tcPr>
          <w:p w14:paraId="711EF449" w14:textId="77777777" w:rsidR="009F6FBD" w:rsidRPr="00127BD1" w:rsidRDefault="009F6FBD" w:rsidP="009F6FBD">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28428</w:t>
            </w:r>
          </w:p>
        </w:tc>
      </w:tr>
      <w:tr w:rsidR="009F6FBD" w:rsidRPr="00127BD1" w14:paraId="4FF9E78B" w14:textId="77777777" w:rsidTr="00EC4DE0">
        <w:trPr>
          <w:trHeight w:val="300"/>
        </w:trPr>
        <w:tc>
          <w:tcPr>
            <w:tcW w:w="1179" w:type="pct"/>
            <w:noWrap/>
            <w:vAlign w:val="center"/>
            <w:hideMark/>
          </w:tcPr>
          <w:p w14:paraId="38B585E7" w14:textId="799457EF" w:rsidR="009F6FBD" w:rsidRPr="00127BD1" w:rsidRDefault="009F6FBD" w:rsidP="009F6FBD">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Adj R</w:t>
            </w:r>
            <w:r w:rsidRPr="00127BD1">
              <w:rPr>
                <w:rFonts w:ascii="Times New Roman" w:eastAsia="Times New Roman" w:hAnsi="Times New Roman" w:cs="Times New Roman"/>
                <w:color w:val="000000"/>
                <w:sz w:val="22"/>
                <w:szCs w:val="22"/>
                <w:vertAlign w:val="superscript"/>
              </w:rPr>
              <w:t>2</w:t>
            </w:r>
          </w:p>
        </w:tc>
        <w:tc>
          <w:tcPr>
            <w:tcW w:w="636" w:type="pct"/>
            <w:noWrap/>
            <w:vAlign w:val="bottom"/>
            <w:hideMark/>
          </w:tcPr>
          <w:p w14:paraId="26DEBB59" w14:textId="77777777" w:rsidR="009F6FBD" w:rsidRPr="00127BD1" w:rsidRDefault="009F6FBD" w:rsidP="009F6FBD">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0.4538</w:t>
            </w:r>
          </w:p>
        </w:tc>
        <w:tc>
          <w:tcPr>
            <w:tcW w:w="637" w:type="pct"/>
            <w:vAlign w:val="bottom"/>
          </w:tcPr>
          <w:p w14:paraId="49C6034C" w14:textId="77777777" w:rsidR="009F6FBD" w:rsidRPr="00127BD1" w:rsidRDefault="009F6FBD" w:rsidP="009F6FBD">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0.4273</w:t>
            </w:r>
          </w:p>
        </w:tc>
        <w:tc>
          <w:tcPr>
            <w:tcW w:w="637" w:type="pct"/>
            <w:noWrap/>
            <w:vAlign w:val="bottom"/>
            <w:hideMark/>
          </w:tcPr>
          <w:p w14:paraId="4C795CC4" w14:textId="77777777" w:rsidR="009F6FBD" w:rsidRPr="00127BD1" w:rsidRDefault="009F6FBD" w:rsidP="009F6FBD">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0.4579</w:t>
            </w:r>
          </w:p>
        </w:tc>
        <w:tc>
          <w:tcPr>
            <w:tcW w:w="637" w:type="pct"/>
            <w:vAlign w:val="bottom"/>
          </w:tcPr>
          <w:p w14:paraId="66E8A318" w14:textId="77777777" w:rsidR="009F6FBD" w:rsidRPr="00127BD1" w:rsidRDefault="009F6FBD" w:rsidP="009F6FBD">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0.4368</w:t>
            </w:r>
          </w:p>
        </w:tc>
        <w:tc>
          <w:tcPr>
            <w:tcW w:w="637" w:type="pct"/>
            <w:noWrap/>
            <w:vAlign w:val="bottom"/>
            <w:hideMark/>
          </w:tcPr>
          <w:p w14:paraId="05C5AC09" w14:textId="77777777" w:rsidR="009F6FBD" w:rsidRPr="00127BD1" w:rsidRDefault="009F6FBD" w:rsidP="009F6FBD">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0.4716</w:t>
            </w:r>
          </w:p>
        </w:tc>
        <w:tc>
          <w:tcPr>
            <w:tcW w:w="637" w:type="pct"/>
            <w:vAlign w:val="bottom"/>
          </w:tcPr>
          <w:p w14:paraId="0B65805B" w14:textId="77777777" w:rsidR="009F6FBD" w:rsidRPr="00127BD1" w:rsidRDefault="009F6FBD" w:rsidP="009F6FBD">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0.4425</w:t>
            </w:r>
          </w:p>
        </w:tc>
      </w:tr>
      <w:tr w:rsidR="005816FC" w:rsidRPr="00127BD1" w14:paraId="4E2F0CB1" w14:textId="77777777" w:rsidTr="007A36C3">
        <w:trPr>
          <w:trHeight w:val="300"/>
        </w:trPr>
        <w:tc>
          <w:tcPr>
            <w:tcW w:w="1179" w:type="pct"/>
            <w:noWrap/>
            <w:vAlign w:val="center"/>
          </w:tcPr>
          <w:p w14:paraId="41349A16" w14:textId="77777777" w:rsidR="005816FC" w:rsidRPr="00127BD1" w:rsidRDefault="005816FC" w:rsidP="005816FC">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Bank FE</w:t>
            </w:r>
          </w:p>
        </w:tc>
        <w:tc>
          <w:tcPr>
            <w:tcW w:w="636" w:type="pct"/>
            <w:noWrap/>
          </w:tcPr>
          <w:p w14:paraId="1A0808A0" w14:textId="74BE619E" w:rsidR="005816FC" w:rsidRPr="00127BD1" w:rsidRDefault="005816FC" w:rsidP="005816FC">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Yes</w:t>
            </w:r>
          </w:p>
        </w:tc>
        <w:tc>
          <w:tcPr>
            <w:tcW w:w="637" w:type="pct"/>
          </w:tcPr>
          <w:p w14:paraId="413F924E" w14:textId="5C047611" w:rsidR="005816FC" w:rsidRPr="00127BD1" w:rsidRDefault="005816FC" w:rsidP="005816FC">
            <w:pPr>
              <w:rPr>
                <w:rFonts w:ascii="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Yes</w:t>
            </w:r>
          </w:p>
        </w:tc>
        <w:tc>
          <w:tcPr>
            <w:tcW w:w="637" w:type="pct"/>
            <w:noWrap/>
          </w:tcPr>
          <w:p w14:paraId="3EDC8C4F" w14:textId="73B36522" w:rsidR="005816FC" w:rsidRPr="00127BD1" w:rsidRDefault="005816FC" w:rsidP="005816FC">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Yes</w:t>
            </w:r>
          </w:p>
        </w:tc>
        <w:tc>
          <w:tcPr>
            <w:tcW w:w="637" w:type="pct"/>
          </w:tcPr>
          <w:p w14:paraId="2DFF819A" w14:textId="45618785" w:rsidR="005816FC" w:rsidRPr="00127BD1" w:rsidRDefault="005816FC" w:rsidP="005816FC">
            <w:pPr>
              <w:rPr>
                <w:rFonts w:ascii="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Yes</w:t>
            </w:r>
          </w:p>
        </w:tc>
        <w:tc>
          <w:tcPr>
            <w:tcW w:w="637" w:type="pct"/>
            <w:noWrap/>
          </w:tcPr>
          <w:p w14:paraId="3E1BAEB0" w14:textId="16327759" w:rsidR="005816FC" w:rsidRPr="00127BD1" w:rsidRDefault="005816FC" w:rsidP="005816FC">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Yes</w:t>
            </w:r>
          </w:p>
        </w:tc>
        <w:tc>
          <w:tcPr>
            <w:tcW w:w="637" w:type="pct"/>
          </w:tcPr>
          <w:p w14:paraId="47096330" w14:textId="12BCCC71" w:rsidR="005816FC" w:rsidRPr="00127BD1" w:rsidRDefault="005816FC" w:rsidP="005816FC">
            <w:pPr>
              <w:rPr>
                <w:rFonts w:ascii="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Yes</w:t>
            </w:r>
          </w:p>
        </w:tc>
      </w:tr>
      <w:tr w:rsidR="005816FC" w:rsidRPr="00127BD1" w14:paraId="61A6E0F9" w14:textId="77777777" w:rsidTr="007A36C3">
        <w:trPr>
          <w:trHeight w:val="300"/>
        </w:trPr>
        <w:tc>
          <w:tcPr>
            <w:tcW w:w="1179" w:type="pct"/>
            <w:noWrap/>
            <w:vAlign w:val="center"/>
          </w:tcPr>
          <w:p w14:paraId="7E06BD7C" w14:textId="77777777" w:rsidR="005816FC" w:rsidRPr="00127BD1" w:rsidRDefault="005816FC" w:rsidP="005816FC">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Borrower Country*Quarter FE</w:t>
            </w:r>
          </w:p>
        </w:tc>
        <w:tc>
          <w:tcPr>
            <w:tcW w:w="636" w:type="pct"/>
            <w:noWrap/>
          </w:tcPr>
          <w:p w14:paraId="63A0406C" w14:textId="00331C93" w:rsidR="005816FC" w:rsidRPr="00127BD1" w:rsidRDefault="005816FC" w:rsidP="005816FC">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Yes</w:t>
            </w:r>
          </w:p>
        </w:tc>
        <w:tc>
          <w:tcPr>
            <w:tcW w:w="637" w:type="pct"/>
          </w:tcPr>
          <w:p w14:paraId="15D44B2D" w14:textId="4EACF083" w:rsidR="005816FC" w:rsidRPr="00127BD1" w:rsidRDefault="005816FC" w:rsidP="005816FC">
            <w:pPr>
              <w:rPr>
                <w:rFonts w:ascii="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Yes</w:t>
            </w:r>
          </w:p>
        </w:tc>
        <w:tc>
          <w:tcPr>
            <w:tcW w:w="637" w:type="pct"/>
            <w:noWrap/>
          </w:tcPr>
          <w:p w14:paraId="0C54ABF5" w14:textId="42F85232" w:rsidR="005816FC" w:rsidRPr="00127BD1" w:rsidRDefault="005816FC" w:rsidP="005816FC">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Yes</w:t>
            </w:r>
          </w:p>
        </w:tc>
        <w:tc>
          <w:tcPr>
            <w:tcW w:w="637" w:type="pct"/>
          </w:tcPr>
          <w:p w14:paraId="275588BB" w14:textId="04D5AF22" w:rsidR="005816FC" w:rsidRPr="00127BD1" w:rsidRDefault="005816FC" w:rsidP="005816FC">
            <w:pPr>
              <w:rPr>
                <w:rFonts w:ascii="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Yes</w:t>
            </w:r>
          </w:p>
        </w:tc>
        <w:tc>
          <w:tcPr>
            <w:tcW w:w="637" w:type="pct"/>
            <w:noWrap/>
          </w:tcPr>
          <w:p w14:paraId="176B46A7" w14:textId="4A4EE0EA" w:rsidR="005816FC" w:rsidRPr="00127BD1" w:rsidRDefault="005816FC" w:rsidP="005816FC">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Yes</w:t>
            </w:r>
          </w:p>
        </w:tc>
        <w:tc>
          <w:tcPr>
            <w:tcW w:w="637" w:type="pct"/>
          </w:tcPr>
          <w:p w14:paraId="09822A8C" w14:textId="2775B678" w:rsidR="005816FC" w:rsidRPr="00127BD1" w:rsidRDefault="005816FC" w:rsidP="005816FC">
            <w:pPr>
              <w:rPr>
                <w:rFonts w:ascii="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Yes</w:t>
            </w:r>
          </w:p>
        </w:tc>
      </w:tr>
      <w:tr w:rsidR="005816FC" w:rsidRPr="00127BD1" w14:paraId="0B80211C" w14:textId="77777777" w:rsidTr="007A36C3">
        <w:trPr>
          <w:trHeight w:val="300"/>
        </w:trPr>
        <w:tc>
          <w:tcPr>
            <w:tcW w:w="1179" w:type="pct"/>
            <w:noWrap/>
            <w:vAlign w:val="center"/>
          </w:tcPr>
          <w:p w14:paraId="5A119F6D" w14:textId="299C3EEE" w:rsidR="005816FC" w:rsidRPr="00127BD1" w:rsidRDefault="005816FC" w:rsidP="005816FC">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Bank and Borrower Country Cluster</w:t>
            </w:r>
          </w:p>
        </w:tc>
        <w:tc>
          <w:tcPr>
            <w:tcW w:w="636" w:type="pct"/>
            <w:noWrap/>
          </w:tcPr>
          <w:p w14:paraId="711DF2CF" w14:textId="65D07BF0" w:rsidR="005816FC" w:rsidRPr="00127BD1" w:rsidRDefault="005816FC" w:rsidP="005816FC">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Yes</w:t>
            </w:r>
          </w:p>
        </w:tc>
        <w:tc>
          <w:tcPr>
            <w:tcW w:w="637" w:type="pct"/>
          </w:tcPr>
          <w:p w14:paraId="24F8E3B7" w14:textId="4A471697" w:rsidR="005816FC" w:rsidRPr="00127BD1" w:rsidRDefault="005816FC" w:rsidP="005816FC">
            <w:pPr>
              <w:rPr>
                <w:rFonts w:ascii="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Yes</w:t>
            </w:r>
          </w:p>
        </w:tc>
        <w:tc>
          <w:tcPr>
            <w:tcW w:w="637" w:type="pct"/>
            <w:noWrap/>
          </w:tcPr>
          <w:p w14:paraId="7B44A856" w14:textId="0CCA0023" w:rsidR="005816FC" w:rsidRPr="00127BD1" w:rsidRDefault="005816FC" w:rsidP="005816FC">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Yes</w:t>
            </w:r>
          </w:p>
        </w:tc>
        <w:tc>
          <w:tcPr>
            <w:tcW w:w="637" w:type="pct"/>
          </w:tcPr>
          <w:p w14:paraId="13FAE8AD" w14:textId="32F2A5DF" w:rsidR="005816FC" w:rsidRPr="00127BD1" w:rsidRDefault="005816FC" w:rsidP="005816FC">
            <w:pPr>
              <w:rPr>
                <w:rFonts w:ascii="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Yes</w:t>
            </w:r>
          </w:p>
        </w:tc>
        <w:tc>
          <w:tcPr>
            <w:tcW w:w="637" w:type="pct"/>
            <w:noWrap/>
          </w:tcPr>
          <w:p w14:paraId="1BBCEB06" w14:textId="49FE6B41" w:rsidR="005816FC" w:rsidRPr="00127BD1" w:rsidRDefault="005816FC" w:rsidP="005816FC">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Yes</w:t>
            </w:r>
          </w:p>
        </w:tc>
        <w:tc>
          <w:tcPr>
            <w:tcW w:w="637" w:type="pct"/>
          </w:tcPr>
          <w:p w14:paraId="3991052B" w14:textId="3094363B" w:rsidR="005816FC" w:rsidRPr="00127BD1" w:rsidRDefault="005816FC" w:rsidP="005816FC">
            <w:pPr>
              <w:rPr>
                <w:rFonts w:ascii="Times New Roman" w:hAnsi="Times New Roman" w:cs="Times New Roman"/>
                <w:color w:val="000000"/>
                <w:sz w:val="22"/>
                <w:szCs w:val="22"/>
              </w:rPr>
            </w:pPr>
            <w:r w:rsidRPr="00127BD1">
              <w:rPr>
                <w:rFonts w:ascii="Times New Roman" w:eastAsia="Times New Roman" w:hAnsi="Times New Roman" w:cs="Times New Roman"/>
                <w:color w:val="000000"/>
                <w:sz w:val="22"/>
                <w:szCs w:val="22"/>
              </w:rPr>
              <w:t>Yes</w:t>
            </w:r>
          </w:p>
        </w:tc>
      </w:tr>
    </w:tbl>
    <w:p w14:paraId="4D82E485" w14:textId="73E653E0" w:rsidR="00130990" w:rsidRPr="00127BD1" w:rsidRDefault="00130990" w:rsidP="00130990">
      <w:pPr>
        <w:rPr>
          <w:rFonts w:ascii="Times New Roman" w:hAnsi="Times New Roman" w:cs="Times New Roman"/>
          <w:sz w:val="20"/>
          <w:szCs w:val="20"/>
        </w:rPr>
      </w:pPr>
      <w:r w:rsidRPr="00127BD1">
        <w:rPr>
          <w:rFonts w:ascii="Times New Roman" w:hAnsi="Times New Roman" w:cs="Times New Roman"/>
          <w:sz w:val="20"/>
          <w:szCs w:val="20"/>
        </w:rPr>
        <w:t xml:space="preserve">Note: The dependent variables, </w:t>
      </w:r>
      <w:r w:rsidR="000F1B35">
        <w:rPr>
          <w:rFonts w:ascii="Times New Roman" w:hAnsi="Times New Roman" w:cs="Times New Roman"/>
          <w:sz w:val="20"/>
          <w:szCs w:val="20"/>
        </w:rPr>
        <w:t>AMOUNT</w:t>
      </w:r>
      <w:r w:rsidRPr="00127BD1">
        <w:rPr>
          <w:rFonts w:ascii="Times New Roman" w:hAnsi="Times New Roman" w:cs="Times New Roman"/>
          <w:sz w:val="20"/>
          <w:szCs w:val="20"/>
        </w:rPr>
        <w:t xml:space="preserve"> in the even-numbered columns, and Number in the odd-numbered columns, are at the bank-country-quarter level. The macroeconomic variables for the lender country are at the country-quarter level. Variable definitions are found in </w:t>
      </w:r>
      <w:r w:rsidR="004D58AF" w:rsidRPr="00127BD1">
        <w:rPr>
          <w:rFonts w:ascii="Times New Roman" w:hAnsi="Times New Roman" w:cs="Times New Roman"/>
          <w:sz w:val="20"/>
          <w:szCs w:val="20"/>
        </w:rPr>
        <w:t xml:space="preserve">the </w:t>
      </w:r>
      <w:r w:rsidRPr="00127BD1">
        <w:rPr>
          <w:rFonts w:ascii="Times New Roman" w:hAnsi="Times New Roman" w:cs="Times New Roman"/>
          <w:sz w:val="20"/>
          <w:szCs w:val="20"/>
        </w:rPr>
        <w:t xml:space="preserve">Appendix. Borrower country*quarter fixed effects are included in all regressions. t-statistics in parentheses are calculated using standard errors clustered at source-recipient levels. *** denotes 1% </w:t>
      </w:r>
      <w:r w:rsidR="006C5335" w:rsidRPr="00127BD1">
        <w:rPr>
          <w:rFonts w:ascii="Times New Roman" w:hAnsi="Times New Roman" w:cs="Times New Roman"/>
          <w:sz w:val="20"/>
          <w:szCs w:val="20"/>
        </w:rPr>
        <w:t xml:space="preserve">significance </w:t>
      </w:r>
      <w:r w:rsidRPr="00127BD1">
        <w:rPr>
          <w:rFonts w:ascii="Times New Roman" w:hAnsi="Times New Roman" w:cs="Times New Roman"/>
          <w:sz w:val="20"/>
          <w:szCs w:val="20"/>
        </w:rPr>
        <w:t xml:space="preserve">level, ** denotes 5% significance level, and * denotes 10% significance level. </w:t>
      </w:r>
    </w:p>
    <w:p w14:paraId="3185A8BF" w14:textId="77777777" w:rsidR="00130990" w:rsidRPr="00127BD1" w:rsidRDefault="00130990" w:rsidP="00130990">
      <w:pPr>
        <w:rPr>
          <w:rFonts w:ascii="Times New Roman" w:hAnsi="Times New Roman" w:cs="Times New Roman"/>
          <w:sz w:val="22"/>
          <w:szCs w:val="22"/>
        </w:rPr>
        <w:sectPr w:rsidR="00130990" w:rsidRPr="00127BD1" w:rsidSect="00C8430E">
          <w:pgSz w:w="16838" w:h="11906" w:orient="landscape"/>
          <w:pgMar w:top="720" w:right="720" w:bottom="720" w:left="720" w:header="708" w:footer="708" w:gutter="0"/>
          <w:cols w:space="708"/>
          <w:docGrid w:linePitch="360"/>
        </w:sectPr>
      </w:pPr>
    </w:p>
    <w:p w14:paraId="6FA76679" w14:textId="15E3A390" w:rsidR="00130990" w:rsidRPr="00127BD1" w:rsidRDefault="00130990" w:rsidP="00C31CAA">
      <w:pPr>
        <w:spacing w:line="360" w:lineRule="auto"/>
        <w:rPr>
          <w:rFonts w:ascii="Times New Roman" w:hAnsi="Times New Roman" w:cs="Times New Roman"/>
          <w:sz w:val="22"/>
          <w:szCs w:val="22"/>
        </w:rPr>
      </w:pPr>
      <w:r w:rsidRPr="00127BD1">
        <w:rPr>
          <w:rFonts w:ascii="Times New Roman" w:hAnsi="Times New Roman" w:cs="Times New Roman"/>
          <w:b/>
          <w:bCs/>
          <w:sz w:val="22"/>
          <w:szCs w:val="22"/>
        </w:rPr>
        <w:lastRenderedPageBreak/>
        <w:t xml:space="preserve">Table </w:t>
      </w:r>
      <w:r w:rsidR="009D42ED" w:rsidRPr="00FC6C1F">
        <w:rPr>
          <w:rFonts w:ascii="Times New Roman" w:hAnsi="Times New Roman" w:cs="Times New Roman"/>
          <w:b/>
          <w:bCs/>
          <w:sz w:val="22"/>
          <w:szCs w:val="22"/>
        </w:rPr>
        <w:t>8</w:t>
      </w:r>
      <w:r w:rsidRPr="00127BD1">
        <w:rPr>
          <w:rFonts w:ascii="Times New Roman" w:hAnsi="Times New Roman" w:cs="Times New Roman"/>
          <w:sz w:val="22"/>
          <w:szCs w:val="22"/>
        </w:rPr>
        <w:t xml:space="preserve"> Robustness analysis 2SLS and </w:t>
      </w:r>
      <w:r w:rsidR="00FC6C1F">
        <w:rPr>
          <w:rFonts w:ascii="Times New Roman" w:hAnsi="Times New Roman" w:cs="Times New Roman"/>
          <w:sz w:val="22"/>
          <w:szCs w:val="22"/>
        </w:rPr>
        <w:t xml:space="preserve">system </w:t>
      </w:r>
      <w:r w:rsidRPr="00127BD1">
        <w:rPr>
          <w:rFonts w:ascii="Times New Roman" w:hAnsi="Times New Roman" w:cs="Times New Roman"/>
          <w:sz w:val="22"/>
          <w:szCs w:val="22"/>
        </w:rPr>
        <w:t>GMM</w:t>
      </w:r>
    </w:p>
    <w:tbl>
      <w:tblPr>
        <w:tblW w:w="5000" w:type="pct"/>
        <w:tblBorders>
          <w:top w:val="single" w:sz="4" w:space="0" w:color="auto"/>
          <w:bottom w:val="single" w:sz="4" w:space="0" w:color="auto"/>
        </w:tblBorders>
        <w:tblLook w:val="04A0" w:firstRow="1" w:lastRow="0" w:firstColumn="1" w:lastColumn="0" w:noHBand="0" w:noVBand="1"/>
      </w:tblPr>
      <w:tblGrid>
        <w:gridCol w:w="3445"/>
        <w:gridCol w:w="1860"/>
        <w:gridCol w:w="1862"/>
        <w:gridCol w:w="1859"/>
      </w:tblGrid>
      <w:tr w:rsidR="00130990" w:rsidRPr="00127BD1" w14:paraId="5A72324E" w14:textId="77777777" w:rsidTr="00EC4DE0">
        <w:trPr>
          <w:trHeight w:val="300"/>
        </w:trPr>
        <w:tc>
          <w:tcPr>
            <w:tcW w:w="1908" w:type="pct"/>
            <w:tcBorders>
              <w:top w:val="single" w:sz="4" w:space="0" w:color="auto"/>
              <w:bottom w:val="single" w:sz="4" w:space="0" w:color="auto"/>
            </w:tcBorders>
            <w:noWrap/>
            <w:hideMark/>
          </w:tcPr>
          <w:p w14:paraId="04132DEA" w14:textId="77777777" w:rsidR="00130990" w:rsidRPr="00127BD1" w:rsidRDefault="00130990" w:rsidP="00EC4DE0">
            <w:pPr>
              <w:rPr>
                <w:rFonts w:ascii="Times New Roman" w:eastAsia="Times New Roman" w:hAnsi="Times New Roman" w:cs="Times New Roman"/>
                <w:sz w:val="22"/>
                <w:szCs w:val="22"/>
              </w:rPr>
            </w:pPr>
          </w:p>
        </w:tc>
        <w:tc>
          <w:tcPr>
            <w:tcW w:w="1030" w:type="pct"/>
            <w:tcBorders>
              <w:top w:val="single" w:sz="4" w:space="0" w:color="auto"/>
              <w:bottom w:val="single" w:sz="4" w:space="0" w:color="auto"/>
            </w:tcBorders>
            <w:noWrap/>
            <w:hideMark/>
          </w:tcPr>
          <w:p w14:paraId="6ED52A85"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(1)</w:t>
            </w:r>
          </w:p>
        </w:tc>
        <w:tc>
          <w:tcPr>
            <w:tcW w:w="1031" w:type="pct"/>
            <w:tcBorders>
              <w:top w:val="single" w:sz="4" w:space="0" w:color="auto"/>
              <w:bottom w:val="single" w:sz="4" w:space="0" w:color="auto"/>
            </w:tcBorders>
          </w:tcPr>
          <w:p w14:paraId="02CD1938"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(2)</w:t>
            </w:r>
          </w:p>
        </w:tc>
        <w:tc>
          <w:tcPr>
            <w:tcW w:w="1030" w:type="pct"/>
            <w:tcBorders>
              <w:top w:val="single" w:sz="4" w:space="0" w:color="auto"/>
              <w:bottom w:val="single" w:sz="4" w:space="0" w:color="auto"/>
            </w:tcBorders>
          </w:tcPr>
          <w:p w14:paraId="114D3836"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eastAsia="Times New Roman" w:hAnsi="Times New Roman" w:cs="Times New Roman"/>
                <w:color w:val="000000"/>
                <w:sz w:val="22"/>
                <w:szCs w:val="22"/>
              </w:rPr>
              <w:t>(3)</w:t>
            </w:r>
          </w:p>
        </w:tc>
      </w:tr>
      <w:tr w:rsidR="00130990" w:rsidRPr="00127BD1" w14:paraId="39156683" w14:textId="77777777" w:rsidTr="00EC4DE0">
        <w:trPr>
          <w:trHeight w:val="300"/>
        </w:trPr>
        <w:tc>
          <w:tcPr>
            <w:tcW w:w="1908" w:type="pct"/>
            <w:noWrap/>
          </w:tcPr>
          <w:p w14:paraId="6A00BE23" w14:textId="77777777" w:rsidR="00130990" w:rsidRPr="00127BD1" w:rsidRDefault="00130990" w:rsidP="00EC4DE0">
            <w:pPr>
              <w:rPr>
                <w:rFonts w:ascii="Times New Roman" w:hAnsi="Times New Roman" w:cs="Times New Roman"/>
                <w:sz w:val="22"/>
                <w:szCs w:val="22"/>
              </w:rPr>
            </w:pPr>
            <w:r w:rsidRPr="00127BD1">
              <w:rPr>
                <w:rFonts w:ascii="Times New Roman" w:hAnsi="Times New Roman" w:cs="Times New Roman"/>
                <w:sz w:val="22"/>
                <w:szCs w:val="22"/>
              </w:rPr>
              <w:t>Dependent Variable:</w:t>
            </w:r>
          </w:p>
        </w:tc>
        <w:tc>
          <w:tcPr>
            <w:tcW w:w="1030" w:type="pct"/>
            <w:noWrap/>
          </w:tcPr>
          <w:p w14:paraId="398B42D2" w14:textId="77777777" w:rsidR="00130990" w:rsidRPr="00127BD1" w:rsidRDefault="00130990" w:rsidP="00EC4DE0">
            <w:pPr>
              <w:rPr>
                <w:rFonts w:ascii="Times New Roman" w:hAnsi="Times New Roman" w:cs="Times New Roman"/>
                <w:i/>
                <w:iCs/>
                <w:color w:val="000000"/>
                <w:sz w:val="22"/>
                <w:szCs w:val="22"/>
              </w:rPr>
            </w:pPr>
            <w:r w:rsidRPr="00127BD1">
              <w:rPr>
                <w:rFonts w:ascii="Times New Roman" w:hAnsi="Times New Roman" w:cs="Times New Roman"/>
                <w:i/>
                <w:iCs/>
                <w:sz w:val="22"/>
                <w:szCs w:val="22"/>
              </w:rPr>
              <w:t>GCLAIM</w:t>
            </w:r>
          </w:p>
        </w:tc>
        <w:tc>
          <w:tcPr>
            <w:tcW w:w="1031" w:type="pct"/>
          </w:tcPr>
          <w:p w14:paraId="2E8F40AA" w14:textId="77777777" w:rsidR="00130990" w:rsidRPr="00127BD1" w:rsidRDefault="00130990" w:rsidP="00EC4DE0">
            <w:pPr>
              <w:rPr>
                <w:rFonts w:ascii="Times New Roman" w:hAnsi="Times New Roman" w:cs="Times New Roman"/>
                <w:i/>
                <w:iCs/>
                <w:color w:val="000000"/>
                <w:sz w:val="22"/>
                <w:szCs w:val="22"/>
              </w:rPr>
            </w:pPr>
            <w:r w:rsidRPr="00127BD1">
              <w:rPr>
                <w:rFonts w:ascii="Times New Roman" w:hAnsi="Times New Roman" w:cs="Times New Roman"/>
                <w:i/>
                <w:iCs/>
                <w:color w:val="000000"/>
                <w:sz w:val="22"/>
                <w:szCs w:val="22"/>
              </w:rPr>
              <w:t>NUMBER</w:t>
            </w:r>
          </w:p>
        </w:tc>
        <w:tc>
          <w:tcPr>
            <w:tcW w:w="1030" w:type="pct"/>
          </w:tcPr>
          <w:p w14:paraId="48B09372" w14:textId="3AEEA2F2" w:rsidR="00130990" w:rsidRPr="00127BD1" w:rsidRDefault="000F1B35" w:rsidP="00EC4DE0">
            <w:pPr>
              <w:rPr>
                <w:rFonts w:ascii="Times New Roman" w:hAnsi="Times New Roman" w:cs="Times New Roman"/>
                <w:i/>
                <w:iCs/>
                <w:color w:val="000000"/>
                <w:sz w:val="22"/>
                <w:szCs w:val="22"/>
              </w:rPr>
            </w:pPr>
            <w:r>
              <w:rPr>
                <w:rFonts w:ascii="Times New Roman" w:hAnsi="Times New Roman" w:cs="Times New Roman"/>
                <w:i/>
                <w:iCs/>
                <w:color w:val="000000"/>
                <w:sz w:val="22"/>
                <w:szCs w:val="22"/>
              </w:rPr>
              <w:t>AMOUNT</w:t>
            </w:r>
          </w:p>
        </w:tc>
      </w:tr>
      <w:tr w:rsidR="00130990" w:rsidRPr="00127BD1" w14:paraId="61514D61" w14:textId="77777777" w:rsidTr="00EC4DE0">
        <w:trPr>
          <w:trHeight w:val="300"/>
        </w:trPr>
        <w:tc>
          <w:tcPr>
            <w:tcW w:w="1908" w:type="pct"/>
            <w:noWrap/>
          </w:tcPr>
          <w:p w14:paraId="050A913A" w14:textId="540EDC4B" w:rsidR="00130990" w:rsidRPr="00127BD1" w:rsidRDefault="00130990" w:rsidP="00EC4DE0">
            <w:pPr>
              <w:rPr>
                <w:rFonts w:ascii="Times New Roman" w:hAnsi="Times New Roman" w:cs="Times New Roman"/>
                <w:sz w:val="22"/>
                <w:szCs w:val="22"/>
              </w:rPr>
            </w:pPr>
            <w:r w:rsidRPr="00127BD1">
              <w:rPr>
                <w:rFonts w:ascii="Times New Roman" w:hAnsi="Times New Roman" w:cs="Times New Roman"/>
                <w:sz w:val="22"/>
                <w:szCs w:val="22"/>
              </w:rPr>
              <w:t xml:space="preserve">lag </w:t>
            </w:r>
            <w:r w:rsidR="000F1B35">
              <w:rPr>
                <w:rFonts w:ascii="Times New Roman" w:hAnsi="Times New Roman" w:cs="Times New Roman"/>
                <w:sz w:val="22"/>
                <w:szCs w:val="22"/>
              </w:rPr>
              <w:t>AMOUNT</w:t>
            </w:r>
          </w:p>
        </w:tc>
        <w:tc>
          <w:tcPr>
            <w:tcW w:w="1030" w:type="pct"/>
            <w:noWrap/>
          </w:tcPr>
          <w:p w14:paraId="01720530" w14:textId="77777777" w:rsidR="00130990" w:rsidRPr="00127BD1" w:rsidRDefault="00130990" w:rsidP="00EC4DE0">
            <w:pPr>
              <w:rPr>
                <w:rFonts w:ascii="Times New Roman" w:hAnsi="Times New Roman" w:cs="Times New Roman"/>
                <w:color w:val="000000"/>
                <w:sz w:val="22"/>
                <w:szCs w:val="22"/>
              </w:rPr>
            </w:pPr>
          </w:p>
        </w:tc>
        <w:tc>
          <w:tcPr>
            <w:tcW w:w="1031" w:type="pct"/>
          </w:tcPr>
          <w:p w14:paraId="0E3DAEE0" w14:textId="77777777" w:rsidR="00130990" w:rsidRPr="00127BD1" w:rsidRDefault="00130990" w:rsidP="00EC4DE0">
            <w:pPr>
              <w:rPr>
                <w:rFonts w:ascii="Times New Roman" w:hAnsi="Times New Roman" w:cs="Times New Roman"/>
                <w:color w:val="000000"/>
                <w:sz w:val="22"/>
                <w:szCs w:val="22"/>
              </w:rPr>
            </w:pPr>
          </w:p>
        </w:tc>
        <w:tc>
          <w:tcPr>
            <w:tcW w:w="1030" w:type="pct"/>
          </w:tcPr>
          <w:p w14:paraId="6F6A6FD6"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-0.0158</w:t>
            </w:r>
          </w:p>
        </w:tc>
      </w:tr>
      <w:tr w:rsidR="00130990" w:rsidRPr="00127BD1" w14:paraId="62A43205" w14:textId="77777777" w:rsidTr="00EC4DE0">
        <w:trPr>
          <w:trHeight w:val="300"/>
        </w:trPr>
        <w:tc>
          <w:tcPr>
            <w:tcW w:w="1908" w:type="pct"/>
            <w:noWrap/>
          </w:tcPr>
          <w:p w14:paraId="07126260" w14:textId="77777777" w:rsidR="00130990" w:rsidRPr="00127BD1" w:rsidRDefault="00130990" w:rsidP="00EC4DE0">
            <w:pPr>
              <w:rPr>
                <w:rFonts w:ascii="Times New Roman" w:hAnsi="Times New Roman" w:cs="Times New Roman"/>
                <w:sz w:val="22"/>
                <w:szCs w:val="22"/>
              </w:rPr>
            </w:pPr>
          </w:p>
        </w:tc>
        <w:tc>
          <w:tcPr>
            <w:tcW w:w="1030" w:type="pct"/>
            <w:noWrap/>
          </w:tcPr>
          <w:p w14:paraId="6754B212" w14:textId="77777777" w:rsidR="00130990" w:rsidRPr="00127BD1" w:rsidRDefault="00130990" w:rsidP="00EC4DE0">
            <w:pPr>
              <w:rPr>
                <w:rFonts w:ascii="Times New Roman" w:hAnsi="Times New Roman" w:cs="Times New Roman"/>
                <w:color w:val="000000"/>
                <w:sz w:val="22"/>
                <w:szCs w:val="22"/>
              </w:rPr>
            </w:pPr>
          </w:p>
        </w:tc>
        <w:tc>
          <w:tcPr>
            <w:tcW w:w="1031" w:type="pct"/>
          </w:tcPr>
          <w:p w14:paraId="37405B65" w14:textId="77777777" w:rsidR="00130990" w:rsidRPr="00127BD1" w:rsidRDefault="00130990" w:rsidP="00EC4DE0">
            <w:pPr>
              <w:rPr>
                <w:rFonts w:ascii="Times New Roman" w:hAnsi="Times New Roman" w:cs="Times New Roman"/>
                <w:color w:val="000000"/>
                <w:sz w:val="22"/>
                <w:szCs w:val="22"/>
              </w:rPr>
            </w:pPr>
          </w:p>
        </w:tc>
        <w:tc>
          <w:tcPr>
            <w:tcW w:w="1030" w:type="pct"/>
          </w:tcPr>
          <w:p w14:paraId="3AFEF906"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(0.0191)</w:t>
            </w:r>
          </w:p>
        </w:tc>
      </w:tr>
      <w:tr w:rsidR="00130990" w:rsidRPr="00127BD1" w14:paraId="44BC4273" w14:textId="77777777" w:rsidTr="00EC4DE0">
        <w:trPr>
          <w:trHeight w:val="300"/>
        </w:trPr>
        <w:tc>
          <w:tcPr>
            <w:tcW w:w="1908" w:type="pct"/>
            <w:noWrap/>
          </w:tcPr>
          <w:p w14:paraId="501FD7A9" w14:textId="77777777" w:rsidR="00130990" w:rsidRPr="00127BD1" w:rsidRDefault="00130990" w:rsidP="00EC4DE0">
            <w:pPr>
              <w:rPr>
                <w:rFonts w:ascii="Times New Roman" w:hAnsi="Times New Roman" w:cs="Times New Roman"/>
                <w:sz w:val="22"/>
                <w:szCs w:val="22"/>
              </w:rPr>
            </w:pPr>
            <w:r w:rsidRPr="00127BD1">
              <w:rPr>
                <w:rFonts w:ascii="Times New Roman" w:hAnsi="Times New Roman" w:cs="Times New Roman"/>
                <w:sz w:val="22"/>
                <w:szCs w:val="22"/>
              </w:rPr>
              <w:t>lag NUMBER</w:t>
            </w:r>
          </w:p>
        </w:tc>
        <w:tc>
          <w:tcPr>
            <w:tcW w:w="1030" w:type="pct"/>
            <w:noWrap/>
          </w:tcPr>
          <w:p w14:paraId="70A1532C" w14:textId="77777777" w:rsidR="00130990" w:rsidRPr="00127BD1" w:rsidRDefault="00130990" w:rsidP="00EC4DE0">
            <w:pPr>
              <w:rPr>
                <w:rFonts w:ascii="Times New Roman" w:hAnsi="Times New Roman" w:cs="Times New Roman"/>
                <w:color w:val="000000"/>
                <w:sz w:val="22"/>
                <w:szCs w:val="22"/>
              </w:rPr>
            </w:pPr>
          </w:p>
        </w:tc>
        <w:tc>
          <w:tcPr>
            <w:tcW w:w="1031" w:type="pct"/>
          </w:tcPr>
          <w:p w14:paraId="7800A496"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0.0850</w:t>
            </w:r>
          </w:p>
        </w:tc>
        <w:tc>
          <w:tcPr>
            <w:tcW w:w="1030" w:type="pct"/>
          </w:tcPr>
          <w:p w14:paraId="4BB6F405" w14:textId="77777777" w:rsidR="00130990" w:rsidRPr="00127BD1" w:rsidRDefault="00130990" w:rsidP="00EC4DE0">
            <w:pPr>
              <w:rPr>
                <w:rFonts w:ascii="Times New Roman" w:hAnsi="Times New Roman" w:cs="Times New Roman"/>
                <w:color w:val="000000"/>
                <w:sz w:val="22"/>
                <w:szCs w:val="22"/>
              </w:rPr>
            </w:pPr>
          </w:p>
        </w:tc>
      </w:tr>
      <w:tr w:rsidR="00130990" w:rsidRPr="00127BD1" w14:paraId="66A9238C" w14:textId="77777777" w:rsidTr="00EC4DE0">
        <w:trPr>
          <w:trHeight w:val="722"/>
        </w:trPr>
        <w:tc>
          <w:tcPr>
            <w:tcW w:w="1908" w:type="pct"/>
            <w:noWrap/>
          </w:tcPr>
          <w:p w14:paraId="054E1F6E" w14:textId="77777777" w:rsidR="00130990" w:rsidRPr="00127BD1" w:rsidRDefault="00130990" w:rsidP="00EC4DE0">
            <w:pPr>
              <w:rPr>
                <w:rFonts w:ascii="Times New Roman" w:hAnsi="Times New Roman" w:cs="Times New Roman"/>
                <w:sz w:val="22"/>
                <w:szCs w:val="22"/>
              </w:rPr>
            </w:pPr>
          </w:p>
        </w:tc>
        <w:tc>
          <w:tcPr>
            <w:tcW w:w="1030" w:type="pct"/>
            <w:noWrap/>
          </w:tcPr>
          <w:p w14:paraId="211876C9" w14:textId="77777777" w:rsidR="00130990" w:rsidRPr="00127BD1" w:rsidRDefault="00130990" w:rsidP="00EC4DE0">
            <w:pPr>
              <w:rPr>
                <w:rFonts w:ascii="Times New Roman" w:hAnsi="Times New Roman" w:cs="Times New Roman"/>
                <w:color w:val="000000"/>
                <w:sz w:val="22"/>
                <w:szCs w:val="22"/>
              </w:rPr>
            </w:pPr>
          </w:p>
        </w:tc>
        <w:tc>
          <w:tcPr>
            <w:tcW w:w="1031" w:type="pct"/>
          </w:tcPr>
          <w:p w14:paraId="4291BCDC"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(0.1427)</w:t>
            </w:r>
          </w:p>
        </w:tc>
        <w:tc>
          <w:tcPr>
            <w:tcW w:w="1030" w:type="pct"/>
          </w:tcPr>
          <w:p w14:paraId="6C071478" w14:textId="77777777" w:rsidR="00130990" w:rsidRPr="00127BD1" w:rsidRDefault="00130990" w:rsidP="00EC4DE0">
            <w:pPr>
              <w:rPr>
                <w:rFonts w:ascii="Times New Roman" w:hAnsi="Times New Roman" w:cs="Times New Roman"/>
                <w:color w:val="000000"/>
                <w:sz w:val="22"/>
                <w:szCs w:val="22"/>
              </w:rPr>
            </w:pPr>
          </w:p>
        </w:tc>
      </w:tr>
      <w:tr w:rsidR="00130990" w:rsidRPr="001D4CD5" w14:paraId="4DA9742C" w14:textId="77777777" w:rsidTr="00EC4DE0">
        <w:trPr>
          <w:trHeight w:val="300"/>
        </w:trPr>
        <w:tc>
          <w:tcPr>
            <w:tcW w:w="1908" w:type="pct"/>
            <w:noWrap/>
            <w:hideMark/>
          </w:tcPr>
          <w:p w14:paraId="01C597B1" w14:textId="69B1E696"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sz w:val="22"/>
                <w:szCs w:val="22"/>
              </w:rPr>
              <w:t>lag AM</w:t>
            </w:r>
            <w:r w:rsidR="00D8347E" w:rsidRPr="00127BD1">
              <w:rPr>
                <w:rFonts w:ascii="Times New Roman" w:hAnsi="Times New Roman" w:cs="Times New Roman"/>
                <w:sz w:val="22"/>
                <w:szCs w:val="22"/>
              </w:rPr>
              <w:t>B</w:t>
            </w:r>
          </w:p>
        </w:tc>
        <w:tc>
          <w:tcPr>
            <w:tcW w:w="1030" w:type="pct"/>
            <w:noWrap/>
            <w:hideMark/>
          </w:tcPr>
          <w:p w14:paraId="14590F03" w14:textId="77777777" w:rsidR="00130990" w:rsidRPr="00127BD1"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0.0251**</w:t>
            </w:r>
          </w:p>
        </w:tc>
        <w:tc>
          <w:tcPr>
            <w:tcW w:w="1031" w:type="pct"/>
          </w:tcPr>
          <w:p w14:paraId="37A191ED" w14:textId="77777777" w:rsidR="00130990" w:rsidRPr="00127BD1" w:rsidRDefault="00130990" w:rsidP="00EC4DE0">
            <w:pPr>
              <w:rPr>
                <w:rFonts w:ascii="Times New Roman" w:hAnsi="Times New Roman" w:cs="Times New Roman"/>
                <w:color w:val="000000"/>
                <w:sz w:val="22"/>
                <w:szCs w:val="22"/>
              </w:rPr>
            </w:pPr>
            <w:r w:rsidRPr="00127BD1">
              <w:rPr>
                <w:rFonts w:ascii="Times New Roman" w:hAnsi="Times New Roman" w:cs="Times New Roman"/>
                <w:color w:val="000000"/>
                <w:sz w:val="22"/>
                <w:szCs w:val="22"/>
              </w:rPr>
              <w:t>0.7501**</w:t>
            </w:r>
          </w:p>
        </w:tc>
        <w:tc>
          <w:tcPr>
            <w:tcW w:w="1030" w:type="pct"/>
          </w:tcPr>
          <w:p w14:paraId="4C68058B" w14:textId="77777777" w:rsidR="00130990" w:rsidRPr="001D4CD5" w:rsidRDefault="00130990" w:rsidP="00EC4DE0">
            <w:pPr>
              <w:rPr>
                <w:rFonts w:ascii="Times New Roman" w:eastAsia="Times New Roman" w:hAnsi="Times New Roman" w:cs="Times New Roman"/>
                <w:color w:val="000000"/>
                <w:sz w:val="22"/>
                <w:szCs w:val="22"/>
              </w:rPr>
            </w:pPr>
            <w:r w:rsidRPr="00127BD1">
              <w:rPr>
                <w:rFonts w:ascii="Times New Roman" w:hAnsi="Times New Roman" w:cs="Times New Roman"/>
                <w:color w:val="000000"/>
                <w:sz w:val="22"/>
                <w:szCs w:val="22"/>
              </w:rPr>
              <w:t>2.2404**</w:t>
            </w:r>
          </w:p>
        </w:tc>
      </w:tr>
      <w:tr w:rsidR="00130990" w:rsidRPr="001D4CD5" w14:paraId="7BBBEE6E" w14:textId="77777777" w:rsidTr="00EC4DE0">
        <w:trPr>
          <w:trHeight w:val="300"/>
        </w:trPr>
        <w:tc>
          <w:tcPr>
            <w:tcW w:w="1908" w:type="pct"/>
            <w:noWrap/>
            <w:hideMark/>
          </w:tcPr>
          <w:p w14:paraId="78DA8B2E" w14:textId="77777777" w:rsidR="00130990" w:rsidRPr="001D4CD5" w:rsidRDefault="00130990" w:rsidP="00EC4DE0">
            <w:pPr>
              <w:rPr>
                <w:rFonts w:ascii="Times New Roman" w:eastAsia="Times New Roman" w:hAnsi="Times New Roman" w:cs="Times New Roman"/>
                <w:color w:val="000000"/>
                <w:sz w:val="22"/>
                <w:szCs w:val="22"/>
              </w:rPr>
            </w:pPr>
          </w:p>
        </w:tc>
        <w:tc>
          <w:tcPr>
            <w:tcW w:w="1030" w:type="pct"/>
            <w:noWrap/>
            <w:hideMark/>
          </w:tcPr>
          <w:p w14:paraId="731A63B0"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hAnsi="Times New Roman" w:cs="Times New Roman"/>
                <w:color w:val="000000"/>
                <w:sz w:val="22"/>
                <w:szCs w:val="22"/>
              </w:rPr>
              <w:t>(0.0126)</w:t>
            </w:r>
          </w:p>
        </w:tc>
        <w:tc>
          <w:tcPr>
            <w:tcW w:w="1031" w:type="pct"/>
          </w:tcPr>
          <w:p w14:paraId="566F3A11" w14:textId="77777777" w:rsidR="00130990" w:rsidRPr="001D4CD5" w:rsidRDefault="00130990" w:rsidP="00EC4DE0">
            <w:pPr>
              <w:rPr>
                <w:rFonts w:ascii="Times New Roman" w:hAnsi="Times New Roman" w:cs="Times New Roman"/>
                <w:color w:val="000000"/>
                <w:sz w:val="22"/>
                <w:szCs w:val="22"/>
              </w:rPr>
            </w:pPr>
            <w:r w:rsidRPr="001D4CD5">
              <w:rPr>
                <w:rFonts w:ascii="Times New Roman" w:hAnsi="Times New Roman" w:cs="Times New Roman"/>
                <w:color w:val="000000"/>
                <w:sz w:val="22"/>
                <w:szCs w:val="22"/>
              </w:rPr>
              <w:t>(0.3554)</w:t>
            </w:r>
          </w:p>
        </w:tc>
        <w:tc>
          <w:tcPr>
            <w:tcW w:w="1030" w:type="pct"/>
          </w:tcPr>
          <w:p w14:paraId="04138402"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hAnsi="Times New Roman" w:cs="Times New Roman"/>
                <w:color w:val="000000"/>
                <w:sz w:val="22"/>
                <w:szCs w:val="22"/>
              </w:rPr>
              <w:t>(1.0072)</w:t>
            </w:r>
          </w:p>
        </w:tc>
      </w:tr>
      <w:tr w:rsidR="00130990" w:rsidRPr="001D4CD5" w14:paraId="4BDBD371" w14:textId="77777777" w:rsidTr="00EC4DE0">
        <w:trPr>
          <w:trHeight w:val="300"/>
        </w:trPr>
        <w:tc>
          <w:tcPr>
            <w:tcW w:w="1908" w:type="pct"/>
            <w:noWrap/>
            <w:vAlign w:val="bottom"/>
            <w:hideMark/>
          </w:tcPr>
          <w:p w14:paraId="73B6EA85"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eastAsia="Times New Roman" w:hAnsi="Times New Roman" w:cs="Times New Roman"/>
                <w:color w:val="000000"/>
                <w:sz w:val="22"/>
                <w:szCs w:val="22"/>
              </w:rPr>
              <w:t>lag RGDPG</w:t>
            </w:r>
          </w:p>
        </w:tc>
        <w:tc>
          <w:tcPr>
            <w:tcW w:w="1030" w:type="pct"/>
            <w:noWrap/>
            <w:hideMark/>
          </w:tcPr>
          <w:p w14:paraId="4B4FD432"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hAnsi="Times New Roman" w:cs="Times New Roman"/>
                <w:color w:val="000000"/>
                <w:sz w:val="22"/>
                <w:szCs w:val="22"/>
              </w:rPr>
              <w:t>0.0008***</w:t>
            </w:r>
          </w:p>
        </w:tc>
        <w:tc>
          <w:tcPr>
            <w:tcW w:w="1031" w:type="pct"/>
          </w:tcPr>
          <w:p w14:paraId="508C60F3" w14:textId="77777777" w:rsidR="00130990" w:rsidRPr="001D4CD5" w:rsidRDefault="00130990" w:rsidP="00EC4DE0">
            <w:pPr>
              <w:rPr>
                <w:rFonts w:ascii="Times New Roman" w:hAnsi="Times New Roman" w:cs="Times New Roman"/>
                <w:color w:val="000000"/>
                <w:sz w:val="22"/>
                <w:szCs w:val="22"/>
              </w:rPr>
            </w:pPr>
            <w:r w:rsidRPr="001D4CD5">
              <w:rPr>
                <w:rFonts w:ascii="Times New Roman" w:hAnsi="Times New Roman" w:cs="Times New Roman"/>
                <w:color w:val="000000"/>
                <w:sz w:val="22"/>
                <w:szCs w:val="22"/>
              </w:rPr>
              <w:t>-0.0087</w:t>
            </w:r>
          </w:p>
        </w:tc>
        <w:tc>
          <w:tcPr>
            <w:tcW w:w="1030" w:type="pct"/>
          </w:tcPr>
          <w:p w14:paraId="34701B80"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hAnsi="Times New Roman" w:cs="Times New Roman"/>
                <w:color w:val="000000"/>
                <w:sz w:val="22"/>
                <w:szCs w:val="22"/>
              </w:rPr>
              <w:t>0.3797***</w:t>
            </w:r>
          </w:p>
        </w:tc>
      </w:tr>
      <w:tr w:rsidR="00130990" w:rsidRPr="001D4CD5" w14:paraId="49629D7D" w14:textId="77777777" w:rsidTr="00EC4DE0">
        <w:trPr>
          <w:trHeight w:val="300"/>
        </w:trPr>
        <w:tc>
          <w:tcPr>
            <w:tcW w:w="1908" w:type="pct"/>
            <w:noWrap/>
            <w:vAlign w:val="bottom"/>
            <w:hideMark/>
          </w:tcPr>
          <w:p w14:paraId="4B4B7D00" w14:textId="77777777" w:rsidR="00130990" w:rsidRPr="001D4CD5" w:rsidRDefault="00130990" w:rsidP="00EC4DE0">
            <w:pPr>
              <w:rPr>
                <w:rFonts w:ascii="Times New Roman" w:eastAsia="Times New Roman" w:hAnsi="Times New Roman" w:cs="Times New Roman"/>
                <w:color w:val="000000"/>
                <w:sz w:val="22"/>
                <w:szCs w:val="22"/>
              </w:rPr>
            </w:pPr>
          </w:p>
        </w:tc>
        <w:tc>
          <w:tcPr>
            <w:tcW w:w="1030" w:type="pct"/>
            <w:noWrap/>
            <w:hideMark/>
          </w:tcPr>
          <w:p w14:paraId="2A0758DF"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hAnsi="Times New Roman" w:cs="Times New Roman"/>
                <w:color w:val="000000"/>
                <w:sz w:val="22"/>
                <w:szCs w:val="22"/>
              </w:rPr>
              <w:t>(0.0002)</w:t>
            </w:r>
          </w:p>
        </w:tc>
        <w:tc>
          <w:tcPr>
            <w:tcW w:w="1031" w:type="pct"/>
          </w:tcPr>
          <w:p w14:paraId="76E91DC1" w14:textId="77777777" w:rsidR="00130990" w:rsidRPr="001D4CD5" w:rsidRDefault="00130990" w:rsidP="00EC4DE0">
            <w:pPr>
              <w:rPr>
                <w:rFonts w:ascii="Times New Roman" w:hAnsi="Times New Roman" w:cs="Times New Roman"/>
                <w:color w:val="000000"/>
                <w:sz w:val="22"/>
                <w:szCs w:val="22"/>
              </w:rPr>
            </w:pPr>
            <w:r w:rsidRPr="001D4CD5">
              <w:rPr>
                <w:rFonts w:ascii="Times New Roman" w:hAnsi="Times New Roman" w:cs="Times New Roman"/>
                <w:color w:val="000000"/>
                <w:sz w:val="22"/>
                <w:szCs w:val="22"/>
              </w:rPr>
              <w:t>(0.0302)</w:t>
            </w:r>
          </w:p>
        </w:tc>
        <w:tc>
          <w:tcPr>
            <w:tcW w:w="1030" w:type="pct"/>
          </w:tcPr>
          <w:p w14:paraId="68275E89"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hAnsi="Times New Roman" w:cs="Times New Roman"/>
                <w:color w:val="000000"/>
                <w:sz w:val="22"/>
                <w:szCs w:val="22"/>
              </w:rPr>
              <w:t>(0.1383)</w:t>
            </w:r>
          </w:p>
        </w:tc>
      </w:tr>
      <w:tr w:rsidR="00130990" w:rsidRPr="001D4CD5" w14:paraId="05D6611C" w14:textId="77777777" w:rsidTr="00EC4DE0">
        <w:trPr>
          <w:trHeight w:val="300"/>
        </w:trPr>
        <w:tc>
          <w:tcPr>
            <w:tcW w:w="1908" w:type="pct"/>
            <w:noWrap/>
            <w:vAlign w:val="bottom"/>
            <w:hideMark/>
          </w:tcPr>
          <w:p w14:paraId="67409794"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eastAsia="Times New Roman" w:hAnsi="Times New Roman" w:cs="Times New Roman"/>
                <w:color w:val="000000"/>
                <w:sz w:val="22"/>
                <w:szCs w:val="22"/>
              </w:rPr>
              <w:t xml:space="preserve">lag </w:t>
            </w:r>
            <w:r w:rsidRPr="001D4CD5">
              <w:rPr>
                <w:rFonts w:ascii="Times New Roman" w:hAnsi="Times New Roman" w:cs="Times New Roman"/>
                <w:sz w:val="22"/>
                <w:szCs w:val="22"/>
              </w:rPr>
              <w:t>INFLA</w:t>
            </w:r>
          </w:p>
        </w:tc>
        <w:tc>
          <w:tcPr>
            <w:tcW w:w="1030" w:type="pct"/>
            <w:noWrap/>
            <w:hideMark/>
          </w:tcPr>
          <w:p w14:paraId="3403FA6F"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hAnsi="Times New Roman" w:cs="Times New Roman"/>
                <w:color w:val="000000"/>
                <w:sz w:val="22"/>
                <w:szCs w:val="22"/>
              </w:rPr>
              <w:t>-0.0203</w:t>
            </w:r>
          </w:p>
        </w:tc>
        <w:tc>
          <w:tcPr>
            <w:tcW w:w="1031" w:type="pct"/>
          </w:tcPr>
          <w:p w14:paraId="17AB3CDC" w14:textId="77777777" w:rsidR="00130990" w:rsidRPr="001D4CD5" w:rsidRDefault="00130990" w:rsidP="00EC4DE0">
            <w:pPr>
              <w:rPr>
                <w:rFonts w:ascii="Times New Roman" w:hAnsi="Times New Roman" w:cs="Times New Roman"/>
                <w:color w:val="000000"/>
                <w:sz w:val="22"/>
                <w:szCs w:val="22"/>
              </w:rPr>
            </w:pPr>
            <w:r w:rsidRPr="001D4CD5">
              <w:rPr>
                <w:rFonts w:ascii="Times New Roman" w:hAnsi="Times New Roman" w:cs="Times New Roman"/>
                <w:color w:val="000000"/>
                <w:sz w:val="22"/>
                <w:szCs w:val="22"/>
              </w:rPr>
              <w:t>0.0012</w:t>
            </w:r>
          </w:p>
        </w:tc>
        <w:tc>
          <w:tcPr>
            <w:tcW w:w="1030" w:type="pct"/>
          </w:tcPr>
          <w:p w14:paraId="1F4A70CE"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hAnsi="Times New Roman" w:cs="Times New Roman"/>
                <w:color w:val="000000"/>
                <w:sz w:val="22"/>
                <w:szCs w:val="22"/>
              </w:rPr>
              <w:t>0.0092</w:t>
            </w:r>
          </w:p>
        </w:tc>
      </w:tr>
      <w:tr w:rsidR="00130990" w:rsidRPr="001D4CD5" w14:paraId="3BF7839D" w14:textId="77777777" w:rsidTr="00EC4DE0">
        <w:trPr>
          <w:trHeight w:val="300"/>
        </w:trPr>
        <w:tc>
          <w:tcPr>
            <w:tcW w:w="1908" w:type="pct"/>
            <w:noWrap/>
            <w:vAlign w:val="bottom"/>
            <w:hideMark/>
          </w:tcPr>
          <w:p w14:paraId="0C583396" w14:textId="77777777" w:rsidR="00130990" w:rsidRPr="001D4CD5" w:rsidRDefault="00130990" w:rsidP="00EC4DE0">
            <w:pPr>
              <w:rPr>
                <w:rFonts w:ascii="Times New Roman" w:eastAsia="Times New Roman" w:hAnsi="Times New Roman" w:cs="Times New Roman"/>
                <w:color w:val="000000"/>
                <w:sz w:val="22"/>
                <w:szCs w:val="22"/>
              </w:rPr>
            </w:pPr>
          </w:p>
        </w:tc>
        <w:tc>
          <w:tcPr>
            <w:tcW w:w="1030" w:type="pct"/>
            <w:noWrap/>
            <w:hideMark/>
          </w:tcPr>
          <w:p w14:paraId="2EBFAEC0"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hAnsi="Times New Roman" w:cs="Times New Roman"/>
                <w:color w:val="000000"/>
                <w:sz w:val="22"/>
                <w:szCs w:val="22"/>
              </w:rPr>
              <w:t>(0.0602)</w:t>
            </w:r>
          </w:p>
        </w:tc>
        <w:tc>
          <w:tcPr>
            <w:tcW w:w="1031" w:type="pct"/>
          </w:tcPr>
          <w:p w14:paraId="0A9FCA81" w14:textId="77777777" w:rsidR="00130990" w:rsidRPr="001D4CD5" w:rsidRDefault="00130990" w:rsidP="00EC4DE0">
            <w:pPr>
              <w:rPr>
                <w:rFonts w:ascii="Times New Roman" w:hAnsi="Times New Roman" w:cs="Times New Roman"/>
                <w:color w:val="000000"/>
                <w:sz w:val="22"/>
                <w:szCs w:val="22"/>
              </w:rPr>
            </w:pPr>
            <w:r w:rsidRPr="001D4CD5">
              <w:rPr>
                <w:rFonts w:ascii="Times New Roman" w:hAnsi="Times New Roman" w:cs="Times New Roman"/>
                <w:color w:val="000000"/>
                <w:sz w:val="22"/>
                <w:szCs w:val="22"/>
              </w:rPr>
              <w:t>(0.0028)</w:t>
            </w:r>
          </w:p>
        </w:tc>
        <w:tc>
          <w:tcPr>
            <w:tcW w:w="1030" w:type="pct"/>
          </w:tcPr>
          <w:p w14:paraId="2F2866AB"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hAnsi="Times New Roman" w:cs="Times New Roman"/>
                <w:color w:val="000000"/>
                <w:sz w:val="22"/>
                <w:szCs w:val="22"/>
              </w:rPr>
              <w:t>(0.0083)</w:t>
            </w:r>
          </w:p>
        </w:tc>
      </w:tr>
      <w:tr w:rsidR="00130990" w:rsidRPr="001D4CD5" w14:paraId="216C12EB" w14:textId="77777777" w:rsidTr="00EC4DE0">
        <w:trPr>
          <w:trHeight w:val="300"/>
        </w:trPr>
        <w:tc>
          <w:tcPr>
            <w:tcW w:w="1908" w:type="pct"/>
            <w:noWrap/>
            <w:vAlign w:val="bottom"/>
            <w:hideMark/>
          </w:tcPr>
          <w:p w14:paraId="2181018B"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eastAsia="Times New Roman" w:hAnsi="Times New Roman" w:cs="Times New Roman"/>
                <w:color w:val="000000"/>
                <w:sz w:val="22"/>
                <w:szCs w:val="22"/>
              </w:rPr>
              <w:t>lag EXGG</w:t>
            </w:r>
          </w:p>
        </w:tc>
        <w:tc>
          <w:tcPr>
            <w:tcW w:w="1030" w:type="pct"/>
            <w:noWrap/>
            <w:hideMark/>
          </w:tcPr>
          <w:p w14:paraId="6D24ED5D"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hAnsi="Times New Roman" w:cs="Times New Roman"/>
                <w:color w:val="000000"/>
                <w:sz w:val="22"/>
                <w:szCs w:val="22"/>
              </w:rPr>
              <w:t>-0.0001***</w:t>
            </w:r>
          </w:p>
        </w:tc>
        <w:tc>
          <w:tcPr>
            <w:tcW w:w="1031" w:type="pct"/>
          </w:tcPr>
          <w:p w14:paraId="3CB2E7A5" w14:textId="77777777" w:rsidR="00130990" w:rsidRPr="001D4CD5" w:rsidRDefault="00130990" w:rsidP="00EC4DE0">
            <w:pPr>
              <w:rPr>
                <w:rFonts w:ascii="Times New Roman" w:hAnsi="Times New Roman" w:cs="Times New Roman"/>
                <w:color w:val="000000"/>
                <w:sz w:val="22"/>
                <w:szCs w:val="22"/>
              </w:rPr>
            </w:pPr>
            <w:r w:rsidRPr="001D4CD5">
              <w:rPr>
                <w:rFonts w:ascii="Times New Roman" w:hAnsi="Times New Roman" w:cs="Times New Roman"/>
                <w:color w:val="000000"/>
                <w:sz w:val="22"/>
                <w:szCs w:val="22"/>
              </w:rPr>
              <w:t>-0.0036</w:t>
            </w:r>
          </w:p>
        </w:tc>
        <w:tc>
          <w:tcPr>
            <w:tcW w:w="1030" w:type="pct"/>
          </w:tcPr>
          <w:p w14:paraId="366D7D48"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hAnsi="Times New Roman" w:cs="Times New Roman"/>
                <w:color w:val="000000"/>
                <w:sz w:val="22"/>
                <w:szCs w:val="22"/>
              </w:rPr>
              <w:t>-0.0160</w:t>
            </w:r>
          </w:p>
        </w:tc>
      </w:tr>
      <w:tr w:rsidR="00130990" w:rsidRPr="001D4CD5" w14:paraId="13CFE6B1" w14:textId="77777777" w:rsidTr="00EC4DE0">
        <w:trPr>
          <w:trHeight w:val="300"/>
        </w:trPr>
        <w:tc>
          <w:tcPr>
            <w:tcW w:w="1908" w:type="pct"/>
            <w:noWrap/>
            <w:vAlign w:val="bottom"/>
            <w:hideMark/>
          </w:tcPr>
          <w:p w14:paraId="4A1E7A17" w14:textId="77777777" w:rsidR="00130990" w:rsidRPr="001D4CD5" w:rsidRDefault="00130990" w:rsidP="00EC4DE0">
            <w:pPr>
              <w:rPr>
                <w:rFonts w:ascii="Times New Roman" w:eastAsia="Times New Roman" w:hAnsi="Times New Roman" w:cs="Times New Roman"/>
                <w:color w:val="000000"/>
                <w:sz w:val="22"/>
                <w:szCs w:val="22"/>
              </w:rPr>
            </w:pPr>
          </w:p>
        </w:tc>
        <w:tc>
          <w:tcPr>
            <w:tcW w:w="1030" w:type="pct"/>
            <w:noWrap/>
            <w:hideMark/>
          </w:tcPr>
          <w:p w14:paraId="0E3EB174"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hAnsi="Times New Roman" w:cs="Times New Roman"/>
                <w:color w:val="000000"/>
                <w:sz w:val="22"/>
                <w:szCs w:val="22"/>
              </w:rPr>
              <w:t>(0.0000)</w:t>
            </w:r>
          </w:p>
        </w:tc>
        <w:tc>
          <w:tcPr>
            <w:tcW w:w="1031" w:type="pct"/>
          </w:tcPr>
          <w:p w14:paraId="162A749A" w14:textId="77777777" w:rsidR="00130990" w:rsidRPr="001D4CD5" w:rsidRDefault="00130990" w:rsidP="00EC4DE0">
            <w:pPr>
              <w:rPr>
                <w:rFonts w:ascii="Times New Roman" w:hAnsi="Times New Roman" w:cs="Times New Roman"/>
                <w:color w:val="000000"/>
                <w:sz w:val="22"/>
                <w:szCs w:val="22"/>
              </w:rPr>
            </w:pPr>
            <w:r w:rsidRPr="001D4CD5">
              <w:rPr>
                <w:rFonts w:ascii="Times New Roman" w:hAnsi="Times New Roman" w:cs="Times New Roman"/>
                <w:color w:val="000000"/>
                <w:sz w:val="22"/>
                <w:szCs w:val="22"/>
              </w:rPr>
              <w:t>(0.0044)</w:t>
            </w:r>
          </w:p>
        </w:tc>
        <w:tc>
          <w:tcPr>
            <w:tcW w:w="1030" w:type="pct"/>
          </w:tcPr>
          <w:p w14:paraId="75C7FA07"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hAnsi="Times New Roman" w:cs="Times New Roman"/>
                <w:color w:val="000000"/>
                <w:sz w:val="22"/>
                <w:szCs w:val="22"/>
              </w:rPr>
              <w:t>(0.0143)</w:t>
            </w:r>
          </w:p>
        </w:tc>
      </w:tr>
      <w:tr w:rsidR="00130990" w:rsidRPr="001D4CD5" w14:paraId="422EDB3A" w14:textId="77777777" w:rsidTr="00EC4DE0">
        <w:trPr>
          <w:trHeight w:val="300"/>
        </w:trPr>
        <w:tc>
          <w:tcPr>
            <w:tcW w:w="1908" w:type="pct"/>
            <w:noWrap/>
            <w:vAlign w:val="bottom"/>
            <w:hideMark/>
          </w:tcPr>
          <w:p w14:paraId="29D1C96D"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eastAsia="Times New Roman" w:hAnsi="Times New Roman" w:cs="Times New Roman"/>
                <w:color w:val="000000"/>
                <w:sz w:val="22"/>
                <w:szCs w:val="22"/>
              </w:rPr>
              <w:t>lag DEBTGDP</w:t>
            </w:r>
          </w:p>
        </w:tc>
        <w:tc>
          <w:tcPr>
            <w:tcW w:w="1030" w:type="pct"/>
            <w:noWrap/>
            <w:hideMark/>
          </w:tcPr>
          <w:p w14:paraId="70292C1E"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hAnsi="Times New Roman" w:cs="Times New Roman"/>
                <w:color w:val="000000"/>
                <w:sz w:val="22"/>
                <w:szCs w:val="22"/>
              </w:rPr>
              <w:t>0.0050***</w:t>
            </w:r>
          </w:p>
        </w:tc>
        <w:tc>
          <w:tcPr>
            <w:tcW w:w="1031" w:type="pct"/>
          </w:tcPr>
          <w:p w14:paraId="768E6CB6" w14:textId="77777777" w:rsidR="00130990" w:rsidRPr="001D4CD5" w:rsidRDefault="00130990" w:rsidP="00EC4DE0">
            <w:pPr>
              <w:rPr>
                <w:rFonts w:ascii="Times New Roman" w:hAnsi="Times New Roman" w:cs="Times New Roman"/>
                <w:color w:val="000000"/>
                <w:sz w:val="22"/>
                <w:szCs w:val="22"/>
              </w:rPr>
            </w:pPr>
            <w:r w:rsidRPr="001D4CD5">
              <w:rPr>
                <w:rFonts w:ascii="Times New Roman" w:hAnsi="Times New Roman" w:cs="Times New Roman"/>
                <w:color w:val="000000"/>
                <w:sz w:val="22"/>
                <w:szCs w:val="22"/>
              </w:rPr>
              <w:t>0.0134***</w:t>
            </w:r>
          </w:p>
        </w:tc>
        <w:tc>
          <w:tcPr>
            <w:tcW w:w="1030" w:type="pct"/>
          </w:tcPr>
          <w:p w14:paraId="50ED7F06"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hAnsi="Times New Roman" w:cs="Times New Roman"/>
                <w:color w:val="000000"/>
                <w:sz w:val="22"/>
                <w:szCs w:val="22"/>
              </w:rPr>
              <w:t>0.0449***</w:t>
            </w:r>
          </w:p>
        </w:tc>
      </w:tr>
      <w:tr w:rsidR="00130990" w:rsidRPr="001D4CD5" w14:paraId="3A569E5D" w14:textId="77777777" w:rsidTr="00EC4DE0">
        <w:trPr>
          <w:trHeight w:val="300"/>
        </w:trPr>
        <w:tc>
          <w:tcPr>
            <w:tcW w:w="1908" w:type="pct"/>
            <w:noWrap/>
            <w:vAlign w:val="bottom"/>
            <w:hideMark/>
          </w:tcPr>
          <w:p w14:paraId="1A9D15F1" w14:textId="77777777" w:rsidR="00130990" w:rsidRPr="001D4CD5" w:rsidRDefault="00130990" w:rsidP="00EC4DE0">
            <w:pPr>
              <w:rPr>
                <w:rFonts w:ascii="Times New Roman" w:eastAsia="Times New Roman" w:hAnsi="Times New Roman" w:cs="Times New Roman"/>
                <w:color w:val="000000"/>
                <w:sz w:val="22"/>
                <w:szCs w:val="22"/>
              </w:rPr>
            </w:pPr>
          </w:p>
        </w:tc>
        <w:tc>
          <w:tcPr>
            <w:tcW w:w="1030" w:type="pct"/>
            <w:noWrap/>
            <w:hideMark/>
          </w:tcPr>
          <w:p w14:paraId="175F782C"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hAnsi="Times New Roman" w:cs="Times New Roman"/>
                <w:color w:val="000000"/>
                <w:sz w:val="22"/>
                <w:szCs w:val="22"/>
              </w:rPr>
              <w:t>(0.0010)</w:t>
            </w:r>
          </w:p>
        </w:tc>
        <w:tc>
          <w:tcPr>
            <w:tcW w:w="1031" w:type="pct"/>
          </w:tcPr>
          <w:p w14:paraId="4491FD9C" w14:textId="77777777" w:rsidR="00130990" w:rsidRPr="001D4CD5" w:rsidRDefault="00130990" w:rsidP="00EC4DE0">
            <w:pPr>
              <w:rPr>
                <w:rFonts w:ascii="Times New Roman" w:hAnsi="Times New Roman" w:cs="Times New Roman"/>
                <w:color w:val="000000"/>
                <w:sz w:val="22"/>
                <w:szCs w:val="22"/>
              </w:rPr>
            </w:pPr>
            <w:r w:rsidRPr="001D4CD5">
              <w:rPr>
                <w:rFonts w:ascii="Times New Roman" w:hAnsi="Times New Roman" w:cs="Times New Roman"/>
                <w:color w:val="000000"/>
                <w:sz w:val="22"/>
                <w:szCs w:val="22"/>
              </w:rPr>
              <w:t>(0.0035)</w:t>
            </w:r>
          </w:p>
        </w:tc>
        <w:tc>
          <w:tcPr>
            <w:tcW w:w="1030" w:type="pct"/>
          </w:tcPr>
          <w:p w14:paraId="2FBB2A68"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hAnsi="Times New Roman" w:cs="Times New Roman"/>
                <w:color w:val="000000"/>
                <w:sz w:val="22"/>
                <w:szCs w:val="22"/>
              </w:rPr>
              <w:t>(0.0098)</w:t>
            </w:r>
          </w:p>
        </w:tc>
      </w:tr>
      <w:tr w:rsidR="00130990" w:rsidRPr="001D4CD5" w14:paraId="7477FE3F" w14:textId="77777777" w:rsidTr="00EC4DE0">
        <w:trPr>
          <w:trHeight w:val="300"/>
        </w:trPr>
        <w:tc>
          <w:tcPr>
            <w:tcW w:w="1908" w:type="pct"/>
            <w:noWrap/>
            <w:vAlign w:val="bottom"/>
            <w:hideMark/>
          </w:tcPr>
          <w:p w14:paraId="280633AC"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hAnsi="Times New Roman" w:cs="Times New Roman"/>
                <w:sz w:val="22"/>
                <w:szCs w:val="22"/>
              </w:rPr>
              <w:t>lag LRATE</w:t>
            </w:r>
          </w:p>
        </w:tc>
        <w:tc>
          <w:tcPr>
            <w:tcW w:w="1030" w:type="pct"/>
            <w:noWrap/>
            <w:hideMark/>
          </w:tcPr>
          <w:p w14:paraId="10F917D1"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hAnsi="Times New Roman" w:cs="Times New Roman"/>
                <w:color w:val="000000"/>
                <w:sz w:val="22"/>
                <w:szCs w:val="22"/>
              </w:rPr>
              <w:t>0.0251**</w:t>
            </w:r>
          </w:p>
        </w:tc>
        <w:tc>
          <w:tcPr>
            <w:tcW w:w="1031" w:type="pct"/>
          </w:tcPr>
          <w:p w14:paraId="3F136798" w14:textId="77777777" w:rsidR="00130990" w:rsidRPr="001D4CD5" w:rsidRDefault="00130990" w:rsidP="00EC4DE0">
            <w:pPr>
              <w:rPr>
                <w:rFonts w:ascii="Times New Roman" w:hAnsi="Times New Roman" w:cs="Times New Roman"/>
                <w:color w:val="000000"/>
                <w:sz w:val="22"/>
                <w:szCs w:val="22"/>
              </w:rPr>
            </w:pPr>
            <w:r w:rsidRPr="001D4CD5">
              <w:rPr>
                <w:rFonts w:ascii="Times New Roman" w:hAnsi="Times New Roman" w:cs="Times New Roman"/>
                <w:color w:val="000000"/>
                <w:sz w:val="22"/>
                <w:szCs w:val="22"/>
              </w:rPr>
              <w:t>-0.0938</w:t>
            </w:r>
          </w:p>
        </w:tc>
        <w:tc>
          <w:tcPr>
            <w:tcW w:w="1030" w:type="pct"/>
          </w:tcPr>
          <w:p w14:paraId="667A14AC"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hAnsi="Times New Roman" w:cs="Times New Roman"/>
                <w:color w:val="000000"/>
                <w:sz w:val="22"/>
                <w:szCs w:val="22"/>
              </w:rPr>
              <w:t>-0.1382</w:t>
            </w:r>
          </w:p>
        </w:tc>
      </w:tr>
      <w:tr w:rsidR="00130990" w:rsidRPr="001D4CD5" w14:paraId="59A7B779" w14:textId="77777777" w:rsidTr="00EC4DE0">
        <w:trPr>
          <w:trHeight w:val="300"/>
        </w:trPr>
        <w:tc>
          <w:tcPr>
            <w:tcW w:w="1908" w:type="pct"/>
            <w:noWrap/>
            <w:hideMark/>
          </w:tcPr>
          <w:p w14:paraId="3A61A914" w14:textId="77777777" w:rsidR="00130990" w:rsidRPr="001D4CD5" w:rsidRDefault="00130990" w:rsidP="00EC4DE0">
            <w:pPr>
              <w:rPr>
                <w:rFonts w:ascii="Times New Roman" w:eastAsia="Times New Roman" w:hAnsi="Times New Roman" w:cs="Times New Roman"/>
                <w:color w:val="000000"/>
                <w:sz w:val="22"/>
                <w:szCs w:val="22"/>
              </w:rPr>
            </w:pPr>
          </w:p>
        </w:tc>
        <w:tc>
          <w:tcPr>
            <w:tcW w:w="1030" w:type="pct"/>
            <w:noWrap/>
            <w:hideMark/>
          </w:tcPr>
          <w:p w14:paraId="4FA03736"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hAnsi="Times New Roman" w:cs="Times New Roman"/>
                <w:color w:val="000000"/>
                <w:sz w:val="22"/>
                <w:szCs w:val="22"/>
              </w:rPr>
              <w:t>(0.0126)</w:t>
            </w:r>
          </w:p>
        </w:tc>
        <w:tc>
          <w:tcPr>
            <w:tcW w:w="1031" w:type="pct"/>
          </w:tcPr>
          <w:p w14:paraId="5072EF61" w14:textId="77777777" w:rsidR="00130990" w:rsidRPr="001D4CD5" w:rsidRDefault="00130990" w:rsidP="00EC4DE0">
            <w:pPr>
              <w:rPr>
                <w:rFonts w:ascii="Times New Roman" w:hAnsi="Times New Roman" w:cs="Times New Roman"/>
                <w:color w:val="000000"/>
                <w:sz w:val="22"/>
                <w:szCs w:val="22"/>
              </w:rPr>
            </w:pPr>
            <w:r w:rsidRPr="001D4CD5">
              <w:rPr>
                <w:rFonts w:ascii="Times New Roman" w:hAnsi="Times New Roman" w:cs="Times New Roman"/>
                <w:color w:val="000000"/>
                <w:sz w:val="22"/>
                <w:szCs w:val="22"/>
              </w:rPr>
              <w:t>-0.0087</w:t>
            </w:r>
          </w:p>
        </w:tc>
        <w:tc>
          <w:tcPr>
            <w:tcW w:w="1030" w:type="pct"/>
          </w:tcPr>
          <w:p w14:paraId="64563121"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hAnsi="Times New Roman" w:cs="Times New Roman"/>
                <w:color w:val="000000"/>
                <w:sz w:val="22"/>
                <w:szCs w:val="22"/>
              </w:rPr>
              <w:t>(0.2358)</w:t>
            </w:r>
          </w:p>
        </w:tc>
      </w:tr>
      <w:tr w:rsidR="00130990" w:rsidRPr="001D4CD5" w14:paraId="51390601" w14:textId="77777777" w:rsidTr="00EC4DE0">
        <w:trPr>
          <w:trHeight w:val="300"/>
        </w:trPr>
        <w:tc>
          <w:tcPr>
            <w:tcW w:w="1908" w:type="pct"/>
            <w:noWrap/>
            <w:hideMark/>
          </w:tcPr>
          <w:p w14:paraId="123679CC" w14:textId="3C72FC96" w:rsidR="00130990" w:rsidRPr="001D4CD5" w:rsidRDefault="009F6FBD" w:rsidP="00EC4DE0">
            <w:pPr>
              <w:rPr>
                <w:rFonts w:ascii="Times New Roman" w:eastAsia="Times New Roman" w:hAnsi="Times New Roman" w:cs="Times New Roman"/>
                <w:color w:val="000000"/>
                <w:sz w:val="22"/>
                <w:szCs w:val="22"/>
              </w:rPr>
            </w:pPr>
            <w:r w:rsidRPr="001D4CD5">
              <w:rPr>
                <w:rFonts w:ascii="Times New Roman" w:eastAsia="Times New Roman" w:hAnsi="Times New Roman" w:cs="Times New Roman"/>
                <w:color w:val="000000"/>
                <w:sz w:val="22"/>
                <w:szCs w:val="22"/>
              </w:rPr>
              <w:t>Obs.</w:t>
            </w:r>
          </w:p>
        </w:tc>
        <w:tc>
          <w:tcPr>
            <w:tcW w:w="1030" w:type="pct"/>
            <w:noWrap/>
            <w:hideMark/>
          </w:tcPr>
          <w:p w14:paraId="4EEB3C9C"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eastAsia="Times New Roman" w:hAnsi="Times New Roman" w:cs="Times New Roman"/>
                <w:color w:val="000000"/>
                <w:sz w:val="22"/>
                <w:szCs w:val="22"/>
              </w:rPr>
              <w:t>54527</w:t>
            </w:r>
          </w:p>
        </w:tc>
        <w:tc>
          <w:tcPr>
            <w:tcW w:w="1031" w:type="pct"/>
          </w:tcPr>
          <w:p w14:paraId="3180FAAC" w14:textId="77777777" w:rsidR="00130990" w:rsidRPr="001D4CD5" w:rsidRDefault="00130990" w:rsidP="00EC4DE0">
            <w:pPr>
              <w:rPr>
                <w:rFonts w:ascii="Times New Roman" w:hAnsi="Times New Roman" w:cs="Times New Roman"/>
                <w:color w:val="000000"/>
                <w:sz w:val="22"/>
                <w:szCs w:val="22"/>
              </w:rPr>
            </w:pPr>
            <w:r w:rsidRPr="001D4CD5">
              <w:rPr>
                <w:rFonts w:ascii="Times New Roman" w:hAnsi="Times New Roman" w:cs="Times New Roman"/>
                <w:color w:val="000000"/>
                <w:sz w:val="22"/>
                <w:szCs w:val="22"/>
              </w:rPr>
              <w:t>31710</w:t>
            </w:r>
          </w:p>
        </w:tc>
        <w:tc>
          <w:tcPr>
            <w:tcW w:w="1030" w:type="pct"/>
          </w:tcPr>
          <w:p w14:paraId="3C1D75B2"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hAnsi="Times New Roman" w:cs="Times New Roman"/>
                <w:color w:val="000000"/>
                <w:sz w:val="22"/>
                <w:szCs w:val="22"/>
              </w:rPr>
              <w:t>28802</w:t>
            </w:r>
          </w:p>
        </w:tc>
      </w:tr>
      <w:tr w:rsidR="00130990" w:rsidRPr="001D4CD5" w14:paraId="235B6961" w14:textId="77777777" w:rsidTr="00EC4DE0">
        <w:trPr>
          <w:trHeight w:val="300"/>
        </w:trPr>
        <w:tc>
          <w:tcPr>
            <w:tcW w:w="1908" w:type="pct"/>
            <w:noWrap/>
          </w:tcPr>
          <w:p w14:paraId="13A83420"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eastAsia="Times New Roman" w:hAnsi="Times New Roman" w:cs="Times New Roman"/>
                <w:color w:val="000000"/>
                <w:sz w:val="22"/>
                <w:szCs w:val="22"/>
              </w:rPr>
              <w:t>Hansen-J</w:t>
            </w:r>
          </w:p>
        </w:tc>
        <w:tc>
          <w:tcPr>
            <w:tcW w:w="1030" w:type="pct"/>
            <w:noWrap/>
          </w:tcPr>
          <w:p w14:paraId="36E46859"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eastAsia="Times New Roman" w:hAnsi="Times New Roman" w:cs="Times New Roman"/>
                <w:color w:val="000000"/>
                <w:sz w:val="22"/>
                <w:szCs w:val="22"/>
              </w:rPr>
              <w:t>0.1275</w:t>
            </w:r>
          </w:p>
        </w:tc>
        <w:tc>
          <w:tcPr>
            <w:tcW w:w="1031" w:type="pct"/>
          </w:tcPr>
          <w:p w14:paraId="7383E510" w14:textId="77777777" w:rsidR="00130990" w:rsidRPr="001D4CD5" w:rsidRDefault="00130990" w:rsidP="00EC4DE0">
            <w:pPr>
              <w:rPr>
                <w:rFonts w:ascii="Times New Roman" w:hAnsi="Times New Roman" w:cs="Times New Roman"/>
                <w:color w:val="000000"/>
                <w:sz w:val="22"/>
                <w:szCs w:val="22"/>
              </w:rPr>
            </w:pPr>
            <w:r w:rsidRPr="001D4CD5">
              <w:rPr>
                <w:rFonts w:ascii="Times New Roman" w:eastAsia="Times New Roman" w:hAnsi="Times New Roman" w:cs="Times New Roman"/>
                <w:color w:val="000000"/>
                <w:sz w:val="22"/>
                <w:szCs w:val="22"/>
              </w:rPr>
              <w:t>0.1168</w:t>
            </w:r>
          </w:p>
        </w:tc>
        <w:tc>
          <w:tcPr>
            <w:tcW w:w="1030" w:type="pct"/>
          </w:tcPr>
          <w:p w14:paraId="25F782A3" w14:textId="77777777" w:rsidR="00130990" w:rsidRPr="001D4CD5" w:rsidRDefault="00130990" w:rsidP="00EC4DE0">
            <w:pPr>
              <w:rPr>
                <w:rFonts w:ascii="Times New Roman" w:hAnsi="Times New Roman" w:cs="Times New Roman"/>
                <w:color w:val="000000"/>
                <w:sz w:val="22"/>
                <w:szCs w:val="22"/>
              </w:rPr>
            </w:pPr>
            <w:r w:rsidRPr="001D4CD5">
              <w:rPr>
                <w:rFonts w:ascii="Times New Roman" w:hAnsi="Times New Roman" w:cs="Times New Roman"/>
                <w:color w:val="000000"/>
                <w:sz w:val="22"/>
                <w:szCs w:val="22"/>
              </w:rPr>
              <w:t>0.7061</w:t>
            </w:r>
          </w:p>
        </w:tc>
      </w:tr>
      <w:tr w:rsidR="00130990" w:rsidRPr="001D4CD5" w14:paraId="3322209B" w14:textId="77777777" w:rsidTr="00EC4DE0">
        <w:trPr>
          <w:trHeight w:val="300"/>
        </w:trPr>
        <w:tc>
          <w:tcPr>
            <w:tcW w:w="1908" w:type="pct"/>
            <w:noWrap/>
          </w:tcPr>
          <w:p w14:paraId="04E670A1"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eastAsia="Times New Roman" w:hAnsi="Times New Roman" w:cs="Times New Roman"/>
                <w:color w:val="000000"/>
                <w:sz w:val="22"/>
                <w:szCs w:val="22"/>
              </w:rPr>
              <w:t>AR (2)</w:t>
            </w:r>
          </w:p>
        </w:tc>
        <w:tc>
          <w:tcPr>
            <w:tcW w:w="1030" w:type="pct"/>
            <w:noWrap/>
          </w:tcPr>
          <w:p w14:paraId="177B816B" w14:textId="77777777" w:rsidR="00130990" w:rsidRPr="001D4CD5" w:rsidRDefault="00130990" w:rsidP="00EC4DE0">
            <w:pPr>
              <w:rPr>
                <w:rFonts w:ascii="Times New Roman" w:eastAsia="Times New Roman" w:hAnsi="Times New Roman" w:cs="Times New Roman"/>
                <w:color w:val="000000"/>
                <w:sz w:val="22"/>
                <w:szCs w:val="22"/>
              </w:rPr>
            </w:pPr>
          </w:p>
        </w:tc>
        <w:tc>
          <w:tcPr>
            <w:tcW w:w="1031" w:type="pct"/>
          </w:tcPr>
          <w:p w14:paraId="7820B0CC" w14:textId="77777777" w:rsidR="00130990" w:rsidRPr="001D4CD5" w:rsidRDefault="00130990" w:rsidP="00EC4DE0">
            <w:pPr>
              <w:rPr>
                <w:rFonts w:ascii="Times New Roman" w:hAnsi="Times New Roman" w:cs="Times New Roman"/>
                <w:color w:val="000000"/>
                <w:sz w:val="22"/>
                <w:szCs w:val="22"/>
              </w:rPr>
            </w:pPr>
            <w:r w:rsidRPr="001D4CD5">
              <w:rPr>
                <w:rFonts w:ascii="Times New Roman" w:eastAsia="Times New Roman" w:hAnsi="Times New Roman" w:cs="Times New Roman"/>
                <w:color w:val="000000"/>
                <w:sz w:val="22"/>
                <w:szCs w:val="22"/>
              </w:rPr>
              <w:t>0.4649</w:t>
            </w:r>
          </w:p>
        </w:tc>
        <w:tc>
          <w:tcPr>
            <w:tcW w:w="1030" w:type="pct"/>
          </w:tcPr>
          <w:p w14:paraId="192B7487" w14:textId="77777777" w:rsidR="00130990" w:rsidRPr="001D4CD5" w:rsidRDefault="00130990" w:rsidP="00EC4DE0">
            <w:pPr>
              <w:rPr>
                <w:rFonts w:ascii="Times New Roman" w:hAnsi="Times New Roman" w:cs="Times New Roman"/>
                <w:color w:val="000000"/>
                <w:sz w:val="22"/>
                <w:szCs w:val="22"/>
              </w:rPr>
            </w:pPr>
            <w:r w:rsidRPr="001D4CD5">
              <w:rPr>
                <w:rFonts w:ascii="Times New Roman" w:hAnsi="Times New Roman" w:cs="Times New Roman"/>
                <w:color w:val="000000"/>
                <w:sz w:val="22"/>
                <w:szCs w:val="22"/>
              </w:rPr>
              <w:t>0.8104</w:t>
            </w:r>
          </w:p>
        </w:tc>
      </w:tr>
      <w:tr w:rsidR="00130990" w:rsidRPr="001D4CD5" w14:paraId="3FFFE88B" w14:textId="77777777" w:rsidTr="00EC4DE0">
        <w:trPr>
          <w:trHeight w:val="300"/>
        </w:trPr>
        <w:tc>
          <w:tcPr>
            <w:tcW w:w="1908" w:type="pct"/>
            <w:noWrap/>
          </w:tcPr>
          <w:p w14:paraId="3F49B1AD"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eastAsia="Times New Roman" w:hAnsi="Times New Roman" w:cs="Times New Roman"/>
                <w:color w:val="000000"/>
                <w:sz w:val="22"/>
                <w:szCs w:val="22"/>
              </w:rPr>
              <w:t>Number of instruments</w:t>
            </w:r>
          </w:p>
        </w:tc>
        <w:tc>
          <w:tcPr>
            <w:tcW w:w="1030" w:type="pct"/>
            <w:noWrap/>
          </w:tcPr>
          <w:p w14:paraId="09320BBF" w14:textId="77777777" w:rsidR="00130990" w:rsidRPr="001D4CD5" w:rsidRDefault="00130990" w:rsidP="00EC4DE0">
            <w:pPr>
              <w:rPr>
                <w:rFonts w:ascii="Times New Roman" w:eastAsia="Times New Roman" w:hAnsi="Times New Roman" w:cs="Times New Roman"/>
                <w:color w:val="000000"/>
                <w:sz w:val="22"/>
                <w:szCs w:val="22"/>
              </w:rPr>
            </w:pPr>
          </w:p>
        </w:tc>
        <w:tc>
          <w:tcPr>
            <w:tcW w:w="1031" w:type="pct"/>
          </w:tcPr>
          <w:p w14:paraId="5FF96651" w14:textId="77777777" w:rsidR="00130990" w:rsidRPr="001D4CD5" w:rsidRDefault="00130990" w:rsidP="00EC4DE0">
            <w:pPr>
              <w:rPr>
                <w:rFonts w:ascii="Times New Roman" w:hAnsi="Times New Roman" w:cs="Times New Roman"/>
                <w:color w:val="000000"/>
                <w:sz w:val="22"/>
                <w:szCs w:val="22"/>
              </w:rPr>
            </w:pPr>
            <w:r w:rsidRPr="001D4CD5">
              <w:rPr>
                <w:rFonts w:ascii="Times New Roman" w:eastAsia="Times New Roman" w:hAnsi="Times New Roman" w:cs="Times New Roman"/>
                <w:color w:val="000000"/>
                <w:sz w:val="22"/>
                <w:szCs w:val="22"/>
              </w:rPr>
              <w:t>159</w:t>
            </w:r>
          </w:p>
        </w:tc>
        <w:tc>
          <w:tcPr>
            <w:tcW w:w="1030" w:type="pct"/>
          </w:tcPr>
          <w:p w14:paraId="7DD719A6" w14:textId="77777777" w:rsidR="00130990" w:rsidRPr="001D4CD5" w:rsidRDefault="00130990" w:rsidP="00EC4DE0">
            <w:pPr>
              <w:rPr>
                <w:rFonts w:ascii="Times New Roman" w:hAnsi="Times New Roman" w:cs="Times New Roman"/>
                <w:color w:val="000000"/>
                <w:sz w:val="22"/>
                <w:szCs w:val="22"/>
              </w:rPr>
            </w:pPr>
            <w:r w:rsidRPr="001D4CD5">
              <w:rPr>
                <w:rFonts w:ascii="Times New Roman" w:hAnsi="Times New Roman" w:cs="Times New Roman"/>
                <w:color w:val="000000"/>
                <w:sz w:val="22"/>
                <w:szCs w:val="22"/>
              </w:rPr>
              <w:t>109</w:t>
            </w:r>
          </w:p>
        </w:tc>
      </w:tr>
      <w:tr w:rsidR="00130990" w:rsidRPr="001D4CD5" w14:paraId="16202E48" w14:textId="77777777" w:rsidTr="00EC4DE0">
        <w:trPr>
          <w:trHeight w:val="300"/>
        </w:trPr>
        <w:tc>
          <w:tcPr>
            <w:tcW w:w="1908" w:type="pct"/>
            <w:noWrap/>
          </w:tcPr>
          <w:p w14:paraId="5789046C" w14:textId="7E434B16"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eastAsia="Times New Roman" w:hAnsi="Times New Roman" w:cs="Times New Roman"/>
                <w:color w:val="000000"/>
                <w:sz w:val="22"/>
                <w:szCs w:val="22"/>
              </w:rPr>
              <w:t>Estimation Approach</w:t>
            </w:r>
          </w:p>
        </w:tc>
        <w:tc>
          <w:tcPr>
            <w:tcW w:w="1030" w:type="pct"/>
            <w:noWrap/>
          </w:tcPr>
          <w:p w14:paraId="3E7B7A9A"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eastAsia="Times New Roman" w:hAnsi="Times New Roman" w:cs="Times New Roman"/>
                <w:color w:val="000000"/>
                <w:sz w:val="22"/>
                <w:szCs w:val="22"/>
              </w:rPr>
              <w:t>2SLS</w:t>
            </w:r>
          </w:p>
        </w:tc>
        <w:tc>
          <w:tcPr>
            <w:tcW w:w="1031" w:type="pct"/>
          </w:tcPr>
          <w:p w14:paraId="221B37D8" w14:textId="77777777" w:rsidR="00130990" w:rsidRPr="001D4CD5" w:rsidRDefault="00130990" w:rsidP="00EC4DE0">
            <w:pPr>
              <w:rPr>
                <w:rFonts w:ascii="Times New Roman" w:eastAsia="Times New Roman" w:hAnsi="Times New Roman" w:cs="Times New Roman"/>
                <w:color w:val="000000"/>
                <w:sz w:val="22"/>
                <w:szCs w:val="22"/>
              </w:rPr>
            </w:pPr>
            <w:r w:rsidRPr="001D4CD5">
              <w:rPr>
                <w:rFonts w:ascii="Times New Roman" w:eastAsia="Times New Roman" w:hAnsi="Times New Roman" w:cs="Times New Roman"/>
                <w:color w:val="000000"/>
                <w:sz w:val="22"/>
                <w:szCs w:val="22"/>
              </w:rPr>
              <w:t>GMM</w:t>
            </w:r>
          </w:p>
        </w:tc>
        <w:tc>
          <w:tcPr>
            <w:tcW w:w="1030" w:type="pct"/>
          </w:tcPr>
          <w:p w14:paraId="093A2167" w14:textId="77777777" w:rsidR="00130990" w:rsidRPr="001D4CD5" w:rsidRDefault="00130990" w:rsidP="00EC4DE0">
            <w:pPr>
              <w:rPr>
                <w:rFonts w:ascii="Times New Roman" w:hAnsi="Times New Roman" w:cs="Times New Roman"/>
                <w:color w:val="000000"/>
                <w:sz w:val="22"/>
                <w:szCs w:val="22"/>
              </w:rPr>
            </w:pPr>
            <w:r w:rsidRPr="001D4CD5">
              <w:rPr>
                <w:rFonts w:ascii="Times New Roman" w:hAnsi="Times New Roman" w:cs="Times New Roman"/>
                <w:color w:val="000000"/>
                <w:sz w:val="22"/>
                <w:szCs w:val="22"/>
              </w:rPr>
              <w:t>GMM</w:t>
            </w:r>
          </w:p>
        </w:tc>
      </w:tr>
    </w:tbl>
    <w:p w14:paraId="6B9C4D08" w14:textId="75915DAB" w:rsidR="00130990" w:rsidRPr="001D4CD5" w:rsidRDefault="00130990" w:rsidP="00130990">
      <w:pPr>
        <w:rPr>
          <w:rFonts w:ascii="Times New Roman" w:hAnsi="Times New Roman" w:cs="Times New Roman"/>
          <w:sz w:val="20"/>
          <w:szCs w:val="20"/>
        </w:rPr>
        <w:sectPr w:rsidR="00130990" w:rsidRPr="001D4CD5" w:rsidSect="00C8430E">
          <w:pgSz w:w="11906" w:h="16838"/>
          <w:pgMar w:top="1440" w:right="1440" w:bottom="1440" w:left="1440" w:header="708" w:footer="708" w:gutter="0"/>
          <w:cols w:space="708"/>
          <w:docGrid w:linePitch="360"/>
        </w:sectPr>
      </w:pPr>
      <w:r w:rsidRPr="001D4CD5">
        <w:rPr>
          <w:rFonts w:ascii="Times New Roman" w:hAnsi="Times New Roman" w:cs="Times New Roman"/>
          <w:sz w:val="20"/>
          <w:szCs w:val="20"/>
        </w:rPr>
        <w:t xml:space="preserve">Note: This table presents coefficient estimates from regressions using two-stage least squares 2SLS and the dynamic panel system GMM estimator of Arellano and Bover (1995) and Blundell and Bond (1998). The dependent variables, GCLAIM, the growth rate of exchange rate-adjusted cross-border claims, in column (1) is at county-quarter level, NUMBER in column (2), and </w:t>
      </w:r>
      <w:r w:rsidR="000F1B35">
        <w:rPr>
          <w:rFonts w:ascii="Times New Roman" w:hAnsi="Times New Roman" w:cs="Times New Roman"/>
          <w:sz w:val="20"/>
          <w:szCs w:val="20"/>
        </w:rPr>
        <w:t>AMOUNT</w:t>
      </w:r>
      <w:r w:rsidRPr="001D4CD5">
        <w:rPr>
          <w:rFonts w:ascii="Times New Roman" w:hAnsi="Times New Roman" w:cs="Times New Roman"/>
          <w:sz w:val="20"/>
          <w:szCs w:val="20"/>
        </w:rPr>
        <w:t xml:space="preserve"> in column (3) are at the bank-country-quarter level. In columns (2) lagged values of the dependent variable and of all </w:t>
      </w:r>
      <w:r w:rsidR="00BD7DD8" w:rsidRPr="001D4CD5">
        <w:rPr>
          <w:rFonts w:ascii="Times New Roman" w:hAnsi="Times New Roman" w:cs="Times New Roman"/>
          <w:sz w:val="20"/>
          <w:szCs w:val="20"/>
        </w:rPr>
        <w:t xml:space="preserve">the explanatory </w:t>
      </w:r>
      <w:r w:rsidRPr="001D4CD5">
        <w:rPr>
          <w:rFonts w:ascii="Times New Roman" w:hAnsi="Times New Roman" w:cs="Times New Roman"/>
          <w:sz w:val="20"/>
          <w:szCs w:val="20"/>
        </w:rPr>
        <w:t>variables, measures 4 to 11 lags are used as GMM-type instruments, except 4</w:t>
      </w:r>
      <w:r w:rsidRPr="001D4CD5">
        <w:rPr>
          <w:rFonts w:ascii="Times New Roman" w:hAnsi="Times New Roman" w:cs="Times New Roman"/>
          <w:sz w:val="20"/>
          <w:szCs w:val="20"/>
          <w:vertAlign w:val="superscript"/>
        </w:rPr>
        <w:t>th</w:t>
      </w:r>
      <w:r w:rsidRPr="001D4CD5">
        <w:rPr>
          <w:rFonts w:ascii="Times New Roman" w:hAnsi="Times New Roman" w:cs="Times New Roman"/>
          <w:sz w:val="20"/>
          <w:szCs w:val="20"/>
        </w:rPr>
        <w:t xml:space="preserve"> lag of AMB GMM-type instruments. In column (3) all explanation variables the 8</w:t>
      </w:r>
      <w:r w:rsidRPr="001D4CD5">
        <w:rPr>
          <w:rFonts w:ascii="Times New Roman" w:hAnsi="Times New Roman" w:cs="Times New Roman"/>
          <w:sz w:val="20"/>
          <w:szCs w:val="20"/>
          <w:vertAlign w:val="superscript"/>
        </w:rPr>
        <w:t>th</w:t>
      </w:r>
      <w:r w:rsidRPr="001D4CD5">
        <w:rPr>
          <w:rFonts w:ascii="Times New Roman" w:hAnsi="Times New Roman" w:cs="Times New Roman"/>
          <w:sz w:val="20"/>
          <w:szCs w:val="20"/>
        </w:rPr>
        <w:t xml:space="preserve"> lags are used as GMM-type instruments, 2</w:t>
      </w:r>
      <w:r w:rsidR="005011DC" w:rsidRPr="001D4CD5">
        <w:rPr>
          <w:rFonts w:ascii="Times New Roman" w:hAnsi="Times New Roman" w:cs="Times New Roman"/>
          <w:sz w:val="20"/>
          <w:szCs w:val="20"/>
          <w:vertAlign w:val="superscript"/>
        </w:rPr>
        <w:t>nd</w:t>
      </w:r>
      <w:r w:rsidR="005011DC" w:rsidRPr="001D4CD5">
        <w:rPr>
          <w:rFonts w:ascii="Times New Roman" w:hAnsi="Times New Roman" w:cs="Times New Roman"/>
          <w:sz w:val="20"/>
          <w:szCs w:val="20"/>
        </w:rPr>
        <w:t xml:space="preserve"> </w:t>
      </w:r>
      <w:r w:rsidRPr="001D4CD5">
        <w:rPr>
          <w:rFonts w:ascii="Times New Roman" w:hAnsi="Times New Roman" w:cs="Times New Roman"/>
          <w:sz w:val="20"/>
          <w:szCs w:val="20"/>
        </w:rPr>
        <w:t>to 3</w:t>
      </w:r>
      <w:r w:rsidRPr="001D4CD5">
        <w:rPr>
          <w:rFonts w:ascii="Times New Roman" w:hAnsi="Times New Roman" w:cs="Times New Roman"/>
          <w:sz w:val="20"/>
          <w:szCs w:val="20"/>
          <w:vertAlign w:val="superscript"/>
        </w:rPr>
        <w:t>rd</w:t>
      </w:r>
      <w:r w:rsidRPr="001D4CD5">
        <w:rPr>
          <w:rFonts w:ascii="Times New Roman" w:hAnsi="Times New Roman" w:cs="Times New Roman"/>
          <w:sz w:val="20"/>
          <w:szCs w:val="20"/>
        </w:rPr>
        <w:t xml:space="preserve"> lag of </w:t>
      </w:r>
      <w:r w:rsidR="000F1B35">
        <w:rPr>
          <w:rFonts w:ascii="Times New Roman" w:hAnsi="Times New Roman" w:cs="Times New Roman"/>
          <w:sz w:val="20"/>
          <w:szCs w:val="20"/>
        </w:rPr>
        <w:t>AMOUNT</w:t>
      </w:r>
      <w:r w:rsidRPr="001D4CD5">
        <w:rPr>
          <w:rFonts w:ascii="Times New Roman" w:hAnsi="Times New Roman" w:cs="Times New Roman"/>
          <w:sz w:val="20"/>
          <w:szCs w:val="20"/>
        </w:rPr>
        <w:t xml:space="preserve"> is used as GMM-type instruments. AR (2) tests the second-order serial correlation under the null of no serial correlation. The Hansen test of over-identification is under the null that all instruments are valid. In column (1) standard errors clustered at source-recipient levels and in column (2) and (3) standard errors are clustered by source-recipient country pairs and incorporate the Windmeijer (2005) finite sample correction. *** denotes 1% </w:t>
      </w:r>
      <w:r w:rsidR="006C5335" w:rsidRPr="001D4CD5">
        <w:rPr>
          <w:rFonts w:ascii="Times New Roman" w:hAnsi="Times New Roman" w:cs="Times New Roman"/>
          <w:sz w:val="20"/>
          <w:szCs w:val="20"/>
        </w:rPr>
        <w:t xml:space="preserve">significance </w:t>
      </w:r>
      <w:r w:rsidRPr="001D4CD5">
        <w:rPr>
          <w:rFonts w:ascii="Times New Roman" w:hAnsi="Times New Roman" w:cs="Times New Roman"/>
          <w:sz w:val="20"/>
          <w:szCs w:val="20"/>
        </w:rPr>
        <w:t>level, ** denotes 5% significance level, and * denotes 10% significance level.</w:t>
      </w:r>
    </w:p>
    <w:p w14:paraId="664413AE" w14:textId="4F141FBE" w:rsidR="00130990" w:rsidRPr="001D4CD5" w:rsidRDefault="00130990" w:rsidP="00C31CAA">
      <w:pPr>
        <w:spacing w:line="360" w:lineRule="auto"/>
        <w:rPr>
          <w:rFonts w:ascii="Times New Roman" w:hAnsi="Times New Roman" w:cs="Times New Roman"/>
          <w:b/>
          <w:bCs/>
          <w:sz w:val="22"/>
          <w:szCs w:val="22"/>
        </w:rPr>
      </w:pPr>
      <w:r w:rsidRPr="001D4CD5">
        <w:rPr>
          <w:rFonts w:ascii="Times New Roman" w:hAnsi="Times New Roman" w:cs="Times New Roman"/>
          <w:b/>
          <w:bCs/>
          <w:sz w:val="22"/>
          <w:szCs w:val="22"/>
        </w:rPr>
        <w:lastRenderedPageBreak/>
        <w:t>Appendix</w:t>
      </w:r>
    </w:p>
    <w:tbl>
      <w:tblPr>
        <w:tblStyle w:val="TableGrid"/>
        <w:tblW w:w="0" w:type="auto"/>
        <w:tblLook w:val="04A0" w:firstRow="1" w:lastRow="0" w:firstColumn="1" w:lastColumn="0" w:noHBand="0" w:noVBand="1"/>
      </w:tblPr>
      <w:tblGrid>
        <w:gridCol w:w="2547"/>
        <w:gridCol w:w="3463"/>
        <w:gridCol w:w="3006"/>
      </w:tblGrid>
      <w:tr w:rsidR="00130990" w:rsidRPr="001D4CD5" w14:paraId="4FB5A38B" w14:textId="77777777" w:rsidTr="00EC4DE0">
        <w:tc>
          <w:tcPr>
            <w:tcW w:w="2547" w:type="dxa"/>
          </w:tcPr>
          <w:p w14:paraId="5CB3EA14" w14:textId="669FC810" w:rsidR="00130990" w:rsidRPr="001D4CD5" w:rsidRDefault="00130990" w:rsidP="00EC4DE0">
            <w:pPr>
              <w:rPr>
                <w:rFonts w:ascii="Times New Roman" w:hAnsi="Times New Roman" w:cs="Times New Roman"/>
              </w:rPr>
            </w:pPr>
            <w:r w:rsidRPr="001D4CD5">
              <w:rPr>
                <w:rFonts w:ascii="Times New Roman" w:hAnsi="Times New Roman" w:cs="Times New Roman"/>
              </w:rPr>
              <w:t>Variable</w:t>
            </w:r>
          </w:p>
        </w:tc>
        <w:tc>
          <w:tcPr>
            <w:tcW w:w="3463" w:type="dxa"/>
          </w:tcPr>
          <w:p w14:paraId="7D27E25F" w14:textId="77777777" w:rsidR="00130990" w:rsidRPr="001D4CD5" w:rsidRDefault="00130990" w:rsidP="00EC4DE0">
            <w:pPr>
              <w:rPr>
                <w:rFonts w:ascii="Times New Roman" w:hAnsi="Times New Roman" w:cs="Times New Roman"/>
              </w:rPr>
            </w:pPr>
            <w:r w:rsidRPr="001D4CD5">
              <w:rPr>
                <w:rFonts w:ascii="Times New Roman" w:hAnsi="Times New Roman" w:cs="Times New Roman"/>
              </w:rPr>
              <w:t>Variable definition</w:t>
            </w:r>
          </w:p>
        </w:tc>
        <w:tc>
          <w:tcPr>
            <w:tcW w:w="3006" w:type="dxa"/>
          </w:tcPr>
          <w:p w14:paraId="7E243FEF" w14:textId="6CDFF3FB" w:rsidR="00130990" w:rsidRPr="001D4CD5" w:rsidRDefault="00130990" w:rsidP="00EC4DE0">
            <w:pPr>
              <w:rPr>
                <w:rFonts w:ascii="Times New Roman" w:hAnsi="Times New Roman" w:cs="Times New Roman"/>
              </w:rPr>
            </w:pPr>
            <w:r w:rsidRPr="001D4CD5">
              <w:rPr>
                <w:rFonts w:ascii="Times New Roman" w:hAnsi="Times New Roman" w:cs="Times New Roman"/>
              </w:rPr>
              <w:t>Source</w:t>
            </w:r>
          </w:p>
        </w:tc>
      </w:tr>
      <w:tr w:rsidR="00130990" w:rsidRPr="001D4CD5" w14:paraId="4C8E5470" w14:textId="77777777" w:rsidTr="00EC4DE0">
        <w:tc>
          <w:tcPr>
            <w:tcW w:w="2547" w:type="dxa"/>
          </w:tcPr>
          <w:p w14:paraId="064FDEBF" w14:textId="77777777" w:rsidR="00130990" w:rsidRPr="001D4CD5" w:rsidRDefault="00130990" w:rsidP="00EC4DE0">
            <w:pPr>
              <w:rPr>
                <w:rFonts w:ascii="Times New Roman" w:hAnsi="Times New Roman" w:cs="Times New Roman"/>
              </w:rPr>
            </w:pPr>
            <w:r w:rsidRPr="001D4CD5">
              <w:rPr>
                <w:rFonts w:ascii="Times New Roman" w:hAnsi="Times New Roman" w:cs="Times New Roman"/>
              </w:rPr>
              <w:t>GCLAIM</w:t>
            </w:r>
          </w:p>
        </w:tc>
        <w:tc>
          <w:tcPr>
            <w:tcW w:w="3463" w:type="dxa"/>
          </w:tcPr>
          <w:p w14:paraId="4120F14C" w14:textId="77777777" w:rsidR="00130990" w:rsidRPr="001D4CD5" w:rsidRDefault="00130990" w:rsidP="00EC4DE0">
            <w:pPr>
              <w:rPr>
                <w:rFonts w:ascii="Times New Roman" w:hAnsi="Times New Roman" w:cs="Times New Roman"/>
              </w:rPr>
            </w:pPr>
            <w:r w:rsidRPr="001D4CD5">
              <w:rPr>
                <w:rFonts w:ascii="Times New Roman" w:hAnsi="Times New Roman" w:cs="Times New Roman"/>
              </w:rPr>
              <w:t>The growth rate of exchange rate-adjusted cross-border claims</w:t>
            </w:r>
          </w:p>
        </w:tc>
        <w:tc>
          <w:tcPr>
            <w:tcW w:w="3006" w:type="dxa"/>
          </w:tcPr>
          <w:p w14:paraId="27D5B505" w14:textId="77777777" w:rsidR="00130990" w:rsidRPr="001D4CD5" w:rsidRDefault="00130990" w:rsidP="00EC4DE0">
            <w:pPr>
              <w:rPr>
                <w:rFonts w:ascii="Times New Roman" w:hAnsi="Times New Roman" w:cs="Times New Roman"/>
              </w:rPr>
            </w:pPr>
            <w:r w:rsidRPr="001D4CD5">
              <w:rPr>
                <w:rFonts w:ascii="Times New Roman" w:hAnsi="Times New Roman" w:cs="Times New Roman"/>
              </w:rPr>
              <w:t>Bank for International Settlements (BIS)</w:t>
            </w:r>
          </w:p>
        </w:tc>
      </w:tr>
      <w:tr w:rsidR="00130990" w:rsidRPr="001D4CD5" w14:paraId="29E0163B" w14:textId="77777777" w:rsidTr="00EC4DE0">
        <w:tc>
          <w:tcPr>
            <w:tcW w:w="2547" w:type="dxa"/>
          </w:tcPr>
          <w:p w14:paraId="0B4A1B71" w14:textId="77777777" w:rsidR="00130990" w:rsidRPr="001D4CD5" w:rsidRDefault="00130990" w:rsidP="00EC4DE0">
            <w:pPr>
              <w:rPr>
                <w:rFonts w:ascii="Times New Roman" w:hAnsi="Times New Roman" w:cs="Times New Roman"/>
              </w:rPr>
            </w:pPr>
            <w:r w:rsidRPr="001D4CD5">
              <w:rPr>
                <w:rFonts w:ascii="Times New Roman" w:hAnsi="Times New Roman" w:cs="Times New Roman"/>
              </w:rPr>
              <w:t>AMB</w:t>
            </w:r>
          </w:p>
        </w:tc>
        <w:tc>
          <w:tcPr>
            <w:tcW w:w="3463" w:type="dxa"/>
          </w:tcPr>
          <w:p w14:paraId="350B6DDB" w14:textId="77777777" w:rsidR="00130990" w:rsidRPr="001D4CD5" w:rsidRDefault="00130990" w:rsidP="00EC4DE0">
            <w:pPr>
              <w:rPr>
                <w:rFonts w:ascii="Times New Roman" w:hAnsi="Times New Roman" w:cs="Times New Roman"/>
              </w:rPr>
            </w:pPr>
            <w:r w:rsidRPr="001D4CD5">
              <w:rPr>
                <w:rFonts w:ascii="Times New Roman" w:hAnsi="Times New Roman" w:cs="Times New Roman"/>
              </w:rPr>
              <w:t>The ambiguity measure is detailed in our data section</w:t>
            </w:r>
          </w:p>
        </w:tc>
        <w:tc>
          <w:tcPr>
            <w:tcW w:w="3006" w:type="dxa"/>
          </w:tcPr>
          <w:p w14:paraId="1282400E" w14:textId="77777777" w:rsidR="00130990" w:rsidRPr="001D4CD5" w:rsidRDefault="00130990" w:rsidP="00EC4DE0">
            <w:pPr>
              <w:rPr>
                <w:rFonts w:ascii="Times New Roman" w:hAnsi="Times New Roman" w:cs="Times New Roman"/>
              </w:rPr>
            </w:pPr>
            <w:r w:rsidRPr="001D4CD5">
              <w:rPr>
                <w:rFonts w:ascii="Times New Roman" w:hAnsi="Times New Roman" w:cs="Times New Roman"/>
              </w:rPr>
              <w:t>Author’s own calculation</w:t>
            </w:r>
          </w:p>
        </w:tc>
      </w:tr>
      <w:tr w:rsidR="00130990" w:rsidRPr="001D4CD5" w14:paraId="265906DD" w14:textId="77777777" w:rsidTr="00EC4DE0">
        <w:tc>
          <w:tcPr>
            <w:tcW w:w="2547" w:type="dxa"/>
          </w:tcPr>
          <w:p w14:paraId="14C1914E" w14:textId="77777777" w:rsidR="00130990" w:rsidRPr="001D4CD5" w:rsidRDefault="00130990" w:rsidP="00EC4DE0">
            <w:pPr>
              <w:rPr>
                <w:rFonts w:ascii="Times New Roman" w:hAnsi="Times New Roman" w:cs="Times New Roman"/>
              </w:rPr>
            </w:pPr>
            <w:r w:rsidRPr="001D4CD5">
              <w:rPr>
                <w:rFonts w:ascii="Times New Roman" w:eastAsia="Times New Roman" w:hAnsi="Times New Roman" w:cs="Times New Roman"/>
                <w:color w:val="000000"/>
              </w:rPr>
              <w:t>RGDPG</w:t>
            </w:r>
          </w:p>
        </w:tc>
        <w:tc>
          <w:tcPr>
            <w:tcW w:w="3463" w:type="dxa"/>
          </w:tcPr>
          <w:p w14:paraId="60F015D5" w14:textId="77777777" w:rsidR="00130990" w:rsidRPr="001D4CD5" w:rsidRDefault="00130990" w:rsidP="00EC4DE0">
            <w:pPr>
              <w:rPr>
                <w:rFonts w:ascii="Times New Roman" w:hAnsi="Times New Roman" w:cs="Times New Roman"/>
              </w:rPr>
            </w:pPr>
            <w:r w:rsidRPr="001D4CD5">
              <w:rPr>
                <w:rFonts w:ascii="Times New Roman" w:hAnsi="Times New Roman" w:cs="Times New Roman"/>
              </w:rPr>
              <w:t>Real GDP growth rate, quarterly</w:t>
            </w:r>
          </w:p>
        </w:tc>
        <w:tc>
          <w:tcPr>
            <w:tcW w:w="3006" w:type="dxa"/>
          </w:tcPr>
          <w:p w14:paraId="75826491" w14:textId="77777777" w:rsidR="00130990" w:rsidRPr="001D4CD5" w:rsidRDefault="00130990" w:rsidP="00EC4DE0">
            <w:pPr>
              <w:rPr>
                <w:rFonts w:ascii="Times New Roman" w:hAnsi="Times New Roman" w:cs="Times New Roman"/>
              </w:rPr>
            </w:pPr>
            <w:r w:rsidRPr="001D4CD5">
              <w:rPr>
                <w:rFonts w:ascii="Times New Roman" w:hAnsi="Times New Roman" w:cs="Times New Roman"/>
              </w:rPr>
              <w:t>OECD Statistics</w:t>
            </w:r>
          </w:p>
        </w:tc>
      </w:tr>
      <w:tr w:rsidR="00130990" w:rsidRPr="001D4CD5" w14:paraId="636BF6E8" w14:textId="77777777" w:rsidTr="00EC4DE0">
        <w:tc>
          <w:tcPr>
            <w:tcW w:w="2547" w:type="dxa"/>
          </w:tcPr>
          <w:p w14:paraId="40690D40" w14:textId="77777777" w:rsidR="00130990" w:rsidRPr="001D4CD5" w:rsidRDefault="00130990" w:rsidP="00EC4DE0">
            <w:pPr>
              <w:rPr>
                <w:rFonts w:ascii="Times New Roman" w:hAnsi="Times New Roman" w:cs="Times New Roman"/>
              </w:rPr>
            </w:pPr>
            <w:r w:rsidRPr="001D4CD5">
              <w:rPr>
                <w:rFonts w:ascii="Times New Roman" w:hAnsi="Times New Roman" w:cs="Times New Roman"/>
              </w:rPr>
              <w:t>INFLA</w:t>
            </w:r>
          </w:p>
        </w:tc>
        <w:tc>
          <w:tcPr>
            <w:tcW w:w="3463" w:type="dxa"/>
          </w:tcPr>
          <w:p w14:paraId="192E163C" w14:textId="77777777" w:rsidR="00130990" w:rsidRPr="001D4CD5" w:rsidRDefault="00130990" w:rsidP="00EC4DE0">
            <w:pPr>
              <w:rPr>
                <w:rFonts w:ascii="Times New Roman" w:hAnsi="Times New Roman" w:cs="Times New Roman"/>
              </w:rPr>
            </w:pPr>
            <w:r w:rsidRPr="001D4CD5">
              <w:rPr>
                <w:rFonts w:ascii="Times New Roman" w:hAnsi="Times New Roman" w:cs="Times New Roman"/>
              </w:rPr>
              <w:t>Inflation rate, quarterly</w:t>
            </w:r>
          </w:p>
        </w:tc>
        <w:tc>
          <w:tcPr>
            <w:tcW w:w="3006" w:type="dxa"/>
          </w:tcPr>
          <w:p w14:paraId="1817C84D" w14:textId="77777777" w:rsidR="00130990" w:rsidRPr="001D4CD5" w:rsidRDefault="00130990" w:rsidP="00EC4DE0">
            <w:pPr>
              <w:spacing w:after="160" w:line="259" w:lineRule="auto"/>
              <w:rPr>
                <w:rFonts w:ascii="Times New Roman" w:hAnsi="Times New Roman" w:cs="Times New Roman"/>
              </w:rPr>
            </w:pPr>
            <w:r w:rsidRPr="001D4CD5">
              <w:rPr>
                <w:rFonts w:ascii="Times New Roman" w:hAnsi="Times New Roman" w:cs="Times New Roman"/>
              </w:rPr>
              <w:t>Ha, Kose, and Ohnsorge (2023) from World Bank</w:t>
            </w:r>
          </w:p>
        </w:tc>
      </w:tr>
      <w:tr w:rsidR="00130990" w:rsidRPr="001D4CD5" w14:paraId="6CFFEB8F" w14:textId="77777777" w:rsidTr="00EC4DE0">
        <w:tc>
          <w:tcPr>
            <w:tcW w:w="2547" w:type="dxa"/>
          </w:tcPr>
          <w:p w14:paraId="3FEC0051" w14:textId="77777777" w:rsidR="00130990" w:rsidRPr="001D4CD5" w:rsidRDefault="00130990" w:rsidP="00EC4DE0">
            <w:pPr>
              <w:rPr>
                <w:rFonts w:ascii="Times New Roman" w:hAnsi="Times New Roman" w:cs="Times New Roman"/>
              </w:rPr>
            </w:pPr>
            <w:r w:rsidRPr="001D4CD5">
              <w:rPr>
                <w:rFonts w:ascii="Times New Roman" w:eastAsia="Times New Roman" w:hAnsi="Times New Roman" w:cs="Times New Roman"/>
                <w:color w:val="000000"/>
              </w:rPr>
              <w:t>EXGG</w:t>
            </w:r>
          </w:p>
        </w:tc>
        <w:tc>
          <w:tcPr>
            <w:tcW w:w="3463" w:type="dxa"/>
          </w:tcPr>
          <w:p w14:paraId="5BD4FBB1" w14:textId="77777777" w:rsidR="00130990" w:rsidRPr="001D4CD5" w:rsidRDefault="00130990" w:rsidP="00EC4DE0">
            <w:pPr>
              <w:rPr>
                <w:rFonts w:ascii="Times New Roman" w:hAnsi="Times New Roman" w:cs="Times New Roman"/>
              </w:rPr>
            </w:pPr>
            <w:r w:rsidRPr="001D4CD5">
              <w:rPr>
                <w:rFonts w:ascii="Times New Roman" w:hAnsi="Times New Roman" w:cs="Times New Roman"/>
              </w:rPr>
              <w:t>The nominal exchange rate versus the U.S. dollar, quarterly</w:t>
            </w:r>
          </w:p>
        </w:tc>
        <w:tc>
          <w:tcPr>
            <w:tcW w:w="3006" w:type="dxa"/>
          </w:tcPr>
          <w:p w14:paraId="14C88E18" w14:textId="77777777" w:rsidR="00130990" w:rsidRPr="001D4CD5" w:rsidRDefault="00130990" w:rsidP="00EC4DE0">
            <w:pPr>
              <w:rPr>
                <w:rFonts w:ascii="Times New Roman" w:hAnsi="Times New Roman" w:cs="Times New Roman"/>
              </w:rPr>
            </w:pPr>
            <w:r w:rsidRPr="001D4CD5">
              <w:rPr>
                <w:rFonts w:ascii="Times New Roman" w:hAnsi="Times New Roman" w:cs="Times New Roman"/>
              </w:rPr>
              <w:t>Bank for International Settlements (BIS)</w:t>
            </w:r>
          </w:p>
        </w:tc>
      </w:tr>
      <w:tr w:rsidR="00130990" w:rsidRPr="001D4CD5" w14:paraId="4B4DAA88" w14:textId="77777777" w:rsidTr="00EC4DE0">
        <w:tc>
          <w:tcPr>
            <w:tcW w:w="2547" w:type="dxa"/>
          </w:tcPr>
          <w:p w14:paraId="30FCB9AC" w14:textId="77777777" w:rsidR="00130990" w:rsidRPr="001D4CD5" w:rsidRDefault="00130990" w:rsidP="00EC4DE0">
            <w:pPr>
              <w:rPr>
                <w:rFonts w:ascii="Times New Roman" w:hAnsi="Times New Roman" w:cs="Times New Roman"/>
              </w:rPr>
            </w:pPr>
            <w:r w:rsidRPr="001D4CD5">
              <w:rPr>
                <w:rFonts w:ascii="Times New Roman" w:hAnsi="Times New Roman" w:cs="Times New Roman"/>
              </w:rPr>
              <w:t>LRATE</w:t>
            </w:r>
          </w:p>
        </w:tc>
        <w:tc>
          <w:tcPr>
            <w:tcW w:w="3463" w:type="dxa"/>
          </w:tcPr>
          <w:p w14:paraId="6A6BC48A" w14:textId="77777777" w:rsidR="00130990" w:rsidRPr="001D4CD5" w:rsidRDefault="00130990" w:rsidP="00EC4DE0">
            <w:pPr>
              <w:rPr>
                <w:rFonts w:ascii="Times New Roman" w:hAnsi="Times New Roman" w:cs="Times New Roman"/>
              </w:rPr>
            </w:pPr>
            <w:r w:rsidRPr="001D4CD5">
              <w:rPr>
                <w:rFonts w:ascii="Times New Roman" w:hAnsi="Times New Roman" w:cs="Times New Roman"/>
              </w:rPr>
              <w:t>Long-term interest rates measure as government bonds maturing in ten years</w:t>
            </w:r>
          </w:p>
        </w:tc>
        <w:tc>
          <w:tcPr>
            <w:tcW w:w="3006" w:type="dxa"/>
          </w:tcPr>
          <w:p w14:paraId="435FBFCB" w14:textId="77777777" w:rsidR="00130990" w:rsidRPr="001D4CD5" w:rsidRDefault="00130990" w:rsidP="00EC4DE0">
            <w:pPr>
              <w:rPr>
                <w:rFonts w:ascii="Times New Roman" w:hAnsi="Times New Roman" w:cs="Times New Roman"/>
              </w:rPr>
            </w:pPr>
            <w:r w:rsidRPr="001D4CD5">
              <w:rPr>
                <w:rFonts w:ascii="Times New Roman" w:hAnsi="Times New Roman" w:cs="Times New Roman"/>
              </w:rPr>
              <w:t>OECD Statistics</w:t>
            </w:r>
          </w:p>
        </w:tc>
      </w:tr>
      <w:tr w:rsidR="00130990" w:rsidRPr="001D4CD5" w14:paraId="73A80A9F" w14:textId="77777777" w:rsidTr="00EC4DE0">
        <w:tc>
          <w:tcPr>
            <w:tcW w:w="2547" w:type="dxa"/>
          </w:tcPr>
          <w:p w14:paraId="7D9410CC" w14:textId="77777777" w:rsidR="00130990" w:rsidRPr="001D4CD5" w:rsidRDefault="00130990" w:rsidP="00EC4DE0">
            <w:pPr>
              <w:rPr>
                <w:rFonts w:ascii="Times New Roman" w:hAnsi="Times New Roman" w:cs="Times New Roman"/>
              </w:rPr>
            </w:pPr>
            <w:r w:rsidRPr="001D4CD5">
              <w:rPr>
                <w:rFonts w:ascii="Times New Roman" w:eastAsia="Times New Roman" w:hAnsi="Times New Roman" w:cs="Times New Roman"/>
                <w:color w:val="000000"/>
              </w:rPr>
              <w:t>DEBTGDP</w:t>
            </w:r>
          </w:p>
        </w:tc>
        <w:tc>
          <w:tcPr>
            <w:tcW w:w="3463" w:type="dxa"/>
          </w:tcPr>
          <w:p w14:paraId="345569CE" w14:textId="77777777" w:rsidR="00130990" w:rsidRPr="001D4CD5" w:rsidRDefault="00130990" w:rsidP="00EC4DE0">
            <w:pPr>
              <w:rPr>
                <w:rFonts w:ascii="Times New Roman" w:hAnsi="Times New Roman" w:cs="Times New Roman"/>
              </w:rPr>
            </w:pPr>
            <w:r w:rsidRPr="001D4CD5">
              <w:rPr>
                <w:rFonts w:ascii="Times New Roman" w:hAnsi="Times New Roman" w:cs="Times New Roman"/>
              </w:rPr>
              <w:t>Gross General Government Debt Position (% of GDP)</w:t>
            </w:r>
          </w:p>
        </w:tc>
        <w:tc>
          <w:tcPr>
            <w:tcW w:w="3006" w:type="dxa"/>
          </w:tcPr>
          <w:p w14:paraId="4BC8DBE0" w14:textId="77777777" w:rsidR="00130990" w:rsidRPr="001D4CD5" w:rsidRDefault="00130990" w:rsidP="00EC4DE0">
            <w:pPr>
              <w:rPr>
                <w:rFonts w:ascii="Times New Roman" w:hAnsi="Times New Roman" w:cs="Times New Roman"/>
              </w:rPr>
            </w:pPr>
            <w:r w:rsidRPr="001D4CD5">
              <w:rPr>
                <w:rFonts w:ascii="Times New Roman" w:hAnsi="Times New Roman" w:cs="Times New Roman"/>
              </w:rPr>
              <w:t>World Bank: Quarterly Public Sector Debt</w:t>
            </w:r>
          </w:p>
        </w:tc>
      </w:tr>
      <w:tr w:rsidR="00130990" w:rsidRPr="001D4CD5" w14:paraId="46625E4D" w14:textId="77777777" w:rsidTr="00EC4DE0">
        <w:tc>
          <w:tcPr>
            <w:tcW w:w="2547" w:type="dxa"/>
          </w:tcPr>
          <w:p w14:paraId="10AC6555" w14:textId="2BCAA0C9" w:rsidR="00130990" w:rsidRPr="001D4CD5" w:rsidRDefault="000F1B35" w:rsidP="00EC4DE0">
            <w:pPr>
              <w:rPr>
                <w:rFonts w:ascii="Times New Roman" w:eastAsia="Times New Roman" w:hAnsi="Times New Roman" w:cs="Times New Roman"/>
                <w:color w:val="000000"/>
              </w:rPr>
            </w:pPr>
            <w:r>
              <w:rPr>
                <w:rFonts w:ascii="Times New Roman" w:hAnsi="Times New Roman" w:cs="Times New Roman"/>
              </w:rPr>
              <w:t>AMOUNT</w:t>
            </w:r>
          </w:p>
        </w:tc>
        <w:tc>
          <w:tcPr>
            <w:tcW w:w="3463" w:type="dxa"/>
          </w:tcPr>
          <w:p w14:paraId="40B83330" w14:textId="77777777" w:rsidR="00130990" w:rsidRPr="001D4CD5" w:rsidRDefault="00130990" w:rsidP="00EC4DE0">
            <w:pPr>
              <w:rPr>
                <w:rFonts w:ascii="Times New Roman" w:hAnsi="Times New Roman" w:cs="Times New Roman"/>
              </w:rPr>
            </w:pPr>
            <w:r w:rsidRPr="001D4CD5">
              <w:rPr>
                <w:rFonts w:ascii="Times New Roman" w:hAnsi="Times New Roman" w:cs="Times New Roman"/>
              </w:rPr>
              <w:t>The annual dollar amount in millions of loans issued by a lender to borrowers within a country, expressed as a natural logarithm.</w:t>
            </w:r>
          </w:p>
        </w:tc>
        <w:tc>
          <w:tcPr>
            <w:tcW w:w="3006" w:type="dxa"/>
          </w:tcPr>
          <w:p w14:paraId="759092F3" w14:textId="77777777" w:rsidR="00130990" w:rsidRPr="001D4CD5" w:rsidRDefault="00130990" w:rsidP="00EC4DE0">
            <w:pPr>
              <w:rPr>
                <w:rFonts w:ascii="Times New Roman" w:hAnsi="Times New Roman" w:cs="Times New Roman"/>
              </w:rPr>
            </w:pPr>
            <w:r w:rsidRPr="001D4CD5">
              <w:rPr>
                <w:rFonts w:ascii="Times New Roman" w:hAnsi="Times New Roman" w:cs="Times New Roman"/>
              </w:rPr>
              <w:t>Author’s own calculation and DealScan</w:t>
            </w:r>
          </w:p>
        </w:tc>
      </w:tr>
      <w:tr w:rsidR="00130990" w:rsidRPr="001D4CD5" w14:paraId="61C62F18" w14:textId="77777777" w:rsidTr="00EC4DE0">
        <w:trPr>
          <w:trHeight w:val="1213"/>
        </w:trPr>
        <w:tc>
          <w:tcPr>
            <w:tcW w:w="2547" w:type="dxa"/>
          </w:tcPr>
          <w:p w14:paraId="46C88AB6" w14:textId="77777777" w:rsidR="00130990" w:rsidRPr="001D4CD5" w:rsidRDefault="00130990" w:rsidP="00EC4DE0">
            <w:pPr>
              <w:rPr>
                <w:rFonts w:ascii="Times New Roman" w:eastAsia="Times New Roman" w:hAnsi="Times New Roman" w:cs="Times New Roman"/>
                <w:color w:val="000000"/>
              </w:rPr>
            </w:pPr>
            <w:r w:rsidRPr="001D4CD5">
              <w:rPr>
                <w:rFonts w:ascii="Times New Roman" w:eastAsia="Times New Roman" w:hAnsi="Times New Roman" w:cs="Times New Roman"/>
                <w:color w:val="000000"/>
              </w:rPr>
              <w:t>NUMBER</w:t>
            </w:r>
          </w:p>
        </w:tc>
        <w:tc>
          <w:tcPr>
            <w:tcW w:w="3463" w:type="dxa"/>
          </w:tcPr>
          <w:p w14:paraId="167E40AF" w14:textId="77777777" w:rsidR="00130990" w:rsidRPr="001D4CD5" w:rsidRDefault="00130990" w:rsidP="00EC4DE0">
            <w:pPr>
              <w:rPr>
                <w:rFonts w:ascii="Times New Roman" w:hAnsi="Times New Roman" w:cs="Times New Roman"/>
              </w:rPr>
            </w:pPr>
            <w:r w:rsidRPr="001D4CD5">
              <w:rPr>
                <w:rFonts w:ascii="Times New Roman" w:hAnsi="Times New Roman" w:cs="Times New Roman"/>
              </w:rPr>
              <w:t>The annual total number of loans issued by a lender to borrowers within a country, expressed as a natural logarithm.</w:t>
            </w:r>
          </w:p>
        </w:tc>
        <w:tc>
          <w:tcPr>
            <w:tcW w:w="3006" w:type="dxa"/>
          </w:tcPr>
          <w:p w14:paraId="048447E1" w14:textId="77777777" w:rsidR="00130990" w:rsidRPr="001D4CD5" w:rsidRDefault="00130990" w:rsidP="00EC4DE0">
            <w:pPr>
              <w:rPr>
                <w:rFonts w:ascii="Times New Roman" w:hAnsi="Times New Roman" w:cs="Times New Roman"/>
              </w:rPr>
            </w:pPr>
            <w:r w:rsidRPr="001D4CD5">
              <w:rPr>
                <w:rFonts w:ascii="Times New Roman" w:hAnsi="Times New Roman" w:cs="Times New Roman"/>
              </w:rPr>
              <w:t>Author’s own calculation and DealScan</w:t>
            </w:r>
          </w:p>
        </w:tc>
      </w:tr>
    </w:tbl>
    <w:p w14:paraId="0B0999F1" w14:textId="77777777" w:rsidR="00130990" w:rsidRPr="00130990" w:rsidRDefault="00130990" w:rsidP="00130990">
      <w:pPr>
        <w:rPr>
          <w:rFonts w:ascii="Times New Roman" w:hAnsi="Times New Roman" w:cs="Times New Roman"/>
          <w:sz w:val="22"/>
          <w:szCs w:val="22"/>
        </w:rPr>
      </w:pPr>
    </w:p>
    <w:sectPr w:rsidR="00130990" w:rsidRPr="00130990" w:rsidSect="00C843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D30D1" w14:textId="77777777" w:rsidR="009476BC" w:rsidRPr="001D4CD5" w:rsidRDefault="009476BC" w:rsidP="00CA2208">
      <w:r w:rsidRPr="001D4CD5">
        <w:separator/>
      </w:r>
    </w:p>
  </w:endnote>
  <w:endnote w:type="continuationSeparator" w:id="0">
    <w:p w14:paraId="30C3B072" w14:textId="77777777" w:rsidR="009476BC" w:rsidRPr="001D4CD5" w:rsidRDefault="009476BC" w:rsidP="00CA2208">
      <w:r w:rsidRPr="001D4CD5">
        <w:continuationSeparator/>
      </w:r>
    </w:p>
  </w:endnote>
  <w:endnote w:type="continuationNotice" w:id="1">
    <w:p w14:paraId="7884381A" w14:textId="77777777" w:rsidR="009476BC" w:rsidRPr="001D4CD5" w:rsidRDefault="009476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022549"/>
      <w:docPartObj>
        <w:docPartGallery w:val="Page Numbers (Bottom of Page)"/>
        <w:docPartUnique/>
      </w:docPartObj>
    </w:sdtPr>
    <w:sdtContent>
      <w:p w14:paraId="5DA78B63" w14:textId="5EF24A45" w:rsidR="00DF22CE" w:rsidRPr="001D4CD5" w:rsidRDefault="00DF22CE">
        <w:pPr>
          <w:pStyle w:val="Footer"/>
          <w:jc w:val="center"/>
        </w:pPr>
        <w:r w:rsidRPr="001D4CD5">
          <w:fldChar w:fldCharType="begin"/>
        </w:r>
        <w:r w:rsidRPr="001D4CD5">
          <w:instrText xml:space="preserve"> PAGE   \* MERGEFORMAT </w:instrText>
        </w:r>
        <w:r w:rsidRPr="001D4CD5">
          <w:fldChar w:fldCharType="separate"/>
        </w:r>
        <w:r w:rsidRPr="001D4CD5">
          <w:t>2</w:t>
        </w:r>
        <w:r w:rsidRPr="001D4CD5">
          <w:fldChar w:fldCharType="end"/>
        </w:r>
      </w:p>
    </w:sdtContent>
  </w:sdt>
  <w:p w14:paraId="14C90BF2" w14:textId="77777777" w:rsidR="00DF22CE" w:rsidRPr="001D4CD5" w:rsidRDefault="00DF2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5C5C5" w14:textId="77777777" w:rsidR="009476BC" w:rsidRPr="001D4CD5" w:rsidRDefault="009476BC" w:rsidP="00CA2208">
      <w:r w:rsidRPr="001D4CD5">
        <w:separator/>
      </w:r>
    </w:p>
  </w:footnote>
  <w:footnote w:type="continuationSeparator" w:id="0">
    <w:p w14:paraId="5BDCCE66" w14:textId="77777777" w:rsidR="009476BC" w:rsidRPr="001D4CD5" w:rsidRDefault="009476BC" w:rsidP="00CA2208">
      <w:r w:rsidRPr="001D4CD5">
        <w:continuationSeparator/>
      </w:r>
    </w:p>
  </w:footnote>
  <w:footnote w:type="continuationNotice" w:id="1">
    <w:p w14:paraId="7A991BD2" w14:textId="77777777" w:rsidR="009476BC" w:rsidRPr="001D4CD5" w:rsidRDefault="009476BC"/>
  </w:footnote>
  <w:footnote w:id="2">
    <w:p w14:paraId="250036B6" w14:textId="267C1D0D" w:rsidR="00310A34" w:rsidRPr="001D4CD5" w:rsidRDefault="00310A34" w:rsidP="00310A34">
      <w:pPr>
        <w:pStyle w:val="FootnoteText"/>
        <w:rPr>
          <w:rFonts w:ascii="Times New Roman" w:hAnsi="Times New Roman" w:cs="Times New Roman"/>
          <w:sz w:val="22"/>
          <w:szCs w:val="22"/>
        </w:rPr>
      </w:pPr>
      <w:r w:rsidRPr="001D4CD5">
        <w:rPr>
          <w:rStyle w:val="FootnoteReference"/>
          <w:rFonts w:ascii="Times New Roman" w:hAnsi="Times New Roman" w:cs="Times New Roman"/>
          <w:sz w:val="22"/>
          <w:szCs w:val="22"/>
        </w:rPr>
        <w:footnoteRef/>
      </w:r>
      <w:r w:rsidRPr="001D4CD5">
        <w:rPr>
          <w:rFonts w:ascii="Times New Roman" w:hAnsi="Times New Roman" w:cs="Times New Roman"/>
          <w:sz w:val="22"/>
          <w:szCs w:val="22"/>
        </w:rPr>
        <w:t xml:space="preserve"> In the context of the BIS Locational Banking Statistics, and this study, outstanding cross-border claims refer to the financial assets that banks hold against non-resident counterparties that are geographically located in different countries. These claims encompass loans and deposits, debt securities, derivatives, and other financial instruments, all of which are reported on an unconsolidated basis to reflect international banking activity.</w:t>
      </w:r>
    </w:p>
  </w:footnote>
  <w:footnote w:id="3">
    <w:p w14:paraId="68DADA8A" w14:textId="027333C6" w:rsidR="00310A34" w:rsidRPr="001D4CD5" w:rsidRDefault="00310A34" w:rsidP="00310A34">
      <w:pPr>
        <w:pStyle w:val="FootnoteText"/>
        <w:rPr>
          <w:rFonts w:ascii="Times New Roman" w:hAnsi="Times New Roman" w:cs="Times New Roman"/>
          <w:sz w:val="22"/>
          <w:szCs w:val="22"/>
        </w:rPr>
      </w:pPr>
      <w:r w:rsidRPr="001D4CD5">
        <w:rPr>
          <w:rStyle w:val="FootnoteReference"/>
          <w:rFonts w:ascii="Times New Roman" w:hAnsi="Times New Roman" w:cs="Times New Roman"/>
          <w:sz w:val="22"/>
          <w:szCs w:val="22"/>
        </w:rPr>
        <w:footnoteRef/>
      </w:r>
      <w:r w:rsidRPr="001D4CD5">
        <w:rPr>
          <w:rFonts w:ascii="Times New Roman" w:hAnsi="Times New Roman" w:cs="Times New Roman"/>
          <w:sz w:val="22"/>
          <w:szCs w:val="22"/>
        </w:rPr>
        <w:t xml:space="preserve"> The term 'cross-border bank flows' refers broadly to the movement of funds across international borders through banking channels. This includes interbank transactions such as loans and deposits as well as intra-group funding. The nomenclature reflects its usage in the referenced literature, where studies explore various mechanisms and determinants of these flows (e.g., </w:t>
      </w:r>
      <w:r w:rsidR="00090555" w:rsidRPr="001D4CD5">
        <w:rPr>
          <w:rFonts w:ascii="Times New Roman" w:hAnsi="Times New Roman" w:cs="Times New Roman"/>
          <w:sz w:val="22"/>
          <w:szCs w:val="22"/>
        </w:rPr>
        <w:t>Kleimeier et al. 2013</w:t>
      </w:r>
      <w:r w:rsidRPr="001D4CD5">
        <w:rPr>
          <w:rFonts w:ascii="Times New Roman" w:hAnsi="Times New Roman" w:cs="Times New Roman"/>
          <w:sz w:val="22"/>
          <w:szCs w:val="22"/>
        </w:rPr>
        <w:t xml:space="preserve">; </w:t>
      </w:r>
      <w:r w:rsidR="00090555" w:rsidRPr="001D4CD5">
        <w:rPr>
          <w:rFonts w:ascii="Times New Roman" w:hAnsi="Times New Roman" w:cs="Times New Roman"/>
          <w:sz w:val="22"/>
          <w:szCs w:val="22"/>
        </w:rPr>
        <w:t>Cerutti et al. 2017; Wang 2018;</w:t>
      </w:r>
      <w:r w:rsidRPr="001D4CD5">
        <w:rPr>
          <w:rFonts w:ascii="Times New Roman" w:hAnsi="Times New Roman" w:cs="Times New Roman"/>
          <w:sz w:val="22"/>
          <w:szCs w:val="22"/>
        </w:rPr>
        <w:t xml:space="preserve"> Choi </w:t>
      </w:r>
      <w:r w:rsidR="00AD70C9" w:rsidRPr="001D4CD5">
        <w:rPr>
          <w:rFonts w:ascii="Times New Roman" w:hAnsi="Times New Roman" w:cs="Times New Roman"/>
          <w:sz w:val="22"/>
          <w:szCs w:val="22"/>
        </w:rPr>
        <w:t>and</w:t>
      </w:r>
      <w:r w:rsidRPr="001D4CD5">
        <w:rPr>
          <w:rFonts w:ascii="Times New Roman" w:hAnsi="Times New Roman" w:cs="Times New Roman"/>
          <w:sz w:val="22"/>
          <w:szCs w:val="22"/>
        </w:rPr>
        <w:t xml:space="preserve"> Furceri</w:t>
      </w:r>
      <w:r w:rsidR="00AD70C9" w:rsidRPr="001D4CD5">
        <w:rPr>
          <w:rFonts w:ascii="Times New Roman" w:hAnsi="Times New Roman" w:cs="Times New Roman"/>
          <w:sz w:val="22"/>
          <w:szCs w:val="22"/>
        </w:rPr>
        <w:t xml:space="preserve"> </w:t>
      </w:r>
      <w:r w:rsidRPr="001D4CD5">
        <w:rPr>
          <w:rFonts w:ascii="Times New Roman" w:hAnsi="Times New Roman" w:cs="Times New Roman"/>
          <w:sz w:val="22"/>
          <w:szCs w:val="22"/>
        </w:rPr>
        <w:t xml:space="preserve">2019; </w:t>
      </w:r>
      <w:r w:rsidR="00090555" w:rsidRPr="001D4CD5">
        <w:rPr>
          <w:rFonts w:ascii="Times New Roman" w:hAnsi="Times New Roman" w:cs="Times New Roman"/>
          <w:sz w:val="22"/>
          <w:szCs w:val="22"/>
        </w:rPr>
        <w:t xml:space="preserve">Albrizio et al. 2020; Wu and Suardi 2021; </w:t>
      </w:r>
      <w:r w:rsidRPr="001D4CD5">
        <w:rPr>
          <w:rFonts w:ascii="Times New Roman" w:hAnsi="Times New Roman" w:cs="Times New Roman"/>
          <w:sz w:val="22"/>
          <w:szCs w:val="22"/>
        </w:rPr>
        <w:t>Li et al.</w:t>
      </w:r>
      <w:r w:rsidR="00AD70C9" w:rsidRPr="001D4CD5">
        <w:rPr>
          <w:rFonts w:ascii="Times New Roman" w:hAnsi="Times New Roman" w:cs="Times New Roman"/>
          <w:sz w:val="22"/>
          <w:szCs w:val="22"/>
        </w:rPr>
        <w:t xml:space="preserve"> </w:t>
      </w:r>
      <w:r w:rsidRPr="001D4CD5">
        <w:rPr>
          <w:rFonts w:ascii="Times New Roman" w:hAnsi="Times New Roman" w:cs="Times New Roman"/>
          <w:sz w:val="22"/>
          <w:szCs w:val="22"/>
        </w:rPr>
        <w:t>202</w:t>
      </w:r>
      <w:r w:rsidR="00090555" w:rsidRPr="001D4CD5">
        <w:rPr>
          <w:rFonts w:ascii="Times New Roman" w:hAnsi="Times New Roman" w:cs="Times New Roman"/>
          <w:sz w:val="22"/>
          <w:szCs w:val="22"/>
        </w:rPr>
        <w:t>4</w:t>
      </w:r>
      <w:r w:rsidRPr="001D4CD5">
        <w:rPr>
          <w:rFonts w:ascii="Times New Roman" w:hAnsi="Times New Roman" w:cs="Times New Roman"/>
          <w:sz w:val="22"/>
          <w:szCs w:val="22"/>
        </w:rPr>
        <w:t>).</w:t>
      </w:r>
    </w:p>
  </w:footnote>
  <w:footnote w:id="4">
    <w:p w14:paraId="2EFEDDCA" w14:textId="77777777" w:rsidR="00310A34" w:rsidRPr="001D4CD5" w:rsidRDefault="00310A34" w:rsidP="00310A34">
      <w:pPr>
        <w:pStyle w:val="FootnoteText"/>
      </w:pPr>
      <w:r w:rsidRPr="001D4CD5">
        <w:rPr>
          <w:rStyle w:val="FootnoteReference"/>
          <w:rFonts w:ascii="Times New Roman" w:hAnsi="Times New Roman" w:cs="Times New Roman"/>
          <w:sz w:val="22"/>
          <w:szCs w:val="22"/>
        </w:rPr>
        <w:footnoteRef/>
      </w:r>
      <w:r w:rsidRPr="001D4CD5">
        <w:rPr>
          <w:rFonts w:ascii="Times New Roman" w:hAnsi="Times New Roman" w:cs="Times New Roman"/>
          <w:sz w:val="22"/>
          <w:szCs w:val="22"/>
        </w:rPr>
        <w:t xml:space="preserve"> The Chicago Board Options Exchange’s volatility index typically adopted as a measure of the stock market volatility based on S&amp;P 500 index options.</w:t>
      </w:r>
    </w:p>
  </w:footnote>
  <w:footnote w:id="5">
    <w:p w14:paraId="76672878" w14:textId="77777777" w:rsidR="003F70FB" w:rsidRPr="00B549E3" w:rsidRDefault="00E443F0" w:rsidP="003F70FB">
      <w:pPr>
        <w:shd w:val="clear" w:color="auto" w:fill="FFFFFF"/>
        <w:textAlignment w:val="baseline"/>
        <w:rPr>
          <w:rFonts w:ascii="Times New Roman" w:eastAsia="Times New Roman" w:hAnsi="Times New Roman" w:cs="Times New Roman"/>
          <w:sz w:val="22"/>
          <w:szCs w:val="22"/>
          <w:lang w:eastAsia="en-GB"/>
        </w:rPr>
      </w:pPr>
      <w:r w:rsidRPr="003F70FB">
        <w:rPr>
          <w:rStyle w:val="FootnoteReference"/>
          <w:rFonts w:ascii="Times New Roman" w:hAnsi="Times New Roman" w:cs="Times New Roman"/>
          <w:sz w:val="22"/>
          <w:szCs w:val="22"/>
        </w:rPr>
        <w:footnoteRef/>
      </w:r>
      <w:r w:rsidRPr="003F70FB">
        <w:rPr>
          <w:rFonts w:ascii="Times New Roman" w:hAnsi="Times New Roman" w:cs="Times New Roman"/>
          <w:sz w:val="22"/>
          <w:szCs w:val="22"/>
        </w:rPr>
        <w:t xml:space="preserve"> </w:t>
      </w:r>
      <w:r w:rsidR="003F70FB" w:rsidRPr="00B549E3">
        <w:rPr>
          <w:rFonts w:ascii="Times New Roman" w:eastAsia="Times New Roman" w:hAnsi="Times New Roman" w:cs="Times New Roman"/>
          <w:sz w:val="22"/>
          <w:szCs w:val="22"/>
          <w:lang w:eastAsia="en-GB"/>
        </w:rPr>
        <w:t xml:space="preserve">Recent applications of this newly developed measure of ambiguity include Karahan (2025), who tests its influence on gold’s behavior as a safe-haven asset, </w:t>
      </w:r>
      <w:r w:rsidR="003F70FB" w:rsidRPr="003F70FB">
        <w:rPr>
          <w:rFonts w:ascii="Times New Roman" w:eastAsia="Times New Roman" w:hAnsi="Times New Roman" w:cs="Times New Roman"/>
          <w:sz w:val="22"/>
          <w:szCs w:val="22"/>
          <w:lang w:eastAsia="en-GB"/>
        </w:rPr>
        <w:t xml:space="preserve">Greinecker and Kuzmics (2026), who investigate whether price-contingent orders such as limit orders allow ambiguity-averse traders to reduce their exposure, </w:t>
      </w:r>
      <w:r w:rsidR="003F70FB" w:rsidRPr="00B549E3">
        <w:rPr>
          <w:rFonts w:ascii="Times New Roman" w:eastAsia="Times New Roman" w:hAnsi="Times New Roman" w:cs="Times New Roman"/>
          <w:sz w:val="22"/>
          <w:szCs w:val="22"/>
          <w:lang w:eastAsia="en-GB"/>
        </w:rPr>
        <w:t>and </w:t>
      </w:r>
      <w:r w:rsidR="003F70FB" w:rsidRPr="00B549E3">
        <w:rPr>
          <w:rFonts w:ascii="Times New Roman" w:eastAsia="Times New Roman" w:hAnsi="Times New Roman" w:cs="Times New Roman"/>
          <w:sz w:val="22"/>
          <w:szCs w:val="22"/>
          <w:bdr w:val="none" w:sz="0" w:space="0" w:color="auto" w:frame="1"/>
          <w:lang w:eastAsia="en-GB"/>
        </w:rPr>
        <w:t>Poshakwale et al. (2026), who analy</w:t>
      </w:r>
      <w:r w:rsidR="003F70FB" w:rsidRPr="003F70FB">
        <w:rPr>
          <w:rFonts w:ascii="Times New Roman" w:eastAsia="Times New Roman" w:hAnsi="Times New Roman" w:cs="Times New Roman"/>
          <w:sz w:val="22"/>
          <w:szCs w:val="22"/>
          <w:bdr w:val="none" w:sz="0" w:space="0" w:color="auto" w:frame="1"/>
          <w:lang w:eastAsia="en-GB"/>
        </w:rPr>
        <w:t>z</w:t>
      </w:r>
      <w:r w:rsidR="003F70FB" w:rsidRPr="00B549E3">
        <w:rPr>
          <w:rFonts w:ascii="Times New Roman" w:eastAsia="Times New Roman" w:hAnsi="Times New Roman" w:cs="Times New Roman"/>
          <w:sz w:val="22"/>
          <w:szCs w:val="22"/>
          <w:bdr w:val="none" w:sz="0" w:space="0" w:color="auto" w:frame="1"/>
          <w:lang w:eastAsia="en-GB"/>
        </w:rPr>
        <w:t>e how ambiguity-averse investors respond to varying levels of market ambiguity </w:t>
      </w:r>
      <w:r w:rsidR="003F70FB" w:rsidRPr="00B549E3">
        <w:rPr>
          <w:rFonts w:ascii="Times New Roman" w:eastAsia="Times New Roman" w:hAnsi="Times New Roman" w:cs="Times New Roman"/>
          <w:sz w:val="22"/>
          <w:szCs w:val="22"/>
          <w:lang w:eastAsia="en-GB"/>
        </w:rPr>
        <w:t>in China.</w:t>
      </w:r>
    </w:p>
    <w:p w14:paraId="2C454932" w14:textId="6E8881EC" w:rsidR="00E443F0" w:rsidRDefault="00E443F0">
      <w:pPr>
        <w:pStyle w:val="FootnoteText"/>
      </w:pPr>
    </w:p>
  </w:footnote>
  <w:footnote w:id="6">
    <w:p w14:paraId="4428AB46" w14:textId="1895E150" w:rsidR="00D6745D" w:rsidRPr="00700B9E" w:rsidRDefault="00D6745D">
      <w:pPr>
        <w:pStyle w:val="FootnoteText"/>
        <w:rPr>
          <w:rFonts w:ascii="Times New Roman" w:hAnsi="Times New Roman" w:cs="Times New Roman"/>
          <w:sz w:val="22"/>
          <w:szCs w:val="22"/>
        </w:rPr>
      </w:pPr>
      <w:r w:rsidRPr="001D4CD5">
        <w:rPr>
          <w:rStyle w:val="FootnoteReference"/>
          <w:rFonts w:ascii="Times New Roman" w:hAnsi="Times New Roman" w:cs="Times New Roman"/>
          <w:sz w:val="22"/>
          <w:szCs w:val="22"/>
        </w:rPr>
        <w:footnoteRef/>
      </w:r>
      <w:r w:rsidR="006C0C02" w:rsidRPr="001D4CD5">
        <w:rPr>
          <w:rFonts w:ascii="Times New Roman" w:hAnsi="Times New Roman" w:cs="Times New Roman"/>
          <w:sz w:val="22"/>
          <w:szCs w:val="22"/>
        </w:rPr>
        <w:t xml:space="preserve"> </w:t>
      </w:r>
      <w:r w:rsidRPr="00700B9E">
        <w:rPr>
          <w:rFonts w:ascii="Times New Roman" w:hAnsi="Times New Roman" w:cs="Times New Roman"/>
          <w:sz w:val="22"/>
          <w:szCs w:val="22"/>
        </w:rPr>
        <w:t xml:space="preserve">Although prior literature frequently mentions </w:t>
      </w:r>
      <w:r w:rsidRPr="00700B9E">
        <w:rPr>
          <w:rFonts w:ascii="Times New Roman" w:hAnsi="Times New Roman" w:cs="Times New Roman"/>
          <w:color w:val="000000"/>
          <w:sz w:val="22"/>
          <w:szCs w:val="22"/>
          <w:shd w:val="clear" w:color="auto" w:fill="FFFFFF"/>
        </w:rPr>
        <w:t xml:space="preserve">weak borrower country's creditor rights as an important barrier to cross-border lending, as </w:t>
      </w:r>
      <w:r w:rsidR="00E56BBD" w:rsidRPr="00700B9E">
        <w:rPr>
          <w:rFonts w:ascii="Times New Roman" w:hAnsi="Times New Roman" w:cs="Times New Roman"/>
          <w:color w:val="000000"/>
          <w:sz w:val="22"/>
          <w:szCs w:val="22"/>
          <w:shd w:val="clear" w:color="auto" w:fill="FFFFFF"/>
        </w:rPr>
        <w:t xml:space="preserve">shown by Beyhagh et al. (2021, p. </w:t>
      </w:r>
      <w:r w:rsidR="00E775EE" w:rsidRPr="00700B9E">
        <w:rPr>
          <w:rFonts w:ascii="Times New Roman" w:hAnsi="Times New Roman" w:cs="Times New Roman"/>
          <w:color w:val="000000"/>
          <w:sz w:val="22"/>
          <w:szCs w:val="22"/>
          <w:shd w:val="clear" w:color="auto" w:fill="FFFFFF"/>
        </w:rPr>
        <w:t>1373</w:t>
      </w:r>
      <w:r w:rsidR="00E56BBD" w:rsidRPr="00700B9E">
        <w:rPr>
          <w:rFonts w:ascii="Times New Roman" w:hAnsi="Times New Roman" w:cs="Times New Roman"/>
          <w:color w:val="000000"/>
          <w:sz w:val="22"/>
          <w:szCs w:val="22"/>
          <w:shd w:val="clear" w:color="auto" w:fill="FFFFFF"/>
        </w:rPr>
        <w:t>), “</w:t>
      </w:r>
      <w:r w:rsidRPr="00700B9E">
        <w:rPr>
          <w:rFonts w:ascii="Times New Roman" w:hAnsi="Times New Roman" w:cs="Times New Roman"/>
          <w:color w:val="000000"/>
          <w:sz w:val="22"/>
          <w:szCs w:val="22"/>
          <w:shd w:val="clear" w:color="auto" w:fill="FFFFFF"/>
        </w:rPr>
        <w:t>lender country's creditor rights can partly substitute for weak borrower creditor rights if a lender is from a better creditor rights country.</w:t>
      </w:r>
      <w:r w:rsidR="00E56BBD" w:rsidRPr="00700B9E">
        <w:rPr>
          <w:rFonts w:ascii="Times New Roman" w:hAnsi="Times New Roman" w:cs="Times New Roman"/>
          <w:color w:val="000000"/>
          <w:sz w:val="22"/>
          <w:szCs w:val="22"/>
          <w:shd w:val="clear" w:color="auto" w:fill="FFFFFF"/>
        </w:rPr>
        <w:t>”</w:t>
      </w:r>
    </w:p>
  </w:footnote>
  <w:footnote w:id="7">
    <w:p w14:paraId="672AE05C" w14:textId="029DE500" w:rsidR="004C4959" w:rsidRPr="00700B9E" w:rsidRDefault="004C4959" w:rsidP="004C4959">
      <w:pPr>
        <w:autoSpaceDE w:val="0"/>
        <w:autoSpaceDN w:val="0"/>
        <w:adjustRightInd w:val="0"/>
        <w:rPr>
          <w:rFonts w:ascii="Times New Roman" w:hAnsi="Times New Roman" w:cs="Times New Roman"/>
          <w:sz w:val="22"/>
          <w:szCs w:val="22"/>
        </w:rPr>
      </w:pPr>
      <w:r w:rsidRPr="00700B9E">
        <w:rPr>
          <w:rStyle w:val="FootnoteReference"/>
          <w:rFonts w:ascii="Times New Roman" w:hAnsi="Times New Roman" w:cs="Times New Roman"/>
          <w:sz w:val="22"/>
          <w:szCs w:val="22"/>
        </w:rPr>
        <w:footnoteRef/>
      </w:r>
      <w:r w:rsidRPr="00700B9E">
        <w:rPr>
          <w:rFonts w:ascii="Times New Roman" w:hAnsi="Times New Roman" w:cs="Times New Roman"/>
          <w:sz w:val="22"/>
          <w:szCs w:val="22"/>
        </w:rPr>
        <w:t xml:space="preserve"> </w:t>
      </w:r>
      <w:bookmarkStart w:id="4" w:name="_Hlk216284678"/>
      <w:r w:rsidRPr="003E1429">
        <w:rPr>
          <w:rFonts w:ascii="Times New Roman" w:hAnsi="Times New Roman" w:cs="Times New Roman"/>
          <w:sz w:val="22"/>
          <w:szCs w:val="22"/>
        </w:rPr>
        <w:t xml:space="preserve">We should add that </w:t>
      </w:r>
      <w:r w:rsidRPr="003E1429">
        <w:rPr>
          <w:rFonts w:ascii="Times New Roman" w:eastAsia="Times New Roman" w:hAnsi="Times New Roman" w:cs="Times New Roman"/>
          <w:sz w:val="22"/>
          <w:szCs w:val="22"/>
          <w:lang w:eastAsia="en-GB"/>
        </w:rPr>
        <w:t xml:space="preserve">Choi and Furceri (2019) do not use a properly constructed measure of ambiguity as we do in this paper. Our approach allows for a more </w:t>
      </w:r>
      <w:r w:rsidRPr="003E1429">
        <w:rPr>
          <w:rFonts w:ascii="Times New Roman" w:hAnsi="Times New Roman" w:cs="Times New Roman"/>
          <w:sz w:val="22"/>
          <w:szCs w:val="22"/>
        </w:rPr>
        <w:t xml:space="preserve">comprehensive understanding of how each of the two facets of uncertainty, </w:t>
      </w:r>
      <w:r w:rsidR="00B235AF" w:rsidRPr="003E1429">
        <w:rPr>
          <w:rFonts w:ascii="Times New Roman" w:hAnsi="Times New Roman" w:cs="Times New Roman"/>
          <w:sz w:val="22"/>
          <w:szCs w:val="22"/>
        </w:rPr>
        <w:t xml:space="preserve">namely </w:t>
      </w:r>
      <w:r w:rsidRPr="003E1429">
        <w:rPr>
          <w:rFonts w:ascii="Times New Roman" w:hAnsi="Times New Roman" w:cs="Times New Roman"/>
          <w:sz w:val="22"/>
          <w:szCs w:val="22"/>
        </w:rPr>
        <w:t xml:space="preserve">risk and ambiguity, distinctively affect cross-border banking lending across our sample. Moreover, </w:t>
      </w:r>
      <w:r w:rsidRPr="003E1429">
        <w:rPr>
          <w:rFonts w:ascii="Times New Roman" w:eastAsia="Times New Roman" w:hAnsi="Times New Roman" w:cs="Times New Roman"/>
          <w:sz w:val="22"/>
          <w:szCs w:val="22"/>
          <w:lang w:eastAsia="en-GB"/>
        </w:rPr>
        <w:t xml:space="preserve">whilst </w:t>
      </w:r>
      <w:r w:rsidRPr="00700B9E">
        <w:rPr>
          <w:rFonts w:ascii="Times New Roman" w:eastAsia="Times New Roman" w:hAnsi="Times New Roman" w:cs="Times New Roman"/>
          <w:color w:val="242424"/>
          <w:sz w:val="22"/>
          <w:szCs w:val="22"/>
          <w:lang w:eastAsia="en-GB"/>
        </w:rPr>
        <w:t xml:space="preserve">they use cross-border banking flows using data from the Bank for International Settlements Locational Banking Statistics, as we do, we further complement such data by using </w:t>
      </w:r>
      <w:r w:rsidRPr="00700B9E">
        <w:rPr>
          <w:rFonts w:ascii="Times New Roman" w:hAnsi="Times New Roman" w:cs="Times New Roman"/>
          <w:sz w:val="22"/>
          <w:szCs w:val="22"/>
        </w:rPr>
        <w:t>lender-borrower country-pair quarterly-level data aggregated from DealScan, which provides insights into cross-border syndicated lending activities.</w:t>
      </w:r>
      <w:r w:rsidRPr="00700B9E">
        <w:rPr>
          <w:rFonts w:ascii="Times New Roman" w:eastAsia="Times New Roman" w:hAnsi="Times New Roman" w:cs="Times New Roman"/>
          <w:color w:val="242424"/>
          <w:sz w:val="22"/>
          <w:szCs w:val="22"/>
          <w:lang w:eastAsia="en-GB"/>
        </w:rPr>
        <w:t xml:space="preserve"> </w:t>
      </w:r>
      <w:bookmarkEnd w:id="4"/>
    </w:p>
    <w:p w14:paraId="5A222503" w14:textId="72EE1C6F" w:rsidR="004C4959" w:rsidRPr="001D4CD5" w:rsidRDefault="004C4959">
      <w:pPr>
        <w:pStyle w:val="FootnoteText"/>
      </w:pPr>
    </w:p>
  </w:footnote>
  <w:footnote w:id="8">
    <w:p w14:paraId="5F519A88" w14:textId="650F6337" w:rsidR="000E3581" w:rsidRPr="00700B9E" w:rsidRDefault="000E3581">
      <w:pPr>
        <w:pStyle w:val="FootnoteText"/>
        <w:rPr>
          <w:sz w:val="22"/>
          <w:szCs w:val="22"/>
        </w:rPr>
      </w:pPr>
      <w:r w:rsidRPr="00700B9E">
        <w:rPr>
          <w:rStyle w:val="FootnoteReference"/>
          <w:rFonts w:ascii="Times New Roman" w:hAnsi="Times New Roman" w:cs="Times New Roman"/>
          <w:sz w:val="22"/>
          <w:szCs w:val="22"/>
        </w:rPr>
        <w:footnoteRef/>
      </w:r>
      <w:r w:rsidRPr="00700B9E">
        <w:rPr>
          <w:rFonts w:ascii="Times New Roman" w:hAnsi="Times New Roman" w:cs="Times New Roman"/>
          <w:sz w:val="22"/>
          <w:szCs w:val="22"/>
        </w:rPr>
        <w:t xml:space="preserve"> </w:t>
      </w:r>
      <w:r w:rsidR="006609F1" w:rsidRPr="00700B9E">
        <w:rPr>
          <w:rFonts w:ascii="Times New Roman" w:hAnsi="Times New Roman" w:cs="Times New Roman"/>
          <w:sz w:val="22"/>
          <w:szCs w:val="22"/>
        </w:rPr>
        <w:t>W</w:t>
      </w:r>
      <w:r w:rsidR="000C5F29" w:rsidRPr="00700B9E">
        <w:rPr>
          <w:rFonts w:ascii="Times New Roman" w:hAnsi="Times New Roman" w:cs="Times New Roman"/>
          <w:sz w:val="22"/>
          <w:szCs w:val="22"/>
        </w:rPr>
        <w:t xml:space="preserve">e adopt the ambiguity measurement approach as defined by Brenner </w:t>
      </w:r>
      <w:r w:rsidR="00966830" w:rsidRPr="00700B9E">
        <w:rPr>
          <w:rFonts w:ascii="Times New Roman" w:hAnsi="Times New Roman" w:cs="Times New Roman"/>
          <w:sz w:val="22"/>
          <w:szCs w:val="22"/>
        </w:rPr>
        <w:t>and</w:t>
      </w:r>
      <w:r w:rsidR="000C5F29" w:rsidRPr="00700B9E">
        <w:rPr>
          <w:rFonts w:ascii="Times New Roman" w:hAnsi="Times New Roman" w:cs="Times New Roman"/>
          <w:sz w:val="22"/>
          <w:szCs w:val="22"/>
        </w:rPr>
        <w:t xml:space="preserve"> Izhakian (2018), which focuses on the volatility of probabilities. This measure, designed to capture the ambiguity inherent in financial returns, does not specifically isolate or remove cyclical components because it is fundamentally concerned with the variability in the probabilities of returns, not with underlying economic cycles. The measure's independence from cyclical influences lies in its focus on the intrinsic uncertainty associated with financial outcomes, which is expressed through the volatility of probability distributions rather than through traditional economic cycles.</w:t>
      </w:r>
    </w:p>
  </w:footnote>
  <w:footnote w:id="9">
    <w:p w14:paraId="1056CEA6" w14:textId="69BF5A39" w:rsidR="00E6535E" w:rsidRPr="00FC6C1F" w:rsidRDefault="00E6535E">
      <w:pPr>
        <w:pStyle w:val="FootnoteText"/>
        <w:rPr>
          <w:rFonts w:ascii="Times New Roman" w:hAnsi="Times New Roman" w:cs="Times New Roman"/>
          <w:sz w:val="22"/>
          <w:szCs w:val="22"/>
        </w:rPr>
      </w:pPr>
      <w:r w:rsidRPr="00FC6C1F">
        <w:rPr>
          <w:rStyle w:val="FootnoteReference"/>
          <w:rFonts w:ascii="Times New Roman" w:hAnsi="Times New Roman" w:cs="Times New Roman"/>
          <w:sz w:val="22"/>
          <w:szCs w:val="22"/>
        </w:rPr>
        <w:footnoteRef/>
      </w:r>
      <w:r w:rsidRPr="00FC6C1F">
        <w:rPr>
          <w:rFonts w:ascii="Times New Roman" w:hAnsi="Times New Roman" w:cs="Times New Roman"/>
          <w:sz w:val="22"/>
          <w:szCs w:val="22"/>
        </w:rPr>
        <w:t xml:space="preserve"> </w:t>
      </w:r>
      <w:r w:rsidR="00BF2AB4" w:rsidRPr="00FC6C1F">
        <w:rPr>
          <w:rFonts w:ascii="Times New Roman" w:hAnsi="Times New Roman" w:cs="Times New Roman"/>
          <w:sz w:val="22"/>
          <w:szCs w:val="22"/>
        </w:rPr>
        <w:t xml:space="preserve">We also experimented with an “ambiguity gradient” measure defined at the country-pair level as the difference between source- and recipient-country ambiguity, </w:t>
      </w:r>
      <m:oMath>
        <m:sSub>
          <m:sSubPr>
            <m:ctrlPr>
              <w:rPr>
                <w:rFonts w:ascii="Cambria Math" w:hAnsi="Cambria Math" w:cs="Times New Roman"/>
                <w:sz w:val="22"/>
                <w:szCs w:val="22"/>
              </w:rPr>
            </m:ctrlPr>
          </m:sSubPr>
          <m:e>
            <m:r>
              <m:rPr>
                <m:sty m:val="p"/>
              </m:rPr>
              <w:rPr>
                <w:rFonts w:ascii="Cambria Math" w:hAnsi="Cambria Math" w:cs="Times New Roman"/>
                <w:sz w:val="22"/>
                <w:szCs w:val="22"/>
              </w:rPr>
              <m:t>AMB</m:t>
            </m:r>
          </m:e>
          <m:sub>
            <m:r>
              <m:rPr>
                <m:sty m:val="p"/>
              </m:rPr>
              <w:rPr>
                <w:rFonts w:ascii="Cambria Math" w:hAnsi="Cambria Math" w:cs="Times New Roman"/>
                <w:sz w:val="22"/>
                <w:szCs w:val="22"/>
              </w:rPr>
              <m:t>GRA</m:t>
            </m:r>
            <m:sSub>
              <m:sSubPr>
                <m:ctrlPr>
                  <w:rPr>
                    <w:rFonts w:ascii="Cambria Math" w:hAnsi="Cambria Math" w:cs="Times New Roman"/>
                    <w:sz w:val="22"/>
                    <w:szCs w:val="22"/>
                  </w:rPr>
                </m:ctrlPr>
              </m:sSubPr>
              <m:e>
                <m:r>
                  <m:rPr>
                    <m:sty m:val="p"/>
                  </m:rPr>
                  <w:rPr>
                    <w:rFonts w:ascii="Cambria Math" w:hAnsi="Cambria Math" w:cs="Times New Roman"/>
                    <w:sz w:val="22"/>
                    <w:szCs w:val="22"/>
                  </w:rPr>
                  <m:t>D</m:t>
                </m:r>
              </m:e>
              <m:sub>
                <m:r>
                  <m:rPr>
                    <m:sty m:val="p"/>
                  </m:rPr>
                  <w:rPr>
                    <w:rFonts w:ascii="Cambria Math" w:hAnsi="Cambria Math" w:cs="Times New Roman"/>
                    <w:sz w:val="22"/>
                    <w:szCs w:val="22"/>
                  </w:rPr>
                  <m:t>i,j,t</m:t>
                </m:r>
              </m:sub>
            </m:sSub>
          </m:sub>
        </m:sSub>
        <m:r>
          <m:rPr>
            <m:sty m:val="p"/>
          </m:rPr>
          <w:rPr>
            <w:rFonts w:ascii="Cambria Math" w:hAnsi="Cambria Math" w:cs="Times New Roman"/>
            <w:sz w:val="22"/>
            <w:szCs w:val="22"/>
          </w:rPr>
          <m:t>=AM</m:t>
        </m:r>
        <m:sSubSup>
          <m:sSubSupPr>
            <m:ctrlPr>
              <w:rPr>
                <w:rFonts w:ascii="Cambria Math" w:hAnsi="Cambria Math" w:cs="Times New Roman"/>
                <w:sz w:val="22"/>
                <w:szCs w:val="22"/>
              </w:rPr>
            </m:ctrlPr>
          </m:sSubSupPr>
          <m:e>
            <m:r>
              <m:rPr>
                <m:sty m:val="p"/>
              </m:rPr>
              <w:rPr>
                <w:rFonts w:ascii="Cambria Math" w:hAnsi="Cambria Math" w:cs="Times New Roman"/>
                <w:sz w:val="22"/>
                <w:szCs w:val="22"/>
              </w:rPr>
              <m:t>B</m:t>
            </m:r>
          </m:e>
          <m:sub>
            <m:r>
              <m:rPr>
                <m:sty m:val="p"/>
              </m:rPr>
              <w:rPr>
                <w:rFonts w:ascii="Cambria Math" w:hAnsi="Cambria Math" w:cs="Times New Roman"/>
                <w:sz w:val="22"/>
                <w:szCs w:val="22"/>
              </w:rPr>
              <m:t>i,t</m:t>
            </m:r>
          </m:sub>
          <m:sup>
            <m:r>
              <m:rPr>
                <m:sty m:val="p"/>
              </m:rPr>
              <w:rPr>
                <w:rFonts w:ascii="Cambria Math" w:hAnsi="Cambria Math" w:cs="Times New Roman"/>
                <w:sz w:val="22"/>
                <w:szCs w:val="22"/>
              </w:rPr>
              <m:t>S</m:t>
            </m:r>
          </m:sup>
        </m:sSubSup>
        <m:r>
          <m:rPr>
            <m:sty m:val="p"/>
          </m:rPr>
          <w:rPr>
            <w:rFonts w:ascii="Cambria Math" w:hAnsi="Cambria Math" w:cs="Times New Roman"/>
            <w:sz w:val="22"/>
            <w:szCs w:val="22"/>
          </w:rPr>
          <m:t>-AM</m:t>
        </m:r>
        <m:sSubSup>
          <m:sSubSupPr>
            <m:ctrlPr>
              <w:rPr>
                <w:rFonts w:ascii="Cambria Math" w:hAnsi="Cambria Math" w:cs="Times New Roman"/>
                <w:sz w:val="22"/>
                <w:szCs w:val="22"/>
              </w:rPr>
            </m:ctrlPr>
          </m:sSubSupPr>
          <m:e>
            <m:r>
              <m:rPr>
                <m:sty m:val="p"/>
              </m:rPr>
              <w:rPr>
                <w:rFonts w:ascii="Cambria Math" w:hAnsi="Cambria Math" w:cs="Times New Roman"/>
                <w:sz w:val="22"/>
                <w:szCs w:val="22"/>
              </w:rPr>
              <m:t>B</m:t>
            </m:r>
          </m:e>
          <m:sub>
            <m:r>
              <m:rPr>
                <m:sty m:val="p"/>
              </m:rPr>
              <w:rPr>
                <w:rFonts w:ascii="Cambria Math" w:hAnsi="Cambria Math" w:cs="Times New Roman"/>
                <w:sz w:val="22"/>
                <w:szCs w:val="22"/>
              </w:rPr>
              <m:t>j,t</m:t>
            </m:r>
          </m:sub>
          <m:sup>
            <m:r>
              <m:rPr>
                <m:sty m:val="p"/>
              </m:rPr>
              <w:rPr>
                <w:rFonts w:ascii="Cambria Math" w:hAnsi="Cambria Math" w:cs="Times New Roman"/>
                <w:sz w:val="22"/>
                <w:szCs w:val="22"/>
              </w:rPr>
              <m:t>R</m:t>
            </m:r>
          </m:sup>
        </m:sSubSup>
      </m:oMath>
      <w:r w:rsidR="00BF2AB4" w:rsidRPr="00FC6C1F">
        <w:rPr>
          <w:rFonts w:ascii="Times New Roman" w:hAnsi="Times New Roman" w:cs="Times New Roman"/>
          <w:sz w:val="22"/>
          <w:szCs w:val="22"/>
        </w:rPr>
        <w:t xml:space="preserve">. When we re-estimate the specification replacing source-country ambiguity with its lagged gradient </w:t>
      </w:r>
      <m:oMath>
        <m:r>
          <m:rPr>
            <m:sty m:val="p"/>
          </m:rPr>
          <w:rPr>
            <w:rFonts w:ascii="Cambria Math" w:hAnsi="Cambria Math" w:cs="Times New Roman"/>
            <w:sz w:val="22"/>
            <w:szCs w:val="22"/>
          </w:rPr>
          <m:t>AMB_GRA</m:t>
        </m:r>
        <m:sSub>
          <m:sSubPr>
            <m:ctrlPr>
              <w:rPr>
                <w:rFonts w:ascii="Cambria Math" w:hAnsi="Cambria Math" w:cs="Times New Roman"/>
                <w:sz w:val="22"/>
                <w:szCs w:val="22"/>
              </w:rPr>
            </m:ctrlPr>
          </m:sSubPr>
          <m:e>
            <m:r>
              <m:rPr>
                <m:sty m:val="p"/>
              </m:rPr>
              <w:rPr>
                <w:rFonts w:ascii="Cambria Math" w:hAnsi="Cambria Math" w:cs="Times New Roman"/>
                <w:sz w:val="22"/>
                <w:szCs w:val="22"/>
              </w:rPr>
              <m:t>D</m:t>
            </m:r>
          </m:e>
          <m:sub>
            <m:r>
              <m:rPr>
                <m:sty m:val="p"/>
              </m:rPr>
              <w:rPr>
                <w:rFonts w:ascii="Cambria Math" w:hAnsi="Cambria Math" w:cs="Times New Roman"/>
                <w:sz w:val="22"/>
                <w:szCs w:val="22"/>
              </w:rPr>
              <m:t>i,j,t-1</m:t>
            </m:r>
          </m:sub>
        </m:sSub>
      </m:oMath>
      <w:r w:rsidR="00BF2AB4" w:rsidRPr="00FC6C1F">
        <w:rPr>
          <w:rFonts w:ascii="Times New Roman" w:hAnsi="Times New Roman" w:cs="Times New Roman"/>
          <w:sz w:val="22"/>
          <w:szCs w:val="22"/>
        </w:rPr>
        <w:t>, the gradient coefficient is small and not robustly statistically significant once macro controls are included (results are available upon request). This suggests that the relative ambiguity between source and recipient does not provide additional explanatory power beyond the level of home-country ambiguity, so we retain the source-country measure in our main analysis</w:t>
      </w:r>
      <w:r w:rsidR="00884826" w:rsidRPr="00FC6C1F">
        <w:rPr>
          <w:rFonts w:ascii="Times New Roman" w:hAnsi="Times New Roman" w:cs="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A7D5E"/>
    <w:multiLevelType w:val="hybridMultilevel"/>
    <w:tmpl w:val="971A68CC"/>
    <w:lvl w:ilvl="0" w:tplc="7584B74C">
      <w:start w:val="2016"/>
      <w:numFmt w:val="decimal"/>
      <w:lvlText w:val="(%1)"/>
      <w:lvlJc w:val="left"/>
      <w:pPr>
        <w:tabs>
          <w:tab w:val="num" w:pos="165"/>
        </w:tabs>
        <w:ind w:left="165" w:hanging="705"/>
      </w:pPr>
      <w:rPr>
        <w:rFonts w:hint="default"/>
      </w:r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1" w15:restartNumberingAfterBreak="0">
    <w:nsid w:val="16767149"/>
    <w:multiLevelType w:val="hybridMultilevel"/>
    <w:tmpl w:val="87A4043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122076"/>
    <w:multiLevelType w:val="hybridMultilevel"/>
    <w:tmpl w:val="538A5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6A534C"/>
    <w:multiLevelType w:val="hybridMultilevel"/>
    <w:tmpl w:val="C7045DFA"/>
    <w:lvl w:ilvl="0" w:tplc="0809000F">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1A11AA"/>
    <w:multiLevelType w:val="hybridMultilevel"/>
    <w:tmpl w:val="29B0B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3825422">
    <w:abstractNumId w:val="4"/>
  </w:num>
  <w:num w:numId="2" w16cid:durableId="993487699">
    <w:abstractNumId w:val="2"/>
  </w:num>
  <w:num w:numId="3" w16cid:durableId="55248501">
    <w:abstractNumId w:val="3"/>
  </w:num>
  <w:num w:numId="4" w16cid:durableId="1041052650">
    <w:abstractNumId w:val="1"/>
  </w:num>
  <w:num w:numId="5" w16cid:durableId="186863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 Financial Economics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vzxest5uarerredppzpw2ahxxpe55pwdpx0&quot;&gt;My EndNote Library&lt;record-ids&gt;&lt;item&gt;1018&lt;/item&gt;&lt;item&gt;1241&lt;/item&gt;&lt;item&gt;1746&lt;/item&gt;&lt;item&gt;1761&lt;/item&gt;&lt;item&gt;1800&lt;/item&gt;&lt;item&gt;1808&lt;/item&gt;&lt;item&gt;1983&lt;/item&gt;&lt;item&gt;1984&lt;/item&gt;&lt;item&gt;2026&lt;/item&gt;&lt;item&gt;2028&lt;/item&gt;&lt;item&gt;2029&lt;/item&gt;&lt;item&gt;2050&lt;/item&gt;&lt;item&gt;2051&lt;/item&gt;&lt;item&gt;2052&lt;/item&gt;&lt;item&gt;2089&lt;/item&gt;&lt;item&gt;2094&lt;/item&gt;&lt;item&gt;2095&lt;/item&gt;&lt;item&gt;2105&lt;/item&gt;&lt;item&gt;2107&lt;/item&gt;&lt;item&gt;2108&lt;/item&gt;&lt;item&gt;2110&lt;/item&gt;&lt;item&gt;2112&lt;/item&gt;&lt;item&gt;2125&lt;/item&gt;&lt;item&gt;2126&lt;/item&gt;&lt;item&gt;2127&lt;/item&gt;&lt;item&gt;2128&lt;/item&gt;&lt;/record-ids&gt;&lt;/item&gt;&lt;/Libraries&gt;"/>
  </w:docVars>
  <w:rsids>
    <w:rsidRoot w:val="00A958C5"/>
    <w:rsid w:val="00000361"/>
    <w:rsid w:val="0000076C"/>
    <w:rsid w:val="00002F2C"/>
    <w:rsid w:val="00003239"/>
    <w:rsid w:val="0000354C"/>
    <w:rsid w:val="00004764"/>
    <w:rsid w:val="00005009"/>
    <w:rsid w:val="00005876"/>
    <w:rsid w:val="00010283"/>
    <w:rsid w:val="00010EE2"/>
    <w:rsid w:val="000118CE"/>
    <w:rsid w:val="000123DC"/>
    <w:rsid w:val="0001247A"/>
    <w:rsid w:val="000166FD"/>
    <w:rsid w:val="0001725D"/>
    <w:rsid w:val="00017860"/>
    <w:rsid w:val="0002054C"/>
    <w:rsid w:val="0002475F"/>
    <w:rsid w:val="0002480E"/>
    <w:rsid w:val="00027069"/>
    <w:rsid w:val="00027633"/>
    <w:rsid w:val="000276FC"/>
    <w:rsid w:val="0003008F"/>
    <w:rsid w:val="000301B7"/>
    <w:rsid w:val="00030815"/>
    <w:rsid w:val="00030A88"/>
    <w:rsid w:val="000318A7"/>
    <w:rsid w:val="000326F7"/>
    <w:rsid w:val="00032840"/>
    <w:rsid w:val="00033C8B"/>
    <w:rsid w:val="00035349"/>
    <w:rsid w:val="0003607D"/>
    <w:rsid w:val="000367CF"/>
    <w:rsid w:val="00036EF0"/>
    <w:rsid w:val="000370D1"/>
    <w:rsid w:val="00041126"/>
    <w:rsid w:val="00042B36"/>
    <w:rsid w:val="00047294"/>
    <w:rsid w:val="00047A0E"/>
    <w:rsid w:val="00047F85"/>
    <w:rsid w:val="0005225D"/>
    <w:rsid w:val="00054252"/>
    <w:rsid w:val="00054B42"/>
    <w:rsid w:val="00054FC6"/>
    <w:rsid w:val="0005600A"/>
    <w:rsid w:val="000563B1"/>
    <w:rsid w:val="000563CE"/>
    <w:rsid w:val="0005675E"/>
    <w:rsid w:val="00056F10"/>
    <w:rsid w:val="00060570"/>
    <w:rsid w:val="00060A0B"/>
    <w:rsid w:val="00060DC8"/>
    <w:rsid w:val="00062EE1"/>
    <w:rsid w:val="00063372"/>
    <w:rsid w:val="00064A07"/>
    <w:rsid w:val="00064C99"/>
    <w:rsid w:val="000673FE"/>
    <w:rsid w:val="0006792B"/>
    <w:rsid w:val="000704B0"/>
    <w:rsid w:val="000706E8"/>
    <w:rsid w:val="00070C54"/>
    <w:rsid w:val="00070E2F"/>
    <w:rsid w:val="00071C2F"/>
    <w:rsid w:val="000722C4"/>
    <w:rsid w:val="00073AFA"/>
    <w:rsid w:val="00074B45"/>
    <w:rsid w:val="00080859"/>
    <w:rsid w:val="000810FA"/>
    <w:rsid w:val="0008216D"/>
    <w:rsid w:val="000838C4"/>
    <w:rsid w:val="000846F8"/>
    <w:rsid w:val="000855C4"/>
    <w:rsid w:val="00085BE6"/>
    <w:rsid w:val="000863D2"/>
    <w:rsid w:val="00087A5F"/>
    <w:rsid w:val="00090555"/>
    <w:rsid w:val="00091B29"/>
    <w:rsid w:val="00091BDB"/>
    <w:rsid w:val="00092078"/>
    <w:rsid w:val="00094F60"/>
    <w:rsid w:val="0009669A"/>
    <w:rsid w:val="00097AB6"/>
    <w:rsid w:val="000A07B6"/>
    <w:rsid w:val="000A13B7"/>
    <w:rsid w:val="000A2491"/>
    <w:rsid w:val="000A2FF4"/>
    <w:rsid w:val="000A5BB2"/>
    <w:rsid w:val="000A6344"/>
    <w:rsid w:val="000A682C"/>
    <w:rsid w:val="000A74AF"/>
    <w:rsid w:val="000B0C3E"/>
    <w:rsid w:val="000B0EA2"/>
    <w:rsid w:val="000B1AC7"/>
    <w:rsid w:val="000B1D98"/>
    <w:rsid w:val="000B20EE"/>
    <w:rsid w:val="000B34A2"/>
    <w:rsid w:val="000B359D"/>
    <w:rsid w:val="000B3F24"/>
    <w:rsid w:val="000B41AB"/>
    <w:rsid w:val="000B48C7"/>
    <w:rsid w:val="000B5265"/>
    <w:rsid w:val="000B55E1"/>
    <w:rsid w:val="000B5AE6"/>
    <w:rsid w:val="000B7FE6"/>
    <w:rsid w:val="000C0A3A"/>
    <w:rsid w:val="000C0DCE"/>
    <w:rsid w:val="000C1765"/>
    <w:rsid w:val="000C1A6A"/>
    <w:rsid w:val="000C237B"/>
    <w:rsid w:val="000C2B33"/>
    <w:rsid w:val="000C2E6B"/>
    <w:rsid w:val="000C30A4"/>
    <w:rsid w:val="000C4589"/>
    <w:rsid w:val="000C4679"/>
    <w:rsid w:val="000C4B32"/>
    <w:rsid w:val="000C5A8B"/>
    <w:rsid w:val="000C5F29"/>
    <w:rsid w:val="000C64BF"/>
    <w:rsid w:val="000C68D8"/>
    <w:rsid w:val="000D0316"/>
    <w:rsid w:val="000D04B2"/>
    <w:rsid w:val="000D0D3B"/>
    <w:rsid w:val="000D158D"/>
    <w:rsid w:val="000D15F0"/>
    <w:rsid w:val="000D193C"/>
    <w:rsid w:val="000D343B"/>
    <w:rsid w:val="000D3628"/>
    <w:rsid w:val="000D38E4"/>
    <w:rsid w:val="000D4229"/>
    <w:rsid w:val="000D6A99"/>
    <w:rsid w:val="000E04AF"/>
    <w:rsid w:val="000E2928"/>
    <w:rsid w:val="000E2ED2"/>
    <w:rsid w:val="000E3581"/>
    <w:rsid w:val="000E473A"/>
    <w:rsid w:val="000E5A09"/>
    <w:rsid w:val="000E6198"/>
    <w:rsid w:val="000E61D4"/>
    <w:rsid w:val="000E6228"/>
    <w:rsid w:val="000E6B40"/>
    <w:rsid w:val="000E70BD"/>
    <w:rsid w:val="000F1982"/>
    <w:rsid w:val="000F1B35"/>
    <w:rsid w:val="000F1D83"/>
    <w:rsid w:val="000F1DF6"/>
    <w:rsid w:val="000F3A0F"/>
    <w:rsid w:val="000F4664"/>
    <w:rsid w:val="000F5C2F"/>
    <w:rsid w:val="000F6914"/>
    <w:rsid w:val="000F7242"/>
    <w:rsid w:val="000F7C48"/>
    <w:rsid w:val="001006C0"/>
    <w:rsid w:val="00100953"/>
    <w:rsid w:val="00100AC2"/>
    <w:rsid w:val="0010213B"/>
    <w:rsid w:val="0010215D"/>
    <w:rsid w:val="0010248F"/>
    <w:rsid w:val="00102B64"/>
    <w:rsid w:val="00102CF2"/>
    <w:rsid w:val="00103783"/>
    <w:rsid w:val="001065CA"/>
    <w:rsid w:val="0010671D"/>
    <w:rsid w:val="001112CB"/>
    <w:rsid w:val="00112EBC"/>
    <w:rsid w:val="0011332E"/>
    <w:rsid w:val="00114154"/>
    <w:rsid w:val="00114232"/>
    <w:rsid w:val="00114D30"/>
    <w:rsid w:val="00115AB2"/>
    <w:rsid w:val="00115BAF"/>
    <w:rsid w:val="00115C7D"/>
    <w:rsid w:val="0011614F"/>
    <w:rsid w:val="001171F3"/>
    <w:rsid w:val="001172C9"/>
    <w:rsid w:val="00117C14"/>
    <w:rsid w:val="00120452"/>
    <w:rsid w:val="0012169F"/>
    <w:rsid w:val="001235B9"/>
    <w:rsid w:val="00123EAF"/>
    <w:rsid w:val="00126C40"/>
    <w:rsid w:val="00127BD1"/>
    <w:rsid w:val="001303B6"/>
    <w:rsid w:val="00130990"/>
    <w:rsid w:val="00130A0D"/>
    <w:rsid w:val="00131A8F"/>
    <w:rsid w:val="001334DF"/>
    <w:rsid w:val="00135010"/>
    <w:rsid w:val="001351B6"/>
    <w:rsid w:val="00135F6F"/>
    <w:rsid w:val="001365A9"/>
    <w:rsid w:val="0013753D"/>
    <w:rsid w:val="00142AD1"/>
    <w:rsid w:val="00143D7B"/>
    <w:rsid w:val="001460BC"/>
    <w:rsid w:val="001463F1"/>
    <w:rsid w:val="0014646E"/>
    <w:rsid w:val="00147008"/>
    <w:rsid w:val="001501BE"/>
    <w:rsid w:val="00150B39"/>
    <w:rsid w:val="001516EB"/>
    <w:rsid w:val="001524AA"/>
    <w:rsid w:val="00153A7F"/>
    <w:rsid w:val="00153F14"/>
    <w:rsid w:val="001559AB"/>
    <w:rsid w:val="00157E7D"/>
    <w:rsid w:val="001601EC"/>
    <w:rsid w:val="00160D69"/>
    <w:rsid w:val="0016268E"/>
    <w:rsid w:val="001633ED"/>
    <w:rsid w:val="00163690"/>
    <w:rsid w:val="00163935"/>
    <w:rsid w:val="0016450D"/>
    <w:rsid w:val="001655FA"/>
    <w:rsid w:val="00165B15"/>
    <w:rsid w:val="00165DF8"/>
    <w:rsid w:val="001664E9"/>
    <w:rsid w:val="0017015D"/>
    <w:rsid w:val="00171B44"/>
    <w:rsid w:val="00171DDB"/>
    <w:rsid w:val="00173106"/>
    <w:rsid w:val="001739FC"/>
    <w:rsid w:val="00174AC3"/>
    <w:rsid w:val="00175865"/>
    <w:rsid w:val="00177E8B"/>
    <w:rsid w:val="00181446"/>
    <w:rsid w:val="001817B6"/>
    <w:rsid w:val="00182FEE"/>
    <w:rsid w:val="001852AF"/>
    <w:rsid w:val="001862A5"/>
    <w:rsid w:val="0019025B"/>
    <w:rsid w:val="00190A13"/>
    <w:rsid w:val="00194954"/>
    <w:rsid w:val="00196550"/>
    <w:rsid w:val="0019712F"/>
    <w:rsid w:val="001A0BD6"/>
    <w:rsid w:val="001A145F"/>
    <w:rsid w:val="001A1F57"/>
    <w:rsid w:val="001A2164"/>
    <w:rsid w:val="001A3369"/>
    <w:rsid w:val="001A35FC"/>
    <w:rsid w:val="001A4418"/>
    <w:rsid w:val="001A7025"/>
    <w:rsid w:val="001A76DA"/>
    <w:rsid w:val="001B0040"/>
    <w:rsid w:val="001B2995"/>
    <w:rsid w:val="001B2EF2"/>
    <w:rsid w:val="001B5E7D"/>
    <w:rsid w:val="001B6721"/>
    <w:rsid w:val="001B734E"/>
    <w:rsid w:val="001C11F9"/>
    <w:rsid w:val="001C148D"/>
    <w:rsid w:val="001C4ED4"/>
    <w:rsid w:val="001C519F"/>
    <w:rsid w:val="001C5231"/>
    <w:rsid w:val="001C6A81"/>
    <w:rsid w:val="001C70B4"/>
    <w:rsid w:val="001C7997"/>
    <w:rsid w:val="001D1444"/>
    <w:rsid w:val="001D1FD6"/>
    <w:rsid w:val="001D2998"/>
    <w:rsid w:val="001D2C67"/>
    <w:rsid w:val="001D2FA9"/>
    <w:rsid w:val="001D32AE"/>
    <w:rsid w:val="001D3C5B"/>
    <w:rsid w:val="001D4CD5"/>
    <w:rsid w:val="001D5F39"/>
    <w:rsid w:val="001D630A"/>
    <w:rsid w:val="001D7031"/>
    <w:rsid w:val="001D72CA"/>
    <w:rsid w:val="001D7469"/>
    <w:rsid w:val="001E0476"/>
    <w:rsid w:val="001E18FD"/>
    <w:rsid w:val="001E1C81"/>
    <w:rsid w:val="001E677F"/>
    <w:rsid w:val="001F09DE"/>
    <w:rsid w:val="001F0A2C"/>
    <w:rsid w:val="001F18CE"/>
    <w:rsid w:val="001F1E8C"/>
    <w:rsid w:val="001F202B"/>
    <w:rsid w:val="001F268A"/>
    <w:rsid w:val="001F322C"/>
    <w:rsid w:val="001F3D26"/>
    <w:rsid w:val="001F5C39"/>
    <w:rsid w:val="00200668"/>
    <w:rsid w:val="0020207A"/>
    <w:rsid w:val="002027E4"/>
    <w:rsid w:val="00203564"/>
    <w:rsid w:val="00203E1D"/>
    <w:rsid w:val="00204595"/>
    <w:rsid w:val="002068F2"/>
    <w:rsid w:val="00207A93"/>
    <w:rsid w:val="002100AB"/>
    <w:rsid w:val="00211C3D"/>
    <w:rsid w:val="002120D9"/>
    <w:rsid w:val="002120E7"/>
    <w:rsid w:val="00212ED8"/>
    <w:rsid w:val="00214599"/>
    <w:rsid w:val="00214768"/>
    <w:rsid w:val="00214BA1"/>
    <w:rsid w:val="00216259"/>
    <w:rsid w:val="00216BFE"/>
    <w:rsid w:val="002201F0"/>
    <w:rsid w:val="002237EF"/>
    <w:rsid w:val="00226EA1"/>
    <w:rsid w:val="00227D04"/>
    <w:rsid w:val="00227F46"/>
    <w:rsid w:val="00231567"/>
    <w:rsid w:val="0023157B"/>
    <w:rsid w:val="00232C6E"/>
    <w:rsid w:val="002341ED"/>
    <w:rsid w:val="00235859"/>
    <w:rsid w:val="00235A8A"/>
    <w:rsid w:val="00235CBD"/>
    <w:rsid w:val="0023707F"/>
    <w:rsid w:val="00237462"/>
    <w:rsid w:val="0024038E"/>
    <w:rsid w:val="002433F1"/>
    <w:rsid w:val="002436F7"/>
    <w:rsid w:val="00243D71"/>
    <w:rsid w:val="00246F49"/>
    <w:rsid w:val="00251F79"/>
    <w:rsid w:val="00252C8B"/>
    <w:rsid w:val="00252CEC"/>
    <w:rsid w:val="00254B47"/>
    <w:rsid w:val="00255A3C"/>
    <w:rsid w:val="0025627E"/>
    <w:rsid w:val="00262E25"/>
    <w:rsid w:val="00263383"/>
    <w:rsid w:val="0026457E"/>
    <w:rsid w:val="0026599C"/>
    <w:rsid w:val="00265DD7"/>
    <w:rsid w:val="00266B1E"/>
    <w:rsid w:val="0026734B"/>
    <w:rsid w:val="0027111D"/>
    <w:rsid w:val="002717FB"/>
    <w:rsid w:val="002719B8"/>
    <w:rsid w:val="002719C4"/>
    <w:rsid w:val="00271F8E"/>
    <w:rsid w:val="002736F0"/>
    <w:rsid w:val="00274674"/>
    <w:rsid w:val="00275504"/>
    <w:rsid w:val="00275E3F"/>
    <w:rsid w:val="00276F30"/>
    <w:rsid w:val="00277F34"/>
    <w:rsid w:val="00277FC8"/>
    <w:rsid w:val="002800ED"/>
    <w:rsid w:val="002808F2"/>
    <w:rsid w:val="00280B3A"/>
    <w:rsid w:val="00280E06"/>
    <w:rsid w:val="00287364"/>
    <w:rsid w:val="00290D09"/>
    <w:rsid w:val="0029331C"/>
    <w:rsid w:val="00293CCD"/>
    <w:rsid w:val="002962D9"/>
    <w:rsid w:val="00297480"/>
    <w:rsid w:val="002979AA"/>
    <w:rsid w:val="002A0697"/>
    <w:rsid w:val="002A1F84"/>
    <w:rsid w:val="002A2B11"/>
    <w:rsid w:val="002A4B8D"/>
    <w:rsid w:val="002A6062"/>
    <w:rsid w:val="002A6ED7"/>
    <w:rsid w:val="002A6F75"/>
    <w:rsid w:val="002A7566"/>
    <w:rsid w:val="002B00AE"/>
    <w:rsid w:val="002B0FDC"/>
    <w:rsid w:val="002B1DA0"/>
    <w:rsid w:val="002B415E"/>
    <w:rsid w:val="002B4B15"/>
    <w:rsid w:val="002B5203"/>
    <w:rsid w:val="002B5230"/>
    <w:rsid w:val="002B68D1"/>
    <w:rsid w:val="002B77FA"/>
    <w:rsid w:val="002C32A0"/>
    <w:rsid w:val="002C4DB8"/>
    <w:rsid w:val="002C59A8"/>
    <w:rsid w:val="002C6960"/>
    <w:rsid w:val="002C7CC6"/>
    <w:rsid w:val="002D0127"/>
    <w:rsid w:val="002D145C"/>
    <w:rsid w:val="002D1717"/>
    <w:rsid w:val="002D338E"/>
    <w:rsid w:val="002D376E"/>
    <w:rsid w:val="002D3D39"/>
    <w:rsid w:val="002D4B23"/>
    <w:rsid w:val="002D57BB"/>
    <w:rsid w:val="002D636A"/>
    <w:rsid w:val="002E010F"/>
    <w:rsid w:val="002E132C"/>
    <w:rsid w:val="002E1828"/>
    <w:rsid w:val="002E1BC1"/>
    <w:rsid w:val="002E26A8"/>
    <w:rsid w:val="002E2B42"/>
    <w:rsid w:val="002E2FD8"/>
    <w:rsid w:val="002E39E2"/>
    <w:rsid w:val="002E3D93"/>
    <w:rsid w:val="002F23D4"/>
    <w:rsid w:val="002F40BF"/>
    <w:rsid w:val="002F56C4"/>
    <w:rsid w:val="002F76AB"/>
    <w:rsid w:val="002F7887"/>
    <w:rsid w:val="00300F59"/>
    <w:rsid w:val="00301ECB"/>
    <w:rsid w:val="00302808"/>
    <w:rsid w:val="00302BF6"/>
    <w:rsid w:val="00304716"/>
    <w:rsid w:val="00305585"/>
    <w:rsid w:val="003067F2"/>
    <w:rsid w:val="00306C55"/>
    <w:rsid w:val="00310A34"/>
    <w:rsid w:val="00311064"/>
    <w:rsid w:val="003116D4"/>
    <w:rsid w:val="0031217C"/>
    <w:rsid w:val="00314215"/>
    <w:rsid w:val="003206D1"/>
    <w:rsid w:val="0032158F"/>
    <w:rsid w:val="0032194B"/>
    <w:rsid w:val="00322178"/>
    <w:rsid w:val="00322B9E"/>
    <w:rsid w:val="00323C06"/>
    <w:rsid w:val="00323E36"/>
    <w:rsid w:val="0032421F"/>
    <w:rsid w:val="00326743"/>
    <w:rsid w:val="00327607"/>
    <w:rsid w:val="003305B7"/>
    <w:rsid w:val="003309C9"/>
    <w:rsid w:val="00330B4B"/>
    <w:rsid w:val="00330F4C"/>
    <w:rsid w:val="00331AF3"/>
    <w:rsid w:val="00331C9A"/>
    <w:rsid w:val="003330EB"/>
    <w:rsid w:val="00333929"/>
    <w:rsid w:val="00333B24"/>
    <w:rsid w:val="00336A34"/>
    <w:rsid w:val="00337A64"/>
    <w:rsid w:val="003405EF"/>
    <w:rsid w:val="003406D7"/>
    <w:rsid w:val="003407AF"/>
    <w:rsid w:val="00340DFB"/>
    <w:rsid w:val="00340F9A"/>
    <w:rsid w:val="00341D08"/>
    <w:rsid w:val="003436C5"/>
    <w:rsid w:val="0034411F"/>
    <w:rsid w:val="00345C4F"/>
    <w:rsid w:val="00346440"/>
    <w:rsid w:val="0034701B"/>
    <w:rsid w:val="0034703C"/>
    <w:rsid w:val="00347E64"/>
    <w:rsid w:val="00350397"/>
    <w:rsid w:val="00350B82"/>
    <w:rsid w:val="0035141A"/>
    <w:rsid w:val="00352884"/>
    <w:rsid w:val="00353573"/>
    <w:rsid w:val="00356FCE"/>
    <w:rsid w:val="00360CA7"/>
    <w:rsid w:val="00360FEF"/>
    <w:rsid w:val="0036120D"/>
    <w:rsid w:val="00361330"/>
    <w:rsid w:val="00361494"/>
    <w:rsid w:val="00362309"/>
    <w:rsid w:val="003632FB"/>
    <w:rsid w:val="0036406E"/>
    <w:rsid w:val="00364A90"/>
    <w:rsid w:val="00366323"/>
    <w:rsid w:val="003669AE"/>
    <w:rsid w:val="00367C33"/>
    <w:rsid w:val="00367FA0"/>
    <w:rsid w:val="00371C45"/>
    <w:rsid w:val="00373682"/>
    <w:rsid w:val="00373A1E"/>
    <w:rsid w:val="00374765"/>
    <w:rsid w:val="003766C9"/>
    <w:rsid w:val="00376A61"/>
    <w:rsid w:val="00377E69"/>
    <w:rsid w:val="00381440"/>
    <w:rsid w:val="003817E2"/>
    <w:rsid w:val="00383753"/>
    <w:rsid w:val="00383847"/>
    <w:rsid w:val="0038481F"/>
    <w:rsid w:val="003857F9"/>
    <w:rsid w:val="0038591C"/>
    <w:rsid w:val="003861A3"/>
    <w:rsid w:val="0038623F"/>
    <w:rsid w:val="00390BDE"/>
    <w:rsid w:val="00390E4F"/>
    <w:rsid w:val="00392ED4"/>
    <w:rsid w:val="003930B3"/>
    <w:rsid w:val="003932F4"/>
    <w:rsid w:val="00393750"/>
    <w:rsid w:val="00394490"/>
    <w:rsid w:val="003956B0"/>
    <w:rsid w:val="0039635F"/>
    <w:rsid w:val="00396AFC"/>
    <w:rsid w:val="003A0307"/>
    <w:rsid w:val="003A2256"/>
    <w:rsid w:val="003A22A2"/>
    <w:rsid w:val="003A2CB5"/>
    <w:rsid w:val="003A2D76"/>
    <w:rsid w:val="003A5BBB"/>
    <w:rsid w:val="003A6DD3"/>
    <w:rsid w:val="003A7412"/>
    <w:rsid w:val="003B0DCC"/>
    <w:rsid w:val="003B167D"/>
    <w:rsid w:val="003B29B5"/>
    <w:rsid w:val="003B2E83"/>
    <w:rsid w:val="003B323C"/>
    <w:rsid w:val="003B345B"/>
    <w:rsid w:val="003B48A1"/>
    <w:rsid w:val="003B5640"/>
    <w:rsid w:val="003B5C69"/>
    <w:rsid w:val="003B5DE2"/>
    <w:rsid w:val="003B5DE6"/>
    <w:rsid w:val="003B73FD"/>
    <w:rsid w:val="003C035C"/>
    <w:rsid w:val="003C0F5B"/>
    <w:rsid w:val="003C2BF7"/>
    <w:rsid w:val="003C3B56"/>
    <w:rsid w:val="003C3C43"/>
    <w:rsid w:val="003C4F17"/>
    <w:rsid w:val="003C5927"/>
    <w:rsid w:val="003C6258"/>
    <w:rsid w:val="003C66E6"/>
    <w:rsid w:val="003C6C1C"/>
    <w:rsid w:val="003C7BC1"/>
    <w:rsid w:val="003D064A"/>
    <w:rsid w:val="003D246D"/>
    <w:rsid w:val="003D2A4C"/>
    <w:rsid w:val="003D3106"/>
    <w:rsid w:val="003D4DAD"/>
    <w:rsid w:val="003D5048"/>
    <w:rsid w:val="003D5697"/>
    <w:rsid w:val="003D7733"/>
    <w:rsid w:val="003D7766"/>
    <w:rsid w:val="003E081B"/>
    <w:rsid w:val="003E1429"/>
    <w:rsid w:val="003E1B0A"/>
    <w:rsid w:val="003E5DCD"/>
    <w:rsid w:val="003F04D4"/>
    <w:rsid w:val="003F0BB2"/>
    <w:rsid w:val="003F0C94"/>
    <w:rsid w:val="003F1183"/>
    <w:rsid w:val="003F1A75"/>
    <w:rsid w:val="003F23AB"/>
    <w:rsid w:val="003F25E1"/>
    <w:rsid w:val="003F2BEB"/>
    <w:rsid w:val="003F3C98"/>
    <w:rsid w:val="003F5389"/>
    <w:rsid w:val="003F6F11"/>
    <w:rsid w:val="003F6F51"/>
    <w:rsid w:val="003F70FB"/>
    <w:rsid w:val="003F7C61"/>
    <w:rsid w:val="004008B9"/>
    <w:rsid w:val="00400DE2"/>
    <w:rsid w:val="004010C7"/>
    <w:rsid w:val="004024A0"/>
    <w:rsid w:val="0040331D"/>
    <w:rsid w:val="00404232"/>
    <w:rsid w:val="004044F4"/>
    <w:rsid w:val="004045C9"/>
    <w:rsid w:val="004060CC"/>
    <w:rsid w:val="004072DC"/>
    <w:rsid w:val="004106C2"/>
    <w:rsid w:val="004111FF"/>
    <w:rsid w:val="004116A8"/>
    <w:rsid w:val="0041197F"/>
    <w:rsid w:val="00411EBC"/>
    <w:rsid w:val="004121B1"/>
    <w:rsid w:val="00412874"/>
    <w:rsid w:val="00413C4F"/>
    <w:rsid w:val="00414B03"/>
    <w:rsid w:val="00414C86"/>
    <w:rsid w:val="00415E21"/>
    <w:rsid w:val="004162A0"/>
    <w:rsid w:val="004169D6"/>
    <w:rsid w:val="0042040D"/>
    <w:rsid w:val="00421D67"/>
    <w:rsid w:val="00423A5C"/>
    <w:rsid w:val="00423E2A"/>
    <w:rsid w:val="00425A29"/>
    <w:rsid w:val="00427D5B"/>
    <w:rsid w:val="00427D76"/>
    <w:rsid w:val="0043003E"/>
    <w:rsid w:val="004309D3"/>
    <w:rsid w:val="004323A9"/>
    <w:rsid w:val="00433C22"/>
    <w:rsid w:val="00433D83"/>
    <w:rsid w:val="0043520E"/>
    <w:rsid w:val="004364C2"/>
    <w:rsid w:val="00437D2B"/>
    <w:rsid w:val="00440368"/>
    <w:rsid w:val="004429B0"/>
    <w:rsid w:val="004430CF"/>
    <w:rsid w:val="0044424D"/>
    <w:rsid w:val="00444530"/>
    <w:rsid w:val="0044502F"/>
    <w:rsid w:val="004452CA"/>
    <w:rsid w:val="00445C8C"/>
    <w:rsid w:val="00446347"/>
    <w:rsid w:val="00447755"/>
    <w:rsid w:val="00450088"/>
    <w:rsid w:val="00450A22"/>
    <w:rsid w:val="004511E8"/>
    <w:rsid w:val="0045136D"/>
    <w:rsid w:val="004519F9"/>
    <w:rsid w:val="004533C9"/>
    <w:rsid w:val="004544BA"/>
    <w:rsid w:val="00454820"/>
    <w:rsid w:val="00455E33"/>
    <w:rsid w:val="004573E2"/>
    <w:rsid w:val="00457452"/>
    <w:rsid w:val="00460973"/>
    <w:rsid w:val="00461163"/>
    <w:rsid w:val="00461AC1"/>
    <w:rsid w:val="00464445"/>
    <w:rsid w:val="004645FE"/>
    <w:rsid w:val="004671EE"/>
    <w:rsid w:val="0047010D"/>
    <w:rsid w:val="0047011E"/>
    <w:rsid w:val="0047111F"/>
    <w:rsid w:val="00471960"/>
    <w:rsid w:val="004727C6"/>
    <w:rsid w:val="00472DCB"/>
    <w:rsid w:val="00472E54"/>
    <w:rsid w:val="004731A6"/>
    <w:rsid w:val="0047323F"/>
    <w:rsid w:val="00473703"/>
    <w:rsid w:val="004746B3"/>
    <w:rsid w:val="00475485"/>
    <w:rsid w:val="00475685"/>
    <w:rsid w:val="004772E7"/>
    <w:rsid w:val="00480607"/>
    <w:rsid w:val="004806E9"/>
    <w:rsid w:val="00480A94"/>
    <w:rsid w:val="0048137B"/>
    <w:rsid w:val="0048219A"/>
    <w:rsid w:val="004858CF"/>
    <w:rsid w:val="00485BE6"/>
    <w:rsid w:val="0048661C"/>
    <w:rsid w:val="004874C7"/>
    <w:rsid w:val="004876D4"/>
    <w:rsid w:val="00490907"/>
    <w:rsid w:val="00491274"/>
    <w:rsid w:val="00491D5A"/>
    <w:rsid w:val="00494502"/>
    <w:rsid w:val="0049499B"/>
    <w:rsid w:val="004949C5"/>
    <w:rsid w:val="004967E9"/>
    <w:rsid w:val="004969D2"/>
    <w:rsid w:val="00497401"/>
    <w:rsid w:val="004A00E7"/>
    <w:rsid w:val="004A2A71"/>
    <w:rsid w:val="004A2CD9"/>
    <w:rsid w:val="004A3534"/>
    <w:rsid w:val="004A3B92"/>
    <w:rsid w:val="004A3F5E"/>
    <w:rsid w:val="004A5499"/>
    <w:rsid w:val="004A594D"/>
    <w:rsid w:val="004B048D"/>
    <w:rsid w:val="004B0B11"/>
    <w:rsid w:val="004B0B4A"/>
    <w:rsid w:val="004B2B00"/>
    <w:rsid w:val="004B3772"/>
    <w:rsid w:val="004B5F07"/>
    <w:rsid w:val="004B5F82"/>
    <w:rsid w:val="004B6473"/>
    <w:rsid w:val="004B6806"/>
    <w:rsid w:val="004B7987"/>
    <w:rsid w:val="004C15A7"/>
    <w:rsid w:val="004C1E5A"/>
    <w:rsid w:val="004C228A"/>
    <w:rsid w:val="004C23A5"/>
    <w:rsid w:val="004C34C2"/>
    <w:rsid w:val="004C4288"/>
    <w:rsid w:val="004C4959"/>
    <w:rsid w:val="004C4CBA"/>
    <w:rsid w:val="004C5553"/>
    <w:rsid w:val="004C55A5"/>
    <w:rsid w:val="004C5C67"/>
    <w:rsid w:val="004C6F6D"/>
    <w:rsid w:val="004D2007"/>
    <w:rsid w:val="004D281A"/>
    <w:rsid w:val="004D58AF"/>
    <w:rsid w:val="004D60CE"/>
    <w:rsid w:val="004E0CCF"/>
    <w:rsid w:val="004E0DA7"/>
    <w:rsid w:val="004E0E02"/>
    <w:rsid w:val="004E10DC"/>
    <w:rsid w:val="004E19D4"/>
    <w:rsid w:val="004E4562"/>
    <w:rsid w:val="004E46D6"/>
    <w:rsid w:val="004E5AC5"/>
    <w:rsid w:val="004F2283"/>
    <w:rsid w:val="004F4363"/>
    <w:rsid w:val="004F5109"/>
    <w:rsid w:val="004F578D"/>
    <w:rsid w:val="004F6BC1"/>
    <w:rsid w:val="005000B3"/>
    <w:rsid w:val="00500A81"/>
    <w:rsid w:val="00500C12"/>
    <w:rsid w:val="005011DC"/>
    <w:rsid w:val="00501AE2"/>
    <w:rsid w:val="00501F0E"/>
    <w:rsid w:val="00502271"/>
    <w:rsid w:val="00502281"/>
    <w:rsid w:val="00502F4F"/>
    <w:rsid w:val="00503919"/>
    <w:rsid w:val="00503E72"/>
    <w:rsid w:val="005046EC"/>
    <w:rsid w:val="005048E3"/>
    <w:rsid w:val="00504A5B"/>
    <w:rsid w:val="0050508E"/>
    <w:rsid w:val="00506D7C"/>
    <w:rsid w:val="005104E7"/>
    <w:rsid w:val="00510791"/>
    <w:rsid w:val="00513B00"/>
    <w:rsid w:val="00514289"/>
    <w:rsid w:val="005163AB"/>
    <w:rsid w:val="00516989"/>
    <w:rsid w:val="00520878"/>
    <w:rsid w:val="00520D22"/>
    <w:rsid w:val="00520E62"/>
    <w:rsid w:val="00521712"/>
    <w:rsid w:val="00521EB8"/>
    <w:rsid w:val="00521EF5"/>
    <w:rsid w:val="00523B0F"/>
    <w:rsid w:val="00523BF1"/>
    <w:rsid w:val="00524B03"/>
    <w:rsid w:val="00524D5C"/>
    <w:rsid w:val="00525BE1"/>
    <w:rsid w:val="00530386"/>
    <w:rsid w:val="00530480"/>
    <w:rsid w:val="00532442"/>
    <w:rsid w:val="00532AE2"/>
    <w:rsid w:val="00534589"/>
    <w:rsid w:val="00535BAA"/>
    <w:rsid w:val="00535E50"/>
    <w:rsid w:val="00537701"/>
    <w:rsid w:val="005415E2"/>
    <w:rsid w:val="00542472"/>
    <w:rsid w:val="00542EE3"/>
    <w:rsid w:val="00543EB8"/>
    <w:rsid w:val="0054403D"/>
    <w:rsid w:val="00545211"/>
    <w:rsid w:val="0054577C"/>
    <w:rsid w:val="00545A51"/>
    <w:rsid w:val="00545D83"/>
    <w:rsid w:val="00546296"/>
    <w:rsid w:val="00546F1E"/>
    <w:rsid w:val="0054739F"/>
    <w:rsid w:val="00550032"/>
    <w:rsid w:val="00550F7D"/>
    <w:rsid w:val="00552517"/>
    <w:rsid w:val="005530B8"/>
    <w:rsid w:val="00553DB4"/>
    <w:rsid w:val="0055409B"/>
    <w:rsid w:val="00555101"/>
    <w:rsid w:val="00556CC1"/>
    <w:rsid w:val="00556EAE"/>
    <w:rsid w:val="00557441"/>
    <w:rsid w:val="00560747"/>
    <w:rsid w:val="00560FC6"/>
    <w:rsid w:val="005613A1"/>
    <w:rsid w:val="00562686"/>
    <w:rsid w:val="005631B8"/>
    <w:rsid w:val="0056379D"/>
    <w:rsid w:val="00566886"/>
    <w:rsid w:val="00567581"/>
    <w:rsid w:val="00567C48"/>
    <w:rsid w:val="00567FC6"/>
    <w:rsid w:val="00570B38"/>
    <w:rsid w:val="0057256E"/>
    <w:rsid w:val="005745EB"/>
    <w:rsid w:val="00575ADF"/>
    <w:rsid w:val="0057696D"/>
    <w:rsid w:val="00576A42"/>
    <w:rsid w:val="00577724"/>
    <w:rsid w:val="0058119F"/>
    <w:rsid w:val="005816FC"/>
    <w:rsid w:val="00581FFB"/>
    <w:rsid w:val="00582ABB"/>
    <w:rsid w:val="00583598"/>
    <w:rsid w:val="00584EE6"/>
    <w:rsid w:val="005852CB"/>
    <w:rsid w:val="0058587F"/>
    <w:rsid w:val="005869DF"/>
    <w:rsid w:val="00587A6A"/>
    <w:rsid w:val="00591735"/>
    <w:rsid w:val="00593400"/>
    <w:rsid w:val="005945D8"/>
    <w:rsid w:val="005956F4"/>
    <w:rsid w:val="00597370"/>
    <w:rsid w:val="00597805"/>
    <w:rsid w:val="005A13E3"/>
    <w:rsid w:val="005A2F07"/>
    <w:rsid w:val="005A33D2"/>
    <w:rsid w:val="005A38B4"/>
    <w:rsid w:val="005A39DA"/>
    <w:rsid w:val="005A4228"/>
    <w:rsid w:val="005A5829"/>
    <w:rsid w:val="005A7340"/>
    <w:rsid w:val="005A7502"/>
    <w:rsid w:val="005B11AA"/>
    <w:rsid w:val="005B1253"/>
    <w:rsid w:val="005B1913"/>
    <w:rsid w:val="005B1C58"/>
    <w:rsid w:val="005B4B2F"/>
    <w:rsid w:val="005B5277"/>
    <w:rsid w:val="005B6092"/>
    <w:rsid w:val="005C066B"/>
    <w:rsid w:val="005C0DBC"/>
    <w:rsid w:val="005C1CC6"/>
    <w:rsid w:val="005C4200"/>
    <w:rsid w:val="005C4A07"/>
    <w:rsid w:val="005C4A65"/>
    <w:rsid w:val="005C5CC3"/>
    <w:rsid w:val="005C7B88"/>
    <w:rsid w:val="005D08E8"/>
    <w:rsid w:val="005D0E42"/>
    <w:rsid w:val="005D1F97"/>
    <w:rsid w:val="005D312F"/>
    <w:rsid w:val="005D4DCE"/>
    <w:rsid w:val="005D5A4F"/>
    <w:rsid w:val="005D71BF"/>
    <w:rsid w:val="005E180E"/>
    <w:rsid w:val="005E1B30"/>
    <w:rsid w:val="005E2766"/>
    <w:rsid w:val="005E2D7A"/>
    <w:rsid w:val="005E2E4C"/>
    <w:rsid w:val="005E3E77"/>
    <w:rsid w:val="005E4F63"/>
    <w:rsid w:val="005E5761"/>
    <w:rsid w:val="005E5CF2"/>
    <w:rsid w:val="005E6979"/>
    <w:rsid w:val="005E6E3B"/>
    <w:rsid w:val="005F0A89"/>
    <w:rsid w:val="005F1B85"/>
    <w:rsid w:val="005F1FB4"/>
    <w:rsid w:val="005F2C70"/>
    <w:rsid w:val="005F2DA9"/>
    <w:rsid w:val="005F57FA"/>
    <w:rsid w:val="005F5F20"/>
    <w:rsid w:val="005F7D88"/>
    <w:rsid w:val="005F7FF5"/>
    <w:rsid w:val="006001C7"/>
    <w:rsid w:val="00601085"/>
    <w:rsid w:val="00602274"/>
    <w:rsid w:val="00602467"/>
    <w:rsid w:val="00602517"/>
    <w:rsid w:val="00603146"/>
    <w:rsid w:val="006035A4"/>
    <w:rsid w:val="00603CAA"/>
    <w:rsid w:val="00603CE0"/>
    <w:rsid w:val="00604452"/>
    <w:rsid w:val="0060524C"/>
    <w:rsid w:val="00605667"/>
    <w:rsid w:val="00605C6E"/>
    <w:rsid w:val="00605D18"/>
    <w:rsid w:val="00605E0C"/>
    <w:rsid w:val="00610D71"/>
    <w:rsid w:val="0061299B"/>
    <w:rsid w:val="00612C41"/>
    <w:rsid w:val="0061318D"/>
    <w:rsid w:val="0061387E"/>
    <w:rsid w:val="006143E6"/>
    <w:rsid w:val="0061539A"/>
    <w:rsid w:val="00616E50"/>
    <w:rsid w:val="0062047C"/>
    <w:rsid w:val="006210B9"/>
    <w:rsid w:val="006225D5"/>
    <w:rsid w:val="00622CF9"/>
    <w:rsid w:val="00623D9A"/>
    <w:rsid w:val="00626CF4"/>
    <w:rsid w:val="00627462"/>
    <w:rsid w:val="00630403"/>
    <w:rsid w:val="00631D1E"/>
    <w:rsid w:val="00633333"/>
    <w:rsid w:val="00633F91"/>
    <w:rsid w:val="006343E1"/>
    <w:rsid w:val="006362BA"/>
    <w:rsid w:val="006364D9"/>
    <w:rsid w:val="00636555"/>
    <w:rsid w:val="0063732B"/>
    <w:rsid w:val="00637865"/>
    <w:rsid w:val="006379F7"/>
    <w:rsid w:val="0064090C"/>
    <w:rsid w:val="00641B9C"/>
    <w:rsid w:val="0064253F"/>
    <w:rsid w:val="006435E5"/>
    <w:rsid w:val="00643E07"/>
    <w:rsid w:val="00645215"/>
    <w:rsid w:val="0064591A"/>
    <w:rsid w:val="00646DAE"/>
    <w:rsid w:val="0065089A"/>
    <w:rsid w:val="006521C3"/>
    <w:rsid w:val="0065227E"/>
    <w:rsid w:val="0065295A"/>
    <w:rsid w:val="00652A4A"/>
    <w:rsid w:val="00653513"/>
    <w:rsid w:val="00653AD9"/>
    <w:rsid w:val="006555C6"/>
    <w:rsid w:val="0065747D"/>
    <w:rsid w:val="0066041A"/>
    <w:rsid w:val="006609F1"/>
    <w:rsid w:val="00660A17"/>
    <w:rsid w:val="00661AF0"/>
    <w:rsid w:val="00663E80"/>
    <w:rsid w:val="00663F6A"/>
    <w:rsid w:val="0066401B"/>
    <w:rsid w:val="00664E6A"/>
    <w:rsid w:val="00665BB2"/>
    <w:rsid w:val="006660A6"/>
    <w:rsid w:val="00666B96"/>
    <w:rsid w:val="006673A5"/>
    <w:rsid w:val="00674398"/>
    <w:rsid w:val="00674CE9"/>
    <w:rsid w:val="006800F6"/>
    <w:rsid w:val="006845B4"/>
    <w:rsid w:val="00684737"/>
    <w:rsid w:val="00684B1D"/>
    <w:rsid w:val="00687EDA"/>
    <w:rsid w:val="00693D25"/>
    <w:rsid w:val="00697080"/>
    <w:rsid w:val="006978C8"/>
    <w:rsid w:val="006A123D"/>
    <w:rsid w:val="006A22B4"/>
    <w:rsid w:val="006A2449"/>
    <w:rsid w:val="006A2A92"/>
    <w:rsid w:val="006A2E3E"/>
    <w:rsid w:val="006A446E"/>
    <w:rsid w:val="006A4B6C"/>
    <w:rsid w:val="006A4F8B"/>
    <w:rsid w:val="006A6695"/>
    <w:rsid w:val="006A692E"/>
    <w:rsid w:val="006A769E"/>
    <w:rsid w:val="006A7788"/>
    <w:rsid w:val="006B23F4"/>
    <w:rsid w:val="006B271F"/>
    <w:rsid w:val="006B2B18"/>
    <w:rsid w:val="006B3419"/>
    <w:rsid w:val="006B3F00"/>
    <w:rsid w:val="006B4570"/>
    <w:rsid w:val="006B47C1"/>
    <w:rsid w:val="006B4FF0"/>
    <w:rsid w:val="006B579F"/>
    <w:rsid w:val="006B5B9E"/>
    <w:rsid w:val="006B71DC"/>
    <w:rsid w:val="006B7AE5"/>
    <w:rsid w:val="006C0C02"/>
    <w:rsid w:val="006C223F"/>
    <w:rsid w:val="006C3266"/>
    <w:rsid w:val="006C3646"/>
    <w:rsid w:val="006C5296"/>
    <w:rsid w:val="006C5335"/>
    <w:rsid w:val="006C57C9"/>
    <w:rsid w:val="006C6678"/>
    <w:rsid w:val="006C66DB"/>
    <w:rsid w:val="006C685D"/>
    <w:rsid w:val="006C70B3"/>
    <w:rsid w:val="006C727F"/>
    <w:rsid w:val="006C73CB"/>
    <w:rsid w:val="006C7669"/>
    <w:rsid w:val="006E2336"/>
    <w:rsid w:val="006E2ADB"/>
    <w:rsid w:val="006E3B8D"/>
    <w:rsid w:val="006E3E94"/>
    <w:rsid w:val="006E4405"/>
    <w:rsid w:val="006E4CCF"/>
    <w:rsid w:val="006E7886"/>
    <w:rsid w:val="006F4697"/>
    <w:rsid w:val="006F4EE5"/>
    <w:rsid w:val="007009E3"/>
    <w:rsid w:val="00700B9E"/>
    <w:rsid w:val="007033C3"/>
    <w:rsid w:val="0070375B"/>
    <w:rsid w:val="00703EFF"/>
    <w:rsid w:val="0070541C"/>
    <w:rsid w:val="00706BB0"/>
    <w:rsid w:val="00707D45"/>
    <w:rsid w:val="007101B1"/>
    <w:rsid w:val="00710631"/>
    <w:rsid w:val="00710C57"/>
    <w:rsid w:val="00711F57"/>
    <w:rsid w:val="00712F66"/>
    <w:rsid w:val="0071327B"/>
    <w:rsid w:val="007135FC"/>
    <w:rsid w:val="007154ED"/>
    <w:rsid w:val="00716520"/>
    <w:rsid w:val="00716665"/>
    <w:rsid w:val="00716AB5"/>
    <w:rsid w:val="00720392"/>
    <w:rsid w:val="0072119C"/>
    <w:rsid w:val="00721253"/>
    <w:rsid w:val="00722B78"/>
    <w:rsid w:val="00725474"/>
    <w:rsid w:val="0072560F"/>
    <w:rsid w:val="00727FEB"/>
    <w:rsid w:val="00730C7B"/>
    <w:rsid w:val="0073132F"/>
    <w:rsid w:val="0073364C"/>
    <w:rsid w:val="007338CF"/>
    <w:rsid w:val="007339C0"/>
    <w:rsid w:val="00734C1C"/>
    <w:rsid w:val="007365EB"/>
    <w:rsid w:val="00737744"/>
    <w:rsid w:val="007378AA"/>
    <w:rsid w:val="007404C1"/>
    <w:rsid w:val="0074065A"/>
    <w:rsid w:val="007416E0"/>
    <w:rsid w:val="00741A71"/>
    <w:rsid w:val="00742B33"/>
    <w:rsid w:val="00743749"/>
    <w:rsid w:val="00745DA6"/>
    <w:rsid w:val="00745E83"/>
    <w:rsid w:val="00745FBF"/>
    <w:rsid w:val="00752660"/>
    <w:rsid w:val="00752F9D"/>
    <w:rsid w:val="00754350"/>
    <w:rsid w:val="007605AA"/>
    <w:rsid w:val="00762AC2"/>
    <w:rsid w:val="0076320A"/>
    <w:rsid w:val="007646C4"/>
    <w:rsid w:val="00764981"/>
    <w:rsid w:val="00766127"/>
    <w:rsid w:val="00766625"/>
    <w:rsid w:val="007673B0"/>
    <w:rsid w:val="0076783B"/>
    <w:rsid w:val="00767F2B"/>
    <w:rsid w:val="0077514A"/>
    <w:rsid w:val="00775BBA"/>
    <w:rsid w:val="00776942"/>
    <w:rsid w:val="007771BD"/>
    <w:rsid w:val="00777946"/>
    <w:rsid w:val="00783272"/>
    <w:rsid w:val="0078357F"/>
    <w:rsid w:val="00783C8E"/>
    <w:rsid w:val="00783D55"/>
    <w:rsid w:val="00784346"/>
    <w:rsid w:val="00785745"/>
    <w:rsid w:val="00785E85"/>
    <w:rsid w:val="00785FDA"/>
    <w:rsid w:val="00786BA2"/>
    <w:rsid w:val="007876EC"/>
    <w:rsid w:val="007917AD"/>
    <w:rsid w:val="00795C10"/>
    <w:rsid w:val="00795E9D"/>
    <w:rsid w:val="0079619A"/>
    <w:rsid w:val="00796F79"/>
    <w:rsid w:val="00797762"/>
    <w:rsid w:val="00797858"/>
    <w:rsid w:val="007A029D"/>
    <w:rsid w:val="007A059F"/>
    <w:rsid w:val="007A068E"/>
    <w:rsid w:val="007A10A2"/>
    <w:rsid w:val="007A11FC"/>
    <w:rsid w:val="007A1F36"/>
    <w:rsid w:val="007A25B7"/>
    <w:rsid w:val="007A2893"/>
    <w:rsid w:val="007A2DA7"/>
    <w:rsid w:val="007A37D7"/>
    <w:rsid w:val="007A47EC"/>
    <w:rsid w:val="007A5A01"/>
    <w:rsid w:val="007A6977"/>
    <w:rsid w:val="007A6A94"/>
    <w:rsid w:val="007A79A9"/>
    <w:rsid w:val="007A7CA8"/>
    <w:rsid w:val="007A7F9D"/>
    <w:rsid w:val="007B0159"/>
    <w:rsid w:val="007B1A07"/>
    <w:rsid w:val="007B22EE"/>
    <w:rsid w:val="007B55AB"/>
    <w:rsid w:val="007C1224"/>
    <w:rsid w:val="007C13C0"/>
    <w:rsid w:val="007C1E66"/>
    <w:rsid w:val="007C2183"/>
    <w:rsid w:val="007C3559"/>
    <w:rsid w:val="007C36FC"/>
    <w:rsid w:val="007C3D62"/>
    <w:rsid w:val="007C79ED"/>
    <w:rsid w:val="007D0B75"/>
    <w:rsid w:val="007D0E10"/>
    <w:rsid w:val="007D1653"/>
    <w:rsid w:val="007D17F5"/>
    <w:rsid w:val="007D1869"/>
    <w:rsid w:val="007D243B"/>
    <w:rsid w:val="007D412E"/>
    <w:rsid w:val="007D5697"/>
    <w:rsid w:val="007D73B2"/>
    <w:rsid w:val="007D7E7D"/>
    <w:rsid w:val="007D7EDE"/>
    <w:rsid w:val="007E1075"/>
    <w:rsid w:val="007E11AC"/>
    <w:rsid w:val="007E17B3"/>
    <w:rsid w:val="007E1BD5"/>
    <w:rsid w:val="007E1ECB"/>
    <w:rsid w:val="007E3F82"/>
    <w:rsid w:val="007E4594"/>
    <w:rsid w:val="007E51BD"/>
    <w:rsid w:val="007E5581"/>
    <w:rsid w:val="007E704F"/>
    <w:rsid w:val="007E777F"/>
    <w:rsid w:val="007E7E2B"/>
    <w:rsid w:val="007F0717"/>
    <w:rsid w:val="007F268A"/>
    <w:rsid w:val="007F3341"/>
    <w:rsid w:val="007F40FE"/>
    <w:rsid w:val="007F4B8D"/>
    <w:rsid w:val="007F56D9"/>
    <w:rsid w:val="007F602F"/>
    <w:rsid w:val="007F6AB7"/>
    <w:rsid w:val="007F75C1"/>
    <w:rsid w:val="00800755"/>
    <w:rsid w:val="0080090C"/>
    <w:rsid w:val="00802E76"/>
    <w:rsid w:val="00804E47"/>
    <w:rsid w:val="0080590E"/>
    <w:rsid w:val="00805A93"/>
    <w:rsid w:val="00806EEF"/>
    <w:rsid w:val="0081182A"/>
    <w:rsid w:val="008118D0"/>
    <w:rsid w:val="008144EC"/>
    <w:rsid w:val="00815D88"/>
    <w:rsid w:val="0081753A"/>
    <w:rsid w:val="00817AEF"/>
    <w:rsid w:val="008213DE"/>
    <w:rsid w:val="0082157D"/>
    <w:rsid w:val="008215D1"/>
    <w:rsid w:val="008227D4"/>
    <w:rsid w:val="00824D47"/>
    <w:rsid w:val="00825549"/>
    <w:rsid w:val="008265FF"/>
    <w:rsid w:val="00827D06"/>
    <w:rsid w:val="00831292"/>
    <w:rsid w:val="0083421F"/>
    <w:rsid w:val="00834381"/>
    <w:rsid w:val="00834B06"/>
    <w:rsid w:val="0083606C"/>
    <w:rsid w:val="00837BBC"/>
    <w:rsid w:val="0084053B"/>
    <w:rsid w:val="00840E74"/>
    <w:rsid w:val="00840EFF"/>
    <w:rsid w:val="008414EC"/>
    <w:rsid w:val="008418C0"/>
    <w:rsid w:val="00841D0D"/>
    <w:rsid w:val="00842ACA"/>
    <w:rsid w:val="00844D43"/>
    <w:rsid w:val="00845032"/>
    <w:rsid w:val="00847765"/>
    <w:rsid w:val="0084781F"/>
    <w:rsid w:val="00851605"/>
    <w:rsid w:val="008522EB"/>
    <w:rsid w:val="00852600"/>
    <w:rsid w:val="00852A93"/>
    <w:rsid w:val="00852F98"/>
    <w:rsid w:val="0085358A"/>
    <w:rsid w:val="00853696"/>
    <w:rsid w:val="00853729"/>
    <w:rsid w:val="008543BE"/>
    <w:rsid w:val="008545D3"/>
    <w:rsid w:val="00854EA1"/>
    <w:rsid w:val="008550A3"/>
    <w:rsid w:val="008556BD"/>
    <w:rsid w:val="00855CD3"/>
    <w:rsid w:val="008561E5"/>
    <w:rsid w:val="00856D0F"/>
    <w:rsid w:val="00857E43"/>
    <w:rsid w:val="008602F0"/>
    <w:rsid w:val="00860334"/>
    <w:rsid w:val="008614DB"/>
    <w:rsid w:val="00861E6E"/>
    <w:rsid w:val="00862399"/>
    <w:rsid w:val="00862C4F"/>
    <w:rsid w:val="008632FB"/>
    <w:rsid w:val="008640B9"/>
    <w:rsid w:val="008641F9"/>
    <w:rsid w:val="008643EA"/>
    <w:rsid w:val="00864535"/>
    <w:rsid w:val="00865825"/>
    <w:rsid w:val="0086777C"/>
    <w:rsid w:val="00871653"/>
    <w:rsid w:val="0087195C"/>
    <w:rsid w:val="00871A63"/>
    <w:rsid w:val="0087213B"/>
    <w:rsid w:val="0087641E"/>
    <w:rsid w:val="00877910"/>
    <w:rsid w:val="00880BC8"/>
    <w:rsid w:val="008839AF"/>
    <w:rsid w:val="00884538"/>
    <w:rsid w:val="00884560"/>
    <w:rsid w:val="00884826"/>
    <w:rsid w:val="0088522F"/>
    <w:rsid w:val="00885245"/>
    <w:rsid w:val="008854B5"/>
    <w:rsid w:val="00886868"/>
    <w:rsid w:val="00886AB9"/>
    <w:rsid w:val="00886AF5"/>
    <w:rsid w:val="00887B1B"/>
    <w:rsid w:val="00887B85"/>
    <w:rsid w:val="008905B2"/>
    <w:rsid w:val="008908A9"/>
    <w:rsid w:val="008917CD"/>
    <w:rsid w:val="008928B9"/>
    <w:rsid w:val="0089345F"/>
    <w:rsid w:val="00894149"/>
    <w:rsid w:val="0089481C"/>
    <w:rsid w:val="008959EF"/>
    <w:rsid w:val="00895D04"/>
    <w:rsid w:val="00896F65"/>
    <w:rsid w:val="00897F7B"/>
    <w:rsid w:val="008A05E9"/>
    <w:rsid w:val="008A41D1"/>
    <w:rsid w:val="008A4967"/>
    <w:rsid w:val="008A4CFC"/>
    <w:rsid w:val="008A547E"/>
    <w:rsid w:val="008A54EF"/>
    <w:rsid w:val="008A5500"/>
    <w:rsid w:val="008A5D0A"/>
    <w:rsid w:val="008A6649"/>
    <w:rsid w:val="008A6D22"/>
    <w:rsid w:val="008A6E41"/>
    <w:rsid w:val="008A77E8"/>
    <w:rsid w:val="008A7E63"/>
    <w:rsid w:val="008B0015"/>
    <w:rsid w:val="008B0A0C"/>
    <w:rsid w:val="008B27A8"/>
    <w:rsid w:val="008B2FBF"/>
    <w:rsid w:val="008B3339"/>
    <w:rsid w:val="008B51E4"/>
    <w:rsid w:val="008B5C32"/>
    <w:rsid w:val="008B5EDE"/>
    <w:rsid w:val="008B7619"/>
    <w:rsid w:val="008B7DE2"/>
    <w:rsid w:val="008C0EA4"/>
    <w:rsid w:val="008C167B"/>
    <w:rsid w:val="008C1682"/>
    <w:rsid w:val="008C1FCC"/>
    <w:rsid w:val="008C2786"/>
    <w:rsid w:val="008C4760"/>
    <w:rsid w:val="008C5D5E"/>
    <w:rsid w:val="008C61C6"/>
    <w:rsid w:val="008C65A6"/>
    <w:rsid w:val="008D1166"/>
    <w:rsid w:val="008D2DF9"/>
    <w:rsid w:val="008D3539"/>
    <w:rsid w:val="008D3CDB"/>
    <w:rsid w:val="008D603A"/>
    <w:rsid w:val="008D65A5"/>
    <w:rsid w:val="008D67BD"/>
    <w:rsid w:val="008D731D"/>
    <w:rsid w:val="008E0B2D"/>
    <w:rsid w:val="008E1FCA"/>
    <w:rsid w:val="008E3EDA"/>
    <w:rsid w:val="008E4726"/>
    <w:rsid w:val="008E4F0B"/>
    <w:rsid w:val="008E573B"/>
    <w:rsid w:val="008E6254"/>
    <w:rsid w:val="008F0326"/>
    <w:rsid w:val="008F1269"/>
    <w:rsid w:val="008F2458"/>
    <w:rsid w:val="008F5BF3"/>
    <w:rsid w:val="008F60E8"/>
    <w:rsid w:val="008F62B6"/>
    <w:rsid w:val="008F6F99"/>
    <w:rsid w:val="00901388"/>
    <w:rsid w:val="00901C60"/>
    <w:rsid w:val="00905A89"/>
    <w:rsid w:val="009077AD"/>
    <w:rsid w:val="009101CD"/>
    <w:rsid w:val="009106D8"/>
    <w:rsid w:val="009127C8"/>
    <w:rsid w:val="009152F9"/>
    <w:rsid w:val="00916FC6"/>
    <w:rsid w:val="00916FD0"/>
    <w:rsid w:val="0092007C"/>
    <w:rsid w:val="00920DC8"/>
    <w:rsid w:val="0092165E"/>
    <w:rsid w:val="00921CDD"/>
    <w:rsid w:val="00922261"/>
    <w:rsid w:val="009225C9"/>
    <w:rsid w:val="00922FEE"/>
    <w:rsid w:val="0092374C"/>
    <w:rsid w:val="009238AA"/>
    <w:rsid w:val="00923C43"/>
    <w:rsid w:val="00924103"/>
    <w:rsid w:val="00924403"/>
    <w:rsid w:val="00924E43"/>
    <w:rsid w:val="00924F5E"/>
    <w:rsid w:val="009259BC"/>
    <w:rsid w:val="00925A88"/>
    <w:rsid w:val="00925B11"/>
    <w:rsid w:val="009306E9"/>
    <w:rsid w:val="00930AC8"/>
    <w:rsid w:val="00930DAB"/>
    <w:rsid w:val="00930E0E"/>
    <w:rsid w:val="009339AE"/>
    <w:rsid w:val="00933D7B"/>
    <w:rsid w:val="009359DE"/>
    <w:rsid w:val="0094145B"/>
    <w:rsid w:val="00941C7E"/>
    <w:rsid w:val="00942307"/>
    <w:rsid w:val="009427D8"/>
    <w:rsid w:val="00945A47"/>
    <w:rsid w:val="00946F73"/>
    <w:rsid w:val="0094714F"/>
    <w:rsid w:val="009476BC"/>
    <w:rsid w:val="009508EE"/>
    <w:rsid w:val="00950B69"/>
    <w:rsid w:val="00951347"/>
    <w:rsid w:val="009529CC"/>
    <w:rsid w:val="00954D50"/>
    <w:rsid w:val="00957B43"/>
    <w:rsid w:val="009603FE"/>
    <w:rsid w:val="00961043"/>
    <w:rsid w:val="0096283C"/>
    <w:rsid w:val="00964A1C"/>
    <w:rsid w:val="00965B08"/>
    <w:rsid w:val="00966830"/>
    <w:rsid w:val="00966CDF"/>
    <w:rsid w:val="00967B48"/>
    <w:rsid w:val="00973231"/>
    <w:rsid w:val="00975CAB"/>
    <w:rsid w:val="009760C0"/>
    <w:rsid w:val="00976AD5"/>
    <w:rsid w:val="00980DF7"/>
    <w:rsid w:val="00981B2D"/>
    <w:rsid w:val="00981D56"/>
    <w:rsid w:val="00983D47"/>
    <w:rsid w:val="00987421"/>
    <w:rsid w:val="0099017D"/>
    <w:rsid w:val="009903D3"/>
    <w:rsid w:val="0099256B"/>
    <w:rsid w:val="00992892"/>
    <w:rsid w:val="0099311A"/>
    <w:rsid w:val="009936FB"/>
    <w:rsid w:val="009943F2"/>
    <w:rsid w:val="00995FE1"/>
    <w:rsid w:val="00997C48"/>
    <w:rsid w:val="009A0FF4"/>
    <w:rsid w:val="009A1F19"/>
    <w:rsid w:val="009A1F7F"/>
    <w:rsid w:val="009A21CE"/>
    <w:rsid w:val="009A2D67"/>
    <w:rsid w:val="009A38CC"/>
    <w:rsid w:val="009A3E8E"/>
    <w:rsid w:val="009A4D7E"/>
    <w:rsid w:val="009A5503"/>
    <w:rsid w:val="009A5716"/>
    <w:rsid w:val="009A5C7A"/>
    <w:rsid w:val="009A6C15"/>
    <w:rsid w:val="009B0D7E"/>
    <w:rsid w:val="009B19CD"/>
    <w:rsid w:val="009B339A"/>
    <w:rsid w:val="009B36B4"/>
    <w:rsid w:val="009B375D"/>
    <w:rsid w:val="009B39F9"/>
    <w:rsid w:val="009B3FD5"/>
    <w:rsid w:val="009B4782"/>
    <w:rsid w:val="009B57FA"/>
    <w:rsid w:val="009B5E26"/>
    <w:rsid w:val="009C0FC2"/>
    <w:rsid w:val="009C16AD"/>
    <w:rsid w:val="009C19FF"/>
    <w:rsid w:val="009C39CF"/>
    <w:rsid w:val="009C5F80"/>
    <w:rsid w:val="009C7142"/>
    <w:rsid w:val="009D0572"/>
    <w:rsid w:val="009D119C"/>
    <w:rsid w:val="009D2DE9"/>
    <w:rsid w:val="009D31FF"/>
    <w:rsid w:val="009D34B8"/>
    <w:rsid w:val="009D4074"/>
    <w:rsid w:val="009D42ED"/>
    <w:rsid w:val="009D4D31"/>
    <w:rsid w:val="009D569D"/>
    <w:rsid w:val="009D66AD"/>
    <w:rsid w:val="009D6EFC"/>
    <w:rsid w:val="009D77CD"/>
    <w:rsid w:val="009E0BA2"/>
    <w:rsid w:val="009E20A0"/>
    <w:rsid w:val="009E4F06"/>
    <w:rsid w:val="009F06F3"/>
    <w:rsid w:val="009F1056"/>
    <w:rsid w:val="009F12E5"/>
    <w:rsid w:val="009F293E"/>
    <w:rsid w:val="009F53F1"/>
    <w:rsid w:val="009F6A5C"/>
    <w:rsid w:val="009F6B4C"/>
    <w:rsid w:val="009F6ED5"/>
    <w:rsid w:val="009F6FBD"/>
    <w:rsid w:val="009F75BE"/>
    <w:rsid w:val="00A001B1"/>
    <w:rsid w:val="00A01554"/>
    <w:rsid w:val="00A021E0"/>
    <w:rsid w:val="00A04BA9"/>
    <w:rsid w:val="00A05AD0"/>
    <w:rsid w:val="00A065A8"/>
    <w:rsid w:val="00A0791F"/>
    <w:rsid w:val="00A1189B"/>
    <w:rsid w:val="00A12640"/>
    <w:rsid w:val="00A13C22"/>
    <w:rsid w:val="00A13E92"/>
    <w:rsid w:val="00A145B3"/>
    <w:rsid w:val="00A14B70"/>
    <w:rsid w:val="00A15655"/>
    <w:rsid w:val="00A1736F"/>
    <w:rsid w:val="00A174FA"/>
    <w:rsid w:val="00A20EF8"/>
    <w:rsid w:val="00A20FC9"/>
    <w:rsid w:val="00A21B11"/>
    <w:rsid w:val="00A229FA"/>
    <w:rsid w:val="00A241A9"/>
    <w:rsid w:val="00A24994"/>
    <w:rsid w:val="00A258FF"/>
    <w:rsid w:val="00A3237F"/>
    <w:rsid w:val="00A33351"/>
    <w:rsid w:val="00A33C50"/>
    <w:rsid w:val="00A33D86"/>
    <w:rsid w:val="00A34627"/>
    <w:rsid w:val="00A35402"/>
    <w:rsid w:val="00A35C47"/>
    <w:rsid w:val="00A36831"/>
    <w:rsid w:val="00A378E5"/>
    <w:rsid w:val="00A404C6"/>
    <w:rsid w:val="00A44132"/>
    <w:rsid w:val="00A4422B"/>
    <w:rsid w:val="00A44B88"/>
    <w:rsid w:val="00A4524F"/>
    <w:rsid w:val="00A45BB9"/>
    <w:rsid w:val="00A463D2"/>
    <w:rsid w:val="00A4649C"/>
    <w:rsid w:val="00A466CE"/>
    <w:rsid w:val="00A47E95"/>
    <w:rsid w:val="00A47F8B"/>
    <w:rsid w:val="00A500DA"/>
    <w:rsid w:val="00A531DC"/>
    <w:rsid w:val="00A55D61"/>
    <w:rsid w:val="00A57AE2"/>
    <w:rsid w:val="00A605F7"/>
    <w:rsid w:val="00A61B3E"/>
    <w:rsid w:val="00A64DCB"/>
    <w:rsid w:val="00A652C3"/>
    <w:rsid w:val="00A665B0"/>
    <w:rsid w:val="00A70606"/>
    <w:rsid w:val="00A730A9"/>
    <w:rsid w:val="00A74A9E"/>
    <w:rsid w:val="00A74DB6"/>
    <w:rsid w:val="00A75C2A"/>
    <w:rsid w:val="00A76348"/>
    <w:rsid w:val="00A77109"/>
    <w:rsid w:val="00A80FE7"/>
    <w:rsid w:val="00A81C09"/>
    <w:rsid w:val="00A84A98"/>
    <w:rsid w:val="00A8524B"/>
    <w:rsid w:val="00A87972"/>
    <w:rsid w:val="00A87FC3"/>
    <w:rsid w:val="00A902F8"/>
    <w:rsid w:val="00A91818"/>
    <w:rsid w:val="00A918D7"/>
    <w:rsid w:val="00A93F9B"/>
    <w:rsid w:val="00A942F0"/>
    <w:rsid w:val="00A95613"/>
    <w:rsid w:val="00A958C5"/>
    <w:rsid w:val="00A9689E"/>
    <w:rsid w:val="00A97F48"/>
    <w:rsid w:val="00AA0200"/>
    <w:rsid w:val="00AA02DD"/>
    <w:rsid w:val="00AA07A4"/>
    <w:rsid w:val="00AA1736"/>
    <w:rsid w:val="00AA1DEC"/>
    <w:rsid w:val="00AA26AD"/>
    <w:rsid w:val="00AA319E"/>
    <w:rsid w:val="00AA4118"/>
    <w:rsid w:val="00AA503D"/>
    <w:rsid w:val="00AA72A1"/>
    <w:rsid w:val="00AA79B0"/>
    <w:rsid w:val="00AA7F0D"/>
    <w:rsid w:val="00AB024C"/>
    <w:rsid w:val="00AB18F8"/>
    <w:rsid w:val="00AB29F6"/>
    <w:rsid w:val="00AB45D7"/>
    <w:rsid w:val="00AB546C"/>
    <w:rsid w:val="00AB709C"/>
    <w:rsid w:val="00AC00E1"/>
    <w:rsid w:val="00AC130A"/>
    <w:rsid w:val="00AC2BFB"/>
    <w:rsid w:val="00AC3593"/>
    <w:rsid w:val="00AC4F99"/>
    <w:rsid w:val="00AC5192"/>
    <w:rsid w:val="00AC638F"/>
    <w:rsid w:val="00AC69FC"/>
    <w:rsid w:val="00AC6BB9"/>
    <w:rsid w:val="00AC79D9"/>
    <w:rsid w:val="00AD0CB9"/>
    <w:rsid w:val="00AD1521"/>
    <w:rsid w:val="00AD24C5"/>
    <w:rsid w:val="00AD25CE"/>
    <w:rsid w:val="00AD319E"/>
    <w:rsid w:val="00AD31CD"/>
    <w:rsid w:val="00AD335F"/>
    <w:rsid w:val="00AD3E0C"/>
    <w:rsid w:val="00AD448F"/>
    <w:rsid w:val="00AD6D9F"/>
    <w:rsid w:val="00AD6F92"/>
    <w:rsid w:val="00AD70C9"/>
    <w:rsid w:val="00AE0E5E"/>
    <w:rsid w:val="00AE2A8A"/>
    <w:rsid w:val="00AE4B41"/>
    <w:rsid w:val="00AF118F"/>
    <w:rsid w:val="00AF1F95"/>
    <w:rsid w:val="00AF6A99"/>
    <w:rsid w:val="00AF7559"/>
    <w:rsid w:val="00AF7989"/>
    <w:rsid w:val="00AF7B36"/>
    <w:rsid w:val="00B02F58"/>
    <w:rsid w:val="00B04C83"/>
    <w:rsid w:val="00B05775"/>
    <w:rsid w:val="00B05BD9"/>
    <w:rsid w:val="00B05C6F"/>
    <w:rsid w:val="00B065CC"/>
    <w:rsid w:val="00B07D06"/>
    <w:rsid w:val="00B10487"/>
    <w:rsid w:val="00B105D5"/>
    <w:rsid w:val="00B1185A"/>
    <w:rsid w:val="00B153EC"/>
    <w:rsid w:val="00B161CC"/>
    <w:rsid w:val="00B16C06"/>
    <w:rsid w:val="00B208C3"/>
    <w:rsid w:val="00B20E66"/>
    <w:rsid w:val="00B21857"/>
    <w:rsid w:val="00B228A4"/>
    <w:rsid w:val="00B22B50"/>
    <w:rsid w:val="00B234B1"/>
    <w:rsid w:val="00B235AF"/>
    <w:rsid w:val="00B23CC5"/>
    <w:rsid w:val="00B24BB2"/>
    <w:rsid w:val="00B25ED7"/>
    <w:rsid w:val="00B263E6"/>
    <w:rsid w:val="00B2665A"/>
    <w:rsid w:val="00B307AC"/>
    <w:rsid w:val="00B30840"/>
    <w:rsid w:val="00B32268"/>
    <w:rsid w:val="00B34547"/>
    <w:rsid w:val="00B349F6"/>
    <w:rsid w:val="00B36429"/>
    <w:rsid w:val="00B367E7"/>
    <w:rsid w:val="00B36BCB"/>
    <w:rsid w:val="00B40361"/>
    <w:rsid w:val="00B41E2F"/>
    <w:rsid w:val="00B425EE"/>
    <w:rsid w:val="00B43FC7"/>
    <w:rsid w:val="00B447A3"/>
    <w:rsid w:val="00B44D75"/>
    <w:rsid w:val="00B45237"/>
    <w:rsid w:val="00B47E74"/>
    <w:rsid w:val="00B523D3"/>
    <w:rsid w:val="00B52467"/>
    <w:rsid w:val="00B524A1"/>
    <w:rsid w:val="00B524E4"/>
    <w:rsid w:val="00B535E7"/>
    <w:rsid w:val="00B53A1E"/>
    <w:rsid w:val="00B54DF6"/>
    <w:rsid w:val="00B55B51"/>
    <w:rsid w:val="00B560BA"/>
    <w:rsid w:val="00B607CB"/>
    <w:rsid w:val="00B607CD"/>
    <w:rsid w:val="00B625F6"/>
    <w:rsid w:val="00B671D9"/>
    <w:rsid w:val="00B67E82"/>
    <w:rsid w:val="00B67FCB"/>
    <w:rsid w:val="00B70A71"/>
    <w:rsid w:val="00B7172F"/>
    <w:rsid w:val="00B72235"/>
    <w:rsid w:val="00B73E6E"/>
    <w:rsid w:val="00B7519A"/>
    <w:rsid w:val="00B75AD4"/>
    <w:rsid w:val="00B76D54"/>
    <w:rsid w:val="00B8044C"/>
    <w:rsid w:val="00B81028"/>
    <w:rsid w:val="00B82146"/>
    <w:rsid w:val="00B82497"/>
    <w:rsid w:val="00B83F3A"/>
    <w:rsid w:val="00B84BB4"/>
    <w:rsid w:val="00B84F4C"/>
    <w:rsid w:val="00B852D5"/>
    <w:rsid w:val="00B858E4"/>
    <w:rsid w:val="00B86B1E"/>
    <w:rsid w:val="00B86D7C"/>
    <w:rsid w:val="00B874CE"/>
    <w:rsid w:val="00B87E2C"/>
    <w:rsid w:val="00B9088F"/>
    <w:rsid w:val="00B91C1F"/>
    <w:rsid w:val="00B925E2"/>
    <w:rsid w:val="00B930D6"/>
    <w:rsid w:val="00B93EF3"/>
    <w:rsid w:val="00B94065"/>
    <w:rsid w:val="00B9441A"/>
    <w:rsid w:val="00B9604D"/>
    <w:rsid w:val="00B9620B"/>
    <w:rsid w:val="00B973BA"/>
    <w:rsid w:val="00BA03AA"/>
    <w:rsid w:val="00BA055E"/>
    <w:rsid w:val="00BA07B8"/>
    <w:rsid w:val="00BA0ECD"/>
    <w:rsid w:val="00BA1FAD"/>
    <w:rsid w:val="00BA227A"/>
    <w:rsid w:val="00BA3985"/>
    <w:rsid w:val="00BA488B"/>
    <w:rsid w:val="00BA633C"/>
    <w:rsid w:val="00BA657F"/>
    <w:rsid w:val="00BA6DF2"/>
    <w:rsid w:val="00BA77DE"/>
    <w:rsid w:val="00BB1163"/>
    <w:rsid w:val="00BB2AAF"/>
    <w:rsid w:val="00BB371F"/>
    <w:rsid w:val="00BB5EF1"/>
    <w:rsid w:val="00BB6237"/>
    <w:rsid w:val="00BB6FD3"/>
    <w:rsid w:val="00BC06A5"/>
    <w:rsid w:val="00BC20EE"/>
    <w:rsid w:val="00BC3F55"/>
    <w:rsid w:val="00BC4A93"/>
    <w:rsid w:val="00BC60F7"/>
    <w:rsid w:val="00BC6AD9"/>
    <w:rsid w:val="00BC6C59"/>
    <w:rsid w:val="00BC6E8F"/>
    <w:rsid w:val="00BC74F7"/>
    <w:rsid w:val="00BD0287"/>
    <w:rsid w:val="00BD092E"/>
    <w:rsid w:val="00BD0D69"/>
    <w:rsid w:val="00BD1725"/>
    <w:rsid w:val="00BD3B07"/>
    <w:rsid w:val="00BD4318"/>
    <w:rsid w:val="00BD5477"/>
    <w:rsid w:val="00BD7DD8"/>
    <w:rsid w:val="00BE0726"/>
    <w:rsid w:val="00BE0A46"/>
    <w:rsid w:val="00BE159A"/>
    <w:rsid w:val="00BE1674"/>
    <w:rsid w:val="00BE25FC"/>
    <w:rsid w:val="00BE30D3"/>
    <w:rsid w:val="00BE4AFD"/>
    <w:rsid w:val="00BE6969"/>
    <w:rsid w:val="00BE703E"/>
    <w:rsid w:val="00BE70BE"/>
    <w:rsid w:val="00BE731E"/>
    <w:rsid w:val="00BF2AB4"/>
    <w:rsid w:val="00BF3B9E"/>
    <w:rsid w:val="00BF4577"/>
    <w:rsid w:val="00BF64E7"/>
    <w:rsid w:val="00BF6A33"/>
    <w:rsid w:val="00BF6BAE"/>
    <w:rsid w:val="00BF6F0D"/>
    <w:rsid w:val="00BF7979"/>
    <w:rsid w:val="00C005BC"/>
    <w:rsid w:val="00C01190"/>
    <w:rsid w:val="00C01362"/>
    <w:rsid w:val="00C02598"/>
    <w:rsid w:val="00C0275D"/>
    <w:rsid w:val="00C02810"/>
    <w:rsid w:val="00C02AEE"/>
    <w:rsid w:val="00C03D10"/>
    <w:rsid w:val="00C041D7"/>
    <w:rsid w:val="00C04436"/>
    <w:rsid w:val="00C04B32"/>
    <w:rsid w:val="00C0509D"/>
    <w:rsid w:val="00C07176"/>
    <w:rsid w:val="00C10BFA"/>
    <w:rsid w:val="00C10F10"/>
    <w:rsid w:val="00C11E03"/>
    <w:rsid w:val="00C14DBE"/>
    <w:rsid w:val="00C14DE7"/>
    <w:rsid w:val="00C153A1"/>
    <w:rsid w:val="00C15D8B"/>
    <w:rsid w:val="00C1657A"/>
    <w:rsid w:val="00C16590"/>
    <w:rsid w:val="00C16D81"/>
    <w:rsid w:val="00C172AC"/>
    <w:rsid w:val="00C17348"/>
    <w:rsid w:val="00C202DB"/>
    <w:rsid w:val="00C203FE"/>
    <w:rsid w:val="00C2049D"/>
    <w:rsid w:val="00C23691"/>
    <w:rsid w:val="00C23A67"/>
    <w:rsid w:val="00C23FBC"/>
    <w:rsid w:val="00C254A8"/>
    <w:rsid w:val="00C26CBE"/>
    <w:rsid w:val="00C3135E"/>
    <w:rsid w:val="00C31CAA"/>
    <w:rsid w:val="00C32857"/>
    <w:rsid w:val="00C3285B"/>
    <w:rsid w:val="00C33FB4"/>
    <w:rsid w:val="00C34BB9"/>
    <w:rsid w:val="00C35D08"/>
    <w:rsid w:val="00C37934"/>
    <w:rsid w:val="00C400E8"/>
    <w:rsid w:val="00C40A48"/>
    <w:rsid w:val="00C40B97"/>
    <w:rsid w:val="00C418AE"/>
    <w:rsid w:val="00C431A5"/>
    <w:rsid w:val="00C431F3"/>
    <w:rsid w:val="00C52E36"/>
    <w:rsid w:val="00C53522"/>
    <w:rsid w:val="00C536C4"/>
    <w:rsid w:val="00C547B0"/>
    <w:rsid w:val="00C55708"/>
    <w:rsid w:val="00C56CF4"/>
    <w:rsid w:val="00C571EF"/>
    <w:rsid w:val="00C603CC"/>
    <w:rsid w:val="00C62BB5"/>
    <w:rsid w:val="00C64058"/>
    <w:rsid w:val="00C6429D"/>
    <w:rsid w:val="00C64C79"/>
    <w:rsid w:val="00C65447"/>
    <w:rsid w:val="00C658CD"/>
    <w:rsid w:val="00C6729F"/>
    <w:rsid w:val="00C67B0E"/>
    <w:rsid w:val="00C67CAD"/>
    <w:rsid w:val="00C719C7"/>
    <w:rsid w:val="00C72013"/>
    <w:rsid w:val="00C740F3"/>
    <w:rsid w:val="00C752AE"/>
    <w:rsid w:val="00C75EBD"/>
    <w:rsid w:val="00C77D2F"/>
    <w:rsid w:val="00C80CDA"/>
    <w:rsid w:val="00C8187C"/>
    <w:rsid w:val="00C825F8"/>
    <w:rsid w:val="00C83011"/>
    <w:rsid w:val="00C8430E"/>
    <w:rsid w:val="00C85830"/>
    <w:rsid w:val="00C85833"/>
    <w:rsid w:val="00C86A51"/>
    <w:rsid w:val="00C86FE8"/>
    <w:rsid w:val="00C8733A"/>
    <w:rsid w:val="00C87D13"/>
    <w:rsid w:val="00C87D3D"/>
    <w:rsid w:val="00C907B7"/>
    <w:rsid w:val="00C907E1"/>
    <w:rsid w:val="00C90BF1"/>
    <w:rsid w:val="00C91754"/>
    <w:rsid w:val="00C9328C"/>
    <w:rsid w:val="00C93F15"/>
    <w:rsid w:val="00C96930"/>
    <w:rsid w:val="00C96C79"/>
    <w:rsid w:val="00CA02BC"/>
    <w:rsid w:val="00CA02C7"/>
    <w:rsid w:val="00CA0CC0"/>
    <w:rsid w:val="00CA1572"/>
    <w:rsid w:val="00CA18CC"/>
    <w:rsid w:val="00CA2208"/>
    <w:rsid w:val="00CA2665"/>
    <w:rsid w:val="00CA3226"/>
    <w:rsid w:val="00CA35D0"/>
    <w:rsid w:val="00CA3A1C"/>
    <w:rsid w:val="00CA49A8"/>
    <w:rsid w:val="00CA5628"/>
    <w:rsid w:val="00CA5BAE"/>
    <w:rsid w:val="00CA5FBA"/>
    <w:rsid w:val="00CA6C3F"/>
    <w:rsid w:val="00CA7A21"/>
    <w:rsid w:val="00CB13DC"/>
    <w:rsid w:val="00CB2473"/>
    <w:rsid w:val="00CB2ABF"/>
    <w:rsid w:val="00CB3E80"/>
    <w:rsid w:val="00CB6554"/>
    <w:rsid w:val="00CB7D12"/>
    <w:rsid w:val="00CC5361"/>
    <w:rsid w:val="00CC5979"/>
    <w:rsid w:val="00CD0281"/>
    <w:rsid w:val="00CD0838"/>
    <w:rsid w:val="00CD1A33"/>
    <w:rsid w:val="00CD43F1"/>
    <w:rsid w:val="00CD43F7"/>
    <w:rsid w:val="00CD489D"/>
    <w:rsid w:val="00CD4BE5"/>
    <w:rsid w:val="00CD4C6D"/>
    <w:rsid w:val="00CD50B7"/>
    <w:rsid w:val="00CD54CB"/>
    <w:rsid w:val="00CD579F"/>
    <w:rsid w:val="00CD589A"/>
    <w:rsid w:val="00CD5DCA"/>
    <w:rsid w:val="00CD75E7"/>
    <w:rsid w:val="00CE008C"/>
    <w:rsid w:val="00CE096B"/>
    <w:rsid w:val="00CE1A71"/>
    <w:rsid w:val="00CE6349"/>
    <w:rsid w:val="00CE661D"/>
    <w:rsid w:val="00CE66CB"/>
    <w:rsid w:val="00CE7046"/>
    <w:rsid w:val="00CE7D59"/>
    <w:rsid w:val="00CF21D3"/>
    <w:rsid w:val="00CF453E"/>
    <w:rsid w:val="00CF51EB"/>
    <w:rsid w:val="00CF5F33"/>
    <w:rsid w:val="00CF7117"/>
    <w:rsid w:val="00CF74BC"/>
    <w:rsid w:val="00D01DE3"/>
    <w:rsid w:val="00D021AF"/>
    <w:rsid w:val="00D02DF4"/>
    <w:rsid w:val="00D068C5"/>
    <w:rsid w:val="00D079AF"/>
    <w:rsid w:val="00D10660"/>
    <w:rsid w:val="00D106D3"/>
    <w:rsid w:val="00D1223C"/>
    <w:rsid w:val="00D124F0"/>
    <w:rsid w:val="00D1352B"/>
    <w:rsid w:val="00D14084"/>
    <w:rsid w:val="00D14AC2"/>
    <w:rsid w:val="00D1517F"/>
    <w:rsid w:val="00D15D38"/>
    <w:rsid w:val="00D16348"/>
    <w:rsid w:val="00D20505"/>
    <w:rsid w:val="00D21DD7"/>
    <w:rsid w:val="00D22530"/>
    <w:rsid w:val="00D22593"/>
    <w:rsid w:val="00D236B9"/>
    <w:rsid w:val="00D240E3"/>
    <w:rsid w:val="00D25080"/>
    <w:rsid w:val="00D251F9"/>
    <w:rsid w:val="00D265D2"/>
    <w:rsid w:val="00D269B5"/>
    <w:rsid w:val="00D27CCE"/>
    <w:rsid w:val="00D302F7"/>
    <w:rsid w:val="00D3095B"/>
    <w:rsid w:val="00D30B65"/>
    <w:rsid w:val="00D33E5B"/>
    <w:rsid w:val="00D350A8"/>
    <w:rsid w:val="00D35580"/>
    <w:rsid w:val="00D3670E"/>
    <w:rsid w:val="00D404CC"/>
    <w:rsid w:val="00D40E91"/>
    <w:rsid w:val="00D4126D"/>
    <w:rsid w:val="00D424D7"/>
    <w:rsid w:val="00D425D1"/>
    <w:rsid w:val="00D427E5"/>
    <w:rsid w:val="00D42ACA"/>
    <w:rsid w:val="00D42C0E"/>
    <w:rsid w:val="00D43C1C"/>
    <w:rsid w:val="00D4410F"/>
    <w:rsid w:val="00D4550A"/>
    <w:rsid w:val="00D47DF7"/>
    <w:rsid w:val="00D50088"/>
    <w:rsid w:val="00D514A3"/>
    <w:rsid w:val="00D51F54"/>
    <w:rsid w:val="00D52783"/>
    <w:rsid w:val="00D528ED"/>
    <w:rsid w:val="00D53411"/>
    <w:rsid w:val="00D541C6"/>
    <w:rsid w:val="00D54589"/>
    <w:rsid w:val="00D54CD8"/>
    <w:rsid w:val="00D54DC6"/>
    <w:rsid w:val="00D55145"/>
    <w:rsid w:val="00D5637F"/>
    <w:rsid w:val="00D564FF"/>
    <w:rsid w:val="00D56E0F"/>
    <w:rsid w:val="00D6131E"/>
    <w:rsid w:val="00D62744"/>
    <w:rsid w:val="00D63B72"/>
    <w:rsid w:val="00D64CC4"/>
    <w:rsid w:val="00D653A4"/>
    <w:rsid w:val="00D65D3A"/>
    <w:rsid w:val="00D66680"/>
    <w:rsid w:val="00D6745D"/>
    <w:rsid w:val="00D70220"/>
    <w:rsid w:val="00D702AE"/>
    <w:rsid w:val="00D70902"/>
    <w:rsid w:val="00D70C55"/>
    <w:rsid w:val="00D7203C"/>
    <w:rsid w:val="00D72E3B"/>
    <w:rsid w:val="00D74154"/>
    <w:rsid w:val="00D74707"/>
    <w:rsid w:val="00D752A5"/>
    <w:rsid w:val="00D75BAC"/>
    <w:rsid w:val="00D807C8"/>
    <w:rsid w:val="00D810B6"/>
    <w:rsid w:val="00D81856"/>
    <w:rsid w:val="00D8236B"/>
    <w:rsid w:val="00D83478"/>
    <w:rsid w:val="00D8347E"/>
    <w:rsid w:val="00D8357F"/>
    <w:rsid w:val="00D841BF"/>
    <w:rsid w:val="00D8421E"/>
    <w:rsid w:val="00D847B9"/>
    <w:rsid w:val="00D865EB"/>
    <w:rsid w:val="00D900E9"/>
    <w:rsid w:val="00D90730"/>
    <w:rsid w:val="00D91385"/>
    <w:rsid w:val="00D9191A"/>
    <w:rsid w:val="00D92119"/>
    <w:rsid w:val="00D938F4"/>
    <w:rsid w:val="00D944E2"/>
    <w:rsid w:val="00D955C7"/>
    <w:rsid w:val="00D96B37"/>
    <w:rsid w:val="00DA008C"/>
    <w:rsid w:val="00DA230A"/>
    <w:rsid w:val="00DA4845"/>
    <w:rsid w:val="00DA6636"/>
    <w:rsid w:val="00DA7608"/>
    <w:rsid w:val="00DA760E"/>
    <w:rsid w:val="00DB0B67"/>
    <w:rsid w:val="00DB0DE9"/>
    <w:rsid w:val="00DB1F1C"/>
    <w:rsid w:val="00DB207B"/>
    <w:rsid w:val="00DB2345"/>
    <w:rsid w:val="00DB24FD"/>
    <w:rsid w:val="00DB3B3D"/>
    <w:rsid w:val="00DB6EC6"/>
    <w:rsid w:val="00DB7FBB"/>
    <w:rsid w:val="00DC3841"/>
    <w:rsid w:val="00DD0595"/>
    <w:rsid w:val="00DD06CC"/>
    <w:rsid w:val="00DD0DED"/>
    <w:rsid w:val="00DD2036"/>
    <w:rsid w:val="00DD3395"/>
    <w:rsid w:val="00DD33A5"/>
    <w:rsid w:val="00DD3FB5"/>
    <w:rsid w:val="00DD4B01"/>
    <w:rsid w:val="00DD5D67"/>
    <w:rsid w:val="00DD5ECF"/>
    <w:rsid w:val="00DD6BF1"/>
    <w:rsid w:val="00DD6D8A"/>
    <w:rsid w:val="00DD7278"/>
    <w:rsid w:val="00DE0F43"/>
    <w:rsid w:val="00DE1BC1"/>
    <w:rsid w:val="00DE4807"/>
    <w:rsid w:val="00DE4B2C"/>
    <w:rsid w:val="00DE6DB1"/>
    <w:rsid w:val="00DE7196"/>
    <w:rsid w:val="00DE751D"/>
    <w:rsid w:val="00DF03DE"/>
    <w:rsid w:val="00DF0CD1"/>
    <w:rsid w:val="00DF1FBD"/>
    <w:rsid w:val="00DF22CE"/>
    <w:rsid w:val="00DF3D4F"/>
    <w:rsid w:val="00DF4250"/>
    <w:rsid w:val="00DF53DB"/>
    <w:rsid w:val="00E00741"/>
    <w:rsid w:val="00E01263"/>
    <w:rsid w:val="00E018B8"/>
    <w:rsid w:val="00E031D9"/>
    <w:rsid w:val="00E03343"/>
    <w:rsid w:val="00E05248"/>
    <w:rsid w:val="00E052CF"/>
    <w:rsid w:val="00E05FC5"/>
    <w:rsid w:val="00E07261"/>
    <w:rsid w:val="00E1144E"/>
    <w:rsid w:val="00E11B88"/>
    <w:rsid w:val="00E1288C"/>
    <w:rsid w:val="00E1325D"/>
    <w:rsid w:val="00E16F45"/>
    <w:rsid w:val="00E176FB"/>
    <w:rsid w:val="00E2093D"/>
    <w:rsid w:val="00E21C33"/>
    <w:rsid w:val="00E21F59"/>
    <w:rsid w:val="00E223B9"/>
    <w:rsid w:val="00E232E1"/>
    <w:rsid w:val="00E2357C"/>
    <w:rsid w:val="00E257D0"/>
    <w:rsid w:val="00E2609B"/>
    <w:rsid w:val="00E314A7"/>
    <w:rsid w:val="00E32C43"/>
    <w:rsid w:val="00E32E9F"/>
    <w:rsid w:val="00E3303F"/>
    <w:rsid w:val="00E35580"/>
    <w:rsid w:val="00E37223"/>
    <w:rsid w:val="00E4233D"/>
    <w:rsid w:val="00E42ADE"/>
    <w:rsid w:val="00E42DC8"/>
    <w:rsid w:val="00E443D0"/>
    <w:rsid w:val="00E443F0"/>
    <w:rsid w:val="00E4565A"/>
    <w:rsid w:val="00E45BF4"/>
    <w:rsid w:val="00E45F79"/>
    <w:rsid w:val="00E46197"/>
    <w:rsid w:val="00E479B7"/>
    <w:rsid w:val="00E50922"/>
    <w:rsid w:val="00E5295C"/>
    <w:rsid w:val="00E54A3C"/>
    <w:rsid w:val="00E54A7F"/>
    <w:rsid w:val="00E56ADE"/>
    <w:rsid w:val="00E56BBD"/>
    <w:rsid w:val="00E56F4E"/>
    <w:rsid w:val="00E60BCE"/>
    <w:rsid w:val="00E61D91"/>
    <w:rsid w:val="00E628DC"/>
    <w:rsid w:val="00E64BB3"/>
    <w:rsid w:val="00E6535E"/>
    <w:rsid w:val="00E65A03"/>
    <w:rsid w:val="00E65A26"/>
    <w:rsid w:val="00E65FF2"/>
    <w:rsid w:val="00E662BB"/>
    <w:rsid w:val="00E663B8"/>
    <w:rsid w:val="00E6656D"/>
    <w:rsid w:val="00E66F19"/>
    <w:rsid w:val="00E67C21"/>
    <w:rsid w:val="00E72E25"/>
    <w:rsid w:val="00E736EA"/>
    <w:rsid w:val="00E73DCC"/>
    <w:rsid w:val="00E764A2"/>
    <w:rsid w:val="00E76D76"/>
    <w:rsid w:val="00E775EE"/>
    <w:rsid w:val="00E82DDD"/>
    <w:rsid w:val="00E830D3"/>
    <w:rsid w:val="00E84743"/>
    <w:rsid w:val="00E85392"/>
    <w:rsid w:val="00E85462"/>
    <w:rsid w:val="00E86C21"/>
    <w:rsid w:val="00E907F5"/>
    <w:rsid w:val="00E9215B"/>
    <w:rsid w:val="00E93DE9"/>
    <w:rsid w:val="00E9443D"/>
    <w:rsid w:val="00E9485C"/>
    <w:rsid w:val="00E9539A"/>
    <w:rsid w:val="00E9711E"/>
    <w:rsid w:val="00EA067A"/>
    <w:rsid w:val="00EA163B"/>
    <w:rsid w:val="00EA1D59"/>
    <w:rsid w:val="00EA275E"/>
    <w:rsid w:val="00EA2AD8"/>
    <w:rsid w:val="00EA2D2B"/>
    <w:rsid w:val="00EA304C"/>
    <w:rsid w:val="00EA60F2"/>
    <w:rsid w:val="00EA7120"/>
    <w:rsid w:val="00EA7CC7"/>
    <w:rsid w:val="00EB0124"/>
    <w:rsid w:val="00EB08E0"/>
    <w:rsid w:val="00EB100D"/>
    <w:rsid w:val="00EB1C30"/>
    <w:rsid w:val="00EB2419"/>
    <w:rsid w:val="00EB38DD"/>
    <w:rsid w:val="00EB6996"/>
    <w:rsid w:val="00EB76CB"/>
    <w:rsid w:val="00EB7BEA"/>
    <w:rsid w:val="00EC02B6"/>
    <w:rsid w:val="00EC03EB"/>
    <w:rsid w:val="00EC0F08"/>
    <w:rsid w:val="00EC0F79"/>
    <w:rsid w:val="00EC10EF"/>
    <w:rsid w:val="00EC3862"/>
    <w:rsid w:val="00EC3DA8"/>
    <w:rsid w:val="00EC4DE0"/>
    <w:rsid w:val="00EC59C7"/>
    <w:rsid w:val="00EC79C8"/>
    <w:rsid w:val="00ED0DD6"/>
    <w:rsid w:val="00ED1454"/>
    <w:rsid w:val="00ED3AA4"/>
    <w:rsid w:val="00ED3D66"/>
    <w:rsid w:val="00ED556B"/>
    <w:rsid w:val="00EE0439"/>
    <w:rsid w:val="00EE1703"/>
    <w:rsid w:val="00EE229E"/>
    <w:rsid w:val="00EE2ED1"/>
    <w:rsid w:val="00EE346A"/>
    <w:rsid w:val="00EE37FC"/>
    <w:rsid w:val="00EE475C"/>
    <w:rsid w:val="00EE4BBB"/>
    <w:rsid w:val="00EE4BE9"/>
    <w:rsid w:val="00EE6227"/>
    <w:rsid w:val="00EE673A"/>
    <w:rsid w:val="00EE77C2"/>
    <w:rsid w:val="00EE7B59"/>
    <w:rsid w:val="00EF0C04"/>
    <w:rsid w:val="00EF1333"/>
    <w:rsid w:val="00EF1A30"/>
    <w:rsid w:val="00EF1E1B"/>
    <w:rsid w:val="00EF2C5F"/>
    <w:rsid w:val="00EF3A95"/>
    <w:rsid w:val="00EF4BBA"/>
    <w:rsid w:val="00EF595D"/>
    <w:rsid w:val="00EF603C"/>
    <w:rsid w:val="00EF62E2"/>
    <w:rsid w:val="00EF6F6D"/>
    <w:rsid w:val="00EF72D9"/>
    <w:rsid w:val="00F0041F"/>
    <w:rsid w:val="00F0048E"/>
    <w:rsid w:val="00F008E3"/>
    <w:rsid w:val="00F009D2"/>
    <w:rsid w:val="00F00D2E"/>
    <w:rsid w:val="00F0363D"/>
    <w:rsid w:val="00F04C13"/>
    <w:rsid w:val="00F06389"/>
    <w:rsid w:val="00F07418"/>
    <w:rsid w:val="00F104C7"/>
    <w:rsid w:val="00F110B5"/>
    <w:rsid w:val="00F11F14"/>
    <w:rsid w:val="00F1200C"/>
    <w:rsid w:val="00F120AC"/>
    <w:rsid w:val="00F13B14"/>
    <w:rsid w:val="00F14771"/>
    <w:rsid w:val="00F14D08"/>
    <w:rsid w:val="00F1540E"/>
    <w:rsid w:val="00F16788"/>
    <w:rsid w:val="00F16C51"/>
    <w:rsid w:val="00F175C2"/>
    <w:rsid w:val="00F20C9C"/>
    <w:rsid w:val="00F21E70"/>
    <w:rsid w:val="00F21FC2"/>
    <w:rsid w:val="00F2243A"/>
    <w:rsid w:val="00F23C7B"/>
    <w:rsid w:val="00F24E89"/>
    <w:rsid w:val="00F25D05"/>
    <w:rsid w:val="00F26018"/>
    <w:rsid w:val="00F2659E"/>
    <w:rsid w:val="00F26E67"/>
    <w:rsid w:val="00F26F60"/>
    <w:rsid w:val="00F27308"/>
    <w:rsid w:val="00F27ED7"/>
    <w:rsid w:val="00F27F99"/>
    <w:rsid w:val="00F3037B"/>
    <w:rsid w:val="00F303D2"/>
    <w:rsid w:val="00F305F5"/>
    <w:rsid w:val="00F30902"/>
    <w:rsid w:val="00F31A15"/>
    <w:rsid w:val="00F31D4C"/>
    <w:rsid w:val="00F3231B"/>
    <w:rsid w:val="00F32FEE"/>
    <w:rsid w:val="00F357B3"/>
    <w:rsid w:val="00F364B4"/>
    <w:rsid w:val="00F36EB3"/>
    <w:rsid w:val="00F37EE4"/>
    <w:rsid w:val="00F408AE"/>
    <w:rsid w:val="00F41665"/>
    <w:rsid w:val="00F429A6"/>
    <w:rsid w:val="00F42C77"/>
    <w:rsid w:val="00F42E9D"/>
    <w:rsid w:val="00F43358"/>
    <w:rsid w:val="00F4459A"/>
    <w:rsid w:val="00F44C46"/>
    <w:rsid w:val="00F47DB5"/>
    <w:rsid w:val="00F50000"/>
    <w:rsid w:val="00F53578"/>
    <w:rsid w:val="00F544A0"/>
    <w:rsid w:val="00F561DE"/>
    <w:rsid w:val="00F60C79"/>
    <w:rsid w:val="00F6191A"/>
    <w:rsid w:val="00F61B1F"/>
    <w:rsid w:val="00F61E9B"/>
    <w:rsid w:val="00F62611"/>
    <w:rsid w:val="00F6281B"/>
    <w:rsid w:val="00F63C89"/>
    <w:rsid w:val="00F66066"/>
    <w:rsid w:val="00F66423"/>
    <w:rsid w:val="00F67D20"/>
    <w:rsid w:val="00F70E7A"/>
    <w:rsid w:val="00F70F5A"/>
    <w:rsid w:val="00F728B9"/>
    <w:rsid w:val="00F72C0F"/>
    <w:rsid w:val="00F744C9"/>
    <w:rsid w:val="00F757C3"/>
    <w:rsid w:val="00F75ECB"/>
    <w:rsid w:val="00F77A4E"/>
    <w:rsid w:val="00F807FC"/>
    <w:rsid w:val="00F81011"/>
    <w:rsid w:val="00F82D73"/>
    <w:rsid w:val="00F84743"/>
    <w:rsid w:val="00F8497D"/>
    <w:rsid w:val="00F86B44"/>
    <w:rsid w:val="00F873AE"/>
    <w:rsid w:val="00F87895"/>
    <w:rsid w:val="00F94439"/>
    <w:rsid w:val="00F94FC6"/>
    <w:rsid w:val="00F95F3E"/>
    <w:rsid w:val="00F963AF"/>
    <w:rsid w:val="00F97D3D"/>
    <w:rsid w:val="00FA0A4F"/>
    <w:rsid w:val="00FA2E58"/>
    <w:rsid w:val="00FA367D"/>
    <w:rsid w:val="00FA3DC9"/>
    <w:rsid w:val="00FA3E0C"/>
    <w:rsid w:val="00FA3FBA"/>
    <w:rsid w:val="00FA4136"/>
    <w:rsid w:val="00FA4164"/>
    <w:rsid w:val="00FA46D8"/>
    <w:rsid w:val="00FA4939"/>
    <w:rsid w:val="00FA62FD"/>
    <w:rsid w:val="00FA6428"/>
    <w:rsid w:val="00FB1425"/>
    <w:rsid w:val="00FB16BC"/>
    <w:rsid w:val="00FB217D"/>
    <w:rsid w:val="00FB2FAF"/>
    <w:rsid w:val="00FC02BA"/>
    <w:rsid w:val="00FC059F"/>
    <w:rsid w:val="00FC2C53"/>
    <w:rsid w:val="00FC3020"/>
    <w:rsid w:val="00FC3DC5"/>
    <w:rsid w:val="00FC598D"/>
    <w:rsid w:val="00FC66C8"/>
    <w:rsid w:val="00FC6C1F"/>
    <w:rsid w:val="00FD04E9"/>
    <w:rsid w:val="00FD05BE"/>
    <w:rsid w:val="00FD2884"/>
    <w:rsid w:val="00FD5DC0"/>
    <w:rsid w:val="00FD5FF0"/>
    <w:rsid w:val="00FD63A9"/>
    <w:rsid w:val="00FE465C"/>
    <w:rsid w:val="00FE49C1"/>
    <w:rsid w:val="00FE5095"/>
    <w:rsid w:val="00FE5CAA"/>
    <w:rsid w:val="00FE6C9A"/>
    <w:rsid w:val="00FF1605"/>
    <w:rsid w:val="00FF27BC"/>
    <w:rsid w:val="00FF354B"/>
    <w:rsid w:val="00FF3FEA"/>
    <w:rsid w:val="00FF44A3"/>
    <w:rsid w:val="00FF5B8E"/>
    <w:rsid w:val="00FF6B29"/>
    <w:rsid w:val="00FF70BE"/>
    <w:rsid w:val="00FF70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E569C"/>
  <w15:chartTrackingRefBased/>
  <w15:docId w15:val="{D51242C2-358E-4715-8CA5-C08D4F99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A17"/>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1085"/>
    <w:rPr>
      <w:color w:val="0000FF"/>
      <w:u w:val="single"/>
    </w:rPr>
  </w:style>
  <w:style w:type="character" w:customStyle="1" w:styleId="anchor-text">
    <w:name w:val="anchor-text"/>
    <w:basedOn w:val="DefaultParagraphFont"/>
    <w:rsid w:val="00601085"/>
  </w:style>
  <w:style w:type="paragraph" w:customStyle="1" w:styleId="EndNoteBibliographyTitle">
    <w:name w:val="EndNote Bibliography Title"/>
    <w:basedOn w:val="Normal"/>
    <w:link w:val="EndNoteBibliographyTitleChar"/>
    <w:rsid w:val="001463F1"/>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1463F1"/>
    <w:rPr>
      <w:rFonts w:ascii="Calibri" w:hAnsi="Calibri" w:cs="Calibri"/>
    </w:rPr>
  </w:style>
  <w:style w:type="paragraph" w:customStyle="1" w:styleId="EndNoteBibliography">
    <w:name w:val="EndNote Bibliography"/>
    <w:basedOn w:val="Normal"/>
    <w:link w:val="EndNoteBibliographyChar"/>
    <w:rsid w:val="001463F1"/>
    <w:rPr>
      <w:rFonts w:ascii="Calibri" w:hAnsi="Calibri" w:cs="Calibri"/>
    </w:rPr>
  </w:style>
  <w:style w:type="character" w:customStyle="1" w:styleId="EndNoteBibliographyChar">
    <w:name w:val="EndNote Bibliography Char"/>
    <w:basedOn w:val="DefaultParagraphFont"/>
    <w:link w:val="EndNoteBibliography"/>
    <w:rsid w:val="001463F1"/>
    <w:rPr>
      <w:rFonts w:ascii="Calibri" w:hAnsi="Calibri" w:cs="Calibri"/>
    </w:rPr>
  </w:style>
  <w:style w:type="character" w:styleId="UnresolvedMention">
    <w:name w:val="Unresolved Mention"/>
    <w:basedOn w:val="DefaultParagraphFont"/>
    <w:uiPriority w:val="99"/>
    <w:semiHidden/>
    <w:unhideWhenUsed/>
    <w:rsid w:val="008545D3"/>
    <w:rPr>
      <w:color w:val="605E5C"/>
      <w:shd w:val="clear" w:color="auto" w:fill="E1DFDD"/>
    </w:rPr>
  </w:style>
  <w:style w:type="character" w:styleId="FollowedHyperlink">
    <w:name w:val="FollowedHyperlink"/>
    <w:basedOn w:val="DefaultParagraphFont"/>
    <w:uiPriority w:val="99"/>
    <w:semiHidden/>
    <w:unhideWhenUsed/>
    <w:rsid w:val="00A15655"/>
    <w:rPr>
      <w:color w:val="954F72" w:themeColor="followedHyperlink"/>
      <w:u w:val="single"/>
    </w:rPr>
  </w:style>
  <w:style w:type="paragraph" w:styleId="ListParagraph">
    <w:name w:val="List Paragraph"/>
    <w:basedOn w:val="Normal"/>
    <w:uiPriority w:val="34"/>
    <w:qFormat/>
    <w:rsid w:val="0065747D"/>
    <w:pPr>
      <w:ind w:left="720"/>
      <w:contextualSpacing/>
    </w:pPr>
  </w:style>
  <w:style w:type="paragraph" w:styleId="NormalWeb">
    <w:name w:val="Normal (Web)"/>
    <w:basedOn w:val="Normal"/>
    <w:uiPriority w:val="99"/>
    <w:unhideWhenUsed/>
    <w:rsid w:val="00054252"/>
    <w:pPr>
      <w:spacing w:before="100" w:beforeAutospacing="1" w:after="100" w:afterAutospacing="1"/>
    </w:pPr>
    <w:rPr>
      <w:rFonts w:ascii="Times New Roman" w:eastAsia="Times New Roman" w:hAnsi="Times New Roman" w:cs="Times New Roman"/>
    </w:rPr>
  </w:style>
  <w:style w:type="character" w:customStyle="1" w:styleId="mjxassistivemathml">
    <w:name w:val="mjx_assistive_mathml"/>
    <w:basedOn w:val="DefaultParagraphFont"/>
    <w:rsid w:val="00054252"/>
  </w:style>
  <w:style w:type="character" w:styleId="Emphasis">
    <w:name w:val="Emphasis"/>
    <w:basedOn w:val="DefaultParagraphFont"/>
    <w:uiPriority w:val="20"/>
    <w:qFormat/>
    <w:rsid w:val="00054252"/>
    <w:rPr>
      <w:i/>
      <w:iCs/>
    </w:rPr>
  </w:style>
  <w:style w:type="paragraph" w:styleId="Header">
    <w:name w:val="header"/>
    <w:basedOn w:val="Normal"/>
    <w:link w:val="HeaderChar"/>
    <w:uiPriority w:val="99"/>
    <w:unhideWhenUsed/>
    <w:rsid w:val="00CA2208"/>
    <w:pPr>
      <w:tabs>
        <w:tab w:val="center" w:pos="4513"/>
        <w:tab w:val="right" w:pos="9026"/>
      </w:tabs>
    </w:pPr>
  </w:style>
  <w:style w:type="character" w:customStyle="1" w:styleId="HeaderChar">
    <w:name w:val="Header Char"/>
    <w:basedOn w:val="DefaultParagraphFont"/>
    <w:link w:val="Header"/>
    <w:uiPriority w:val="99"/>
    <w:rsid w:val="00CA2208"/>
  </w:style>
  <w:style w:type="paragraph" w:styleId="Footer">
    <w:name w:val="footer"/>
    <w:basedOn w:val="Normal"/>
    <w:link w:val="FooterChar"/>
    <w:uiPriority w:val="99"/>
    <w:unhideWhenUsed/>
    <w:rsid w:val="00CA2208"/>
    <w:pPr>
      <w:tabs>
        <w:tab w:val="center" w:pos="4513"/>
        <w:tab w:val="right" w:pos="9026"/>
      </w:tabs>
    </w:pPr>
  </w:style>
  <w:style w:type="character" w:customStyle="1" w:styleId="FooterChar">
    <w:name w:val="Footer Char"/>
    <w:basedOn w:val="DefaultParagraphFont"/>
    <w:link w:val="Footer"/>
    <w:uiPriority w:val="99"/>
    <w:rsid w:val="00CA2208"/>
  </w:style>
  <w:style w:type="paragraph" w:styleId="FootnoteText">
    <w:name w:val="footnote text"/>
    <w:basedOn w:val="Normal"/>
    <w:link w:val="FootnoteTextChar"/>
    <w:uiPriority w:val="99"/>
    <w:semiHidden/>
    <w:unhideWhenUsed/>
    <w:rsid w:val="007B0159"/>
    <w:rPr>
      <w:sz w:val="20"/>
      <w:szCs w:val="20"/>
    </w:rPr>
  </w:style>
  <w:style w:type="character" w:customStyle="1" w:styleId="FootnoteTextChar">
    <w:name w:val="Footnote Text Char"/>
    <w:basedOn w:val="DefaultParagraphFont"/>
    <w:link w:val="FootnoteText"/>
    <w:uiPriority w:val="99"/>
    <w:semiHidden/>
    <w:rsid w:val="007B0159"/>
    <w:rPr>
      <w:sz w:val="20"/>
      <w:szCs w:val="20"/>
    </w:rPr>
  </w:style>
  <w:style w:type="character" w:styleId="FootnoteReference">
    <w:name w:val="footnote reference"/>
    <w:basedOn w:val="DefaultParagraphFont"/>
    <w:uiPriority w:val="99"/>
    <w:semiHidden/>
    <w:unhideWhenUsed/>
    <w:rsid w:val="007B0159"/>
    <w:rPr>
      <w:vertAlign w:val="superscript"/>
    </w:rPr>
  </w:style>
  <w:style w:type="character" w:styleId="PlaceholderText">
    <w:name w:val="Placeholder Text"/>
    <w:basedOn w:val="DefaultParagraphFont"/>
    <w:uiPriority w:val="99"/>
    <w:semiHidden/>
    <w:rsid w:val="00A33D86"/>
    <w:rPr>
      <w:color w:val="808080"/>
    </w:rPr>
  </w:style>
  <w:style w:type="paragraph" w:styleId="Revision">
    <w:name w:val="Revision"/>
    <w:hidden/>
    <w:uiPriority w:val="99"/>
    <w:semiHidden/>
    <w:rsid w:val="00542EE3"/>
  </w:style>
  <w:style w:type="character" w:styleId="CommentReference">
    <w:name w:val="annotation reference"/>
    <w:basedOn w:val="DefaultParagraphFont"/>
    <w:uiPriority w:val="99"/>
    <w:semiHidden/>
    <w:unhideWhenUsed/>
    <w:rsid w:val="004727C6"/>
    <w:rPr>
      <w:sz w:val="16"/>
      <w:szCs w:val="16"/>
    </w:rPr>
  </w:style>
  <w:style w:type="paragraph" w:styleId="CommentText">
    <w:name w:val="annotation text"/>
    <w:basedOn w:val="Normal"/>
    <w:link w:val="CommentTextChar"/>
    <w:uiPriority w:val="99"/>
    <w:unhideWhenUsed/>
    <w:rsid w:val="004727C6"/>
    <w:rPr>
      <w:sz w:val="20"/>
      <w:szCs w:val="20"/>
    </w:rPr>
  </w:style>
  <w:style w:type="character" w:customStyle="1" w:styleId="CommentTextChar">
    <w:name w:val="Comment Text Char"/>
    <w:basedOn w:val="DefaultParagraphFont"/>
    <w:link w:val="CommentText"/>
    <w:uiPriority w:val="99"/>
    <w:rsid w:val="004727C6"/>
    <w:rPr>
      <w:sz w:val="20"/>
      <w:szCs w:val="20"/>
    </w:rPr>
  </w:style>
  <w:style w:type="paragraph" w:styleId="CommentSubject">
    <w:name w:val="annotation subject"/>
    <w:basedOn w:val="CommentText"/>
    <w:next w:val="CommentText"/>
    <w:link w:val="CommentSubjectChar"/>
    <w:uiPriority w:val="99"/>
    <w:semiHidden/>
    <w:unhideWhenUsed/>
    <w:rsid w:val="004727C6"/>
    <w:rPr>
      <w:b/>
      <w:bCs/>
    </w:rPr>
  </w:style>
  <w:style w:type="character" w:customStyle="1" w:styleId="CommentSubjectChar">
    <w:name w:val="Comment Subject Char"/>
    <w:basedOn w:val="CommentTextChar"/>
    <w:link w:val="CommentSubject"/>
    <w:uiPriority w:val="99"/>
    <w:semiHidden/>
    <w:rsid w:val="004727C6"/>
    <w:rPr>
      <w:b/>
      <w:bCs/>
      <w:sz w:val="20"/>
      <w:szCs w:val="20"/>
    </w:rPr>
  </w:style>
  <w:style w:type="table" w:styleId="TableGrid">
    <w:name w:val="Table Grid"/>
    <w:basedOn w:val="TableNormal"/>
    <w:uiPriority w:val="39"/>
    <w:rsid w:val="0013099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23A5C"/>
    <w:rPr>
      <w:b/>
      <w:bCs/>
    </w:rPr>
  </w:style>
  <w:style w:type="character" w:customStyle="1" w:styleId="vkekvd">
    <w:name w:val="vkekvd"/>
    <w:basedOn w:val="DefaultParagraphFont"/>
    <w:rsid w:val="00423A5C"/>
  </w:style>
  <w:style w:type="paragraph" w:styleId="BlockText">
    <w:name w:val="Block Text"/>
    <w:basedOn w:val="Normal"/>
    <w:rsid w:val="00D75BAC"/>
    <w:pPr>
      <w:ind w:left="360" w:right="206" w:firstLine="720"/>
      <w:jc w:val="both"/>
    </w:pPr>
    <w:rPr>
      <w:rFonts w:ascii="Arial" w:eastAsia="Times New Roman" w:hAnsi="Arial" w:cs="Times New Roman"/>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09007">
      <w:bodyDiv w:val="1"/>
      <w:marLeft w:val="0"/>
      <w:marRight w:val="0"/>
      <w:marTop w:val="0"/>
      <w:marBottom w:val="0"/>
      <w:divBdr>
        <w:top w:val="none" w:sz="0" w:space="0" w:color="auto"/>
        <w:left w:val="none" w:sz="0" w:space="0" w:color="auto"/>
        <w:bottom w:val="none" w:sz="0" w:space="0" w:color="auto"/>
        <w:right w:val="none" w:sz="0" w:space="0" w:color="auto"/>
      </w:divBdr>
      <w:divsChild>
        <w:div w:id="355545639">
          <w:marLeft w:val="0"/>
          <w:marRight w:val="0"/>
          <w:marTop w:val="0"/>
          <w:marBottom w:val="0"/>
          <w:divBdr>
            <w:top w:val="none" w:sz="0" w:space="0" w:color="auto"/>
            <w:left w:val="none" w:sz="0" w:space="0" w:color="auto"/>
            <w:bottom w:val="none" w:sz="0" w:space="0" w:color="auto"/>
            <w:right w:val="none" w:sz="0" w:space="0" w:color="auto"/>
          </w:divBdr>
          <w:divsChild>
            <w:div w:id="859120860">
              <w:marLeft w:val="0"/>
              <w:marRight w:val="0"/>
              <w:marTop w:val="0"/>
              <w:marBottom w:val="0"/>
              <w:divBdr>
                <w:top w:val="none" w:sz="0" w:space="0" w:color="auto"/>
                <w:left w:val="none" w:sz="0" w:space="0" w:color="auto"/>
                <w:bottom w:val="none" w:sz="0" w:space="0" w:color="auto"/>
                <w:right w:val="none" w:sz="0" w:space="0" w:color="auto"/>
              </w:divBdr>
              <w:divsChild>
                <w:div w:id="19844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07848">
      <w:bodyDiv w:val="1"/>
      <w:marLeft w:val="0"/>
      <w:marRight w:val="0"/>
      <w:marTop w:val="0"/>
      <w:marBottom w:val="0"/>
      <w:divBdr>
        <w:top w:val="none" w:sz="0" w:space="0" w:color="auto"/>
        <w:left w:val="none" w:sz="0" w:space="0" w:color="auto"/>
        <w:bottom w:val="none" w:sz="0" w:space="0" w:color="auto"/>
        <w:right w:val="none" w:sz="0" w:space="0" w:color="auto"/>
      </w:divBdr>
      <w:divsChild>
        <w:div w:id="1565794533">
          <w:marLeft w:val="0"/>
          <w:marRight w:val="0"/>
          <w:marTop w:val="0"/>
          <w:marBottom w:val="0"/>
          <w:divBdr>
            <w:top w:val="none" w:sz="0" w:space="0" w:color="auto"/>
            <w:left w:val="none" w:sz="0" w:space="0" w:color="auto"/>
            <w:bottom w:val="none" w:sz="0" w:space="0" w:color="auto"/>
            <w:right w:val="none" w:sz="0" w:space="0" w:color="auto"/>
          </w:divBdr>
          <w:divsChild>
            <w:div w:id="2127770436">
              <w:marLeft w:val="0"/>
              <w:marRight w:val="0"/>
              <w:marTop w:val="0"/>
              <w:marBottom w:val="0"/>
              <w:divBdr>
                <w:top w:val="none" w:sz="0" w:space="0" w:color="auto"/>
                <w:left w:val="none" w:sz="0" w:space="0" w:color="auto"/>
                <w:bottom w:val="none" w:sz="0" w:space="0" w:color="auto"/>
                <w:right w:val="none" w:sz="0" w:space="0" w:color="auto"/>
              </w:divBdr>
              <w:divsChild>
                <w:div w:id="170362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39087">
      <w:bodyDiv w:val="1"/>
      <w:marLeft w:val="0"/>
      <w:marRight w:val="0"/>
      <w:marTop w:val="0"/>
      <w:marBottom w:val="0"/>
      <w:divBdr>
        <w:top w:val="none" w:sz="0" w:space="0" w:color="auto"/>
        <w:left w:val="none" w:sz="0" w:space="0" w:color="auto"/>
        <w:bottom w:val="none" w:sz="0" w:space="0" w:color="auto"/>
        <w:right w:val="none" w:sz="0" w:space="0" w:color="auto"/>
      </w:divBdr>
      <w:divsChild>
        <w:div w:id="1210917491">
          <w:marLeft w:val="0"/>
          <w:marRight w:val="0"/>
          <w:marTop w:val="0"/>
          <w:marBottom w:val="0"/>
          <w:divBdr>
            <w:top w:val="none" w:sz="0" w:space="0" w:color="auto"/>
            <w:left w:val="none" w:sz="0" w:space="0" w:color="auto"/>
            <w:bottom w:val="none" w:sz="0" w:space="0" w:color="auto"/>
            <w:right w:val="none" w:sz="0" w:space="0" w:color="auto"/>
          </w:divBdr>
          <w:divsChild>
            <w:div w:id="869226144">
              <w:marLeft w:val="0"/>
              <w:marRight w:val="0"/>
              <w:marTop w:val="0"/>
              <w:marBottom w:val="0"/>
              <w:divBdr>
                <w:top w:val="none" w:sz="0" w:space="0" w:color="auto"/>
                <w:left w:val="none" w:sz="0" w:space="0" w:color="auto"/>
                <w:bottom w:val="none" w:sz="0" w:space="0" w:color="auto"/>
                <w:right w:val="none" w:sz="0" w:space="0" w:color="auto"/>
              </w:divBdr>
              <w:divsChild>
                <w:div w:id="8258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65411">
      <w:bodyDiv w:val="1"/>
      <w:marLeft w:val="0"/>
      <w:marRight w:val="0"/>
      <w:marTop w:val="0"/>
      <w:marBottom w:val="0"/>
      <w:divBdr>
        <w:top w:val="none" w:sz="0" w:space="0" w:color="auto"/>
        <w:left w:val="none" w:sz="0" w:space="0" w:color="auto"/>
        <w:bottom w:val="none" w:sz="0" w:space="0" w:color="auto"/>
        <w:right w:val="none" w:sz="0" w:space="0" w:color="auto"/>
      </w:divBdr>
    </w:div>
    <w:div w:id="567227366">
      <w:bodyDiv w:val="1"/>
      <w:marLeft w:val="0"/>
      <w:marRight w:val="0"/>
      <w:marTop w:val="0"/>
      <w:marBottom w:val="0"/>
      <w:divBdr>
        <w:top w:val="none" w:sz="0" w:space="0" w:color="auto"/>
        <w:left w:val="none" w:sz="0" w:space="0" w:color="auto"/>
        <w:bottom w:val="none" w:sz="0" w:space="0" w:color="auto"/>
        <w:right w:val="none" w:sz="0" w:space="0" w:color="auto"/>
      </w:divBdr>
      <w:divsChild>
        <w:div w:id="1523207338">
          <w:marLeft w:val="0"/>
          <w:marRight w:val="0"/>
          <w:marTop w:val="0"/>
          <w:marBottom w:val="0"/>
          <w:divBdr>
            <w:top w:val="none" w:sz="0" w:space="0" w:color="auto"/>
            <w:left w:val="none" w:sz="0" w:space="0" w:color="auto"/>
            <w:bottom w:val="none" w:sz="0" w:space="0" w:color="auto"/>
            <w:right w:val="none" w:sz="0" w:space="0" w:color="auto"/>
          </w:divBdr>
          <w:divsChild>
            <w:div w:id="1857421985">
              <w:marLeft w:val="0"/>
              <w:marRight w:val="0"/>
              <w:marTop w:val="0"/>
              <w:marBottom w:val="0"/>
              <w:divBdr>
                <w:top w:val="none" w:sz="0" w:space="0" w:color="auto"/>
                <w:left w:val="none" w:sz="0" w:space="0" w:color="auto"/>
                <w:bottom w:val="none" w:sz="0" w:space="0" w:color="auto"/>
                <w:right w:val="none" w:sz="0" w:space="0" w:color="auto"/>
              </w:divBdr>
              <w:divsChild>
                <w:div w:id="201853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931490">
      <w:bodyDiv w:val="1"/>
      <w:marLeft w:val="0"/>
      <w:marRight w:val="0"/>
      <w:marTop w:val="0"/>
      <w:marBottom w:val="0"/>
      <w:divBdr>
        <w:top w:val="none" w:sz="0" w:space="0" w:color="auto"/>
        <w:left w:val="none" w:sz="0" w:space="0" w:color="auto"/>
        <w:bottom w:val="none" w:sz="0" w:space="0" w:color="auto"/>
        <w:right w:val="none" w:sz="0" w:space="0" w:color="auto"/>
      </w:divBdr>
      <w:divsChild>
        <w:div w:id="1275940664">
          <w:marLeft w:val="0"/>
          <w:marRight w:val="0"/>
          <w:marTop w:val="0"/>
          <w:marBottom w:val="0"/>
          <w:divBdr>
            <w:top w:val="none" w:sz="0" w:space="0" w:color="auto"/>
            <w:left w:val="none" w:sz="0" w:space="0" w:color="auto"/>
            <w:bottom w:val="none" w:sz="0" w:space="0" w:color="auto"/>
            <w:right w:val="none" w:sz="0" w:space="0" w:color="auto"/>
          </w:divBdr>
          <w:divsChild>
            <w:div w:id="389771244">
              <w:marLeft w:val="0"/>
              <w:marRight w:val="0"/>
              <w:marTop w:val="0"/>
              <w:marBottom w:val="0"/>
              <w:divBdr>
                <w:top w:val="none" w:sz="0" w:space="0" w:color="auto"/>
                <w:left w:val="none" w:sz="0" w:space="0" w:color="auto"/>
                <w:bottom w:val="none" w:sz="0" w:space="0" w:color="auto"/>
                <w:right w:val="none" w:sz="0" w:space="0" w:color="auto"/>
              </w:divBdr>
              <w:divsChild>
                <w:div w:id="72969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031502">
      <w:bodyDiv w:val="1"/>
      <w:marLeft w:val="0"/>
      <w:marRight w:val="0"/>
      <w:marTop w:val="0"/>
      <w:marBottom w:val="0"/>
      <w:divBdr>
        <w:top w:val="none" w:sz="0" w:space="0" w:color="auto"/>
        <w:left w:val="none" w:sz="0" w:space="0" w:color="auto"/>
        <w:bottom w:val="none" w:sz="0" w:space="0" w:color="auto"/>
        <w:right w:val="none" w:sz="0" w:space="0" w:color="auto"/>
      </w:divBdr>
    </w:div>
    <w:div w:id="1029374959">
      <w:bodyDiv w:val="1"/>
      <w:marLeft w:val="0"/>
      <w:marRight w:val="0"/>
      <w:marTop w:val="0"/>
      <w:marBottom w:val="0"/>
      <w:divBdr>
        <w:top w:val="none" w:sz="0" w:space="0" w:color="auto"/>
        <w:left w:val="none" w:sz="0" w:space="0" w:color="auto"/>
        <w:bottom w:val="none" w:sz="0" w:space="0" w:color="auto"/>
        <w:right w:val="none" w:sz="0" w:space="0" w:color="auto"/>
      </w:divBdr>
    </w:div>
    <w:div w:id="1281716643">
      <w:bodyDiv w:val="1"/>
      <w:marLeft w:val="0"/>
      <w:marRight w:val="0"/>
      <w:marTop w:val="0"/>
      <w:marBottom w:val="0"/>
      <w:divBdr>
        <w:top w:val="none" w:sz="0" w:space="0" w:color="auto"/>
        <w:left w:val="none" w:sz="0" w:space="0" w:color="auto"/>
        <w:bottom w:val="none" w:sz="0" w:space="0" w:color="auto"/>
        <w:right w:val="none" w:sz="0" w:space="0" w:color="auto"/>
      </w:divBdr>
    </w:div>
    <w:div w:id="1341855694">
      <w:bodyDiv w:val="1"/>
      <w:marLeft w:val="0"/>
      <w:marRight w:val="0"/>
      <w:marTop w:val="0"/>
      <w:marBottom w:val="0"/>
      <w:divBdr>
        <w:top w:val="none" w:sz="0" w:space="0" w:color="auto"/>
        <w:left w:val="none" w:sz="0" w:space="0" w:color="auto"/>
        <w:bottom w:val="none" w:sz="0" w:space="0" w:color="auto"/>
        <w:right w:val="none" w:sz="0" w:space="0" w:color="auto"/>
      </w:divBdr>
    </w:div>
    <w:div w:id="1366520875">
      <w:bodyDiv w:val="1"/>
      <w:marLeft w:val="0"/>
      <w:marRight w:val="0"/>
      <w:marTop w:val="0"/>
      <w:marBottom w:val="0"/>
      <w:divBdr>
        <w:top w:val="none" w:sz="0" w:space="0" w:color="auto"/>
        <w:left w:val="none" w:sz="0" w:space="0" w:color="auto"/>
        <w:bottom w:val="none" w:sz="0" w:space="0" w:color="auto"/>
        <w:right w:val="none" w:sz="0" w:space="0" w:color="auto"/>
      </w:divBdr>
      <w:divsChild>
        <w:div w:id="806581753">
          <w:marLeft w:val="0"/>
          <w:marRight w:val="0"/>
          <w:marTop w:val="0"/>
          <w:marBottom w:val="0"/>
          <w:divBdr>
            <w:top w:val="none" w:sz="0" w:space="0" w:color="auto"/>
            <w:left w:val="none" w:sz="0" w:space="0" w:color="auto"/>
            <w:bottom w:val="none" w:sz="0" w:space="0" w:color="auto"/>
            <w:right w:val="none" w:sz="0" w:space="0" w:color="auto"/>
          </w:divBdr>
          <w:divsChild>
            <w:div w:id="269626112">
              <w:marLeft w:val="0"/>
              <w:marRight w:val="0"/>
              <w:marTop w:val="0"/>
              <w:marBottom w:val="0"/>
              <w:divBdr>
                <w:top w:val="none" w:sz="0" w:space="0" w:color="auto"/>
                <w:left w:val="none" w:sz="0" w:space="0" w:color="auto"/>
                <w:bottom w:val="none" w:sz="0" w:space="0" w:color="auto"/>
                <w:right w:val="none" w:sz="0" w:space="0" w:color="auto"/>
              </w:divBdr>
            </w:div>
          </w:divsChild>
        </w:div>
        <w:div w:id="1484275318">
          <w:marLeft w:val="0"/>
          <w:marRight w:val="0"/>
          <w:marTop w:val="0"/>
          <w:marBottom w:val="0"/>
          <w:divBdr>
            <w:top w:val="none" w:sz="0" w:space="0" w:color="auto"/>
            <w:left w:val="none" w:sz="0" w:space="0" w:color="auto"/>
            <w:bottom w:val="none" w:sz="0" w:space="0" w:color="auto"/>
            <w:right w:val="none" w:sz="0" w:space="0" w:color="auto"/>
          </w:divBdr>
          <w:divsChild>
            <w:div w:id="1962105468">
              <w:marLeft w:val="0"/>
              <w:marRight w:val="0"/>
              <w:marTop w:val="0"/>
              <w:marBottom w:val="0"/>
              <w:divBdr>
                <w:top w:val="none" w:sz="0" w:space="0" w:color="auto"/>
                <w:left w:val="none" w:sz="0" w:space="0" w:color="auto"/>
                <w:bottom w:val="none" w:sz="0" w:space="0" w:color="auto"/>
                <w:right w:val="none" w:sz="0" w:space="0" w:color="auto"/>
              </w:divBdr>
              <w:divsChild>
                <w:div w:id="205796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458342">
      <w:bodyDiv w:val="1"/>
      <w:marLeft w:val="0"/>
      <w:marRight w:val="0"/>
      <w:marTop w:val="0"/>
      <w:marBottom w:val="0"/>
      <w:divBdr>
        <w:top w:val="none" w:sz="0" w:space="0" w:color="auto"/>
        <w:left w:val="none" w:sz="0" w:space="0" w:color="auto"/>
        <w:bottom w:val="none" w:sz="0" w:space="0" w:color="auto"/>
        <w:right w:val="none" w:sz="0" w:space="0" w:color="auto"/>
      </w:divBdr>
      <w:divsChild>
        <w:div w:id="1966160936">
          <w:marLeft w:val="0"/>
          <w:marRight w:val="0"/>
          <w:marTop w:val="0"/>
          <w:marBottom w:val="0"/>
          <w:divBdr>
            <w:top w:val="none" w:sz="0" w:space="0" w:color="auto"/>
            <w:left w:val="none" w:sz="0" w:space="0" w:color="auto"/>
            <w:bottom w:val="none" w:sz="0" w:space="0" w:color="auto"/>
            <w:right w:val="none" w:sz="0" w:space="0" w:color="auto"/>
          </w:divBdr>
          <w:divsChild>
            <w:div w:id="873619339">
              <w:marLeft w:val="0"/>
              <w:marRight w:val="0"/>
              <w:marTop w:val="0"/>
              <w:marBottom w:val="0"/>
              <w:divBdr>
                <w:top w:val="none" w:sz="0" w:space="0" w:color="auto"/>
                <w:left w:val="none" w:sz="0" w:space="0" w:color="auto"/>
                <w:bottom w:val="none" w:sz="0" w:space="0" w:color="auto"/>
                <w:right w:val="none" w:sz="0" w:space="0" w:color="auto"/>
              </w:divBdr>
              <w:divsChild>
                <w:div w:id="10276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439091">
      <w:bodyDiv w:val="1"/>
      <w:marLeft w:val="0"/>
      <w:marRight w:val="0"/>
      <w:marTop w:val="0"/>
      <w:marBottom w:val="0"/>
      <w:divBdr>
        <w:top w:val="none" w:sz="0" w:space="0" w:color="auto"/>
        <w:left w:val="none" w:sz="0" w:space="0" w:color="auto"/>
        <w:bottom w:val="none" w:sz="0" w:space="0" w:color="auto"/>
        <w:right w:val="none" w:sz="0" w:space="0" w:color="auto"/>
      </w:divBdr>
    </w:div>
    <w:div w:id="1577746160">
      <w:bodyDiv w:val="1"/>
      <w:marLeft w:val="0"/>
      <w:marRight w:val="0"/>
      <w:marTop w:val="0"/>
      <w:marBottom w:val="0"/>
      <w:divBdr>
        <w:top w:val="none" w:sz="0" w:space="0" w:color="auto"/>
        <w:left w:val="none" w:sz="0" w:space="0" w:color="auto"/>
        <w:bottom w:val="none" w:sz="0" w:space="0" w:color="auto"/>
        <w:right w:val="none" w:sz="0" w:space="0" w:color="auto"/>
      </w:divBdr>
    </w:div>
    <w:div w:id="1649213456">
      <w:bodyDiv w:val="1"/>
      <w:marLeft w:val="0"/>
      <w:marRight w:val="0"/>
      <w:marTop w:val="0"/>
      <w:marBottom w:val="0"/>
      <w:divBdr>
        <w:top w:val="none" w:sz="0" w:space="0" w:color="auto"/>
        <w:left w:val="none" w:sz="0" w:space="0" w:color="auto"/>
        <w:bottom w:val="none" w:sz="0" w:space="0" w:color="auto"/>
        <w:right w:val="none" w:sz="0" w:space="0" w:color="auto"/>
      </w:divBdr>
      <w:divsChild>
        <w:div w:id="270863557">
          <w:marLeft w:val="0"/>
          <w:marRight w:val="0"/>
          <w:marTop w:val="0"/>
          <w:marBottom w:val="0"/>
          <w:divBdr>
            <w:top w:val="none" w:sz="0" w:space="0" w:color="auto"/>
            <w:left w:val="none" w:sz="0" w:space="0" w:color="auto"/>
            <w:bottom w:val="none" w:sz="0" w:space="0" w:color="auto"/>
            <w:right w:val="none" w:sz="0" w:space="0" w:color="auto"/>
          </w:divBdr>
          <w:divsChild>
            <w:div w:id="513959370">
              <w:marLeft w:val="0"/>
              <w:marRight w:val="0"/>
              <w:marTop w:val="0"/>
              <w:marBottom w:val="0"/>
              <w:divBdr>
                <w:top w:val="none" w:sz="0" w:space="0" w:color="auto"/>
                <w:left w:val="none" w:sz="0" w:space="0" w:color="auto"/>
                <w:bottom w:val="none" w:sz="0" w:space="0" w:color="auto"/>
                <w:right w:val="none" w:sz="0" w:space="0" w:color="auto"/>
              </w:divBdr>
              <w:divsChild>
                <w:div w:id="11021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96737">
      <w:bodyDiv w:val="1"/>
      <w:marLeft w:val="0"/>
      <w:marRight w:val="0"/>
      <w:marTop w:val="0"/>
      <w:marBottom w:val="0"/>
      <w:divBdr>
        <w:top w:val="none" w:sz="0" w:space="0" w:color="auto"/>
        <w:left w:val="none" w:sz="0" w:space="0" w:color="auto"/>
        <w:bottom w:val="none" w:sz="0" w:space="0" w:color="auto"/>
        <w:right w:val="none" w:sz="0" w:space="0" w:color="auto"/>
      </w:divBdr>
    </w:div>
    <w:div w:id="1815680370">
      <w:bodyDiv w:val="1"/>
      <w:marLeft w:val="0"/>
      <w:marRight w:val="0"/>
      <w:marTop w:val="0"/>
      <w:marBottom w:val="0"/>
      <w:divBdr>
        <w:top w:val="none" w:sz="0" w:space="0" w:color="auto"/>
        <w:left w:val="none" w:sz="0" w:space="0" w:color="auto"/>
        <w:bottom w:val="none" w:sz="0" w:space="0" w:color="auto"/>
        <w:right w:val="none" w:sz="0" w:space="0" w:color="auto"/>
      </w:divBdr>
    </w:div>
    <w:div w:id="201595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lauco.devita@coventry.ac.uk" TargetMode="External"/><Relationship Id="rId18" Type="http://schemas.openxmlformats.org/officeDocument/2006/relationships/hyperlink" Target="https://www.bis.org/publ/work244.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luo001@dundee.ac.uk" TargetMode="External"/><Relationship Id="rId17" Type="http://schemas.openxmlformats.org/officeDocument/2006/relationships/hyperlink" Target="https://www.cepii.fr/PDF_PUB/wp/2011/wp2011-25.pdf" TargetMode="External"/><Relationship Id="rId2" Type="http://schemas.openxmlformats.org/officeDocument/2006/relationships/customXml" Target="../customXml/item2.xml"/><Relationship Id="rId16" Type="http://schemas.openxmlformats.org/officeDocument/2006/relationships/hyperlink" Target="https://doi.org/10.1016/j.econlet.2025.11221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Luo@soton.ac.uk" TargetMode="External"/><Relationship Id="rId5" Type="http://schemas.openxmlformats.org/officeDocument/2006/relationships/numbering" Target="numbering.xml"/><Relationship Id="rId15" Type="http://schemas.openxmlformats.org/officeDocument/2006/relationships/hyperlink" Target="https://www.bis.org/statistics/rppb2407.htm" TargetMode="External"/><Relationship Id="rId10" Type="http://schemas.openxmlformats.org/officeDocument/2006/relationships/endnotes" Target="endnotes.xml"/><Relationship Id="rId19" Type="http://schemas.openxmlformats.org/officeDocument/2006/relationships/hyperlink" Target="https://doi.org/10.1007/s11156-026-01508-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A8E7EA60653F4E95F3BEE8533BE970" ma:contentTypeVersion="6" ma:contentTypeDescription="Create a new document." ma:contentTypeScope="" ma:versionID="2f4f0cbdfa8a83d117f81f59f42c3a5b">
  <xsd:schema xmlns:xsd="http://www.w3.org/2001/XMLSchema" xmlns:xs="http://www.w3.org/2001/XMLSchema" xmlns:p="http://schemas.microsoft.com/office/2006/metadata/properties" xmlns:ns2="aed9872e-03e9-4a6d-9e76-a2e80e82c838" xmlns:ns3="e3ab37d4-4e12-47a0-a0a3-aee98929682d" targetNamespace="http://schemas.microsoft.com/office/2006/metadata/properties" ma:root="true" ma:fieldsID="3f9a0808f8642048baa681d2e8afac38" ns2:_="" ns3:_="">
    <xsd:import namespace="aed9872e-03e9-4a6d-9e76-a2e80e82c838"/>
    <xsd:import namespace="e3ab37d4-4e12-47a0-a0a3-aee9892968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9872e-03e9-4a6d-9e76-a2e80e82c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b37d4-4e12-47a0-a0a3-aee9892968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7A6FF-32E5-4628-A9ED-7409DF252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56BE05-6CEC-4D2F-8317-9A6F6371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9872e-03e9-4a6d-9e76-a2e80e82c838"/>
    <ds:schemaRef ds:uri="e3ab37d4-4e12-47a0-a0a3-aee98929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549C03-FCC2-4D3C-918F-5BDB674A9ED5}">
  <ds:schemaRefs>
    <ds:schemaRef ds:uri="http://schemas.openxmlformats.org/officeDocument/2006/bibliography"/>
  </ds:schemaRefs>
</ds:datastoreItem>
</file>

<file path=customXml/itemProps4.xml><?xml version="1.0" encoding="utf-8"?>
<ds:datastoreItem xmlns:ds="http://schemas.openxmlformats.org/officeDocument/2006/customXml" ds:itemID="{5A38D92C-240A-45DD-B4D3-FE61D2779B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10077</Words>
  <Characters>57440</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67383</CharactersWithSpaces>
  <SharedDoc>false</SharedDoc>
  <HLinks>
    <vt:vector size="24" baseType="variant">
      <vt:variant>
        <vt:i4>6357091</vt:i4>
      </vt:variant>
      <vt:variant>
        <vt:i4>9</vt:i4>
      </vt:variant>
      <vt:variant>
        <vt:i4>0</vt:i4>
      </vt:variant>
      <vt:variant>
        <vt:i4>5</vt:i4>
      </vt:variant>
      <vt:variant>
        <vt:lpwstr>https://www.bis.org/statistics/rppb2407.htm</vt:lpwstr>
      </vt:variant>
      <vt:variant>
        <vt:lpwstr/>
      </vt:variant>
      <vt:variant>
        <vt:i4>7667794</vt:i4>
      </vt:variant>
      <vt:variant>
        <vt:i4>6</vt:i4>
      </vt:variant>
      <vt:variant>
        <vt:i4>0</vt:i4>
      </vt:variant>
      <vt:variant>
        <vt:i4>5</vt:i4>
      </vt:variant>
      <vt:variant>
        <vt:lpwstr>mailto:glauco.devita@coventry.ac.uk</vt:lpwstr>
      </vt:variant>
      <vt:variant>
        <vt:lpwstr/>
      </vt:variant>
      <vt:variant>
        <vt:i4>2424834</vt:i4>
      </vt:variant>
      <vt:variant>
        <vt:i4>3</vt:i4>
      </vt:variant>
      <vt:variant>
        <vt:i4>0</vt:i4>
      </vt:variant>
      <vt:variant>
        <vt:i4>5</vt:i4>
      </vt:variant>
      <vt:variant>
        <vt:lpwstr>mailto:dluo001@dundee.ac.uk</vt:lpwstr>
      </vt:variant>
      <vt:variant>
        <vt:lpwstr/>
      </vt:variant>
      <vt:variant>
        <vt:i4>5570665</vt:i4>
      </vt:variant>
      <vt:variant>
        <vt:i4>0</vt:i4>
      </vt:variant>
      <vt:variant>
        <vt:i4>0</vt:i4>
      </vt:variant>
      <vt:variant>
        <vt:i4>5</vt:i4>
      </vt:variant>
      <vt:variant>
        <vt:lpwstr>mailto:Y.Luo@soton.ac.uk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 Luo</dc:creator>
  <cp:keywords/>
  <dc:description/>
  <cp:lastModifiedBy>Yun Luo</cp:lastModifiedBy>
  <cp:revision>4</cp:revision>
  <dcterms:created xsi:type="dcterms:W3CDTF">2026-04-05T09:09:00Z</dcterms:created>
  <dcterms:modified xsi:type="dcterms:W3CDTF">2026-04-25T15:10:00Z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0x010100CBA8E7EA60653F4E95F3BEE8533BE970</vt:lpwstr>
  </property>
  <property fmtid="{D5CDD505-2E9C-101B-9397-08002B2CF9AE}" pid="3" name="GrammarlyDocumentId">
    <vt:lpwstr>21f88999124eb2aa37caff9c34c34fdc80f2ca7a24da2b1e98ad6f68c0504c4b</vt:lpwstr>
  </property>
</Properties>
</file>